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4.xml" ContentType="application/vnd.openxmlformats-officedocument.drawingml.chartshapes+xml"/>
  <Override PartName="/word/charts/chart22.xml" ContentType="application/vnd.openxmlformats-officedocument.drawingml.chart+xml"/>
  <Override PartName="/word/drawings/drawing5.xml" ContentType="application/vnd.openxmlformats-officedocument.drawingml.chartshapes+xml"/>
  <Override PartName="/word/charts/chart23.xml" ContentType="application/vnd.openxmlformats-officedocument.drawingml.chart+xml"/>
  <Override PartName="/word/drawings/drawing6.xml" ContentType="application/vnd.openxmlformats-officedocument.drawingml.chartshapes+xml"/>
  <Override PartName="/word/charts/chart24.xml" ContentType="application/vnd.openxmlformats-officedocument.drawingml.chart+xml"/>
  <Override PartName="/word/drawings/drawing7.xml" ContentType="application/vnd.openxmlformats-officedocument.drawingml.chartshapes+xml"/>
  <Override PartName="/word/charts/chart25.xml" ContentType="application/vnd.openxmlformats-officedocument.drawingml.chart+xml"/>
  <Override PartName="/word/drawings/drawing8.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drawings/drawing9.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1.xml" ContentType="application/vnd.openxmlformats-officedocument.themeOverride+xml"/>
  <Override PartName="/word/charts/chart41.xml" ContentType="application/vnd.openxmlformats-officedocument.drawingml.chart+xml"/>
  <Override PartName="/word/theme/themeOverride2.xml" ContentType="application/vnd.openxmlformats-officedocument.themeOverride+xml"/>
  <Override PartName="/word/charts/chart42.xml" ContentType="application/vnd.openxmlformats-officedocument.drawingml.chart+xml"/>
  <Override PartName="/word/theme/themeOverride3.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10.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theme/themeOverride4.xml" ContentType="application/vnd.openxmlformats-officedocument.themeOverride+xml"/>
  <Override PartName="/word/charts/chart51.xml" ContentType="application/vnd.openxmlformats-officedocument.drawingml.chart+xml"/>
  <Override PartName="/word/drawings/drawing11.xml" ContentType="application/vnd.openxmlformats-officedocument.drawingml.chartshapes+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drawings/drawing12.xml" ContentType="application/vnd.openxmlformats-officedocument.drawingml.chartshapes+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theme/themeOverride5.xml" ContentType="application/vnd.openxmlformats-officedocument.themeOverride+xml"/>
  <Override PartName="/word/charts/chart59.xml" ContentType="application/vnd.openxmlformats-officedocument.drawingml.chart+xml"/>
  <Override PartName="/word/theme/themeOverride6.xml" ContentType="application/vnd.openxmlformats-officedocument.themeOverride+xml"/>
  <Override PartName="/word/drawings/drawing13.xml" ContentType="application/vnd.openxmlformats-officedocument.drawingml.chartshapes+xml"/>
  <Override PartName="/word/charts/chart60.xml" ContentType="application/vnd.openxmlformats-officedocument.drawingml.chart+xml"/>
  <Override PartName="/word/drawings/drawing14.xml" ContentType="application/vnd.openxmlformats-officedocument.drawingml.chartshapes+xml"/>
  <Override PartName="/word/charts/chart61.xml" ContentType="application/vnd.openxmlformats-officedocument.drawingml.chart+xml"/>
  <Override PartName="/word/drawings/drawing15.xml" ContentType="application/vnd.openxmlformats-officedocument.drawingml.chartshapes+xml"/>
  <Override PartName="/word/charts/chart62.xml" ContentType="application/vnd.openxmlformats-officedocument.drawingml.chart+xml"/>
  <Override PartName="/word/drawings/drawing16.xml" ContentType="application/vnd.openxmlformats-officedocument.drawingml.chartshapes+xml"/>
  <Override PartName="/word/charts/chart63.xml" ContentType="application/vnd.openxmlformats-officedocument.drawingml.chart+xml"/>
  <Override PartName="/word/drawings/drawing17.xml" ContentType="application/vnd.openxmlformats-officedocument.drawingml.chartshapes+xml"/>
  <Override PartName="/word/charts/chart64.xml" ContentType="application/vnd.openxmlformats-officedocument.drawingml.chart+xml"/>
  <Override PartName="/word/drawings/drawing18.xml" ContentType="application/vnd.openxmlformats-officedocument.drawingml.chartshapes+xml"/>
  <Override PartName="/word/charts/chart65.xml" ContentType="application/vnd.openxmlformats-officedocument.drawingml.chart+xml"/>
  <Override PartName="/word/drawings/drawing19.xml" ContentType="application/vnd.openxmlformats-officedocument.drawingml.chartshapes+xml"/>
  <Override PartName="/word/charts/chart66.xml" ContentType="application/vnd.openxmlformats-officedocument.drawingml.chart+xml"/>
  <Override PartName="/word/drawings/drawing20.xml" ContentType="application/vnd.openxmlformats-officedocument.drawingml.chartshapes+xml"/>
  <Override PartName="/word/charts/chart67.xml" ContentType="application/vnd.openxmlformats-officedocument.drawingml.chart+xml"/>
  <Override PartName="/word/drawings/drawing21.xml" ContentType="application/vnd.openxmlformats-officedocument.drawingml.chartshapes+xml"/>
  <Override PartName="/word/charts/chart68.xml" ContentType="application/vnd.openxmlformats-officedocument.drawingml.chart+xml"/>
  <Override PartName="/word/theme/themeOverride7.xml" ContentType="application/vnd.openxmlformats-officedocument.themeOverride+xml"/>
  <Override PartName="/word/charts/chart69.xml" ContentType="application/vnd.openxmlformats-officedocument.drawingml.chart+xml"/>
  <Override PartName="/word/theme/themeOverride8.xml" ContentType="application/vnd.openxmlformats-officedocument.themeOverride+xml"/>
  <Override PartName="/word/charts/chart70.xml" ContentType="application/vnd.openxmlformats-officedocument.drawingml.chart+xml"/>
  <Override PartName="/word/theme/themeOverride9.xml" ContentType="application/vnd.openxmlformats-officedocument.themeOverride+xml"/>
  <Override PartName="/word/drawings/drawing22.xml" ContentType="application/vnd.openxmlformats-officedocument.drawingml.chartshapes+xml"/>
  <Override PartName="/word/charts/chart71.xml" ContentType="application/vnd.openxmlformats-officedocument.drawingml.chart+xml"/>
  <Override PartName="/word/theme/themeOverride10.xml" ContentType="application/vnd.openxmlformats-officedocument.themeOverride+xml"/>
  <Override PartName="/word/drawings/drawing23.xml" ContentType="application/vnd.openxmlformats-officedocument.drawingml.chartshapes+xml"/>
  <Override PartName="/word/charts/chart72.xml" ContentType="application/vnd.openxmlformats-officedocument.drawingml.chart+xml"/>
  <Override PartName="/word/theme/themeOverride11.xml" ContentType="application/vnd.openxmlformats-officedocument.themeOverride+xml"/>
  <Override PartName="/word/charts/chart73.xml" ContentType="application/vnd.openxmlformats-officedocument.drawingml.chart+xml"/>
  <Override PartName="/word/drawings/drawing24.xml" ContentType="application/vnd.openxmlformats-officedocument.drawingml.chartshapes+xml"/>
  <Override PartName="/word/charts/chart74.xml" ContentType="application/vnd.openxmlformats-officedocument.drawingml.chart+xml"/>
  <Override PartName="/word/charts/chart7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CF327" w14:textId="77777777" w:rsidR="008A700C" w:rsidRPr="00DE1D8D" w:rsidRDefault="008A700C" w:rsidP="008A700C">
      <w:pPr>
        <w:jc w:val="center"/>
        <w:rPr>
          <w:b/>
          <w:color w:val="FF0000"/>
          <w:sz w:val="28"/>
          <w:szCs w:val="28"/>
        </w:rPr>
      </w:pPr>
      <w:bookmarkStart w:id="0" w:name="_GoBack"/>
      <w:bookmarkEnd w:id="0"/>
    </w:p>
    <w:p w14:paraId="47690AC4" w14:textId="77777777" w:rsidR="003438B8" w:rsidRPr="00DE1D8D" w:rsidRDefault="003438B8" w:rsidP="008A700C">
      <w:pPr>
        <w:jc w:val="center"/>
        <w:rPr>
          <w:b/>
          <w:color w:val="FF0000"/>
          <w:sz w:val="28"/>
          <w:szCs w:val="28"/>
        </w:rPr>
      </w:pPr>
    </w:p>
    <w:p w14:paraId="23CED4C0" w14:textId="77777777" w:rsidR="003438B8" w:rsidRPr="00DE1D8D" w:rsidRDefault="00540AC3" w:rsidP="008A700C">
      <w:pPr>
        <w:jc w:val="center"/>
        <w:rPr>
          <w:b/>
          <w:color w:val="FF0000"/>
          <w:sz w:val="28"/>
          <w:szCs w:val="28"/>
        </w:rPr>
      </w:pPr>
      <w:r w:rsidRPr="00DE1D8D">
        <w:rPr>
          <w:noProof/>
          <w:color w:val="FF0000"/>
          <w:lang w:val="es-GT" w:eastAsia="es-GT"/>
        </w:rPr>
        <w:drawing>
          <wp:inline distT="0" distB="0" distL="0" distR="0" wp14:anchorId="7AE4DE7B" wp14:editId="39381077">
            <wp:extent cx="2171700" cy="1447800"/>
            <wp:effectExtent l="0" t="0" r="0" b="0"/>
            <wp:docPr id="224" name="Imagen 224" descr="Ministerio de Cultura y Deportes Guatemala - Detrás de cámaras de la  versión especial del Himno Nacional por el #BicentenarioGuatemal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sterio de Cultura y Deportes Guatemala - Detrás de cámaras de la  versión especial del Himno Nacional por el #BicentenarioGuatemala | Facebook"/>
                    <pic:cNvPicPr>
                      <a:picLocks noChangeAspect="1" noChangeArrowheads="1"/>
                    </pic:cNvPicPr>
                  </pic:nvPicPr>
                  <pic:blipFill rotWithShape="1">
                    <a:blip r:embed="rId9">
                      <a:extLst>
                        <a:ext uri="{28A0092B-C50C-407E-A947-70E740481C1C}">
                          <a14:useLocalDpi xmlns:a14="http://schemas.microsoft.com/office/drawing/2010/main" val="0"/>
                        </a:ext>
                      </a:extLst>
                    </a:blip>
                    <a:srcRect l="17333" t="10714" r="16667" b="10714"/>
                    <a:stretch/>
                  </pic:blipFill>
                  <pic:spPr bwMode="auto">
                    <a:xfrm>
                      <a:off x="0" y="0"/>
                      <a:ext cx="2177256" cy="1451504"/>
                    </a:xfrm>
                    <a:prstGeom prst="rect">
                      <a:avLst/>
                    </a:prstGeom>
                    <a:noFill/>
                    <a:ln>
                      <a:noFill/>
                    </a:ln>
                    <a:extLst>
                      <a:ext uri="{53640926-AAD7-44D8-BBD7-CCE9431645EC}">
                        <a14:shadowObscured xmlns:a14="http://schemas.microsoft.com/office/drawing/2010/main"/>
                      </a:ext>
                    </a:extLst>
                  </pic:spPr>
                </pic:pic>
              </a:graphicData>
            </a:graphic>
          </wp:inline>
        </w:drawing>
      </w:r>
    </w:p>
    <w:p w14:paraId="50C49188" w14:textId="77777777" w:rsidR="003438B8" w:rsidRPr="00DE1D8D" w:rsidRDefault="003438B8" w:rsidP="008A700C">
      <w:pPr>
        <w:jc w:val="center"/>
        <w:rPr>
          <w:b/>
          <w:color w:val="FF0000"/>
          <w:sz w:val="28"/>
          <w:szCs w:val="28"/>
        </w:rPr>
      </w:pPr>
    </w:p>
    <w:p w14:paraId="200FE8B2" w14:textId="77777777" w:rsidR="003438B8" w:rsidRDefault="003438B8" w:rsidP="008A700C">
      <w:pPr>
        <w:jc w:val="center"/>
        <w:rPr>
          <w:b/>
          <w:color w:val="FF0000"/>
          <w:sz w:val="28"/>
          <w:szCs w:val="28"/>
        </w:rPr>
      </w:pPr>
    </w:p>
    <w:p w14:paraId="1D5EC9C9" w14:textId="77777777" w:rsidR="00E9196B" w:rsidRDefault="00E9196B" w:rsidP="008A700C">
      <w:pPr>
        <w:jc w:val="center"/>
        <w:rPr>
          <w:b/>
          <w:color w:val="FF0000"/>
          <w:sz w:val="28"/>
          <w:szCs w:val="28"/>
        </w:rPr>
      </w:pPr>
    </w:p>
    <w:p w14:paraId="586FE4AE" w14:textId="77777777" w:rsidR="00E9196B" w:rsidRDefault="00E9196B" w:rsidP="008A700C">
      <w:pPr>
        <w:jc w:val="center"/>
        <w:rPr>
          <w:b/>
          <w:color w:val="FF0000"/>
          <w:sz w:val="28"/>
          <w:szCs w:val="28"/>
        </w:rPr>
      </w:pPr>
    </w:p>
    <w:p w14:paraId="57A4DE0C" w14:textId="77777777" w:rsidR="00E9196B" w:rsidRDefault="00E9196B" w:rsidP="008A700C">
      <w:pPr>
        <w:jc w:val="center"/>
        <w:rPr>
          <w:b/>
          <w:color w:val="FF0000"/>
          <w:sz w:val="28"/>
          <w:szCs w:val="28"/>
        </w:rPr>
      </w:pPr>
    </w:p>
    <w:p w14:paraId="6AE74F58" w14:textId="77777777" w:rsidR="00E9196B" w:rsidRPr="00DE1D8D" w:rsidRDefault="00E9196B" w:rsidP="008A700C">
      <w:pPr>
        <w:jc w:val="center"/>
        <w:rPr>
          <w:b/>
          <w:color w:val="FF0000"/>
          <w:sz w:val="28"/>
          <w:szCs w:val="28"/>
        </w:rPr>
      </w:pPr>
    </w:p>
    <w:p w14:paraId="46DBCCC4" w14:textId="77777777" w:rsidR="003438B8" w:rsidRPr="00DE1D8D" w:rsidRDefault="003438B8" w:rsidP="00540AC3">
      <w:pPr>
        <w:rPr>
          <w:b/>
          <w:color w:val="FF0000"/>
          <w:sz w:val="28"/>
          <w:szCs w:val="28"/>
        </w:rPr>
      </w:pPr>
    </w:p>
    <w:p w14:paraId="794B6752" w14:textId="77777777" w:rsidR="00540AC3" w:rsidRPr="00DE1D8D" w:rsidRDefault="00540AC3" w:rsidP="00540AC3">
      <w:pPr>
        <w:rPr>
          <w:b/>
          <w:color w:val="FF0000"/>
          <w:sz w:val="28"/>
          <w:szCs w:val="28"/>
        </w:rPr>
      </w:pPr>
    </w:p>
    <w:p w14:paraId="5CC7B91C" w14:textId="77777777" w:rsidR="003438B8" w:rsidRPr="00DE1D8D" w:rsidRDefault="003438B8" w:rsidP="00540AC3">
      <w:pPr>
        <w:rPr>
          <w:b/>
          <w:color w:val="FF0000"/>
          <w:sz w:val="28"/>
          <w:szCs w:val="28"/>
        </w:rPr>
      </w:pPr>
    </w:p>
    <w:p w14:paraId="75155EFB" w14:textId="77777777" w:rsidR="003438B8" w:rsidRPr="00DE1D8D" w:rsidRDefault="003438B8" w:rsidP="008A700C">
      <w:pPr>
        <w:jc w:val="center"/>
        <w:rPr>
          <w:b/>
          <w:sz w:val="28"/>
          <w:szCs w:val="28"/>
        </w:rPr>
      </w:pPr>
    </w:p>
    <w:p w14:paraId="4FE9AE08" w14:textId="5D9265AD" w:rsidR="003438B8" w:rsidRPr="00DE1D8D" w:rsidRDefault="00DE0213" w:rsidP="00540AC3">
      <w:pPr>
        <w:jc w:val="center"/>
        <w:rPr>
          <w:b/>
          <w:sz w:val="44"/>
          <w:szCs w:val="28"/>
        </w:rPr>
      </w:pPr>
      <w:r>
        <w:rPr>
          <w:b/>
          <w:sz w:val="44"/>
          <w:szCs w:val="28"/>
        </w:rPr>
        <w:t>INFORME</w:t>
      </w:r>
      <w:r w:rsidR="0081346C" w:rsidRPr="00DE1D8D">
        <w:rPr>
          <w:b/>
          <w:sz w:val="44"/>
          <w:szCs w:val="28"/>
        </w:rPr>
        <w:t xml:space="preserve"> DE</w:t>
      </w:r>
      <w:r w:rsidR="008A700C" w:rsidRPr="00DE1D8D">
        <w:rPr>
          <w:b/>
          <w:sz w:val="44"/>
          <w:szCs w:val="28"/>
        </w:rPr>
        <w:t xml:space="preserve"> RIESGOS FISCALES</w:t>
      </w:r>
      <w:r w:rsidR="00540AC3" w:rsidRPr="00DE1D8D">
        <w:rPr>
          <w:b/>
          <w:sz w:val="44"/>
          <w:szCs w:val="28"/>
        </w:rPr>
        <w:t xml:space="preserve"> 2022</w:t>
      </w:r>
      <w:r w:rsidR="009976D0" w:rsidRPr="00DE1D8D">
        <w:rPr>
          <w:b/>
          <w:sz w:val="44"/>
          <w:szCs w:val="28"/>
        </w:rPr>
        <w:t>-</w:t>
      </w:r>
      <w:r w:rsidR="00540AC3" w:rsidRPr="00DE1D8D">
        <w:rPr>
          <w:b/>
          <w:sz w:val="44"/>
          <w:szCs w:val="28"/>
        </w:rPr>
        <w:t>2026</w:t>
      </w:r>
    </w:p>
    <w:p w14:paraId="52C643A5" w14:textId="77777777" w:rsidR="003438B8" w:rsidRPr="00DE1D8D" w:rsidRDefault="00DE1D8D" w:rsidP="008A5924">
      <w:r>
        <w:rPr>
          <w:noProof/>
          <w:lang w:val="es-GT" w:eastAsia="es-GT"/>
        </w:rPr>
        <mc:AlternateContent>
          <mc:Choice Requires="wps">
            <w:drawing>
              <wp:anchor distT="0" distB="0" distL="114300" distR="114300" simplePos="0" relativeHeight="251691008" behindDoc="0" locked="0" layoutInCell="1" allowOverlap="1" wp14:anchorId="36DC81C5" wp14:editId="276176A4">
                <wp:simplePos x="0" y="0"/>
                <wp:positionH relativeFrom="column">
                  <wp:posOffset>24188</wp:posOffset>
                </wp:positionH>
                <wp:positionV relativeFrom="paragraph">
                  <wp:posOffset>109885</wp:posOffset>
                </wp:positionV>
                <wp:extent cx="6347637" cy="0"/>
                <wp:effectExtent l="19050" t="76200" r="91440" b="76200"/>
                <wp:wrapNone/>
                <wp:docPr id="225" name="Conector recto 225"/>
                <wp:cNvGraphicFramePr/>
                <a:graphic xmlns:a="http://schemas.openxmlformats.org/drawingml/2006/main">
                  <a:graphicData uri="http://schemas.microsoft.com/office/word/2010/wordprocessingShape">
                    <wps:wsp>
                      <wps:cNvCnPr/>
                      <wps:spPr>
                        <a:xfrm>
                          <a:off x="0" y="0"/>
                          <a:ext cx="6347637" cy="0"/>
                        </a:xfrm>
                        <a:prstGeom prst="line">
                          <a:avLst/>
                        </a:prstGeom>
                        <a:ln w="38100"/>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8082632" id="Conector recto 22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9pt,8.65pt" to="501.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" strokecolor="#3c6abe [3044]" strokeweight="3pt">
                <v:shadow on="t" color="black" opacity="26214f" origin="-.5" offset="3pt,0"/>
              </v:line>
            </w:pict>
          </mc:Fallback>
        </mc:AlternateContent>
      </w:r>
    </w:p>
    <w:p w14:paraId="1B1DE982" w14:textId="77777777" w:rsidR="003438B8" w:rsidRPr="00DE1D8D" w:rsidRDefault="003438B8" w:rsidP="008A5924"/>
    <w:p w14:paraId="6593EE86" w14:textId="77777777" w:rsidR="003438B8" w:rsidRPr="00DE1D8D" w:rsidRDefault="003438B8" w:rsidP="008A5924"/>
    <w:p w14:paraId="773283C3" w14:textId="77777777" w:rsidR="003438B8" w:rsidRPr="00DE1D8D" w:rsidRDefault="00EC0893" w:rsidP="00EC0893">
      <w:pPr>
        <w:jc w:val="center"/>
        <w:rPr>
          <w:sz w:val="32"/>
        </w:rPr>
      </w:pPr>
      <w:r w:rsidRPr="00DE1D8D">
        <w:rPr>
          <w:color w:val="1F3864" w:themeColor="accent1" w:themeShade="80"/>
          <w:sz w:val="32"/>
        </w:rPr>
        <w:t xml:space="preserve">Ministerio de Finanzas Públicas </w:t>
      </w:r>
    </w:p>
    <w:p w14:paraId="67F5BE0F" w14:textId="77777777" w:rsidR="003438B8" w:rsidRPr="00DE1D8D" w:rsidRDefault="003438B8" w:rsidP="008A5924">
      <w:pPr>
        <w:rPr>
          <w:color w:val="FF0000"/>
        </w:rPr>
      </w:pPr>
    </w:p>
    <w:p w14:paraId="598926C8" w14:textId="77777777" w:rsidR="003438B8" w:rsidRPr="00DE1D8D" w:rsidRDefault="003438B8" w:rsidP="008A5924">
      <w:pPr>
        <w:rPr>
          <w:color w:val="FF0000"/>
        </w:rPr>
      </w:pPr>
    </w:p>
    <w:p w14:paraId="7DA19E9E" w14:textId="77777777" w:rsidR="003438B8" w:rsidRPr="00DE1D8D" w:rsidRDefault="003438B8" w:rsidP="008A5924">
      <w:pPr>
        <w:rPr>
          <w:color w:val="FF0000"/>
        </w:rPr>
      </w:pPr>
    </w:p>
    <w:p w14:paraId="3C4F1D0B" w14:textId="77777777" w:rsidR="003438B8" w:rsidRPr="00DE1D8D" w:rsidRDefault="003438B8" w:rsidP="008A5924">
      <w:pPr>
        <w:rPr>
          <w:color w:val="FF0000"/>
        </w:rPr>
      </w:pPr>
    </w:p>
    <w:p w14:paraId="4219FC66" w14:textId="77777777" w:rsidR="003438B8" w:rsidRPr="00DE1D8D" w:rsidRDefault="003438B8" w:rsidP="008A5924">
      <w:pPr>
        <w:rPr>
          <w:color w:val="FF0000"/>
        </w:rPr>
      </w:pPr>
    </w:p>
    <w:p w14:paraId="79F4A0E1" w14:textId="77777777" w:rsidR="003438B8" w:rsidRPr="00DE1D8D" w:rsidRDefault="003438B8" w:rsidP="008A5924">
      <w:pPr>
        <w:rPr>
          <w:color w:val="FF0000"/>
        </w:rPr>
      </w:pPr>
    </w:p>
    <w:p w14:paraId="38CCD10C" w14:textId="77777777" w:rsidR="003438B8" w:rsidRPr="00DE1D8D" w:rsidRDefault="003438B8" w:rsidP="008A5924">
      <w:pPr>
        <w:rPr>
          <w:color w:val="FF0000"/>
        </w:rPr>
      </w:pPr>
    </w:p>
    <w:p w14:paraId="247C9633" w14:textId="77777777" w:rsidR="003438B8" w:rsidRPr="00DE1D8D" w:rsidRDefault="003438B8" w:rsidP="008A5924">
      <w:pPr>
        <w:rPr>
          <w:color w:val="FF0000"/>
        </w:rPr>
      </w:pPr>
    </w:p>
    <w:p w14:paraId="5A9AD806" w14:textId="77777777" w:rsidR="003438B8" w:rsidRPr="00DE1D8D" w:rsidRDefault="003438B8" w:rsidP="008A5924">
      <w:pPr>
        <w:rPr>
          <w:color w:val="FF0000"/>
        </w:rPr>
      </w:pPr>
    </w:p>
    <w:p w14:paraId="015E528C" w14:textId="77777777" w:rsidR="003438B8" w:rsidRPr="00DE1D8D" w:rsidRDefault="003438B8" w:rsidP="008A5924">
      <w:pPr>
        <w:rPr>
          <w:color w:val="FF0000"/>
        </w:rPr>
      </w:pPr>
    </w:p>
    <w:p w14:paraId="1A917BB6" w14:textId="77777777" w:rsidR="003438B8" w:rsidRPr="00DE1D8D" w:rsidRDefault="003438B8" w:rsidP="008A5924">
      <w:pPr>
        <w:rPr>
          <w:color w:val="FF0000"/>
        </w:rPr>
      </w:pPr>
    </w:p>
    <w:p w14:paraId="5A43A718" w14:textId="77777777" w:rsidR="003438B8" w:rsidRPr="00DE1D8D" w:rsidRDefault="003438B8" w:rsidP="008A5924">
      <w:pPr>
        <w:rPr>
          <w:color w:val="FF0000"/>
        </w:rPr>
      </w:pPr>
    </w:p>
    <w:p w14:paraId="706E2EFA" w14:textId="77777777" w:rsidR="003438B8" w:rsidRPr="00DE1D8D" w:rsidRDefault="003438B8" w:rsidP="008A5924">
      <w:pPr>
        <w:rPr>
          <w:color w:val="FF0000"/>
        </w:rPr>
      </w:pPr>
    </w:p>
    <w:p w14:paraId="4E0D1A84" w14:textId="77777777" w:rsidR="003438B8" w:rsidRPr="00DE1D8D" w:rsidRDefault="003438B8" w:rsidP="008A5924">
      <w:pPr>
        <w:rPr>
          <w:color w:val="FF0000"/>
        </w:rPr>
      </w:pPr>
    </w:p>
    <w:p w14:paraId="67BF10CB" w14:textId="77777777" w:rsidR="003438B8" w:rsidRPr="00DE1D8D" w:rsidRDefault="003438B8" w:rsidP="008A5924">
      <w:pPr>
        <w:rPr>
          <w:color w:val="FF0000"/>
        </w:rPr>
      </w:pPr>
    </w:p>
    <w:p w14:paraId="27F42998" w14:textId="77777777" w:rsidR="003438B8" w:rsidRPr="00DE1D8D" w:rsidRDefault="003438B8" w:rsidP="008A5924">
      <w:pPr>
        <w:rPr>
          <w:color w:val="FF0000"/>
        </w:rPr>
      </w:pPr>
    </w:p>
    <w:p w14:paraId="5CEC6AA2" w14:textId="77777777" w:rsidR="003438B8" w:rsidRPr="00DE1D8D" w:rsidRDefault="003438B8" w:rsidP="008A5924">
      <w:pPr>
        <w:rPr>
          <w:color w:val="FF0000"/>
        </w:rPr>
      </w:pPr>
    </w:p>
    <w:p w14:paraId="74C3AE74" w14:textId="77777777" w:rsidR="003438B8" w:rsidRPr="00DE1D8D" w:rsidRDefault="003438B8" w:rsidP="008A5924">
      <w:pPr>
        <w:rPr>
          <w:color w:val="FF0000"/>
        </w:rPr>
      </w:pPr>
    </w:p>
    <w:p w14:paraId="12087DAC" w14:textId="77777777" w:rsidR="003438B8" w:rsidRPr="00DE1D8D" w:rsidRDefault="003438B8" w:rsidP="008A5924">
      <w:pPr>
        <w:rPr>
          <w:color w:val="FF0000"/>
        </w:rPr>
      </w:pPr>
    </w:p>
    <w:p w14:paraId="6AC9E7C1" w14:textId="77777777" w:rsidR="003438B8" w:rsidRPr="00DE1D8D" w:rsidRDefault="003438B8" w:rsidP="008A5924">
      <w:pPr>
        <w:rPr>
          <w:color w:val="FF0000"/>
        </w:rPr>
      </w:pPr>
    </w:p>
    <w:p w14:paraId="5ECCC0C3" w14:textId="77777777" w:rsidR="003438B8" w:rsidRPr="00DE1D8D" w:rsidRDefault="003438B8" w:rsidP="008A5924">
      <w:pPr>
        <w:rPr>
          <w:color w:val="FF0000"/>
        </w:rPr>
      </w:pPr>
    </w:p>
    <w:p w14:paraId="700BD72C" w14:textId="77777777" w:rsidR="003438B8" w:rsidRPr="00DE1D8D" w:rsidRDefault="003438B8" w:rsidP="008A5924">
      <w:pPr>
        <w:rPr>
          <w:color w:val="FF0000"/>
        </w:rPr>
      </w:pPr>
    </w:p>
    <w:p w14:paraId="114AA720" w14:textId="77777777" w:rsidR="003438B8" w:rsidRPr="00DE1D8D" w:rsidRDefault="003438B8" w:rsidP="008A5924">
      <w:pPr>
        <w:rPr>
          <w:color w:val="FF0000"/>
        </w:rPr>
      </w:pPr>
    </w:p>
    <w:sdt>
      <w:sdtPr>
        <w:rPr>
          <w:color w:val="FF0000"/>
        </w:rPr>
        <w:id w:val="498459661"/>
        <w:docPartObj>
          <w:docPartGallery w:val="Cover Pages"/>
          <w:docPartUnique/>
        </w:docPartObj>
      </w:sdtPr>
      <w:sdtEndPr>
        <w:rPr>
          <w:b/>
        </w:rPr>
      </w:sdtEndPr>
      <w:sdtContent>
        <w:p w14:paraId="77FA3F14" w14:textId="77777777" w:rsidR="008A700C" w:rsidRPr="00DE1D8D" w:rsidRDefault="008A700C" w:rsidP="008A5924">
          <w:pPr>
            <w:rPr>
              <w:color w:val="FF0000"/>
            </w:rPr>
          </w:pPr>
        </w:p>
        <w:p w14:paraId="5652D4E8" w14:textId="77777777" w:rsidR="00C96FDA" w:rsidRPr="00DE1D8D" w:rsidRDefault="00C96FDA" w:rsidP="00814706">
          <w:pPr>
            <w:ind w:left="567"/>
            <w:rPr>
              <w:b/>
              <w:color w:val="1F3864" w:themeColor="accent1" w:themeShade="80"/>
              <w:sz w:val="28"/>
              <w:szCs w:val="28"/>
            </w:rPr>
          </w:pPr>
          <w:r w:rsidRPr="00DE1D8D">
            <w:rPr>
              <w:b/>
              <w:color w:val="1F3864" w:themeColor="accent1" w:themeShade="80"/>
              <w:sz w:val="28"/>
              <w:szCs w:val="28"/>
            </w:rPr>
            <w:t xml:space="preserve">Introducción </w:t>
          </w:r>
        </w:p>
        <w:p w14:paraId="42BE9ED3" w14:textId="77777777" w:rsidR="00C96FDA" w:rsidRPr="00DE1D8D" w:rsidRDefault="00C96FDA" w:rsidP="00814706">
          <w:pPr>
            <w:pStyle w:val="Sinespaciado"/>
            <w:ind w:left="567"/>
            <w:jc w:val="both"/>
            <w:rPr>
              <w:rFonts w:ascii="Times New Roman" w:hAnsi="Times New Roman"/>
              <w:color w:val="FF0000"/>
            </w:rPr>
          </w:pPr>
        </w:p>
        <w:p w14:paraId="25DFD6A0" w14:textId="460EDF9B" w:rsidR="00DE1D8D" w:rsidRPr="00DE1D8D" w:rsidRDefault="00DE1D8D" w:rsidP="00814706">
          <w:pPr>
            <w:pStyle w:val="Sinespaciado"/>
            <w:ind w:left="567"/>
            <w:jc w:val="both"/>
            <w:rPr>
              <w:rFonts w:ascii="Times New Roman" w:hAnsi="Times New Roman"/>
              <w:sz w:val="24"/>
              <w:szCs w:val="24"/>
            </w:rPr>
          </w:pPr>
          <w:r w:rsidRPr="00DE1D8D">
            <w:rPr>
              <w:rFonts w:ascii="Times New Roman" w:hAnsi="Times New Roman"/>
              <w:sz w:val="24"/>
              <w:szCs w:val="24"/>
            </w:rPr>
            <w:t xml:space="preserve">Como parte de los avances en materia de transparencia fiscal el Ministerio de Finanzas Públicas ha asumido el compromiso de atender las recomendaciones emanadas del Fondo Monetario Internacional -FMI- que se originaron en la evaluación que se efectuara en 2016 sobre transparencia fiscal.  De esa cuenta, </w:t>
          </w:r>
          <w:r w:rsidR="00DE0213">
            <w:rPr>
              <w:rFonts w:ascii="Times New Roman" w:hAnsi="Times New Roman"/>
              <w:sz w:val="24"/>
              <w:szCs w:val="24"/>
            </w:rPr>
            <w:t xml:space="preserve">se publica este informe, que amplía lo que se presenta en la separata del proyecto de presupuesto lo concerniente a la </w:t>
          </w:r>
          <w:r w:rsidRPr="00DE1D8D">
            <w:rPr>
              <w:rFonts w:ascii="Times New Roman" w:hAnsi="Times New Roman"/>
              <w:sz w:val="24"/>
              <w:szCs w:val="24"/>
            </w:rPr>
            <w:t>identifica</w:t>
          </w:r>
          <w:r w:rsidR="00DE0213">
            <w:rPr>
              <w:rFonts w:ascii="Times New Roman" w:hAnsi="Times New Roman"/>
              <w:sz w:val="24"/>
              <w:szCs w:val="24"/>
            </w:rPr>
            <w:t>ción</w:t>
          </w:r>
          <w:r w:rsidRPr="00DE1D8D">
            <w:rPr>
              <w:rFonts w:ascii="Times New Roman" w:hAnsi="Times New Roman"/>
              <w:sz w:val="24"/>
              <w:szCs w:val="24"/>
            </w:rPr>
            <w:t>, an</w:t>
          </w:r>
          <w:r w:rsidR="00DE0213">
            <w:rPr>
              <w:rFonts w:ascii="Times New Roman" w:hAnsi="Times New Roman"/>
              <w:sz w:val="24"/>
              <w:szCs w:val="24"/>
            </w:rPr>
            <w:t>á</w:t>
          </w:r>
          <w:r w:rsidRPr="00DE1D8D">
            <w:rPr>
              <w:rFonts w:ascii="Times New Roman" w:hAnsi="Times New Roman"/>
              <w:sz w:val="24"/>
              <w:szCs w:val="24"/>
            </w:rPr>
            <w:t>li</w:t>
          </w:r>
          <w:r w:rsidR="00DE0213">
            <w:rPr>
              <w:rFonts w:ascii="Times New Roman" w:hAnsi="Times New Roman"/>
              <w:sz w:val="24"/>
              <w:szCs w:val="24"/>
            </w:rPr>
            <w:t>sis</w:t>
          </w:r>
          <w:r w:rsidRPr="00DE1D8D">
            <w:rPr>
              <w:rFonts w:ascii="Times New Roman" w:hAnsi="Times New Roman"/>
              <w:sz w:val="24"/>
              <w:szCs w:val="24"/>
            </w:rPr>
            <w:t xml:space="preserve"> y eval</w:t>
          </w:r>
          <w:r w:rsidR="00DE0213">
            <w:rPr>
              <w:rFonts w:ascii="Times New Roman" w:hAnsi="Times New Roman"/>
              <w:sz w:val="24"/>
              <w:szCs w:val="24"/>
            </w:rPr>
            <w:t>u</w:t>
          </w:r>
          <w:r w:rsidRPr="00DE1D8D">
            <w:rPr>
              <w:rFonts w:ascii="Times New Roman" w:hAnsi="Times New Roman"/>
              <w:sz w:val="24"/>
              <w:szCs w:val="24"/>
            </w:rPr>
            <w:t>a</w:t>
          </w:r>
          <w:r w:rsidR="00DE0213">
            <w:rPr>
              <w:rFonts w:ascii="Times New Roman" w:hAnsi="Times New Roman"/>
              <w:sz w:val="24"/>
              <w:szCs w:val="24"/>
            </w:rPr>
            <w:t>ción</w:t>
          </w:r>
          <w:r w:rsidRPr="00DE1D8D">
            <w:rPr>
              <w:rFonts w:ascii="Times New Roman" w:hAnsi="Times New Roman"/>
              <w:sz w:val="24"/>
              <w:szCs w:val="24"/>
            </w:rPr>
            <w:t xml:space="preserve"> </w:t>
          </w:r>
          <w:r w:rsidR="00DE0213">
            <w:rPr>
              <w:rFonts w:ascii="Times New Roman" w:hAnsi="Times New Roman"/>
              <w:sz w:val="24"/>
              <w:szCs w:val="24"/>
            </w:rPr>
            <w:t xml:space="preserve">de </w:t>
          </w:r>
          <w:r w:rsidRPr="00DE1D8D">
            <w:rPr>
              <w:rFonts w:ascii="Times New Roman" w:hAnsi="Times New Roman"/>
              <w:sz w:val="24"/>
              <w:szCs w:val="24"/>
            </w:rPr>
            <w:t>los principales riesgos fiscales que pueden tener un impacto en el comportamiento de las principales variables económicas y de las finanzas públicas en particular, así como en la sostenibilidad de la deuda pública y por ende en la estabilidad macroeconómica del país en el corto y mediano plazo.</w:t>
          </w:r>
        </w:p>
        <w:p w14:paraId="17398707" w14:textId="77777777" w:rsidR="00DE1D8D" w:rsidRPr="00DE1D8D" w:rsidRDefault="00DE1D8D" w:rsidP="00814706">
          <w:pPr>
            <w:pStyle w:val="Sinespaciado"/>
            <w:ind w:left="567"/>
            <w:jc w:val="both"/>
            <w:rPr>
              <w:rFonts w:ascii="Times New Roman" w:hAnsi="Times New Roman"/>
              <w:sz w:val="24"/>
              <w:szCs w:val="24"/>
            </w:rPr>
          </w:pPr>
        </w:p>
        <w:p w14:paraId="14FDD549" w14:textId="77777777" w:rsidR="00DE1D8D" w:rsidRPr="00DE1D8D" w:rsidRDefault="00DE1D8D" w:rsidP="00814706">
          <w:pPr>
            <w:pStyle w:val="Sinespaciado"/>
            <w:ind w:left="567"/>
            <w:jc w:val="both"/>
            <w:rPr>
              <w:rFonts w:ascii="Times New Roman" w:hAnsi="Times New Roman"/>
              <w:sz w:val="24"/>
              <w:szCs w:val="24"/>
            </w:rPr>
          </w:pPr>
          <w:r w:rsidRPr="00DE1D8D">
            <w:rPr>
              <w:rFonts w:ascii="Times New Roman" w:hAnsi="Times New Roman"/>
              <w:sz w:val="24"/>
              <w:szCs w:val="24"/>
            </w:rPr>
            <w:t xml:space="preserve">El análisis de la gestión de riesgos fiscales es muy importante para un gobierno para determinar la vulnerabilidad que existe ante la ocurrencia de determinados eventos que podrían incidir en su desarrollo, los cuales normalmente son de naturaleza exógena como las incidencias en el comercio internacional, la volatilidad de los mercados financieros, la fragilidad de las economías ante desastres climatológicos, así como la posible materialización  de algunos pasivos contingentes; estos son la muestra de una gama de sucesos que pueden incidir en la posición fiscal del gobierno en un momento determinado.  </w:t>
          </w:r>
        </w:p>
        <w:p w14:paraId="68EC1EC5" w14:textId="77777777" w:rsidR="00DE1D8D" w:rsidRPr="00DE1D8D" w:rsidRDefault="00DE1D8D" w:rsidP="00814706">
          <w:pPr>
            <w:pStyle w:val="Sinespaciado"/>
            <w:ind w:left="567"/>
            <w:jc w:val="both"/>
            <w:rPr>
              <w:rFonts w:ascii="Times New Roman" w:hAnsi="Times New Roman"/>
              <w:sz w:val="24"/>
              <w:szCs w:val="24"/>
            </w:rPr>
          </w:pPr>
        </w:p>
        <w:p w14:paraId="45654FD2" w14:textId="77777777" w:rsidR="00DE1D8D" w:rsidRPr="00DE1D8D" w:rsidRDefault="00DE1D8D" w:rsidP="00814706">
          <w:pPr>
            <w:pStyle w:val="Sinespaciado"/>
            <w:ind w:left="567"/>
            <w:jc w:val="both"/>
            <w:rPr>
              <w:rFonts w:ascii="Times New Roman" w:hAnsi="Times New Roman"/>
              <w:sz w:val="24"/>
              <w:szCs w:val="24"/>
            </w:rPr>
          </w:pPr>
          <w:r w:rsidRPr="00DE1D8D">
            <w:rPr>
              <w:rFonts w:ascii="Times New Roman" w:hAnsi="Times New Roman"/>
              <w:sz w:val="24"/>
              <w:szCs w:val="24"/>
            </w:rPr>
            <w:t xml:space="preserve">En este sentido, el Ministerio de Finanzas Públicas ha avanzado durante los últimos años en la inclusión de este tipo de análisis ya que se considera importante el adecuado manejo de la gestión de riesgos, desde la identificación de los riesgos fiscales, incluyendo el análisis y cuantificación de sus posibles impactos, así como la inclusión de medidas de política orientadas a la creación de instrumentos que permitan facilitar la toma de decisiones y administrar el riesgo de manera inter temporal identificando las medidas de mitigación, tales como controles directos o los límites de exposición, elaboración de estrategias para la gestión de riesgos financieros, regulaciones, y otras medidas y mecanismos para transferir o compartir el riesgo. </w:t>
          </w:r>
        </w:p>
        <w:p w14:paraId="5AB4067A" w14:textId="77777777" w:rsidR="00DE1D8D" w:rsidRPr="00DE1D8D" w:rsidRDefault="00DE1D8D" w:rsidP="00814706">
          <w:pPr>
            <w:pStyle w:val="Sinespaciado"/>
            <w:ind w:left="567"/>
            <w:jc w:val="both"/>
            <w:rPr>
              <w:rFonts w:ascii="Times New Roman" w:hAnsi="Times New Roman"/>
              <w:sz w:val="24"/>
              <w:szCs w:val="24"/>
            </w:rPr>
          </w:pPr>
        </w:p>
        <w:p w14:paraId="47695255" w14:textId="6E6FA47D" w:rsidR="00DE1D8D" w:rsidRPr="00DE1D8D" w:rsidRDefault="00DE0213" w:rsidP="00814706">
          <w:pPr>
            <w:pStyle w:val="Sinespaciado"/>
            <w:ind w:left="567"/>
            <w:jc w:val="both"/>
            <w:rPr>
              <w:rFonts w:ascii="Times New Roman" w:hAnsi="Times New Roman"/>
              <w:sz w:val="24"/>
              <w:szCs w:val="24"/>
              <w:shd w:val="clear" w:color="auto" w:fill="FFFFFF"/>
            </w:rPr>
          </w:pPr>
          <w:r>
            <w:rPr>
              <w:rFonts w:ascii="Times New Roman" w:hAnsi="Times New Roman"/>
              <w:sz w:val="24"/>
              <w:szCs w:val="24"/>
            </w:rPr>
            <w:t>Este informe</w:t>
          </w:r>
          <w:r w:rsidR="00DE1D8D" w:rsidRPr="00DE1D8D">
            <w:rPr>
              <w:rFonts w:ascii="Times New Roman" w:hAnsi="Times New Roman"/>
              <w:sz w:val="24"/>
              <w:szCs w:val="24"/>
            </w:rPr>
            <w:t xml:space="preserve"> incluye </w:t>
          </w:r>
          <w:r>
            <w:rPr>
              <w:rFonts w:ascii="Times New Roman" w:hAnsi="Times New Roman"/>
              <w:sz w:val="24"/>
              <w:szCs w:val="24"/>
            </w:rPr>
            <w:t>nueve</w:t>
          </w:r>
          <w:r w:rsidR="00DE1D8D" w:rsidRPr="00DE1D8D">
            <w:rPr>
              <w:rFonts w:ascii="Times New Roman" w:hAnsi="Times New Roman"/>
              <w:sz w:val="24"/>
              <w:szCs w:val="24"/>
            </w:rPr>
            <w:t xml:space="preserve"> secciones, el análisis de riesgos macroeconómicos en el sector externo y en la economía doméstica; riesgos fiscales de la deuda pública</w:t>
          </w:r>
          <w:r w:rsidR="00267F06">
            <w:rPr>
              <w:rFonts w:ascii="Times New Roman" w:hAnsi="Times New Roman"/>
              <w:sz w:val="24"/>
              <w:szCs w:val="24"/>
            </w:rPr>
            <w:t xml:space="preserve">, </w:t>
          </w:r>
          <w:r w:rsidR="00DE1D8D" w:rsidRPr="00DE1D8D">
            <w:rPr>
              <w:rFonts w:ascii="Times New Roman" w:hAnsi="Times New Roman"/>
              <w:sz w:val="24"/>
              <w:szCs w:val="24"/>
            </w:rPr>
            <w:t xml:space="preserve">un análisis de la sostenibilidad de la deuda; así como los riesgos fiscales específicos provocados por riesgos asociados al surgimiento de las variantes del COVID-19, riesgos fiscales asociados a las Municipalidades y empresas públicas, pasivos contingentes por demandas judiciales contra el Estado y los riesgos de desastres provocados por fenómenos naturales. </w:t>
          </w:r>
        </w:p>
        <w:p w14:paraId="2E8862D1" w14:textId="77777777" w:rsidR="00C96FDA" w:rsidRPr="00DE1D8D" w:rsidRDefault="00C96FDA" w:rsidP="00E648CF">
          <w:pPr>
            <w:pStyle w:val="Sinespaciado"/>
            <w:ind w:left="708"/>
            <w:jc w:val="both"/>
            <w:rPr>
              <w:rFonts w:ascii="Times New Roman" w:hAnsi="Times New Roman"/>
              <w:color w:val="FF0000"/>
              <w:sz w:val="24"/>
              <w:szCs w:val="24"/>
              <w:shd w:val="clear" w:color="auto" w:fill="FFFFFF"/>
            </w:rPr>
          </w:pPr>
        </w:p>
        <w:p w14:paraId="4143C0E5" w14:textId="77777777" w:rsidR="008A5924" w:rsidRPr="00DE1D8D" w:rsidRDefault="00C96FDA" w:rsidP="00F82AA6">
          <w:pPr>
            <w:ind w:left="708"/>
            <w:rPr>
              <w:b/>
              <w:color w:val="FF0000"/>
              <w:lang w:val="es-ES"/>
            </w:rPr>
          </w:pPr>
          <w:r w:rsidRPr="00DE1D8D">
            <w:rPr>
              <w:color w:val="FF0000"/>
              <w:shd w:val="clear" w:color="auto" w:fill="FFFFFF"/>
              <w:lang w:val="es-ES"/>
            </w:rPr>
            <w:br w:type="page"/>
          </w:r>
        </w:p>
      </w:sdtContent>
    </w:sdt>
    <w:sdt>
      <w:sdtPr>
        <w:rPr>
          <w:rFonts w:asciiTheme="minorHAnsi" w:eastAsiaTheme="minorEastAsia" w:hAnsiTheme="minorHAnsi" w:cs="Times New Roman"/>
          <w:b w:val="0"/>
          <w:bCs w:val="0"/>
          <w:color w:val="FF0000"/>
          <w:sz w:val="24"/>
          <w:szCs w:val="24"/>
          <w:lang w:val="es-ES" w:eastAsia="es-ES"/>
        </w:rPr>
        <w:id w:val="1250004048"/>
        <w:docPartObj>
          <w:docPartGallery w:val="Table of Contents"/>
          <w:docPartUnique/>
        </w:docPartObj>
      </w:sdtPr>
      <w:sdtEndPr>
        <w:rPr>
          <w:rFonts w:ascii="Times New Roman" w:eastAsia="Times New Roman" w:hAnsi="Times New Roman"/>
          <w:color w:val="auto"/>
          <w:sz w:val="22"/>
          <w:szCs w:val="20"/>
        </w:rPr>
      </w:sdtEndPr>
      <w:sdtContent>
        <w:p w14:paraId="5F4BEA48" w14:textId="77777777" w:rsidR="008A5924" w:rsidRPr="00DE1D8D" w:rsidRDefault="008A5924" w:rsidP="007B1299">
          <w:pPr>
            <w:pStyle w:val="TtulodeTDC"/>
            <w:spacing w:before="0" w:line="240" w:lineRule="auto"/>
            <w:ind w:left="567"/>
            <w:rPr>
              <w:rFonts w:ascii="Times New Roman" w:hAnsi="Times New Roman" w:cs="Times New Roman"/>
              <w:color w:val="1F3864" w:themeColor="accent1" w:themeShade="80"/>
              <w:lang w:val="es-ES"/>
            </w:rPr>
          </w:pPr>
          <w:r w:rsidRPr="00DE1D8D">
            <w:rPr>
              <w:rFonts w:ascii="Times New Roman" w:hAnsi="Times New Roman" w:cs="Times New Roman"/>
              <w:color w:val="1F3864" w:themeColor="accent1" w:themeShade="80"/>
              <w:lang w:val="es-ES"/>
            </w:rPr>
            <w:t>Contenido</w:t>
          </w:r>
        </w:p>
        <w:p w14:paraId="7E67A4DE" w14:textId="77777777" w:rsidR="00DE1D8D" w:rsidRPr="00DE1D8D" w:rsidRDefault="00DE1D8D" w:rsidP="007B1299">
          <w:pPr>
            <w:ind w:left="567"/>
            <w:rPr>
              <w:lang w:val="es-ES" w:eastAsia="es-GT"/>
            </w:rPr>
          </w:pPr>
        </w:p>
        <w:p w14:paraId="19C52233" w14:textId="652DE80F" w:rsidR="005C20BF" w:rsidRPr="005C20BF" w:rsidRDefault="008A5924">
          <w:pPr>
            <w:pStyle w:val="TDC1"/>
            <w:rPr>
              <w:rFonts w:asciiTheme="minorHAnsi" w:eastAsiaTheme="minorEastAsia" w:hAnsiTheme="minorHAnsi" w:cstheme="minorBidi"/>
              <w:bCs w:val="0"/>
              <w:lang w:val="es-GT" w:eastAsia="es-GT"/>
            </w:rPr>
          </w:pPr>
          <w:r w:rsidRPr="008E29F1">
            <w:rPr>
              <w:rStyle w:val="Hipervnculo"/>
              <w:color w:val="auto"/>
              <w:sz w:val="22"/>
            </w:rPr>
            <w:fldChar w:fldCharType="begin"/>
          </w:r>
          <w:r w:rsidRPr="008E29F1">
            <w:rPr>
              <w:rStyle w:val="Hipervnculo"/>
              <w:color w:val="auto"/>
              <w:sz w:val="22"/>
            </w:rPr>
            <w:instrText xml:space="preserve"> TOC \o "1-5" \h \z \u </w:instrText>
          </w:r>
          <w:r w:rsidRPr="008E29F1">
            <w:rPr>
              <w:rStyle w:val="Hipervnculo"/>
              <w:color w:val="auto"/>
              <w:sz w:val="22"/>
            </w:rPr>
            <w:fldChar w:fldCharType="separate"/>
          </w:r>
          <w:hyperlink w:anchor="_Toc83302152" w:history="1">
            <w:r w:rsidR="005C20BF" w:rsidRPr="005C20BF">
              <w:rPr>
                <w:rStyle w:val="Hipervnculo"/>
              </w:rPr>
              <w:t>1.</w:t>
            </w:r>
            <w:r w:rsidR="005C20BF">
              <w:rPr>
                <w:rFonts w:asciiTheme="minorHAnsi" w:eastAsiaTheme="minorEastAsia" w:hAnsiTheme="minorHAnsi" w:cstheme="minorBidi"/>
                <w:bCs w:val="0"/>
                <w:lang w:val="es-GT" w:eastAsia="es-GT"/>
              </w:rPr>
              <w:t xml:space="preserve">  </w:t>
            </w:r>
            <w:r w:rsidR="005C20BF" w:rsidRPr="005C20BF">
              <w:rPr>
                <w:rStyle w:val="Hipervnculo"/>
              </w:rPr>
              <w:t>Riesgos Macroeconómicos</w:t>
            </w:r>
            <w:r w:rsidR="005C20BF" w:rsidRPr="005C20BF">
              <w:rPr>
                <w:webHidden/>
              </w:rPr>
              <w:tab/>
            </w:r>
            <w:r w:rsidR="005C20BF" w:rsidRPr="005C20BF">
              <w:rPr>
                <w:webHidden/>
              </w:rPr>
              <w:fldChar w:fldCharType="begin"/>
            </w:r>
            <w:r w:rsidR="005C20BF" w:rsidRPr="005C20BF">
              <w:rPr>
                <w:webHidden/>
              </w:rPr>
              <w:instrText xml:space="preserve"> PAGEREF _Toc83302152 \h </w:instrText>
            </w:r>
            <w:r w:rsidR="005C20BF" w:rsidRPr="005C20BF">
              <w:rPr>
                <w:webHidden/>
              </w:rPr>
            </w:r>
            <w:r w:rsidR="005C20BF" w:rsidRPr="005C20BF">
              <w:rPr>
                <w:webHidden/>
              </w:rPr>
              <w:fldChar w:fldCharType="separate"/>
            </w:r>
            <w:r w:rsidR="0004593C">
              <w:rPr>
                <w:webHidden/>
              </w:rPr>
              <w:t>4</w:t>
            </w:r>
            <w:r w:rsidR="005C20BF" w:rsidRPr="005C20BF">
              <w:rPr>
                <w:webHidden/>
              </w:rPr>
              <w:fldChar w:fldCharType="end"/>
            </w:r>
          </w:hyperlink>
        </w:p>
        <w:p w14:paraId="3ABDAC89" w14:textId="4244A6CC"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53" w:history="1">
            <w:r w:rsidRPr="002D0DE8">
              <w:rPr>
                <w:rStyle w:val="Hipervnculo"/>
                <w:u w:val="none"/>
              </w:rPr>
              <w:t>1.1.</w:t>
            </w:r>
            <w:r w:rsidRPr="002D0DE8">
              <w:rPr>
                <w:rFonts w:asciiTheme="minorHAnsi" w:eastAsiaTheme="minorEastAsia" w:hAnsiTheme="minorHAnsi" w:cstheme="minorBidi"/>
                <w:bCs w:val="0"/>
                <w:lang w:val="es-GT" w:eastAsia="es-GT"/>
              </w:rPr>
              <w:t xml:space="preserve">  </w:t>
            </w:r>
            <w:r w:rsidRPr="002D0DE8">
              <w:rPr>
                <w:rStyle w:val="Hipervnculo"/>
                <w:u w:val="none"/>
              </w:rPr>
              <w:t>Riesgos en el sector externo.  Desviaciones en los pronósticos en la economía mundial</w:t>
            </w:r>
            <w:r w:rsidRPr="002D0DE8">
              <w:rPr>
                <w:webHidden/>
              </w:rPr>
              <w:tab/>
            </w:r>
            <w:r w:rsidRPr="002D0DE8">
              <w:rPr>
                <w:webHidden/>
              </w:rPr>
              <w:fldChar w:fldCharType="begin"/>
            </w:r>
            <w:r w:rsidRPr="002D0DE8">
              <w:rPr>
                <w:webHidden/>
              </w:rPr>
              <w:instrText xml:space="preserve"> PAGEREF _Toc83302153 \h </w:instrText>
            </w:r>
            <w:r w:rsidRPr="002D0DE8">
              <w:rPr>
                <w:webHidden/>
              </w:rPr>
            </w:r>
            <w:r w:rsidRPr="002D0DE8">
              <w:rPr>
                <w:webHidden/>
              </w:rPr>
              <w:fldChar w:fldCharType="separate"/>
            </w:r>
            <w:r w:rsidR="0004593C">
              <w:rPr>
                <w:webHidden/>
              </w:rPr>
              <w:t>4</w:t>
            </w:r>
            <w:r w:rsidRPr="002D0DE8">
              <w:rPr>
                <w:webHidden/>
              </w:rPr>
              <w:fldChar w:fldCharType="end"/>
            </w:r>
          </w:hyperlink>
        </w:p>
        <w:p w14:paraId="1990CB7B" w14:textId="7ECE741B"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54" w:history="1">
            <w:r w:rsidRPr="002D0DE8">
              <w:rPr>
                <w:rStyle w:val="Hipervnculo"/>
                <w:u w:val="none"/>
              </w:rPr>
              <w:t>1.2.</w:t>
            </w:r>
            <w:r w:rsidRPr="002D0DE8">
              <w:rPr>
                <w:rFonts w:asciiTheme="minorHAnsi" w:eastAsiaTheme="minorEastAsia" w:hAnsiTheme="minorHAnsi" w:cstheme="minorBidi"/>
                <w:bCs w:val="0"/>
                <w:lang w:val="es-GT" w:eastAsia="es-GT"/>
              </w:rPr>
              <w:tab/>
              <w:t xml:space="preserve"> </w:t>
            </w:r>
            <w:r w:rsidRPr="002D0DE8">
              <w:rPr>
                <w:rStyle w:val="Hipervnculo"/>
                <w:u w:val="none"/>
              </w:rPr>
              <w:t>Riesgos asociados a las proyecciones de crecimiento económico 2021-2022</w:t>
            </w:r>
            <w:r w:rsidRPr="002D0DE8">
              <w:rPr>
                <w:webHidden/>
              </w:rPr>
              <w:tab/>
            </w:r>
            <w:r w:rsidRPr="002D0DE8">
              <w:rPr>
                <w:webHidden/>
              </w:rPr>
              <w:fldChar w:fldCharType="begin"/>
            </w:r>
            <w:r w:rsidRPr="002D0DE8">
              <w:rPr>
                <w:webHidden/>
              </w:rPr>
              <w:instrText xml:space="preserve"> PAGEREF _Toc83302154 \h </w:instrText>
            </w:r>
            <w:r w:rsidRPr="002D0DE8">
              <w:rPr>
                <w:webHidden/>
              </w:rPr>
            </w:r>
            <w:r w:rsidRPr="002D0DE8">
              <w:rPr>
                <w:webHidden/>
              </w:rPr>
              <w:fldChar w:fldCharType="separate"/>
            </w:r>
            <w:r w:rsidR="0004593C">
              <w:rPr>
                <w:webHidden/>
              </w:rPr>
              <w:t>5</w:t>
            </w:r>
            <w:r w:rsidRPr="002D0DE8">
              <w:rPr>
                <w:webHidden/>
              </w:rPr>
              <w:fldChar w:fldCharType="end"/>
            </w:r>
          </w:hyperlink>
        </w:p>
        <w:p w14:paraId="62DADAA4" w14:textId="7FF4928F"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55" w:history="1">
            <w:r w:rsidRPr="002D0DE8">
              <w:rPr>
                <w:rStyle w:val="Hipervnculo"/>
                <w:u w:val="none"/>
              </w:rPr>
              <w:t>1.3.</w:t>
            </w:r>
            <w:r w:rsidRPr="002D0DE8">
              <w:rPr>
                <w:rFonts w:asciiTheme="minorHAnsi" w:eastAsiaTheme="minorEastAsia" w:hAnsiTheme="minorHAnsi" w:cstheme="minorBidi"/>
                <w:bCs w:val="0"/>
                <w:lang w:val="es-GT" w:eastAsia="es-GT"/>
              </w:rPr>
              <w:tab/>
              <w:t xml:space="preserve"> </w:t>
            </w:r>
            <w:r w:rsidRPr="002D0DE8">
              <w:rPr>
                <w:rStyle w:val="Hipervnculo"/>
                <w:u w:val="none"/>
              </w:rPr>
              <w:t>Volatilidad en los precios de las materias primas</w:t>
            </w:r>
            <w:r w:rsidRPr="002D0DE8">
              <w:rPr>
                <w:webHidden/>
              </w:rPr>
              <w:tab/>
            </w:r>
            <w:r w:rsidRPr="002D0DE8">
              <w:rPr>
                <w:webHidden/>
              </w:rPr>
              <w:fldChar w:fldCharType="begin"/>
            </w:r>
            <w:r w:rsidRPr="002D0DE8">
              <w:rPr>
                <w:webHidden/>
              </w:rPr>
              <w:instrText xml:space="preserve"> PAGEREF _Toc83302155 \h </w:instrText>
            </w:r>
            <w:r w:rsidRPr="002D0DE8">
              <w:rPr>
                <w:webHidden/>
              </w:rPr>
            </w:r>
            <w:r w:rsidRPr="002D0DE8">
              <w:rPr>
                <w:webHidden/>
              </w:rPr>
              <w:fldChar w:fldCharType="separate"/>
            </w:r>
            <w:r w:rsidR="0004593C">
              <w:rPr>
                <w:webHidden/>
              </w:rPr>
              <w:t>7</w:t>
            </w:r>
            <w:r w:rsidRPr="002D0DE8">
              <w:rPr>
                <w:webHidden/>
              </w:rPr>
              <w:fldChar w:fldCharType="end"/>
            </w:r>
          </w:hyperlink>
        </w:p>
        <w:p w14:paraId="01029ED2" w14:textId="08A7D742"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56" w:history="1">
            <w:r w:rsidRPr="002D0DE8">
              <w:rPr>
                <w:rStyle w:val="Hipervnculo"/>
                <w:u w:val="none"/>
              </w:rPr>
              <w:t>1.4.</w:t>
            </w:r>
            <w:r w:rsidRPr="002D0DE8">
              <w:rPr>
                <w:rFonts w:asciiTheme="minorHAnsi" w:eastAsiaTheme="minorEastAsia" w:hAnsiTheme="minorHAnsi" w:cstheme="minorBidi"/>
                <w:bCs w:val="0"/>
                <w:lang w:val="es-GT" w:eastAsia="es-GT"/>
              </w:rPr>
              <w:tab/>
              <w:t xml:space="preserve"> </w:t>
            </w:r>
            <w:r w:rsidRPr="002D0DE8">
              <w:rPr>
                <w:rStyle w:val="Hipervnculo"/>
                <w:u w:val="none"/>
              </w:rPr>
              <w:t>Alta volatilidad en los mercados financieros</w:t>
            </w:r>
            <w:r w:rsidRPr="002D0DE8">
              <w:rPr>
                <w:webHidden/>
              </w:rPr>
              <w:tab/>
            </w:r>
            <w:r w:rsidRPr="002D0DE8">
              <w:rPr>
                <w:webHidden/>
              </w:rPr>
              <w:fldChar w:fldCharType="begin"/>
            </w:r>
            <w:r w:rsidRPr="002D0DE8">
              <w:rPr>
                <w:webHidden/>
              </w:rPr>
              <w:instrText xml:space="preserve"> PAGEREF _Toc83302156 \h </w:instrText>
            </w:r>
            <w:r w:rsidRPr="002D0DE8">
              <w:rPr>
                <w:webHidden/>
              </w:rPr>
            </w:r>
            <w:r w:rsidRPr="002D0DE8">
              <w:rPr>
                <w:webHidden/>
              </w:rPr>
              <w:fldChar w:fldCharType="separate"/>
            </w:r>
            <w:r w:rsidR="0004593C">
              <w:rPr>
                <w:webHidden/>
              </w:rPr>
              <w:t>8</w:t>
            </w:r>
            <w:r w:rsidRPr="002D0DE8">
              <w:rPr>
                <w:webHidden/>
              </w:rPr>
              <w:fldChar w:fldCharType="end"/>
            </w:r>
          </w:hyperlink>
        </w:p>
        <w:p w14:paraId="5C939E93" w14:textId="6DC0E0F8" w:rsidR="005C20BF" w:rsidRPr="002D0DE8" w:rsidRDefault="00034E64">
          <w:pPr>
            <w:pStyle w:val="TDC1"/>
            <w:rPr>
              <w:rFonts w:asciiTheme="minorHAnsi" w:eastAsiaTheme="minorEastAsia" w:hAnsiTheme="minorHAnsi" w:cstheme="minorBidi"/>
              <w:bCs w:val="0"/>
              <w:lang w:val="es-GT" w:eastAsia="es-GT"/>
            </w:rPr>
          </w:pPr>
          <w:hyperlink w:anchor="_Toc83302157" w:history="1">
            <w:r w:rsidR="005C20BF" w:rsidRPr="002D0DE8">
              <w:rPr>
                <w:rStyle w:val="Hipervnculo"/>
                <w:u w:val="none"/>
              </w:rPr>
              <w:t>2.</w:t>
            </w:r>
            <w:r w:rsidR="005C20BF" w:rsidRPr="002D0DE8">
              <w:rPr>
                <w:rFonts w:asciiTheme="minorHAnsi" w:eastAsiaTheme="minorEastAsia" w:hAnsiTheme="minorHAnsi" w:cstheme="minorBidi"/>
                <w:bCs w:val="0"/>
                <w:lang w:val="es-GT" w:eastAsia="es-GT"/>
              </w:rPr>
              <w:t xml:space="preserve">  </w:t>
            </w:r>
            <w:r w:rsidR="005C20BF" w:rsidRPr="002D0DE8">
              <w:rPr>
                <w:rStyle w:val="Hipervnculo"/>
                <w:u w:val="none"/>
              </w:rPr>
              <w:t>Riesgos en la economía doméstica</w:t>
            </w:r>
            <w:r w:rsidR="005C20BF" w:rsidRPr="002D0DE8">
              <w:rPr>
                <w:webHidden/>
              </w:rPr>
              <w:tab/>
            </w:r>
            <w:r w:rsidR="005C20BF" w:rsidRPr="002D0DE8">
              <w:rPr>
                <w:webHidden/>
              </w:rPr>
              <w:fldChar w:fldCharType="begin"/>
            </w:r>
            <w:r w:rsidR="005C20BF" w:rsidRPr="002D0DE8">
              <w:rPr>
                <w:webHidden/>
              </w:rPr>
              <w:instrText xml:space="preserve"> PAGEREF _Toc83302157 \h </w:instrText>
            </w:r>
            <w:r w:rsidR="005C20BF" w:rsidRPr="002D0DE8">
              <w:rPr>
                <w:webHidden/>
              </w:rPr>
            </w:r>
            <w:r w:rsidR="005C20BF" w:rsidRPr="002D0DE8">
              <w:rPr>
                <w:webHidden/>
              </w:rPr>
              <w:fldChar w:fldCharType="separate"/>
            </w:r>
            <w:r w:rsidR="0004593C">
              <w:rPr>
                <w:webHidden/>
              </w:rPr>
              <w:t>9</w:t>
            </w:r>
            <w:r w:rsidR="005C20BF" w:rsidRPr="002D0DE8">
              <w:rPr>
                <w:webHidden/>
              </w:rPr>
              <w:fldChar w:fldCharType="end"/>
            </w:r>
          </w:hyperlink>
        </w:p>
        <w:p w14:paraId="263767C3" w14:textId="208E3516"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58" w:history="1">
            <w:r w:rsidRPr="002D0DE8">
              <w:rPr>
                <w:rStyle w:val="Hipervnculo"/>
                <w:u w:val="none"/>
              </w:rPr>
              <w:t>2.1.</w:t>
            </w:r>
            <w:r w:rsidRPr="002D0DE8">
              <w:rPr>
                <w:rFonts w:asciiTheme="minorHAnsi" w:eastAsiaTheme="minorEastAsia" w:hAnsiTheme="minorHAnsi" w:cstheme="minorBidi"/>
                <w:bCs w:val="0"/>
                <w:lang w:val="es-GT" w:eastAsia="es-GT"/>
              </w:rPr>
              <w:tab/>
              <w:t xml:space="preserve"> </w:t>
            </w:r>
            <w:r w:rsidRPr="002D0DE8">
              <w:rPr>
                <w:rStyle w:val="Hipervnculo"/>
                <w:u w:val="none"/>
              </w:rPr>
              <w:t>Desviaciones de los pronósticos macroeconómicos</w:t>
            </w:r>
            <w:r w:rsidRPr="002D0DE8">
              <w:rPr>
                <w:webHidden/>
              </w:rPr>
              <w:tab/>
            </w:r>
            <w:r w:rsidRPr="002D0DE8">
              <w:rPr>
                <w:webHidden/>
              </w:rPr>
              <w:fldChar w:fldCharType="begin"/>
            </w:r>
            <w:r w:rsidRPr="002D0DE8">
              <w:rPr>
                <w:webHidden/>
              </w:rPr>
              <w:instrText xml:space="preserve"> PAGEREF _Toc83302158 \h </w:instrText>
            </w:r>
            <w:r w:rsidRPr="002D0DE8">
              <w:rPr>
                <w:webHidden/>
              </w:rPr>
            </w:r>
            <w:r w:rsidRPr="002D0DE8">
              <w:rPr>
                <w:webHidden/>
              </w:rPr>
              <w:fldChar w:fldCharType="separate"/>
            </w:r>
            <w:r w:rsidR="0004593C">
              <w:rPr>
                <w:webHidden/>
              </w:rPr>
              <w:t>9</w:t>
            </w:r>
            <w:r w:rsidRPr="002D0DE8">
              <w:rPr>
                <w:webHidden/>
              </w:rPr>
              <w:fldChar w:fldCharType="end"/>
            </w:r>
          </w:hyperlink>
        </w:p>
        <w:p w14:paraId="36947A88" w14:textId="687FA288"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59" w:history="1">
            <w:r w:rsidRPr="002D0DE8">
              <w:rPr>
                <w:rStyle w:val="Hipervnculo"/>
                <w:u w:val="none"/>
              </w:rPr>
              <w:t>2.2.</w:t>
            </w:r>
            <w:r w:rsidRPr="002D0DE8">
              <w:rPr>
                <w:rFonts w:asciiTheme="minorHAnsi" w:eastAsiaTheme="minorEastAsia" w:hAnsiTheme="minorHAnsi" w:cstheme="minorBidi"/>
                <w:bCs w:val="0"/>
                <w:lang w:val="es-GT" w:eastAsia="es-GT"/>
              </w:rPr>
              <w:tab/>
              <w:t xml:space="preserve"> </w:t>
            </w:r>
            <w:r w:rsidRPr="002D0DE8">
              <w:rPr>
                <w:rStyle w:val="Hipervnculo"/>
                <w:u w:val="none"/>
              </w:rPr>
              <w:t>Desviaciones de los pronósticos fiscales</w:t>
            </w:r>
            <w:r w:rsidRPr="002D0DE8">
              <w:rPr>
                <w:webHidden/>
              </w:rPr>
              <w:tab/>
            </w:r>
            <w:r w:rsidRPr="002D0DE8">
              <w:rPr>
                <w:webHidden/>
              </w:rPr>
              <w:fldChar w:fldCharType="begin"/>
            </w:r>
            <w:r w:rsidRPr="002D0DE8">
              <w:rPr>
                <w:webHidden/>
              </w:rPr>
              <w:instrText xml:space="preserve"> PAGEREF _Toc83302159 \h </w:instrText>
            </w:r>
            <w:r w:rsidRPr="002D0DE8">
              <w:rPr>
                <w:webHidden/>
              </w:rPr>
            </w:r>
            <w:r w:rsidRPr="002D0DE8">
              <w:rPr>
                <w:webHidden/>
              </w:rPr>
              <w:fldChar w:fldCharType="separate"/>
            </w:r>
            <w:r w:rsidR="0004593C">
              <w:rPr>
                <w:webHidden/>
              </w:rPr>
              <w:t>16</w:t>
            </w:r>
            <w:r w:rsidRPr="002D0DE8">
              <w:rPr>
                <w:webHidden/>
              </w:rPr>
              <w:fldChar w:fldCharType="end"/>
            </w:r>
          </w:hyperlink>
        </w:p>
        <w:p w14:paraId="792D9350" w14:textId="0A253EC7" w:rsidR="005C20BF" w:rsidRPr="002D0DE8" w:rsidRDefault="00034E64">
          <w:pPr>
            <w:pStyle w:val="TDC1"/>
            <w:rPr>
              <w:rFonts w:asciiTheme="minorHAnsi" w:eastAsiaTheme="minorEastAsia" w:hAnsiTheme="minorHAnsi" w:cstheme="minorBidi"/>
              <w:bCs w:val="0"/>
              <w:lang w:val="es-GT" w:eastAsia="es-GT"/>
            </w:rPr>
          </w:pPr>
          <w:hyperlink w:anchor="_Toc83302160" w:history="1">
            <w:r w:rsidR="005C20BF" w:rsidRPr="002D0DE8">
              <w:rPr>
                <w:rStyle w:val="Hipervnculo"/>
                <w:u w:val="none"/>
              </w:rPr>
              <w:t>3.</w:t>
            </w:r>
            <w:r w:rsidR="005C20BF" w:rsidRPr="002D0DE8">
              <w:rPr>
                <w:rFonts w:asciiTheme="minorHAnsi" w:eastAsiaTheme="minorEastAsia" w:hAnsiTheme="minorHAnsi" w:cstheme="minorBidi"/>
                <w:bCs w:val="0"/>
                <w:lang w:val="es-GT" w:eastAsia="es-GT"/>
              </w:rPr>
              <w:t xml:space="preserve">  </w:t>
            </w:r>
            <w:r w:rsidR="005C20BF" w:rsidRPr="002D0DE8">
              <w:rPr>
                <w:rStyle w:val="Hipervnculo"/>
                <w:u w:val="none"/>
              </w:rPr>
              <w:t>Riesgos Fiscales de la Deuda Pública</w:t>
            </w:r>
            <w:r w:rsidR="005C20BF" w:rsidRPr="002D0DE8">
              <w:rPr>
                <w:webHidden/>
              </w:rPr>
              <w:tab/>
            </w:r>
            <w:r w:rsidR="005C20BF" w:rsidRPr="002D0DE8">
              <w:rPr>
                <w:webHidden/>
              </w:rPr>
              <w:fldChar w:fldCharType="begin"/>
            </w:r>
            <w:r w:rsidR="005C20BF" w:rsidRPr="002D0DE8">
              <w:rPr>
                <w:webHidden/>
              </w:rPr>
              <w:instrText xml:space="preserve"> PAGEREF _Toc83302160 \h </w:instrText>
            </w:r>
            <w:r w:rsidR="005C20BF" w:rsidRPr="002D0DE8">
              <w:rPr>
                <w:webHidden/>
              </w:rPr>
            </w:r>
            <w:r w:rsidR="005C20BF" w:rsidRPr="002D0DE8">
              <w:rPr>
                <w:webHidden/>
              </w:rPr>
              <w:fldChar w:fldCharType="separate"/>
            </w:r>
            <w:r w:rsidR="0004593C">
              <w:rPr>
                <w:webHidden/>
              </w:rPr>
              <w:t>20</w:t>
            </w:r>
            <w:r w:rsidR="005C20BF" w:rsidRPr="002D0DE8">
              <w:rPr>
                <w:webHidden/>
              </w:rPr>
              <w:fldChar w:fldCharType="end"/>
            </w:r>
          </w:hyperlink>
        </w:p>
        <w:p w14:paraId="64795115" w14:textId="01727556"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61" w:history="1">
            <w:r w:rsidRPr="002D0DE8">
              <w:rPr>
                <w:rStyle w:val="Hipervnculo"/>
                <w:u w:val="none"/>
              </w:rPr>
              <w:t>3.1.</w:t>
            </w:r>
            <w:r w:rsidRPr="002D0DE8">
              <w:rPr>
                <w:rFonts w:asciiTheme="minorHAnsi" w:eastAsiaTheme="minorEastAsia" w:hAnsiTheme="minorHAnsi" w:cstheme="minorBidi"/>
                <w:bCs w:val="0"/>
                <w:lang w:val="es-GT" w:eastAsia="es-GT"/>
              </w:rPr>
              <w:tab/>
              <w:t xml:space="preserve"> </w:t>
            </w:r>
            <w:r w:rsidRPr="002D0DE8">
              <w:rPr>
                <w:rStyle w:val="Hipervnculo"/>
                <w:u w:val="none"/>
              </w:rPr>
              <w:t>Estándares internacionales para indicadores de riesgo de la deuda pública</w:t>
            </w:r>
            <w:r w:rsidRPr="002D0DE8">
              <w:rPr>
                <w:webHidden/>
              </w:rPr>
              <w:tab/>
            </w:r>
            <w:r w:rsidRPr="002D0DE8">
              <w:rPr>
                <w:webHidden/>
              </w:rPr>
              <w:fldChar w:fldCharType="begin"/>
            </w:r>
            <w:r w:rsidRPr="002D0DE8">
              <w:rPr>
                <w:webHidden/>
              </w:rPr>
              <w:instrText xml:space="preserve"> PAGEREF _Toc83302161 \h </w:instrText>
            </w:r>
            <w:r w:rsidRPr="002D0DE8">
              <w:rPr>
                <w:webHidden/>
              </w:rPr>
            </w:r>
            <w:r w:rsidRPr="002D0DE8">
              <w:rPr>
                <w:webHidden/>
              </w:rPr>
              <w:fldChar w:fldCharType="separate"/>
            </w:r>
            <w:r w:rsidR="0004593C">
              <w:rPr>
                <w:webHidden/>
              </w:rPr>
              <w:t>22</w:t>
            </w:r>
            <w:r w:rsidRPr="002D0DE8">
              <w:rPr>
                <w:webHidden/>
              </w:rPr>
              <w:fldChar w:fldCharType="end"/>
            </w:r>
          </w:hyperlink>
        </w:p>
        <w:p w14:paraId="1D28778F" w14:textId="2F528FDF"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62" w:history="1">
            <w:r w:rsidRPr="002D0DE8">
              <w:rPr>
                <w:rStyle w:val="Hipervnculo"/>
                <w:u w:val="none"/>
                <w:lang w:val="es-MX"/>
              </w:rPr>
              <w:t>3.2.</w:t>
            </w:r>
            <w:r w:rsidRPr="002D0DE8">
              <w:rPr>
                <w:rFonts w:asciiTheme="minorHAnsi" w:eastAsiaTheme="minorEastAsia" w:hAnsiTheme="minorHAnsi" w:cstheme="minorBidi"/>
                <w:bCs w:val="0"/>
                <w:lang w:val="es-GT" w:eastAsia="es-GT"/>
              </w:rPr>
              <w:tab/>
              <w:t xml:space="preserve"> </w:t>
            </w:r>
            <w:r w:rsidRPr="002D0DE8">
              <w:rPr>
                <w:rStyle w:val="Hipervnculo"/>
                <w:u w:val="none"/>
                <w:lang w:val="es-MX"/>
              </w:rPr>
              <w:t>Indicadores de la deuda pública para Guatemala</w:t>
            </w:r>
            <w:r w:rsidRPr="002D0DE8">
              <w:rPr>
                <w:webHidden/>
              </w:rPr>
              <w:tab/>
            </w:r>
            <w:r w:rsidRPr="002D0DE8">
              <w:rPr>
                <w:webHidden/>
              </w:rPr>
              <w:fldChar w:fldCharType="begin"/>
            </w:r>
            <w:r w:rsidRPr="002D0DE8">
              <w:rPr>
                <w:webHidden/>
              </w:rPr>
              <w:instrText xml:space="preserve"> PAGEREF _Toc83302162 \h </w:instrText>
            </w:r>
            <w:r w:rsidRPr="002D0DE8">
              <w:rPr>
                <w:webHidden/>
              </w:rPr>
            </w:r>
            <w:r w:rsidRPr="002D0DE8">
              <w:rPr>
                <w:webHidden/>
              </w:rPr>
              <w:fldChar w:fldCharType="separate"/>
            </w:r>
            <w:r w:rsidR="0004593C">
              <w:rPr>
                <w:webHidden/>
              </w:rPr>
              <w:t>22</w:t>
            </w:r>
            <w:r w:rsidRPr="002D0DE8">
              <w:rPr>
                <w:webHidden/>
              </w:rPr>
              <w:fldChar w:fldCharType="end"/>
            </w:r>
          </w:hyperlink>
        </w:p>
        <w:p w14:paraId="347F7620" w14:textId="216496E1"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63" w:history="1">
            <w:r w:rsidRPr="002D0DE8">
              <w:rPr>
                <w:rStyle w:val="Hipervnculo"/>
                <w:u w:val="none"/>
                <w:lang w:val="es-MX"/>
              </w:rPr>
              <w:t>3.3.</w:t>
            </w:r>
            <w:r w:rsidRPr="002D0DE8">
              <w:rPr>
                <w:rFonts w:asciiTheme="minorHAnsi" w:eastAsiaTheme="minorEastAsia" w:hAnsiTheme="minorHAnsi" w:cstheme="minorBidi"/>
                <w:bCs w:val="0"/>
                <w:lang w:val="es-GT" w:eastAsia="es-GT"/>
              </w:rPr>
              <w:tab/>
              <w:t xml:space="preserve"> </w:t>
            </w:r>
            <w:r w:rsidRPr="002D0DE8">
              <w:rPr>
                <w:rStyle w:val="Hipervnculo"/>
                <w:u w:val="none"/>
                <w:lang w:val="es-MX"/>
              </w:rPr>
              <w:t>Comparativo con otros países</w:t>
            </w:r>
            <w:r w:rsidRPr="002D0DE8">
              <w:rPr>
                <w:webHidden/>
              </w:rPr>
              <w:tab/>
            </w:r>
            <w:r w:rsidRPr="002D0DE8">
              <w:rPr>
                <w:webHidden/>
              </w:rPr>
              <w:fldChar w:fldCharType="begin"/>
            </w:r>
            <w:r w:rsidRPr="002D0DE8">
              <w:rPr>
                <w:webHidden/>
              </w:rPr>
              <w:instrText xml:space="preserve"> PAGEREF _Toc83302163 \h </w:instrText>
            </w:r>
            <w:r w:rsidRPr="002D0DE8">
              <w:rPr>
                <w:webHidden/>
              </w:rPr>
            </w:r>
            <w:r w:rsidRPr="002D0DE8">
              <w:rPr>
                <w:webHidden/>
              </w:rPr>
              <w:fldChar w:fldCharType="separate"/>
            </w:r>
            <w:r w:rsidR="0004593C">
              <w:rPr>
                <w:webHidden/>
              </w:rPr>
              <w:t>25</w:t>
            </w:r>
            <w:r w:rsidRPr="002D0DE8">
              <w:rPr>
                <w:webHidden/>
              </w:rPr>
              <w:fldChar w:fldCharType="end"/>
            </w:r>
          </w:hyperlink>
        </w:p>
        <w:p w14:paraId="18E386EA" w14:textId="46A0C127" w:rsidR="005C20BF" w:rsidRPr="002D0DE8" w:rsidRDefault="00034E64">
          <w:pPr>
            <w:pStyle w:val="TDC1"/>
            <w:rPr>
              <w:rFonts w:asciiTheme="minorHAnsi" w:eastAsiaTheme="minorEastAsia" w:hAnsiTheme="minorHAnsi" w:cstheme="minorBidi"/>
              <w:bCs w:val="0"/>
              <w:lang w:val="es-GT" w:eastAsia="es-GT"/>
            </w:rPr>
          </w:pPr>
          <w:hyperlink w:anchor="_Toc83302164" w:history="1">
            <w:r w:rsidR="005C20BF" w:rsidRPr="002D0DE8">
              <w:rPr>
                <w:rStyle w:val="Hipervnculo"/>
                <w:u w:val="none"/>
              </w:rPr>
              <w:t>4.</w:t>
            </w:r>
            <w:r w:rsidR="005C20BF" w:rsidRPr="002D0DE8">
              <w:rPr>
                <w:rFonts w:asciiTheme="minorHAnsi" w:eastAsiaTheme="minorEastAsia" w:hAnsiTheme="minorHAnsi" w:cstheme="minorBidi"/>
                <w:bCs w:val="0"/>
                <w:lang w:val="es-GT" w:eastAsia="es-GT"/>
              </w:rPr>
              <w:t xml:space="preserve">  </w:t>
            </w:r>
            <w:r w:rsidR="005C20BF" w:rsidRPr="002D0DE8">
              <w:rPr>
                <w:rStyle w:val="Hipervnculo"/>
                <w:u w:val="none"/>
              </w:rPr>
              <w:t>Análisis de Sostenibilidad de la Deuda</w:t>
            </w:r>
            <w:r w:rsidR="005C20BF" w:rsidRPr="002D0DE8">
              <w:rPr>
                <w:webHidden/>
              </w:rPr>
              <w:tab/>
            </w:r>
            <w:r w:rsidR="005C20BF" w:rsidRPr="002D0DE8">
              <w:rPr>
                <w:webHidden/>
              </w:rPr>
              <w:fldChar w:fldCharType="begin"/>
            </w:r>
            <w:r w:rsidR="005C20BF" w:rsidRPr="002D0DE8">
              <w:rPr>
                <w:webHidden/>
              </w:rPr>
              <w:instrText xml:space="preserve"> PAGEREF _Toc83302164 \h </w:instrText>
            </w:r>
            <w:r w:rsidR="005C20BF" w:rsidRPr="002D0DE8">
              <w:rPr>
                <w:webHidden/>
              </w:rPr>
            </w:r>
            <w:r w:rsidR="005C20BF" w:rsidRPr="002D0DE8">
              <w:rPr>
                <w:webHidden/>
              </w:rPr>
              <w:fldChar w:fldCharType="separate"/>
            </w:r>
            <w:r w:rsidR="0004593C">
              <w:rPr>
                <w:webHidden/>
              </w:rPr>
              <w:t>28</w:t>
            </w:r>
            <w:r w:rsidR="005C20BF" w:rsidRPr="002D0DE8">
              <w:rPr>
                <w:webHidden/>
              </w:rPr>
              <w:fldChar w:fldCharType="end"/>
            </w:r>
          </w:hyperlink>
        </w:p>
        <w:p w14:paraId="6BBB77F3" w14:textId="58F9C14C"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65" w:history="1">
            <w:r w:rsidRPr="002D0DE8">
              <w:rPr>
                <w:rStyle w:val="Hipervnculo"/>
                <w:u w:val="none"/>
              </w:rPr>
              <w:t>4.1.</w:t>
            </w:r>
            <w:r w:rsidRPr="002D0DE8">
              <w:rPr>
                <w:rFonts w:asciiTheme="minorHAnsi" w:eastAsiaTheme="minorEastAsia" w:hAnsiTheme="minorHAnsi" w:cstheme="minorBidi"/>
                <w:bCs w:val="0"/>
                <w:lang w:val="es-GT" w:eastAsia="es-GT"/>
              </w:rPr>
              <w:tab/>
              <w:t xml:space="preserve"> </w:t>
            </w:r>
            <w:r w:rsidRPr="002D0DE8">
              <w:rPr>
                <w:rStyle w:val="Hipervnculo"/>
                <w:u w:val="none"/>
              </w:rPr>
              <w:t>Análisis de Mediano Plazo</w:t>
            </w:r>
            <w:r w:rsidRPr="002D0DE8">
              <w:rPr>
                <w:webHidden/>
              </w:rPr>
              <w:tab/>
            </w:r>
            <w:r w:rsidRPr="002D0DE8">
              <w:rPr>
                <w:webHidden/>
              </w:rPr>
              <w:fldChar w:fldCharType="begin"/>
            </w:r>
            <w:r w:rsidRPr="002D0DE8">
              <w:rPr>
                <w:webHidden/>
              </w:rPr>
              <w:instrText xml:space="preserve"> PAGEREF _Toc83302165 \h </w:instrText>
            </w:r>
            <w:r w:rsidRPr="002D0DE8">
              <w:rPr>
                <w:webHidden/>
              </w:rPr>
            </w:r>
            <w:r w:rsidRPr="002D0DE8">
              <w:rPr>
                <w:webHidden/>
              </w:rPr>
              <w:fldChar w:fldCharType="separate"/>
            </w:r>
            <w:r w:rsidR="0004593C">
              <w:rPr>
                <w:webHidden/>
              </w:rPr>
              <w:t>28</w:t>
            </w:r>
            <w:r w:rsidRPr="002D0DE8">
              <w:rPr>
                <w:webHidden/>
              </w:rPr>
              <w:fldChar w:fldCharType="end"/>
            </w:r>
          </w:hyperlink>
        </w:p>
        <w:p w14:paraId="11F5A748" w14:textId="49A9C9CC"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66" w:history="1">
            <w:r w:rsidRPr="002D0DE8">
              <w:rPr>
                <w:rStyle w:val="Hipervnculo"/>
                <w:u w:val="none"/>
              </w:rPr>
              <w:t>4.2.</w:t>
            </w:r>
            <w:r w:rsidRPr="002D0DE8">
              <w:rPr>
                <w:rFonts w:asciiTheme="minorHAnsi" w:eastAsiaTheme="minorEastAsia" w:hAnsiTheme="minorHAnsi" w:cstheme="minorBidi"/>
                <w:bCs w:val="0"/>
                <w:lang w:val="es-GT" w:eastAsia="es-GT"/>
              </w:rPr>
              <w:tab/>
              <w:t xml:space="preserve"> </w:t>
            </w:r>
            <w:r w:rsidRPr="002D0DE8">
              <w:rPr>
                <w:rStyle w:val="Hipervnculo"/>
                <w:u w:val="none"/>
              </w:rPr>
              <w:t>Análisis de Largo Plazo</w:t>
            </w:r>
            <w:r w:rsidRPr="002D0DE8">
              <w:rPr>
                <w:webHidden/>
              </w:rPr>
              <w:tab/>
            </w:r>
            <w:r w:rsidRPr="002D0DE8">
              <w:rPr>
                <w:webHidden/>
              </w:rPr>
              <w:fldChar w:fldCharType="begin"/>
            </w:r>
            <w:r w:rsidRPr="002D0DE8">
              <w:rPr>
                <w:webHidden/>
              </w:rPr>
              <w:instrText xml:space="preserve"> PAGEREF _Toc83302166 \h </w:instrText>
            </w:r>
            <w:r w:rsidRPr="002D0DE8">
              <w:rPr>
                <w:webHidden/>
              </w:rPr>
            </w:r>
            <w:r w:rsidRPr="002D0DE8">
              <w:rPr>
                <w:webHidden/>
              </w:rPr>
              <w:fldChar w:fldCharType="separate"/>
            </w:r>
            <w:r w:rsidR="0004593C">
              <w:rPr>
                <w:webHidden/>
              </w:rPr>
              <w:t>33</w:t>
            </w:r>
            <w:r w:rsidRPr="002D0DE8">
              <w:rPr>
                <w:webHidden/>
              </w:rPr>
              <w:fldChar w:fldCharType="end"/>
            </w:r>
          </w:hyperlink>
        </w:p>
        <w:p w14:paraId="181F2E54" w14:textId="1025D318" w:rsidR="005C20BF" w:rsidRPr="002D0DE8" w:rsidRDefault="00034E64">
          <w:pPr>
            <w:pStyle w:val="TDC1"/>
            <w:rPr>
              <w:rFonts w:asciiTheme="minorHAnsi" w:eastAsiaTheme="minorEastAsia" w:hAnsiTheme="minorHAnsi" w:cstheme="minorBidi"/>
              <w:bCs w:val="0"/>
              <w:lang w:val="es-GT" w:eastAsia="es-GT"/>
            </w:rPr>
          </w:pPr>
          <w:hyperlink w:anchor="_Toc83302167" w:history="1">
            <w:r w:rsidR="005C20BF" w:rsidRPr="002D0DE8">
              <w:rPr>
                <w:rStyle w:val="Hipervnculo"/>
                <w:u w:val="none"/>
              </w:rPr>
              <w:t>5.</w:t>
            </w:r>
            <w:r w:rsidR="005C20BF" w:rsidRPr="002D0DE8">
              <w:rPr>
                <w:rFonts w:asciiTheme="minorHAnsi" w:eastAsiaTheme="minorEastAsia" w:hAnsiTheme="minorHAnsi" w:cstheme="minorBidi"/>
                <w:bCs w:val="0"/>
                <w:lang w:val="es-GT" w:eastAsia="es-GT"/>
              </w:rPr>
              <w:t xml:space="preserve">  </w:t>
            </w:r>
            <w:r w:rsidR="005C20BF" w:rsidRPr="002D0DE8">
              <w:rPr>
                <w:rStyle w:val="Hipervnculo"/>
                <w:u w:val="none"/>
              </w:rPr>
              <w:t>Riesgos fiscales asociados al surgimiento de las variantes del COVID-19</w:t>
            </w:r>
            <w:r w:rsidR="005C20BF" w:rsidRPr="002D0DE8">
              <w:rPr>
                <w:webHidden/>
              </w:rPr>
              <w:tab/>
            </w:r>
            <w:r w:rsidR="005C20BF" w:rsidRPr="002D0DE8">
              <w:rPr>
                <w:webHidden/>
              </w:rPr>
              <w:fldChar w:fldCharType="begin"/>
            </w:r>
            <w:r w:rsidR="005C20BF" w:rsidRPr="002D0DE8">
              <w:rPr>
                <w:webHidden/>
              </w:rPr>
              <w:instrText xml:space="preserve"> PAGEREF _Toc83302167 \h </w:instrText>
            </w:r>
            <w:r w:rsidR="005C20BF" w:rsidRPr="002D0DE8">
              <w:rPr>
                <w:webHidden/>
              </w:rPr>
            </w:r>
            <w:r w:rsidR="005C20BF" w:rsidRPr="002D0DE8">
              <w:rPr>
                <w:webHidden/>
              </w:rPr>
              <w:fldChar w:fldCharType="separate"/>
            </w:r>
            <w:r w:rsidR="0004593C">
              <w:rPr>
                <w:webHidden/>
              </w:rPr>
              <w:t>35</w:t>
            </w:r>
            <w:r w:rsidR="005C20BF" w:rsidRPr="002D0DE8">
              <w:rPr>
                <w:webHidden/>
              </w:rPr>
              <w:fldChar w:fldCharType="end"/>
            </w:r>
          </w:hyperlink>
        </w:p>
        <w:p w14:paraId="7F4116B1" w14:textId="616B8639"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68" w:history="1">
            <w:r w:rsidRPr="002D0DE8">
              <w:rPr>
                <w:rStyle w:val="Hipervnculo"/>
                <w:u w:val="none"/>
              </w:rPr>
              <w:t>5.1.</w:t>
            </w:r>
            <w:r w:rsidRPr="002D0DE8">
              <w:rPr>
                <w:rFonts w:asciiTheme="minorHAnsi" w:eastAsiaTheme="minorEastAsia" w:hAnsiTheme="minorHAnsi" w:cstheme="minorBidi"/>
                <w:bCs w:val="0"/>
                <w:lang w:val="es-GT" w:eastAsia="es-GT"/>
              </w:rPr>
              <w:tab/>
              <w:t xml:space="preserve"> </w:t>
            </w:r>
            <w:r w:rsidRPr="002D0DE8">
              <w:rPr>
                <w:rStyle w:val="Hipervnculo"/>
                <w:u w:val="none"/>
              </w:rPr>
              <w:t>Antecedentes de la evolución del COVID-19</w:t>
            </w:r>
            <w:r w:rsidRPr="002D0DE8">
              <w:rPr>
                <w:webHidden/>
              </w:rPr>
              <w:tab/>
            </w:r>
            <w:r w:rsidRPr="002D0DE8">
              <w:rPr>
                <w:webHidden/>
              </w:rPr>
              <w:fldChar w:fldCharType="begin"/>
            </w:r>
            <w:r w:rsidRPr="002D0DE8">
              <w:rPr>
                <w:webHidden/>
              </w:rPr>
              <w:instrText xml:space="preserve"> PAGEREF _Toc83302168 \h </w:instrText>
            </w:r>
            <w:r w:rsidRPr="002D0DE8">
              <w:rPr>
                <w:webHidden/>
              </w:rPr>
            </w:r>
            <w:r w:rsidRPr="002D0DE8">
              <w:rPr>
                <w:webHidden/>
              </w:rPr>
              <w:fldChar w:fldCharType="separate"/>
            </w:r>
            <w:r w:rsidR="0004593C">
              <w:rPr>
                <w:webHidden/>
              </w:rPr>
              <w:t>35</w:t>
            </w:r>
            <w:r w:rsidRPr="002D0DE8">
              <w:rPr>
                <w:webHidden/>
              </w:rPr>
              <w:fldChar w:fldCharType="end"/>
            </w:r>
          </w:hyperlink>
        </w:p>
        <w:p w14:paraId="7F107DC2" w14:textId="7C88C372"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69" w:history="1">
            <w:r w:rsidRPr="002D0DE8">
              <w:rPr>
                <w:rStyle w:val="Hipervnculo"/>
                <w:u w:val="none"/>
              </w:rPr>
              <w:t>5.2.</w:t>
            </w:r>
            <w:r w:rsidRPr="002D0DE8">
              <w:rPr>
                <w:rFonts w:asciiTheme="minorHAnsi" w:eastAsiaTheme="minorEastAsia" w:hAnsiTheme="minorHAnsi" w:cstheme="minorBidi"/>
                <w:bCs w:val="0"/>
                <w:lang w:val="es-GT" w:eastAsia="es-GT"/>
              </w:rPr>
              <w:tab/>
              <w:t xml:space="preserve"> </w:t>
            </w:r>
            <w:r w:rsidRPr="002D0DE8">
              <w:rPr>
                <w:rStyle w:val="Hipervnculo"/>
                <w:u w:val="none"/>
              </w:rPr>
              <w:t>Simulación de la propagación de alguna variante de COVID-19 en el 2022</w:t>
            </w:r>
            <w:r w:rsidRPr="002D0DE8">
              <w:rPr>
                <w:webHidden/>
              </w:rPr>
              <w:tab/>
            </w:r>
            <w:r w:rsidRPr="002D0DE8">
              <w:rPr>
                <w:webHidden/>
              </w:rPr>
              <w:fldChar w:fldCharType="begin"/>
            </w:r>
            <w:r w:rsidRPr="002D0DE8">
              <w:rPr>
                <w:webHidden/>
              </w:rPr>
              <w:instrText xml:space="preserve"> PAGEREF _Toc83302169 \h </w:instrText>
            </w:r>
            <w:r w:rsidRPr="002D0DE8">
              <w:rPr>
                <w:webHidden/>
              </w:rPr>
            </w:r>
            <w:r w:rsidRPr="002D0DE8">
              <w:rPr>
                <w:webHidden/>
              </w:rPr>
              <w:fldChar w:fldCharType="separate"/>
            </w:r>
            <w:r w:rsidR="0004593C">
              <w:rPr>
                <w:webHidden/>
              </w:rPr>
              <w:t>36</w:t>
            </w:r>
            <w:r w:rsidRPr="002D0DE8">
              <w:rPr>
                <w:webHidden/>
              </w:rPr>
              <w:fldChar w:fldCharType="end"/>
            </w:r>
          </w:hyperlink>
        </w:p>
        <w:p w14:paraId="36B56640" w14:textId="25FE9860" w:rsidR="005C20BF" w:rsidRPr="002D0DE8" w:rsidRDefault="00034E64">
          <w:pPr>
            <w:pStyle w:val="TDC1"/>
            <w:rPr>
              <w:rFonts w:asciiTheme="minorHAnsi" w:eastAsiaTheme="minorEastAsia" w:hAnsiTheme="minorHAnsi" w:cstheme="minorBidi"/>
              <w:bCs w:val="0"/>
              <w:lang w:val="es-GT" w:eastAsia="es-GT"/>
            </w:rPr>
          </w:pPr>
          <w:hyperlink w:anchor="_Toc83302170" w:history="1">
            <w:r w:rsidR="005C20BF" w:rsidRPr="002D0DE8">
              <w:rPr>
                <w:rStyle w:val="Hipervnculo"/>
                <w:u w:val="none"/>
              </w:rPr>
              <w:t>6.</w:t>
            </w:r>
            <w:r w:rsidR="005C20BF" w:rsidRPr="002D0DE8">
              <w:rPr>
                <w:rFonts w:asciiTheme="minorHAnsi" w:eastAsiaTheme="minorEastAsia" w:hAnsiTheme="minorHAnsi" w:cstheme="minorBidi"/>
                <w:bCs w:val="0"/>
                <w:lang w:val="es-GT" w:eastAsia="es-GT"/>
              </w:rPr>
              <w:t xml:space="preserve">  </w:t>
            </w:r>
            <w:r w:rsidR="005C20BF" w:rsidRPr="002D0DE8">
              <w:rPr>
                <w:rStyle w:val="Hipervnculo"/>
                <w:u w:val="none"/>
              </w:rPr>
              <w:t>Riesgos Fiscales asociados a las Municipalidades</w:t>
            </w:r>
            <w:r w:rsidR="005C20BF" w:rsidRPr="002D0DE8">
              <w:rPr>
                <w:webHidden/>
              </w:rPr>
              <w:tab/>
            </w:r>
            <w:r w:rsidR="005C20BF" w:rsidRPr="002D0DE8">
              <w:rPr>
                <w:webHidden/>
              </w:rPr>
              <w:fldChar w:fldCharType="begin"/>
            </w:r>
            <w:r w:rsidR="005C20BF" w:rsidRPr="002D0DE8">
              <w:rPr>
                <w:webHidden/>
              </w:rPr>
              <w:instrText xml:space="preserve"> PAGEREF _Toc83302170 \h </w:instrText>
            </w:r>
            <w:r w:rsidR="005C20BF" w:rsidRPr="002D0DE8">
              <w:rPr>
                <w:webHidden/>
              </w:rPr>
            </w:r>
            <w:r w:rsidR="005C20BF" w:rsidRPr="002D0DE8">
              <w:rPr>
                <w:webHidden/>
              </w:rPr>
              <w:fldChar w:fldCharType="separate"/>
            </w:r>
            <w:r w:rsidR="0004593C">
              <w:rPr>
                <w:webHidden/>
              </w:rPr>
              <w:t>40</w:t>
            </w:r>
            <w:r w:rsidR="005C20BF" w:rsidRPr="002D0DE8">
              <w:rPr>
                <w:webHidden/>
              </w:rPr>
              <w:fldChar w:fldCharType="end"/>
            </w:r>
          </w:hyperlink>
        </w:p>
        <w:p w14:paraId="682078F1" w14:textId="2EE4E6C1"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71" w:history="1">
            <w:r w:rsidRPr="002D0DE8">
              <w:rPr>
                <w:rStyle w:val="Hipervnculo"/>
                <w:u w:val="none"/>
              </w:rPr>
              <w:t>6.1.</w:t>
            </w:r>
            <w:r w:rsidRPr="002D0DE8">
              <w:rPr>
                <w:rFonts w:asciiTheme="minorHAnsi" w:eastAsiaTheme="minorEastAsia" w:hAnsiTheme="minorHAnsi" w:cstheme="minorBidi"/>
                <w:bCs w:val="0"/>
                <w:lang w:val="es-GT" w:eastAsia="es-GT"/>
              </w:rPr>
              <w:tab/>
              <w:t xml:space="preserve"> </w:t>
            </w:r>
            <w:r w:rsidRPr="002D0DE8">
              <w:rPr>
                <w:rStyle w:val="Hipervnculo"/>
                <w:u w:val="none"/>
              </w:rPr>
              <w:t>Importancia del riesgo fiscal en las Municipalidades</w:t>
            </w:r>
            <w:r w:rsidRPr="002D0DE8">
              <w:rPr>
                <w:webHidden/>
              </w:rPr>
              <w:tab/>
            </w:r>
            <w:r w:rsidRPr="002D0DE8">
              <w:rPr>
                <w:webHidden/>
              </w:rPr>
              <w:fldChar w:fldCharType="begin"/>
            </w:r>
            <w:r w:rsidRPr="002D0DE8">
              <w:rPr>
                <w:webHidden/>
              </w:rPr>
              <w:instrText xml:space="preserve"> PAGEREF _Toc83302171 \h </w:instrText>
            </w:r>
            <w:r w:rsidRPr="002D0DE8">
              <w:rPr>
                <w:webHidden/>
              </w:rPr>
            </w:r>
            <w:r w:rsidRPr="002D0DE8">
              <w:rPr>
                <w:webHidden/>
              </w:rPr>
              <w:fldChar w:fldCharType="separate"/>
            </w:r>
            <w:r w:rsidR="0004593C">
              <w:rPr>
                <w:webHidden/>
              </w:rPr>
              <w:t>40</w:t>
            </w:r>
            <w:r w:rsidRPr="002D0DE8">
              <w:rPr>
                <w:webHidden/>
              </w:rPr>
              <w:fldChar w:fldCharType="end"/>
            </w:r>
          </w:hyperlink>
        </w:p>
        <w:p w14:paraId="40CCB1A2" w14:textId="129ED1CB"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72" w:history="1">
            <w:r w:rsidRPr="002D0DE8">
              <w:rPr>
                <w:rStyle w:val="Hipervnculo"/>
                <w:u w:val="none"/>
              </w:rPr>
              <w:t>6.2.</w:t>
            </w:r>
            <w:r w:rsidRPr="002D0DE8">
              <w:rPr>
                <w:rFonts w:asciiTheme="minorHAnsi" w:eastAsiaTheme="minorEastAsia" w:hAnsiTheme="minorHAnsi" w:cstheme="minorBidi"/>
                <w:bCs w:val="0"/>
                <w:lang w:val="es-GT" w:eastAsia="es-GT"/>
              </w:rPr>
              <w:tab/>
              <w:t xml:space="preserve"> </w:t>
            </w:r>
            <w:r w:rsidRPr="002D0DE8">
              <w:rPr>
                <w:rStyle w:val="Hipervnculo"/>
                <w:u w:val="none"/>
              </w:rPr>
              <w:t>Identificación y Evaluación</w:t>
            </w:r>
            <w:r w:rsidRPr="002D0DE8">
              <w:rPr>
                <w:webHidden/>
              </w:rPr>
              <w:tab/>
            </w:r>
            <w:r w:rsidRPr="002D0DE8">
              <w:rPr>
                <w:webHidden/>
              </w:rPr>
              <w:fldChar w:fldCharType="begin"/>
            </w:r>
            <w:r w:rsidRPr="002D0DE8">
              <w:rPr>
                <w:webHidden/>
              </w:rPr>
              <w:instrText xml:space="preserve"> PAGEREF _Toc83302172 \h </w:instrText>
            </w:r>
            <w:r w:rsidRPr="002D0DE8">
              <w:rPr>
                <w:webHidden/>
              </w:rPr>
            </w:r>
            <w:r w:rsidRPr="002D0DE8">
              <w:rPr>
                <w:webHidden/>
              </w:rPr>
              <w:fldChar w:fldCharType="separate"/>
            </w:r>
            <w:r w:rsidR="0004593C">
              <w:rPr>
                <w:webHidden/>
              </w:rPr>
              <w:t>41</w:t>
            </w:r>
            <w:r w:rsidRPr="002D0DE8">
              <w:rPr>
                <w:webHidden/>
              </w:rPr>
              <w:fldChar w:fldCharType="end"/>
            </w:r>
          </w:hyperlink>
        </w:p>
        <w:p w14:paraId="07C765E7" w14:textId="31DC6FE7"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73" w:history="1">
            <w:r w:rsidRPr="002D0DE8">
              <w:rPr>
                <w:rStyle w:val="Hipervnculo"/>
                <w:u w:val="none"/>
              </w:rPr>
              <w:t>6.2.1.  Autonomía Financiera de las Municipalidades</w:t>
            </w:r>
            <w:r w:rsidRPr="002D0DE8">
              <w:rPr>
                <w:webHidden/>
              </w:rPr>
              <w:tab/>
            </w:r>
            <w:r w:rsidRPr="002D0DE8">
              <w:rPr>
                <w:webHidden/>
              </w:rPr>
              <w:fldChar w:fldCharType="begin"/>
            </w:r>
            <w:r w:rsidRPr="002D0DE8">
              <w:rPr>
                <w:webHidden/>
              </w:rPr>
              <w:instrText xml:space="preserve"> PAGEREF _Toc83302173 \h </w:instrText>
            </w:r>
            <w:r w:rsidRPr="002D0DE8">
              <w:rPr>
                <w:webHidden/>
              </w:rPr>
            </w:r>
            <w:r w:rsidRPr="002D0DE8">
              <w:rPr>
                <w:webHidden/>
              </w:rPr>
              <w:fldChar w:fldCharType="separate"/>
            </w:r>
            <w:r w:rsidR="0004593C">
              <w:rPr>
                <w:webHidden/>
              </w:rPr>
              <w:t>41</w:t>
            </w:r>
            <w:r w:rsidRPr="002D0DE8">
              <w:rPr>
                <w:webHidden/>
              </w:rPr>
              <w:fldChar w:fldCharType="end"/>
            </w:r>
          </w:hyperlink>
        </w:p>
        <w:p w14:paraId="079CFE6D" w14:textId="3874F00D"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74" w:history="1">
            <w:r w:rsidRPr="002D0DE8">
              <w:rPr>
                <w:rStyle w:val="Hipervnculo"/>
                <w:u w:val="none"/>
              </w:rPr>
              <w:t>6.3.</w:t>
            </w:r>
            <w:r w:rsidRPr="002D0DE8">
              <w:rPr>
                <w:rFonts w:asciiTheme="minorHAnsi" w:eastAsiaTheme="minorEastAsia" w:hAnsiTheme="minorHAnsi" w:cstheme="minorBidi"/>
                <w:bCs w:val="0"/>
                <w:lang w:val="es-GT" w:eastAsia="es-GT"/>
              </w:rPr>
              <w:tab/>
              <w:t xml:space="preserve"> </w:t>
            </w:r>
            <w:r w:rsidRPr="002D0DE8">
              <w:rPr>
                <w:rStyle w:val="Hipervnculo"/>
                <w:u w:val="none"/>
              </w:rPr>
              <w:t>Inversión Real Directa por habitante de las Municipalidades</w:t>
            </w:r>
            <w:r w:rsidRPr="002D0DE8">
              <w:rPr>
                <w:webHidden/>
              </w:rPr>
              <w:tab/>
            </w:r>
            <w:r w:rsidRPr="002D0DE8">
              <w:rPr>
                <w:webHidden/>
              </w:rPr>
              <w:fldChar w:fldCharType="begin"/>
            </w:r>
            <w:r w:rsidRPr="002D0DE8">
              <w:rPr>
                <w:webHidden/>
              </w:rPr>
              <w:instrText xml:space="preserve"> PAGEREF _Toc83302174 \h </w:instrText>
            </w:r>
            <w:r w:rsidRPr="002D0DE8">
              <w:rPr>
                <w:webHidden/>
              </w:rPr>
            </w:r>
            <w:r w:rsidRPr="002D0DE8">
              <w:rPr>
                <w:webHidden/>
              </w:rPr>
              <w:fldChar w:fldCharType="separate"/>
            </w:r>
            <w:r w:rsidR="0004593C">
              <w:rPr>
                <w:webHidden/>
              </w:rPr>
              <w:t>43</w:t>
            </w:r>
            <w:r w:rsidRPr="002D0DE8">
              <w:rPr>
                <w:webHidden/>
              </w:rPr>
              <w:fldChar w:fldCharType="end"/>
            </w:r>
          </w:hyperlink>
        </w:p>
        <w:p w14:paraId="2CD95538" w14:textId="599FFF6F"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75" w:history="1">
            <w:r w:rsidRPr="002D0DE8">
              <w:rPr>
                <w:rStyle w:val="Hipervnculo"/>
                <w:u w:val="none"/>
              </w:rPr>
              <w:t>6.4.</w:t>
            </w:r>
            <w:r w:rsidRPr="002D0DE8">
              <w:rPr>
                <w:rFonts w:asciiTheme="minorHAnsi" w:eastAsiaTheme="minorEastAsia" w:hAnsiTheme="minorHAnsi" w:cstheme="minorBidi"/>
                <w:bCs w:val="0"/>
                <w:lang w:val="es-GT" w:eastAsia="es-GT"/>
              </w:rPr>
              <w:tab/>
              <w:t xml:space="preserve"> </w:t>
            </w:r>
            <w:r w:rsidRPr="002D0DE8">
              <w:rPr>
                <w:rStyle w:val="Hipervnculo"/>
                <w:u w:val="none"/>
              </w:rPr>
              <w:t>Liquidez Financiera</w:t>
            </w:r>
            <w:r w:rsidRPr="002D0DE8">
              <w:rPr>
                <w:webHidden/>
              </w:rPr>
              <w:tab/>
            </w:r>
            <w:r w:rsidRPr="002D0DE8">
              <w:rPr>
                <w:webHidden/>
              </w:rPr>
              <w:fldChar w:fldCharType="begin"/>
            </w:r>
            <w:r w:rsidRPr="002D0DE8">
              <w:rPr>
                <w:webHidden/>
              </w:rPr>
              <w:instrText xml:space="preserve"> PAGEREF _Toc83302175 \h </w:instrText>
            </w:r>
            <w:r w:rsidRPr="002D0DE8">
              <w:rPr>
                <w:webHidden/>
              </w:rPr>
            </w:r>
            <w:r w:rsidRPr="002D0DE8">
              <w:rPr>
                <w:webHidden/>
              </w:rPr>
              <w:fldChar w:fldCharType="separate"/>
            </w:r>
            <w:r w:rsidR="0004593C">
              <w:rPr>
                <w:webHidden/>
              </w:rPr>
              <w:t>45</w:t>
            </w:r>
            <w:r w:rsidRPr="002D0DE8">
              <w:rPr>
                <w:webHidden/>
              </w:rPr>
              <w:fldChar w:fldCharType="end"/>
            </w:r>
          </w:hyperlink>
        </w:p>
        <w:p w14:paraId="28A712F9" w14:textId="1504D512"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76" w:history="1">
            <w:r w:rsidRPr="002D0DE8">
              <w:rPr>
                <w:rStyle w:val="Hipervnculo"/>
                <w:u w:val="none"/>
              </w:rPr>
              <w:t>6.5.</w:t>
            </w:r>
            <w:r w:rsidRPr="002D0DE8">
              <w:rPr>
                <w:rFonts w:asciiTheme="minorHAnsi" w:eastAsiaTheme="minorEastAsia" w:hAnsiTheme="minorHAnsi" w:cstheme="minorBidi"/>
                <w:bCs w:val="0"/>
                <w:lang w:val="es-GT" w:eastAsia="es-GT"/>
              </w:rPr>
              <w:tab/>
              <w:t xml:space="preserve"> </w:t>
            </w:r>
            <w:r w:rsidRPr="002D0DE8">
              <w:rPr>
                <w:rStyle w:val="Hipervnculo"/>
                <w:u w:val="none"/>
              </w:rPr>
              <w:t>Obligaciones Financieras por Pagar de las Municipalidades</w:t>
            </w:r>
            <w:r w:rsidRPr="002D0DE8">
              <w:rPr>
                <w:webHidden/>
              </w:rPr>
              <w:tab/>
            </w:r>
            <w:r w:rsidRPr="002D0DE8">
              <w:rPr>
                <w:webHidden/>
              </w:rPr>
              <w:fldChar w:fldCharType="begin"/>
            </w:r>
            <w:r w:rsidRPr="002D0DE8">
              <w:rPr>
                <w:webHidden/>
              </w:rPr>
              <w:instrText xml:space="preserve"> PAGEREF _Toc83302176 \h </w:instrText>
            </w:r>
            <w:r w:rsidRPr="002D0DE8">
              <w:rPr>
                <w:webHidden/>
              </w:rPr>
            </w:r>
            <w:r w:rsidRPr="002D0DE8">
              <w:rPr>
                <w:webHidden/>
              </w:rPr>
              <w:fldChar w:fldCharType="separate"/>
            </w:r>
            <w:r w:rsidR="0004593C">
              <w:rPr>
                <w:webHidden/>
              </w:rPr>
              <w:t>47</w:t>
            </w:r>
            <w:r w:rsidRPr="002D0DE8">
              <w:rPr>
                <w:webHidden/>
              </w:rPr>
              <w:fldChar w:fldCharType="end"/>
            </w:r>
          </w:hyperlink>
        </w:p>
        <w:p w14:paraId="2C8F94D4" w14:textId="35A1F874"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77" w:history="1">
            <w:r w:rsidRPr="002D0DE8">
              <w:rPr>
                <w:rStyle w:val="Hipervnculo"/>
                <w:u w:val="none"/>
              </w:rPr>
              <w:t>6.6.</w:t>
            </w:r>
            <w:r w:rsidRPr="002D0DE8">
              <w:rPr>
                <w:rFonts w:asciiTheme="minorHAnsi" w:eastAsiaTheme="minorEastAsia" w:hAnsiTheme="minorHAnsi" w:cstheme="minorBidi"/>
                <w:bCs w:val="0"/>
                <w:lang w:val="es-GT" w:eastAsia="es-GT"/>
              </w:rPr>
              <w:tab/>
              <w:t xml:space="preserve"> </w:t>
            </w:r>
            <w:r w:rsidRPr="002D0DE8">
              <w:rPr>
                <w:rStyle w:val="Hipervnculo"/>
                <w:u w:val="none"/>
              </w:rPr>
              <w:t>Evaluación a nivel global</w:t>
            </w:r>
            <w:r w:rsidRPr="002D0DE8">
              <w:rPr>
                <w:webHidden/>
              </w:rPr>
              <w:tab/>
            </w:r>
            <w:r w:rsidRPr="002D0DE8">
              <w:rPr>
                <w:webHidden/>
              </w:rPr>
              <w:fldChar w:fldCharType="begin"/>
            </w:r>
            <w:r w:rsidRPr="002D0DE8">
              <w:rPr>
                <w:webHidden/>
              </w:rPr>
              <w:instrText xml:space="preserve"> PAGEREF _Toc83302177 \h </w:instrText>
            </w:r>
            <w:r w:rsidRPr="002D0DE8">
              <w:rPr>
                <w:webHidden/>
              </w:rPr>
            </w:r>
            <w:r w:rsidRPr="002D0DE8">
              <w:rPr>
                <w:webHidden/>
              </w:rPr>
              <w:fldChar w:fldCharType="separate"/>
            </w:r>
            <w:r w:rsidR="0004593C">
              <w:rPr>
                <w:webHidden/>
              </w:rPr>
              <w:t>50</w:t>
            </w:r>
            <w:r w:rsidRPr="002D0DE8">
              <w:rPr>
                <w:webHidden/>
              </w:rPr>
              <w:fldChar w:fldCharType="end"/>
            </w:r>
          </w:hyperlink>
        </w:p>
        <w:p w14:paraId="1B4D4F9A" w14:textId="29C09B08"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78" w:history="1">
            <w:r w:rsidRPr="002D0DE8">
              <w:rPr>
                <w:rStyle w:val="Hipervnculo"/>
                <w:u w:val="none"/>
              </w:rPr>
              <w:t>6.7.</w:t>
            </w:r>
            <w:r w:rsidRPr="002D0DE8">
              <w:rPr>
                <w:rFonts w:asciiTheme="minorHAnsi" w:eastAsiaTheme="minorEastAsia" w:hAnsiTheme="minorHAnsi" w:cstheme="minorBidi"/>
                <w:bCs w:val="0"/>
                <w:lang w:val="es-GT" w:eastAsia="es-GT"/>
              </w:rPr>
              <w:tab/>
              <w:t xml:space="preserve"> </w:t>
            </w:r>
            <w:r w:rsidRPr="002D0DE8">
              <w:rPr>
                <w:rStyle w:val="Hipervnculo"/>
                <w:u w:val="none"/>
              </w:rPr>
              <w:t>Importancia de la normativa vigente en la deuda municipal</w:t>
            </w:r>
            <w:r w:rsidRPr="002D0DE8">
              <w:rPr>
                <w:webHidden/>
              </w:rPr>
              <w:tab/>
            </w:r>
            <w:r w:rsidRPr="002D0DE8">
              <w:rPr>
                <w:webHidden/>
              </w:rPr>
              <w:fldChar w:fldCharType="begin"/>
            </w:r>
            <w:r w:rsidRPr="002D0DE8">
              <w:rPr>
                <w:webHidden/>
              </w:rPr>
              <w:instrText xml:space="preserve"> PAGEREF _Toc83302178 \h </w:instrText>
            </w:r>
            <w:r w:rsidRPr="002D0DE8">
              <w:rPr>
                <w:webHidden/>
              </w:rPr>
            </w:r>
            <w:r w:rsidRPr="002D0DE8">
              <w:rPr>
                <w:webHidden/>
              </w:rPr>
              <w:fldChar w:fldCharType="separate"/>
            </w:r>
            <w:r w:rsidR="0004593C">
              <w:rPr>
                <w:webHidden/>
              </w:rPr>
              <w:t>51</w:t>
            </w:r>
            <w:r w:rsidRPr="002D0DE8">
              <w:rPr>
                <w:webHidden/>
              </w:rPr>
              <w:fldChar w:fldCharType="end"/>
            </w:r>
          </w:hyperlink>
        </w:p>
        <w:p w14:paraId="7FF37E77" w14:textId="20986F65" w:rsidR="005C20BF" w:rsidRPr="002D0DE8" w:rsidRDefault="00034E64">
          <w:pPr>
            <w:pStyle w:val="TDC1"/>
            <w:rPr>
              <w:rFonts w:asciiTheme="minorHAnsi" w:eastAsiaTheme="minorEastAsia" w:hAnsiTheme="minorHAnsi" w:cstheme="minorBidi"/>
              <w:bCs w:val="0"/>
              <w:lang w:val="es-GT" w:eastAsia="es-GT"/>
            </w:rPr>
          </w:pPr>
          <w:hyperlink w:anchor="_Toc83302179" w:history="1">
            <w:r w:rsidR="005C20BF" w:rsidRPr="002D0DE8">
              <w:rPr>
                <w:rStyle w:val="Hipervnculo"/>
                <w:u w:val="none"/>
              </w:rPr>
              <w:t>7.</w:t>
            </w:r>
            <w:r w:rsidR="005C20BF" w:rsidRPr="002D0DE8">
              <w:rPr>
                <w:rFonts w:asciiTheme="minorHAnsi" w:eastAsiaTheme="minorEastAsia" w:hAnsiTheme="minorHAnsi" w:cstheme="minorBidi"/>
                <w:bCs w:val="0"/>
                <w:lang w:val="es-GT" w:eastAsia="es-GT"/>
              </w:rPr>
              <w:t xml:space="preserve">  </w:t>
            </w:r>
            <w:r w:rsidR="005C20BF" w:rsidRPr="002D0DE8">
              <w:rPr>
                <w:rStyle w:val="Hipervnculo"/>
                <w:u w:val="none"/>
              </w:rPr>
              <w:t>Riesgos Fiscales asociados a las empresas públicas no financieras nacionales</w:t>
            </w:r>
            <w:r w:rsidR="005C20BF" w:rsidRPr="002D0DE8">
              <w:rPr>
                <w:webHidden/>
              </w:rPr>
              <w:tab/>
            </w:r>
            <w:r w:rsidR="005C20BF" w:rsidRPr="002D0DE8">
              <w:rPr>
                <w:webHidden/>
              </w:rPr>
              <w:fldChar w:fldCharType="begin"/>
            </w:r>
            <w:r w:rsidR="005C20BF" w:rsidRPr="002D0DE8">
              <w:rPr>
                <w:webHidden/>
              </w:rPr>
              <w:instrText xml:space="preserve"> PAGEREF _Toc83302179 \h </w:instrText>
            </w:r>
            <w:r w:rsidR="005C20BF" w:rsidRPr="002D0DE8">
              <w:rPr>
                <w:webHidden/>
              </w:rPr>
            </w:r>
            <w:r w:rsidR="005C20BF" w:rsidRPr="002D0DE8">
              <w:rPr>
                <w:webHidden/>
              </w:rPr>
              <w:fldChar w:fldCharType="separate"/>
            </w:r>
            <w:r w:rsidR="0004593C">
              <w:rPr>
                <w:webHidden/>
              </w:rPr>
              <w:t>53</w:t>
            </w:r>
            <w:r w:rsidR="005C20BF" w:rsidRPr="002D0DE8">
              <w:rPr>
                <w:webHidden/>
              </w:rPr>
              <w:fldChar w:fldCharType="end"/>
            </w:r>
          </w:hyperlink>
        </w:p>
        <w:p w14:paraId="3B478BEC" w14:textId="0A56941F"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80" w:history="1">
            <w:r w:rsidRPr="002D0DE8">
              <w:rPr>
                <w:rStyle w:val="Hipervnculo"/>
                <w:u w:val="none"/>
              </w:rPr>
              <w:t>7.1.</w:t>
            </w:r>
            <w:r w:rsidRPr="002D0DE8">
              <w:rPr>
                <w:rFonts w:asciiTheme="minorHAnsi" w:eastAsiaTheme="minorEastAsia" w:hAnsiTheme="minorHAnsi" w:cstheme="minorBidi"/>
                <w:bCs w:val="0"/>
                <w:lang w:val="es-GT" w:eastAsia="es-GT"/>
              </w:rPr>
              <w:tab/>
              <w:t xml:space="preserve"> </w:t>
            </w:r>
            <w:r w:rsidRPr="002D0DE8">
              <w:rPr>
                <w:rStyle w:val="Hipervnculo"/>
                <w:u w:val="none"/>
              </w:rPr>
              <w:t>Evaluación</w:t>
            </w:r>
            <w:r w:rsidRPr="002D0DE8">
              <w:rPr>
                <w:webHidden/>
              </w:rPr>
              <w:tab/>
            </w:r>
            <w:r w:rsidRPr="002D0DE8">
              <w:rPr>
                <w:webHidden/>
              </w:rPr>
              <w:fldChar w:fldCharType="begin"/>
            </w:r>
            <w:r w:rsidRPr="002D0DE8">
              <w:rPr>
                <w:webHidden/>
              </w:rPr>
              <w:instrText xml:space="preserve"> PAGEREF _Toc83302180 \h </w:instrText>
            </w:r>
            <w:r w:rsidRPr="002D0DE8">
              <w:rPr>
                <w:webHidden/>
              </w:rPr>
            </w:r>
            <w:r w:rsidRPr="002D0DE8">
              <w:rPr>
                <w:webHidden/>
              </w:rPr>
              <w:fldChar w:fldCharType="separate"/>
            </w:r>
            <w:r w:rsidR="0004593C">
              <w:rPr>
                <w:webHidden/>
              </w:rPr>
              <w:t>55</w:t>
            </w:r>
            <w:r w:rsidRPr="002D0DE8">
              <w:rPr>
                <w:webHidden/>
              </w:rPr>
              <w:fldChar w:fldCharType="end"/>
            </w:r>
          </w:hyperlink>
        </w:p>
        <w:p w14:paraId="42CFBDC4" w14:textId="7A178111"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81" w:history="1">
            <w:r w:rsidRPr="002D0DE8">
              <w:rPr>
                <w:rStyle w:val="Hipervnculo"/>
                <w:u w:val="none"/>
              </w:rPr>
              <w:t>7.1.1.</w:t>
            </w:r>
            <w:r w:rsidRPr="002D0DE8">
              <w:rPr>
                <w:rFonts w:asciiTheme="minorHAnsi" w:eastAsiaTheme="minorEastAsia" w:hAnsiTheme="minorHAnsi" w:cstheme="minorBidi"/>
                <w:bCs w:val="0"/>
                <w:lang w:val="es-GT" w:eastAsia="es-GT"/>
              </w:rPr>
              <w:tab/>
              <w:t xml:space="preserve">  </w:t>
            </w:r>
            <w:r w:rsidRPr="002D0DE8">
              <w:rPr>
                <w:rStyle w:val="Hipervnculo"/>
                <w:u w:val="none"/>
              </w:rPr>
              <w:t>Rentabilidad de las Empresas</w:t>
            </w:r>
            <w:r w:rsidRPr="002D0DE8">
              <w:rPr>
                <w:webHidden/>
              </w:rPr>
              <w:tab/>
            </w:r>
            <w:r w:rsidRPr="002D0DE8">
              <w:rPr>
                <w:webHidden/>
              </w:rPr>
              <w:fldChar w:fldCharType="begin"/>
            </w:r>
            <w:r w:rsidRPr="002D0DE8">
              <w:rPr>
                <w:webHidden/>
              </w:rPr>
              <w:instrText xml:space="preserve"> PAGEREF _Toc83302181 \h </w:instrText>
            </w:r>
            <w:r w:rsidRPr="002D0DE8">
              <w:rPr>
                <w:webHidden/>
              </w:rPr>
            </w:r>
            <w:r w:rsidRPr="002D0DE8">
              <w:rPr>
                <w:webHidden/>
              </w:rPr>
              <w:fldChar w:fldCharType="separate"/>
            </w:r>
            <w:r w:rsidR="0004593C">
              <w:rPr>
                <w:webHidden/>
              </w:rPr>
              <w:t>55</w:t>
            </w:r>
            <w:r w:rsidRPr="002D0DE8">
              <w:rPr>
                <w:webHidden/>
              </w:rPr>
              <w:fldChar w:fldCharType="end"/>
            </w:r>
          </w:hyperlink>
        </w:p>
        <w:p w14:paraId="36AFEAA9" w14:textId="36066B4B" w:rsidR="005C20BF" w:rsidRPr="002D0DE8" w:rsidRDefault="005C20BF" w:rsidP="005C20BF">
          <w:pPr>
            <w:pStyle w:val="TDC2"/>
            <w:spacing w:after="0"/>
            <w:rPr>
              <w:rFonts w:asciiTheme="minorHAnsi" w:eastAsiaTheme="minorEastAsia" w:hAnsiTheme="minorHAnsi" w:cstheme="minorBidi"/>
              <w:noProof/>
              <w:lang w:val="es-GT" w:eastAsia="es-GT"/>
            </w:rPr>
          </w:pPr>
          <w:r w:rsidRPr="002D0DE8">
            <w:rPr>
              <w:rStyle w:val="Hipervnculo"/>
              <w:noProof/>
              <w:u w:val="none"/>
            </w:rPr>
            <w:t xml:space="preserve">              </w:t>
          </w:r>
          <w:hyperlink w:anchor="_Toc83302182" w:history="1">
            <w:r w:rsidRPr="002D0DE8">
              <w:rPr>
                <w:rStyle w:val="Hipervnculo"/>
                <w:noProof/>
                <w:u w:val="none"/>
              </w:rPr>
              <w:t>7.1.2.</w:t>
            </w:r>
            <w:r w:rsidRPr="002D0DE8">
              <w:rPr>
                <w:rFonts w:asciiTheme="minorHAnsi" w:eastAsiaTheme="minorEastAsia" w:hAnsiTheme="minorHAnsi" w:cstheme="minorBidi"/>
                <w:noProof/>
                <w:lang w:val="es-GT" w:eastAsia="es-GT"/>
              </w:rPr>
              <w:t xml:space="preserve">  </w:t>
            </w:r>
            <w:r w:rsidRPr="002D0DE8">
              <w:rPr>
                <w:rStyle w:val="Hipervnculo"/>
                <w:noProof/>
                <w:u w:val="none"/>
              </w:rPr>
              <w:t>Obligaciones Financieras por Pagar de las Empresas Públicas</w:t>
            </w:r>
            <w:r w:rsidRPr="002D0DE8">
              <w:rPr>
                <w:noProof/>
                <w:webHidden/>
              </w:rPr>
              <w:tab/>
            </w:r>
            <w:r w:rsidRPr="002D0DE8">
              <w:rPr>
                <w:noProof/>
                <w:webHidden/>
              </w:rPr>
              <w:fldChar w:fldCharType="begin"/>
            </w:r>
            <w:r w:rsidRPr="002D0DE8">
              <w:rPr>
                <w:noProof/>
                <w:webHidden/>
              </w:rPr>
              <w:instrText xml:space="preserve"> PAGEREF _Toc83302182 \h </w:instrText>
            </w:r>
            <w:r w:rsidRPr="002D0DE8">
              <w:rPr>
                <w:noProof/>
                <w:webHidden/>
              </w:rPr>
            </w:r>
            <w:r w:rsidRPr="002D0DE8">
              <w:rPr>
                <w:noProof/>
                <w:webHidden/>
              </w:rPr>
              <w:fldChar w:fldCharType="separate"/>
            </w:r>
            <w:r w:rsidR="0004593C">
              <w:rPr>
                <w:noProof/>
                <w:webHidden/>
              </w:rPr>
              <w:t>58</w:t>
            </w:r>
            <w:r w:rsidRPr="002D0DE8">
              <w:rPr>
                <w:noProof/>
                <w:webHidden/>
              </w:rPr>
              <w:fldChar w:fldCharType="end"/>
            </w:r>
          </w:hyperlink>
        </w:p>
        <w:p w14:paraId="15CA22CC" w14:textId="032C7CB4" w:rsidR="005C20BF" w:rsidRPr="002D0DE8" w:rsidRDefault="005C20BF" w:rsidP="005C20BF">
          <w:pPr>
            <w:pStyle w:val="TDC2"/>
            <w:spacing w:after="0"/>
            <w:rPr>
              <w:rFonts w:asciiTheme="minorHAnsi" w:eastAsiaTheme="minorEastAsia" w:hAnsiTheme="minorHAnsi" w:cstheme="minorBidi"/>
              <w:noProof/>
              <w:lang w:val="es-GT" w:eastAsia="es-GT"/>
            </w:rPr>
          </w:pPr>
          <w:r w:rsidRPr="002D0DE8">
            <w:rPr>
              <w:rStyle w:val="Hipervnculo"/>
              <w:noProof/>
              <w:u w:val="none"/>
            </w:rPr>
            <w:t xml:space="preserve">              </w:t>
          </w:r>
          <w:hyperlink w:anchor="_Toc83302183" w:history="1">
            <w:r w:rsidRPr="002D0DE8">
              <w:rPr>
                <w:rStyle w:val="Hipervnculo"/>
                <w:noProof/>
                <w:u w:val="none"/>
              </w:rPr>
              <w:t>7.1.3.</w:t>
            </w:r>
            <w:r w:rsidRPr="002D0DE8">
              <w:rPr>
                <w:rFonts w:asciiTheme="minorHAnsi" w:eastAsiaTheme="minorEastAsia" w:hAnsiTheme="minorHAnsi" w:cstheme="minorBidi"/>
                <w:noProof/>
                <w:lang w:val="es-GT" w:eastAsia="es-GT"/>
              </w:rPr>
              <w:t xml:space="preserve">  </w:t>
            </w:r>
            <w:r w:rsidRPr="002D0DE8">
              <w:rPr>
                <w:rStyle w:val="Hipervnculo"/>
                <w:noProof/>
                <w:u w:val="none"/>
              </w:rPr>
              <w:t>Liquidez Financiera</w:t>
            </w:r>
            <w:r w:rsidRPr="002D0DE8">
              <w:rPr>
                <w:noProof/>
                <w:webHidden/>
              </w:rPr>
              <w:tab/>
            </w:r>
            <w:r w:rsidRPr="002D0DE8">
              <w:rPr>
                <w:noProof/>
                <w:webHidden/>
              </w:rPr>
              <w:fldChar w:fldCharType="begin"/>
            </w:r>
            <w:r w:rsidRPr="002D0DE8">
              <w:rPr>
                <w:noProof/>
                <w:webHidden/>
              </w:rPr>
              <w:instrText xml:space="preserve"> PAGEREF _Toc83302183 \h </w:instrText>
            </w:r>
            <w:r w:rsidRPr="002D0DE8">
              <w:rPr>
                <w:noProof/>
                <w:webHidden/>
              </w:rPr>
            </w:r>
            <w:r w:rsidRPr="002D0DE8">
              <w:rPr>
                <w:noProof/>
                <w:webHidden/>
              </w:rPr>
              <w:fldChar w:fldCharType="separate"/>
            </w:r>
            <w:r w:rsidR="0004593C">
              <w:rPr>
                <w:noProof/>
                <w:webHidden/>
              </w:rPr>
              <w:t>60</w:t>
            </w:r>
            <w:r w:rsidRPr="002D0DE8">
              <w:rPr>
                <w:noProof/>
                <w:webHidden/>
              </w:rPr>
              <w:fldChar w:fldCharType="end"/>
            </w:r>
          </w:hyperlink>
        </w:p>
        <w:p w14:paraId="06A5B7F1" w14:textId="34B8B869" w:rsidR="005C20BF" w:rsidRPr="002D0DE8" w:rsidRDefault="00034E64">
          <w:pPr>
            <w:pStyle w:val="TDC1"/>
            <w:rPr>
              <w:rFonts w:asciiTheme="minorHAnsi" w:eastAsiaTheme="minorEastAsia" w:hAnsiTheme="minorHAnsi" w:cstheme="minorBidi"/>
              <w:bCs w:val="0"/>
              <w:lang w:val="es-GT" w:eastAsia="es-GT"/>
            </w:rPr>
          </w:pPr>
          <w:hyperlink w:anchor="_Toc83302184" w:history="1">
            <w:r w:rsidR="005C20BF" w:rsidRPr="002D0DE8">
              <w:rPr>
                <w:rStyle w:val="Hipervnculo"/>
                <w:u w:val="none"/>
              </w:rPr>
              <w:t>8.</w:t>
            </w:r>
            <w:r w:rsidR="005C20BF" w:rsidRPr="002D0DE8">
              <w:rPr>
                <w:rFonts w:asciiTheme="minorHAnsi" w:eastAsiaTheme="minorEastAsia" w:hAnsiTheme="minorHAnsi" w:cstheme="minorBidi"/>
                <w:bCs w:val="0"/>
                <w:lang w:val="es-GT" w:eastAsia="es-GT"/>
              </w:rPr>
              <w:t xml:space="preserve">  </w:t>
            </w:r>
            <w:r w:rsidR="005C20BF" w:rsidRPr="002D0DE8">
              <w:rPr>
                <w:rStyle w:val="Hipervnculo"/>
                <w:u w:val="none"/>
              </w:rPr>
              <w:t>Pasivos contingentes por Demandas Judiciales contra el Estado</w:t>
            </w:r>
            <w:r w:rsidR="005C20BF" w:rsidRPr="002D0DE8">
              <w:rPr>
                <w:webHidden/>
              </w:rPr>
              <w:tab/>
            </w:r>
            <w:r w:rsidR="005C20BF" w:rsidRPr="002D0DE8">
              <w:rPr>
                <w:webHidden/>
              </w:rPr>
              <w:fldChar w:fldCharType="begin"/>
            </w:r>
            <w:r w:rsidR="005C20BF" w:rsidRPr="002D0DE8">
              <w:rPr>
                <w:webHidden/>
              </w:rPr>
              <w:instrText xml:space="preserve"> PAGEREF _Toc83302184 \h </w:instrText>
            </w:r>
            <w:r w:rsidR="005C20BF" w:rsidRPr="002D0DE8">
              <w:rPr>
                <w:webHidden/>
              </w:rPr>
            </w:r>
            <w:r w:rsidR="005C20BF" w:rsidRPr="002D0DE8">
              <w:rPr>
                <w:webHidden/>
              </w:rPr>
              <w:fldChar w:fldCharType="separate"/>
            </w:r>
            <w:r w:rsidR="0004593C">
              <w:rPr>
                <w:webHidden/>
              </w:rPr>
              <w:t>61</w:t>
            </w:r>
            <w:r w:rsidR="005C20BF" w:rsidRPr="002D0DE8">
              <w:rPr>
                <w:webHidden/>
              </w:rPr>
              <w:fldChar w:fldCharType="end"/>
            </w:r>
          </w:hyperlink>
        </w:p>
        <w:p w14:paraId="1E8E4523" w14:textId="3F62506B"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85" w:history="1">
            <w:r w:rsidRPr="002D0DE8">
              <w:rPr>
                <w:rStyle w:val="Hipervnculo"/>
                <w:u w:val="none"/>
              </w:rPr>
              <w:t>8.1.</w:t>
            </w:r>
            <w:r w:rsidRPr="002D0DE8">
              <w:rPr>
                <w:rFonts w:asciiTheme="minorHAnsi" w:eastAsiaTheme="minorEastAsia" w:hAnsiTheme="minorHAnsi" w:cstheme="minorBidi"/>
                <w:bCs w:val="0"/>
                <w:lang w:val="es-GT" w:eastAsia="es-GT"/>
              </w:rPr>
              <w:tab/>
              <w:t xml:space="preserve"> </w:t>
            </w:r>
            <w:r w:rsidRPr="002D0DE8">
              <w:rPr>
                <w:rStyle w:val="Hipervnculo"/>
                <w:u w:val="none"/>
              </w:rPr>
              <w:t>Aspectos generales</w:t>
            </w:r>
            <w:r w:rsidRPr="002D0DE8">
              <w:rPr>
                <w:webHidden/>
              </w:rPr>
              <w:tab/>
            </w:r>
            <w:r w:rsidRPr="002D0DE8">
              <w:rPr>
                <w:webHidden/>
              </w:rPr>
              <w:fldChar w:fldCharType="begin"/>
            </w:r>
            <w:r w:rsidRPr="002D0DE8">
              <w:rPr>
                <w:webHidden/>
              </w:rPr>
              <w:instrText xml:space="preserve"> PAGEREF _Toc83302185 \h </w:instrText>
            </w:r>
            <w:r w:rsidRPr="002D0DE8">
              <w:rPr>
                <w:webHidden/>
              </w:rPr>
            </w:r>
            <w:r w:rsidRPr="002D0DE8">
              <w:rPr>
                <w:webHidden/>
              </w:rPr>
              <w:fldChar w:fldCharType="separate"/>
            </w:r>
            <w:r w:rsidR="0004593C">
              <w:rPr>
                <w:webHidden/>
              </w:rPr>
              <w:t>61</w:t>
            </w:r>
            <w:r w:rsidRPr="002D0DE8">
              <w:rPr>
                <w:webHidden/>
              </w:rPr>
              <w:fldChar w:fldCharType="end"/>
            </w:r>
          </w:hyperlink>
        </w:p>
        <w:p w14:paraId="52FF061D" w14:textId="4661EE13"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86" w:history="1">
            <w:r w:rsidRPr="002D0DE8">
              <w:rPr>
                <w:rStyle w:val="Hipervnculo"/>
                <w:u w:val="none"/>
              </w:rPr>
              <w:t>8.2.</w:t>
            </w:r>
            <w:r w:rsidRPr="002D0DE8">
              <w:rPr>
                <w:rFonts w:asciiTheme="minorHAnsi" w:eastAsiaTheme="minorEastAsia" w:hAnsiTheme="minorHAnsi" w:cstheme="minorBidi"/>
                <w:bCs w:val="0"/>
                <w:lang w:val="es-GT" w:eastAsia="es-GT"/>
              </w:rPr>
              <w:tab/>
              <w:t xml:space="preserve"> </w:t>
            </w:r>
            <w:r w:rsidRPr="002D0DE8">
              <w:rPr>
                <w:rStyle w:val="Hipervnculo"/>
                <w:u w:val="none"/>
              </w:rPr>
              <w:t>Evolución del gasto en sentencias judiciales</w:t>
            </w:r>
            <w:r w:rsidRPr="002D0DE8">
              <w:rPr>
                <w:webHidden/>
              </w:rPr>
              <w:tab/>
            </w:r>
            <w:r w:rsidRPr="002D0DE8">
              <w:rPr>
                <w:webHidden/>
              </w:rPr>
              <w:fldChar w:fldCharType="begin"/>
            </w:r>
            <w:r w:rsidRPr="002D0DE8">
              <w:rPr>
                <w:webHidden/>
              </w:rPr>
              <w:instrText xml:space="preserve"> PAGEREF _Toc83302186 \h </w:instrText>
            </w:r>
            <w:r w:rsidRPr="002D0DE8">
              <w:rPr>
                <w:webHidden/>
              </w:rPr>
            </w:r>
            <w:r w:rsidRPr="002D0DE8">
              <w:rPr>
                <w:webHidden/>
              </w:rPr>
              <w:fldChar w:fldCharType="separate"/>
            </w:r>
            <w:r w:rsidR="0004593C">
              <w:rPr>
                <w:webHidden/>
              </w:rPr>
              <w:t>62</w:t>
            </w:r>
            <w:r w:rsidRPr="002D0DE8">
              <w:rPr>
                <w:webHidden/>
              </w:rPr>
              <w:fldChar w:fldCharType="end"/>
            </w:r>
          </w:hyperlink>
        </w:p>
        <w:p w14:paraId="1C9A5B6E" w14:textId="66FF65E4"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87" w:history="1">
            <w:r w:rsidRPr="002D0DE8">
              <w:rPr>
                <w:rStyle w:val="Hipervnculo"/>
                <w:u w:val="none"/>
              </w:rPr>
              <w:t>8.3.</w:t>
            </w:r>
            <w:r w:rsidRPr="002D0DE8">
              <w:rPr>
                <w:rFonts w:asciiTheme="minorHAnsi" w:eastAsiaTheme="minorEastAsia" w:hAnsiTheme="minorHAnsi" w:cstheme="minorBidi"/>
                <w:bCs w:val="0"/>
                <w:lang w:val="es-GT" w:eastAsia="es-GT"/>
              </w:rPr>
              <w:tab/>
              <w:t xml:space="preserve"> </w:t>
            </w:r>
            <w:r w:rsidRPr="002D0DE8">
              <w:rPr>
                <w:rStyle w:val="Hipervnculo"/>
                <w:u w:val="none"/>
              </w:rPr>
              <w:t>Arbitraje internacional</w:t>
            </w:r>
            <w:r w:rsidRPr="002D0DE8">
              <w:rPr>
                <w:webHidden/>
              </w:rPr>
              <w:tab/>
            </w:r>
            <w:r w:rsidRPr="002D0DE8">
              <w:rPr>
                <w:webHidden/>
              </w:rPr>
              <w:fldChar w:fldCharType="begin"/>
            </w:r>
            <w:r w:rsidRPr="002D0DE8">
              <w:rPr>
                <w:webHidden/>
              </w:rPr>
              <w:instrText xml:space="preserve"> PAGEREF _Toc83302187 \h </w:instrText>
            </w:r>
            <w:r w:rsidRPr="002D0DE8">
              <w:rPr>
                <w:webHidden/>
              </w:rPr>
            </w:r>
            <w:r w:rsidRPr="002D0DE8">
              <w:rPr>
                <w:webHidden/>
              </w:rPr>
              <w:fldChar w:fldCharType="separate"/>
            </w:r>
            <w:r w:rsidR="0004593C">
              <w:rPr>
                <w:webHidden/>
              </w:rPr>
              <w:t>64</w:t>
            </w:r>
            <w:r w:rsidRPr="002D0DE8">
              <w:rPr>
                <w:webHidden/>
              </w:rPr>
              <w:fldChar w:fldCharType="end"/>
            </w:r>
          </w:hyperlink>
        </w:p>
        <w:p w14:paraId="68B25D15" w14:textId="3EF27B63"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88" w:history="1">
            <w:r w:rsidRPr="002D0DE8">
              <w:rPr>
                <w:rStyle w:val="Hipervnculo"/>
                <w:u w:val="none"/>
              </w:rPr>
              <w:t>8.4.</w:t>
            </w:r>
            <w:r w:rsidRPr="002D0DE8">
              <w:rPr>
                <w:rFonts w:asciiTheme="minorHAnsi" w:eastAsiaTheme="minorEastAsia" w:hAnsiTheme="minorHAnsi" w:cstheme="minorBidi"/>
                <w:bCs w:val="0"/>
                <w:lang w:val="es-GT" w:eastAsia="es-GT"/>
              </w:rPr>
              <w:tab/>
              <w:t xml:space="preserve"> </w:t>
            </w:r>
            <w:r w:rsidRPr="002D0DE8">
              <w:rPr>
                <w:rStyle w:val="Hipervnculo"/>
                <w:u w:val="none"/>
              </w:rPr>
              <w:t>Cuantificación del pasivo contingente por demandas judiciales</w:t>
            </w:r>
            <w:r w:rsidRPr="002D0DE8">
              <w:rPr>
                <w:webHidden/>
              </w:rPr>
              <w:tab/>
            </w:r>
            <w:r w:rsidRPr="002D0DE8">
              <w:rPr>
                <w:webHidden/>
              </w:rPr>
              <w:fldChar w:fldCharType="begin"/>
            </w:r>
            <w:r w:rsidRPr="002D0DE8">
              <w:rPr>
                <w:webHidden/>
              </w:rPr>
              <w:instrText xml:space="preserve"> PAGEREF _Toc83302188 \h </w:instrText>
            </w:r>
            <w:r w:rsidRPr="002D0DE8">
              <w:rPr>
                <w:webHidden/>
              </w:rPr>
            </w:r>
            <w:r w:rsidRPr="002D0DE8">
              <w:rPr>
                <w:webHidden/>
              </w:rPr>
              <w:fldChar w:fldCharType="separate"/>
            </w:r>
            <w:r w:rsidR="0004593C">
              <w:rPr>
                <w:webHidden/>
              </w:rPr>
              <w:t>67</w:t>
            </w:r>
            <w:r w:rsidRPr="002D0DE8">
              <w:rPr>
                <w:webHidden/>
              </w:rPr>
              <w:fldChar w:fldCharType="end"/>
            </w:r>
          </w:hyperlink>
        </w:p>
        <w:p w14:paraId="1DA9CB78" w14:textId="43CAF483"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89" w:history="1">
            <w:r w:rsidRPr="002D0DE8">
              <w:rPr>
                <w:rStyle w:val="Hipervnculo"/>
                <w:u w:val="none"/>
              </w:rPr>
              <w:t>8.5.</w:t>
            </w:r>
            <w:r w:rsidRPr="002D0DE8">
              <w:rPr>
                <w:rFonts w:asciiTheme="minorHAnsi" w:eastAsiaTheme="minorEastAsia" w:hAnsiTheme="minorHAnsi" w:cstheme="minorBidi"/>
                <w:bCs w:val="0"/>
                <w:lang w:val="es-GT" w:eastAsia="es-GT"/>
              </w:rPr>
              <w:tab/>
              <w:t xml:space="preserve"> </w:t>
            </w:r>
            <w:r w:rsidRPr="002D0DE8">
              <w:rPr>
                <w:rStyle w:val="Hipervnculo"/>
                <w:u w:val="none"/>
              </w:rPr>
              <w:t>Pasos importantes para una adecuada gestión de riesgo</w:t>
            </w:r>
            <w:r w:rsidRPr="002D0DE8">
              <w:rPr>
                <w:webHidden/>
              </w:rPr>
              <w:tab/>
            </w:r>
            <w:r w:rsidRPr="002D0DE8">
              <w:rPr>
                <w:webHidden/>
              </w:rPr>
              <w:fldChar w:fldCharType="begin"/>
            </w:r>
            <w:r w:rsidRPr="002D0DE8">
              <w:rPr>
                <w:webHidden/>
              </w:rPr>
              <w:instrText xml:space="preserve"> PAGEREF _Toc83302189 \h </w:instrText>
            </w:r>
            <w:r w:rsidRPr="002D0DE8">
              <w:rPr>
                <w:webHidden/>
              </w:rPr>
            </w:r>
            <w:r w:rsidRPr="002D0DE8">
              <w:rPr>
                <w:webHidden/>
              </w:rPr>
              <w:fldChar w:fldCharType="separate"/>
            </w:r>
            <w:r w:rsidR="0004593C">
              <w:rPr>
                <w:webHidden/>
              </w:rPr>
              <w:t>68</w:t>
            </w:r>
            <w:r w:rsidRPr="002D0DE8">
              <w:rPr>
                <w:webHidden/>
              </w:rPr>
              <w:fldChar w:fldCharType="end"/>
            </w:r>
          </w:hyperlink>
        </w:p>
        <w:p w14:paraId="15EF7018" w14:textId="642B1652" w:rsidR="005C20BF" w:rsidRPr="002D0DE8" w:rsidRDefault="00034E64">
          <w:pPr>
            <w:pStyle w:val="TDC1"/>
            <w:rPr>
              <w:rFonts w:asciiTheme="minorHAnsi" w:eastAsiaTheme="minorEastAsia" w:hAnsiTheme="minorHAnsi" w:cstheme="minorBidi"/>
              <w:bCs w:val="0"/>
              <w:lang w:val="es-GT" w:eastAsia="es-GT"/>
            </w:rPr>
          </w:pPr>
          <w:hyperlink w:anchor="_Toc83302190" w:history="1">
            <w:r w:rsidR="005C20BF" w:rsidRPr="002D0DE8">
              <w:rPr>
                <w:rStyle w:val="Hipervnculo"/>
                <w:u w:val="none"/>
              </w:rPr>
              <w:t>9.</w:t>
            </w:r>
            <w:r w:rsidR="005C20BF" w:rsidRPr="002D0DE8">
              <w:rPr>
                <w:rFonts w:asciiTheme="minorHAnsi" w:eastAsiaTheme="minorEastAsia" w:hAnsiTheme="minorHAnsi" w:cstheme="minorBidi"/>
                <w:bCs w:val="0"/>
                <w:lang w:val="es-GT" w:eastAsia="es-GT"/>
              </w:rPr>
              <w:t xml:space="preserve">  </w:t>
            </w:r>
            <w:r w:rsidR="005C20BF" w:rsidRPr="002D0DE8">
              <w:rPr>
                <w:rStyle w:val="Hipervnculo"/>
                <w:u w:val="none"/>
              </w:rPr>
              <w:t>Riesgos de desastres provocados por fenómenos naturales</w:t>
            </w:r>
            <w:r w:rsidR="005C20BF" w:rsidRPr="002D0DE8">
              <w:rPr>
                <w:webHidden/>
              </w:rPr>
              <w:tab/>
            </w:r>
            <w:r w:rsidR="005C20BF" w:rsidRPr="002D0DE8">
              <w:rPr>
                <w:webHidden/>
              </w:rPr>
              <w:fldChar w:fldCharType="begin"/>
            </w:r>
            <w:r w:rsidR="005C20BF" w:rsidRPr="002D0DE8">
              <w:rPr>
                <w:webHidden/>
              </w:rPr>
              <w:instrText xml:space="preserve"> PAGEREF _Toc83302190 \h </w:instrText>
            </w:r>
            <w:r w:rsidR="005C20BF" w:rsidRPr="002D0DE8">
              <w:rPr>
                <w:webHidden/>
              </w:rPr>
            </w:r>
            <w:r w:rsidR="005C20BF" w:rsidRPr="002D0DE8">
              <w:rPr>
                <w:webHidden/>
              </w:rPr>
              <w:fldChar w:fldCharType="separate"/>
            </w:r>
            <w:r w:rsidR="0004593C">
              <w:rPr>
                <w:webHidden/>
              </w:rPr>
              <w:t>69</w:t>
            </w:r>
            <w:r w:rsidR="005C20BF" w:rsidRPr="002D0DE8">
              <w:rPr>
                <w:webHidden/>
              </w:rPr>
              <w:fldChar w:fldCharType="end"/>
            </w:r>
          </w:hyperlink>
        </w:p>
        <w:p w14:paraId="1DAC16B9" w14:textId="11A6FFD4"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91" w:history="1">
            <w:r w:rsidRPr="002D0DE8">
              <w:rPr>
                <w:rStyle w:val="Hipervnculo"/>
                <w:u w:val="none"/>
              </w:rPr>
              <w:t>9.1.</w:t>
            </w:r>
            <w:r w:rsidRPr="002D0DE8">
              <w:rPr>
                <w:rFonts w:asciiTheme="minorHAnsi" w:eastAsiaTheme="minorEastAsia" w:hAnsiTheme="minorHAnsi" w:cstheme="minorBidi"/>
                <w:bCs w:val="0"/>
                <w:lang w:val="es-GT" w:eastAsia="es-GT"/>
              </w:rPr>
              <w:tab/>
              <w:t xml:space="preserve"> </w:t>
            </w:r>
            <w:r w:rsidRPr="002D0DE8">
              <w:rPr>
                <w:rStyle w:val="Hipervnculo"/>
                <w:u w:val="none"/>
              </w:rPr>
              <w:t>Aspectos Generales</w:t>
            </w:r>
            <w:r w:rsidRPr="002D0DE8">
              <w:rPr>
                <w:webHidden/>
              </w:rPr>
              <w:tab/>
            </w:r>
            <w:r w:rsidRPr="002D0DE8">
              <w:rPr>
                <w:webHidden/>
              </w:rPr>
              <w:fldChar w:fldCharType="begin"/>
            </w:r>
            <w:r w:rsidRPr="002D0DE8">
              <w:rPr>
                <w:webHidden/>
              </w:rPr>
              <w:instrText xml:space="preserve"> PAGEREF _Toc83302191 \h </w:instrText>
            </w:r>
            <w:r w:rsidRPr="002D0DE8">
              <w:rPr>
                <w:webHidden/>
              </w:rPr>
            </w:r>
            <w:r w:rsidRPr="002D0DE8">
              <w:rPr>
                <w:webHidden/>
              </w:rPr>
              <w:fldChar w:fldCharType="separate"/>
            </w:r>
            <w:r w:rsidR="0004593C">
              <w:rPr>
                <w:webHidden/>
              </w:rPr>
              <w:t>69</w:t>
            </w:r>
            <w:r w:rsidRPr="002D0DE8">
              <w:rPr>
                <w:webHidden/>
              </w:rPr>
              <w:fldChar w:fldCharType="end"/>
            </w:r>
          </w:hyperlink>
        </w:p>
        <w:p w14:paraId="6DF06E0D" w14:textId="7F5555F4"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92" w:history="1">
            <w:r w:rsidRPr="002D0DE8">
              <w:rPr>
                <w:rStyle w:val="Hipervnculo"/>
                <w:u w:val="none"/>
              </w:rPr>
              <w:t>9.2.</w:t>
            </w:r>
            <w:r w:rsidRPr="002D0DE8">
              <w:rPr>
                <w:rFonts w:asciiTheme="minorHAnsi" w:eastAsiaTheme="minorEastAsia" w:hAnsiTheme="minorHAnsi" w:cstheme="minorBidi"/>
                <w:bCs w:val="0"/>
                <w:lang w:val="es-GT" w:eastAsia="es-GT"/>
              </w:rPr>
              <w:tab/>
              <w:t xml:space="preserve"> </w:t>
            </w:r>
            <w:r w:rsidRPr="002D0DE8">
              <w:rPr>
                <w:rStyle w:val="Hipervnculo"/>
                <w:u w:val="none"/>
              </w:rPr>
              <w:t>Desastres provocados por fenómenos naturales en Guatemala</w:t>
            </w:r>
            <w:r w:rsidRPr="002D0DE8">
              <w:rPr>
                <w:webHidden/>
              </w:rPr>
              <w:tab/>
            </w:r>
            <w:r w:rsidRPr="002D0DE8">
              <w:rPr>
                <w:webHidden/>
              </w:rPr>
              <w:fldChar w:fldCharType="begin"/>
            </w:r>
            <w:r w:rsidRPr="002D0DE8">
              <w:rPr>
                <w:webHidden/>
              </w:rPr>
              <w:instrText xml:space="preserve"> PAGEREF _Toc83302192 \h </w:instrText>
            </w:r>
            <w:r w:rsidRPr="002D0DE8">
              <w:rPr>
                <w:webHidden/>
              </w:rPr>
            </w:r>
            <w:r w:rsidRPr="002D0DE8">
              <w:rPr>
                <w:webHidden/>
              </w:rPr>
              <w:fldChar w:fldCharType="separate"/>
            </w:r>
            <w:r w:rsidR="0004593C">
              <w:rPr>
                <w:webHidden/>
              </w:rPr>
              <w:t>70</w:t>
            </w:r>
            <w:r w:rsidRPr="002D0DE8">
              <w:rPr>
                <w:webHidden/>
              </w:rPr>
              <w:fldChar w:fldCharType="end"/>
            </w:r>
          </w:hyperlink>
        </w:p>
        <w:p w14:paraId="3BBAE76D" w14:textId="3C82FAE3"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93" w:history="1">
            <w:r w:rsidRPr="002D0DE8">
              <w:rPr>
                <w:rStyle w:val="Hipervnculo"/>
                <w:u w:val="none"/>
              </w:rPr>
              <w:t>9.2.1.</w:t>
            </w:r>
            <w:r w:rsidRPr="002D0DE8">
              <w:rPr>
                <w:rFonts w:asciiTheme="minorHAnsi" w:eastAsiaTheme="minorEastAsia" w:hAnsiTheme="minorHAnsi" w:cstheme="minorBidi"/>
                <w:bCs w:val="0"/>
                <w:lang w:val="es-GT" w:eastAsia="es-GT"/>
              </w:rPr>
              <w:tab/>
              <w:t xml:space="preserve">  </w:t>
            </w:r>
            <w:r w:rsidRPr="002D0DE8">
              <w:rPr>
                <w:rStyle w:val="Hipervnculo"/>
                <w:u w:val="none"/>
              </w:rPr>
              <w:t>Amanda y Cristóbal</w:t>
            </w:r>
            <w:r w:rsidRPr="002D0DE8">
              <w:rPr>
                <w:webHidden/>
              </w:rPr>
              <w:tab/>
            </w:r>
            <w:r w:rsidRPr="002D0DE8">
              <w:rPr>
                <w:webHidden/>
              </w:rPr>
              <w:fldChar w:fldCharType="begin"/>
            </w:r>
            <w:r w:rsidRPr="002D0DE8">
              <w:rPr>
                <w:webHidden/>
              </w:rPr>
              <w:instrText xml:space="preserve"> PAGEREF _Toc83302193 \h </w:instrText>
            </w:r>
            <w:r w:rsidRPr="002D0DE8">
              <w:rPr>
                <w:webHidden/>
              </w:rPr>
            </w:r>
            <w:r w:rsidRPr="002D0DE8">
              <w:rPr>
                <w:webHidden/>
              </w:rPr>
              <w:fldChar w:fldCharType="separate"/>
            </w:r>
            <w:r w:rsidR="0004593C">
              <w:rPr>
                <w:webHidden/>
              </w:rPr>
              <w:t>70</w:t>
            </w:r>
            <w:r w:rsidRPr="002D0DE8">
              <w:rPr>
                <w:webHidden/>
              </w:rPr>
              <w:fldChar w:fldCharType="end"/>
            </w:r>
          </w:hyperlink>
        </w:p>
        <w:p w14:paraId="0C4D206F" w14:textId="2CD7425C" w:rsidR="005C20BF" w:rsidRPr="002D0DE8" w:rsidRDefault="005C20BF">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94" w:history="1">
            <w:r w:rsidRPr="002D0DE8">
              <w:rPr>
                <w:rStyle w:val="Hipervnculo"/>
                <w:u w:val="none"/>
              </w:rPr>
              <w:t>9.2.2.</w:t>
            </w:r>
            <w:r w:rsidRPr="002D0DE8">
              <w:rPr>
                <w:rFonts w:asciiTheme="minorHAnsi" w:eastAsiaTheme="minorEastAsia" w:hAnsiTheme="minorHAnsi" w:cstheme="minorBidi"/>
                <w:bCs w:val="0"/>
                <w:lang w:val="es-GT" w:eastAsia="es-GT"/>
              </w:rPr>
              <w:tab/>
            </w:r>
            <w:r w:rsidR="002D0DE8" w:rsidRPr="002D0DE8">
              <w:rPr>
                <w:rFonts w:asciiTheme="minorHAnsi" w:eastAsiaTheme="minorEastAsia" w:hAnsiTheme="minorHAnsi" w:cstheme="minorBidi"/>
                <w:bCs w:val="0"/>
                <w:lang w:val="es-GT" w:eastAsia="es-GT"/>
              </w:rPr>
              <w:t xml:space="preserve">  </w:t>
            </w:r>
            <w:r w:rsidRPr="002D0DE8">
              <w:rPr>
                <w:rStyle w:val="Hipervnculo"/>
                <w:u w:val="none"/>
              </w:rPr>
              <w:t>Eta y Iota</w:t>
            </w:r>
            <w:r w:rsidRPr="002D0DE8">
              <w:rPr>
                <w:webHidden/>
              </w:rPr>
              <w:tab/>
            </w:r>
            <w:r w:rsidRPr="002D0DE8">
              <w:rPr>
                <w:webHidden/>
              </w:rPr>
              <w:fldChar w:fldCharType="begin"/>
            </w:r>
            <w:r w:rsidRPr="002D0DE8">
              <w:rPr>
                <w:webHidden/>
              </w:rPr>
              <w:instrText xml:space="preserve"> PAGEREF _Toc83302194 \h </w:instrText>
            </w:r>
            <w:r w:rsidRPr="002D0DE8">
              <w:rPr>
                <w:webHidden/>
              </w:rPr>
            </w:r>
            <w:r w:rsidRPr="002D0DE8">
              <w:rPr>
                <w:webHidden/>
              </w:rPr>
              <w:fldChar w:fldCharType="separate"/>
            </w:r>
            <w:r w:rsidR="0004593C">
              <w:rPr>
                <w:webHidden/>
              </w:rPr>
              <w:t>71</w:t>
            </w:r>
            <w:r w:rsidRPr="002D0DE8">
              <w:rPr>
                <w:webHidden/>
              </w:rPr>
              <w:fldChar w:fldCharType="end"/>
            </w:r>
          </w:hyperlink>
        </w:p>
        <w:p w14:paraId="05E20204" w14:textId="46A485A9" w:rsidR="005C20BF" w:rsidRPr="002D0DE8" w:rsidRDefault="002D0DE8">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95" w:history="1">
            <w:r w:rsidR="005C20BF" w:rsidRPr="002D0DE8">
              <w:rPr>
                <w:rStyle w:val="Hipervnculo"/>
                <w:u w:val="none"/>
                <w:lang w:val="es-ES" w:eastAsia="en-US"/>
              </w:rPr>
              <w:t>9.3.</w:t>
            </w:r>
            <w:r w:rsidRPr="002D0DE8">
              <w:rPr>
                <w:rFonts w:asciiTheme="minorHAnsi" w:eastAsiaTheme="minorEastAsia" w:hAnsiTheme="minorHAnsi" w:cstheme="minorBidi"/>
                <w:bCs w:val="0"/>
                <w:lang w:val="es-GT" w:eastAsia="es-GT"/>
              </w:rPr>
              <w:t xml:space="preserve">  </w:t>
            </w:r>
            <w:r w:rsidR="005C20BF" w:rsidRPr="002D0DE8">
              <w:rPr>
                <w:rStyle w:val="Hipervnculo"/>
                <w:u w:val="none"/>
              </w:rPr>
              <w:t>Estrategia Financiera ante el riesgo de desastres</w:t>
            </w:r>
            <w:r w:rsidR="005C20BF" w:rsidRPr="002D0DE8">
              <w:rPr>
                <w:webHidden/>
              </w:rPr>
              <w:tab/>
            </w:r>
            <w:r w:rsidR="005C20BF" w:rsidRPr="002D0DE8">
              <w:rPr>
                <w:webHidden/>
              </w:rPr>
              <w:fldChar w:fldCharType="begin"/>
            </w:r>
            <w:r w:rsidR="005C20BF" w:rsidRPr="002D0DE8">
              <w:rPr>
                <w:webHidden/>
              </w:rPr>
              <w:instrText xml:space="preserve"> PAGEREF _Toc83302195 \h </w:instrText>
            </w:r>
            <w:r w:rsidR="005C20BF" w:rsidRPr="002D0DE8">
              <w:rPr>
                <w:webHidden/>
              </w:rPr>
            </w:r>
            <w:r w:rsidR="005C20BF" w:rsidRPr="002D0DE8">
              <w:rPr>
                <w:webHidden/>
              </w:rPr>
              <w:fldChar w:fldCharType="separate"/>
            </w:r>
            <w:r w:rsidR="0004593C">
              <w:rPr>
                <w:webHidden/>
              </w:rPr>
              <w:t>71</w:t>
            </w:r>
            <w:r w:rsidR="005C20BF" w:rsidRPr="002D0DE8">
              <w:rPr>
                <w:webHidden/>
              </w:rPr>
              <w:fldChar w:fldCharType="end"/>
            </w:r>
          </w:hyperlink>
        </w:p>
        <w:p w14:paraId="4A741610" w14:textId="484514E5" w:rsidR="005C20BF" w:rsidRPr="002D0DE8" w:rsidRDefault="002D0DE8">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96" w:history="1">
            <w:r w:rsidR="005C20BF" w:rsidRPr="002D0DE8">
              <w:rPr>
                <w:rStyle w:val="Hipervnculo"/>
                <w:u w:val="none"/>
              </w:rPr>
              <w:t>9.3.1.</w:t>
            </w:r>
            <w:r w:rsidRPr="002D0DE8">
              <w:rPr>
                <w:rStyle w:val="Hipervnculo"/>
                <w:u w:val="none"/>
              </w:rPr>
              <w:t xml:space="preserve">  </w:t>
            </w:r>
            <w:r w:rsidR="005C20BF" w:rsidRPr="002D0DE8">
              <w:rPr>
                <w:rStyle w:val="Hipervnculo"/>
                <w:u w:val="none"/>
              </w:rPr>
              <w:t>Mecanismo de Seguro contra riesgos de catástrofes del caribe -CCRIF-</w:t>
            </w:r>
            <w:r w:rsidR="005C20BF" w:rsidRPr="002D0DE8">
              <w:rPr>
                <w:webHidden/>
              </w:rPr>
              <w:tab/>
            </w:r>
            <w:r w:rsidR="005C20BF" w:rsidRPr="002D0DE8">
              <w:rPr>
                <w:webHidden/>
              </w:rPr>
              <w:fldChar w:fldCharType="begin"/>
            </w:r>
            <w:r w:rsidR="005C20BF" w:rsidRPr="002D0DE8">
              <w:rPr>
                <w:webHidden/>
              </w:rPr>
              <w:instrText xml:space="preserve"> PAGEREF _Toc83302196 \h </w:instrText>
            </w:r>
            <w:r w:rsidR="005C20BF" w:rsidRPr="002D0DE8">
              <w:rPr>
                <w:webHidden/>
              </w:rPr>
            </w:r>
            <w:r w:rsidR="005C20BF" w:rsidRPr="002D0DE8">
              <w:rPr>
                <w:webHidden/>
              </w:rPr>
              <w:fldChar w:fldCharType="separate"/>
            </w:r>
            <w:r w:rsidR="0004593C">
              <w:rPr>
                <w:webHidden/>
              </w:rPr>
              <w:t>72</w:t>
            </w:r>
            <w:r w:rsidR="005C20BF" w:rsidRPr="002D0DE8">
              <w:rPr>
                <w:webHidden/>
              </w:rPr>
              <w:fldChar w:fldCharType="end"/>
            </w:r>
          </w:hyperlink>
        </w:p>
        <w:p w14:paraId="627F5002" w14:textId="261A7180" w:rsidR="005C20BF" w:rsidRPr="002D0DE8" w:rsidRDefault="002D0DE8">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97" w:history="1">
            <w:r w:rsidR="005C20BF" w:rsidRPr="002D0DE8">
              <w:rPr>
                <w:rStyle w:val="Hipervnculo"/>
                <w:u w:val="none"/>
              </w:rPr>
              <w:t>9.3.2.</w:t>
            </w:r>
            <w:r w:rsidRPr="002D0DE8">
              <w:rPr>
                <w:rStyle w:val="Hipervnculo"/>
                <w:u w:val="none"/>
              </w:rPr>
              <w:t xml:space="preserve">  </w:t>
            </w:r>
            <w:r w:rsidR="005C20BF" w:rsidRPr="002D0DE8">
              <w:rPr>
                <w:rStyle w:val="Hipervnculo"/>
                <w:u w:val="none"/>
              </w:rPr>
              <w:t>Operación en gestión préstamo contingente para Emergencias por Desastres Naturales</w:t>
            </w:r>
            <w:r w:rsidR="005C20BF" w:rsidRPr="002D0DE8">
              <w:rPr>
                <w:webHidden/>
              </w:rPr>
              <w:tab/>
            </w:r>
            <w:r w:rsidR="005C20BF" w:rsidRPr="002D0DE8">
              <w:rPr>
                <w:webHidden/>
              </w:rPr>
              <w:fldChar w:fldCharType="begin"/>
            </w:r>
            <w:r w:rsidR="005C20BF" w:rsidRPr="002D0DE8">
              <w:rPr>
                <w:webHidden/>
              </w:rPr>
              <w:instrText xml:space="preserve"> PAGEREF _Toc83302197 \h </w:instrText>
            </w:r>
            <w:r w:rsidR="005C20BF" w:rsidRPr="002D0DE8">
              <w:rPr>
                <w:webHidden/>
              </w:rPr>
            </w:r>
            <w:r w:rsidR="005C20BF" w:rsidRPr="002D0DE8">
              <w:rPr>
                <w:webHidden/>
              </w:rPr>
              <w:fldChar w:fldCharType="separate"/>
            </w:r>
            <w:r w:rsidR="0004593C">
              <w:rPr>
                <w:webHidden/>
              </w:rPr>
              <w:t>72</w:t>
            </w:r>
            <w:r w:rsidR="005C20BF" w:rsidRPr="002D0DE8">
              <w:rPr>
                <w:webHidden/>
              </w:rPr>
              <w:fldChar w:fldCharType="end"/>
            </w:r>
          </w:hyperlink>
        </w:p>
        <w:p w14:paraId="492D41A8" w14:textId="75C36049" w:rsidR="005C20BF" w:rsidRPr="002D0DE8" w:rsidRDefault="002D0DE8">
          <w:pPr>
            <w:pStyle w:val="TDC1"/>
            <w:rPr>
              <w:rFonts w:asciiTheme="minorHAnsi" w:eastAsiaTheme="minorEastAsia" w:hAnsiTheme="minorHAnsi" w:cstheme="minorBidi"/>
              <w:bCs w:val="0"/>
              <w:lang w:val="es-GT" w:eastAsia="es-GT"/>
            </w:rPr>
          </w:pPr>
          <w:r w:rsidRPr="002D0DE8">
            <w:rPr>
              <w:rStyle w:val="Hipervnculo"/>
              <w:u w:val="none"/>
            </w:rPr>
            <w:t xml:space="preserve">        </w:t>
          </w:r>
          <w:hyperlink w:anchor="_Toc83302198" w:history="1">
            <w:r w:rsidR="005C20BF" w:rsidRPr="002D0DE8">
              <w:rPr>
                <w:rStyle w:val="Hipervnculo"/>
                <w:u w:val="none"/>
              </w:rPr>
              <w:t>9.3.3.</w:t>
            </w:r>
            <w:r w:rsidRPr="002D0DE8">
              <w:rPr>
                <w:rStyle w:val="Hipervnculo"/>
                <w:u w:val="none"/>
              </w:rPr>
              <w:t xml:space="preserve">  </w:t>
            </w:r>
            <w:r w:rsidR="005C20BF" w:rsidRPr="002D0DE8">
              <w:rPr>
                <w:rStyle w:val="Hipervnculo"/>
                <w:u w:val="none"/>
              </w:rPr>
              <w:t>Programa de Reducción de Emisiones (Bonos de Carbono)</w:t>
            </w:r>
            <w:r w:rsidR="005C20BF" w:rsidRPr="002D0DE8">
              <w:rPr>
                <w:webHidden/>
              </w:rPr>
              <w:tab/>
            </w:r>
            <w:r w:rsidR="005C20BF" w:rsidRPr="002D0DE8">
              <w:rPr>
                <w:webHidden/>
              </w:rPr>
              <w:fldChar w:fldCharType="begin"/>
            </w:r>
            <w:r w:rsidR="005C20BF" w:rsidRPr="002D0DE8">
              <w:rPr>
                <w:webHidden/>
              </w:rPr>
              <w:instrText xml:space="preserve"> PAGEREF _Toc83302198 \h </w:instrText>
            </w:r>
            <w:r w:rsidR="005C20BF" w:rsidRPr="002D0DE8">
              <w:rPr>
                <w:webHidden/>
              </w:rPr>
            </w:r>
            <w:r w:rsidR="005C20BF" w:rsidRPr="002D0DE8">
              <w:rPr>
                <w:webHidden/>
              </w:rPr>
              <w:fldChar w:fldCharType="separate"/>
            </w:r>
            <w:r w:rsidR="0004593C">
              <w:rPr>
                <w:webHidden/>
              </w:rPr>
              <w:t>73</w:t>
            </w:r>
            <w:r w:rsidR="005C20BF" w:rsidRPr="002D0DE8">
              <w:rPr>
                <w:webHidden/>
              </w:rPr>
              <w:fldChar w:fldCharType="end"/>
            </w:r>
          </w:hyperlink>
        </w:p>
        <w:p w14:paraId="6DE4247F" w14:textId="67B4AFB2" w:rsidR="007B1299" w:rsidRDefault="008A5924" w:rsidP="007B1299">
          <w:pPr>
            <w:ind w:left="567"/>
            <w:rPr>
              <w:sz w:val="22"/>
              <w:lang w:val="es-ES"/>
            </w:rPr>
          </w:pPr>
          <w:r w:rsidRPr="008E29F1">
            <w:rPr>
              <w:rStyle w:val="Hipervnculo"/>
              <w:color w:val="auto"/>
              <w:sz w:val="22"/>
            </w:rPr>
            <w:fldChar w:fldCharType="end"/>
          </w:r>
        </w:p>
      </w:sdtContent>
    </w:sdt>
    <w:p w14:paraId="5C93062A" w14:textId="578B7867" w:rsidR="00BF7747" w:rsidRDefault="00BF7747" w:rsidP="00B51A48">
      <w:pPr>
        <w:rPr>
          <w:sz w:val="22"/>
          <w:lang w:val="es-ES"/>
        </w:rPr>
      </w:pPr>
    </w:p>
    <w:p w14:paraId="1C96F989" w14:textId="545C0ADC" w:rsidR="002D0DE8" w:rsidRDefault="002D0DE8" w:rsidP="00B51A48">
      <w:pPr>
        <w:rPr>
          <w:sz w:val="22"/>
          <w:lang w:val="es-ES"/>
        </w:rPr>
      </w:pPr>
    </w:p>
    <w:p w14:paraId="6A196A05" w14:textId="77777777" w:rsidR="002D0DE8" w:rsidRPr="007B1299" w:rsidRDefault="002D0DE8" w:rsidP="00B51A48">
      <w:pPr>
        <w:rPr>
          <w:sz w:val="22"/>
          <w:lang w:val="es-ES"/>
        </w:rPr>
      </w:pPr>
    </w:p>
    <w:p w14:paraId="64590EC6" w14:textId="25675DAA" w:rsidR="008A5924" w:rsidRDefault="008A5924" w:rsidP="00B51A48">
      <w:pPr>
        <w:pStyle w:val="Ttulo1"/>
        <w:widowControl/>
        <w:numPr>
          <w:ilvl w:val="0"/>
          <w:numId w:val="5"/>
        </w:numPr>
        <w:jc w:val="left"/>
        <w:rPr>
          <w:color w:val="1F3864" w:themeColor="accent1" w:themeShade="80"/>
          <w:sz w:val="28"/>
          <w:szCs w:val="28"/>
        </w:rPr>
      </w:pPr>
      <w:bookmarkStart w:id="1" w:name="_Toc83302152"/>
      <w:r w:rsidRPr="00DE1D8D">
        <w:rPr>
          <w:color w:val="1F3864" w:themeColor="accent1" w:themeShade="80"/>
          <w:sz w:val="28"/>
          <w:szCs w:val="28"/>
        </w:rPr>
        <w:lastRenderedPageBreak/>
        <w:t>Riesgos Macroeconómicos</w:t>
      </w:r>
      <w:bookmarkEnd w:id="1"/>
    </w:p>
    <w:p w14:paraId="0980FB8F" w14:textId="77777777" w:rsidR="00BF7747" w:rsidRPr="00BF7747" w:rsidRDefault="00BF7747" w:rsidP="00272A4B"/>
    <w:p w14:paraId="49DDE9B7" w14:textId="77777777" w:rsidR="00DE1D8D" w:rsidRPr="00DE1D8D" w:rsidRDefault="00DE1D8D" w:rsidP="00DE1D8D">
      <w:pPr>
        <w:pStyle w:val="Prrafodelista"/>
        <w:ind w:left="567" w:right="49"/>
        <w:jc w:val="both"/>
        <w:rPr>
          <w:sz w:val="24"/>
          <w:szCs w:val="24"/>
          <w:lang w:val="es-ES"/>
        </w:rPr>
      </w:pPr>
      <w:r w:rsidRPr="00DE1D8D">
        <w:rPr>
          <w:sz w:val="24"/>
          <w:szCs w:val="24"/>
          <w:lang w:val="es-ES"/>
        </w:rPr>
        <w:t>Los riesgos macroeconómicos están determinados por los cambios en la trayectoria de las variables macroeconómicas tanto del sector externo como de la economía doméstica, en este último haciendo especial énfasis en el crecimiento nominal y real de la economía, el comportamiento del comercio exterior (exportaciones e importaciones), algunos precios macroeconómicos como la inflación, las tasas de interés, el tipo de cambio, y otros factores como la liquidez del gobierno y de la economía, así como la materialización de pasivos contingentes.</w:t>
      </w:r>
    </w:p>
    <w:p w14:paraId="615BE061" w14:textId="77777777" w:rsidR="00246A61" w:rsidRPr="00DE1D8D" w:rsidRDefault="00246A61" w:rsidP="00246A61">
      <w:pPr>
        <w:pStyle w:val="Ttulo1"/>
        <w:widowControl/>
        <w:numPr>
          <w:ilvl w:val="1"/>
          <w:numId w:val="5"/>
        </w:numPr>
        <w:spacing w:before="240" w:after="60"/>
        <w:ind w:left="993" w:right="49"/>
        <w:jc w:val="left"/>
        <w:rPr>
          <w:b w:val="0"/>
          <w:color w:val="1F3864" w:themeColor="accent1" w:themeShade="80"/>
          <w:sz w:val="24"/>
          <w:szCs w:val="24"/>
        </w:rPr>
      </w:pPr>
      <w:bookmarkStart w:id="2" w:name="_Toc83302153"/>
      <w:r w:rsidRPr="00DE1D8D">
        <w:rPr>
          <w:color w:val="1F3864" w:themeColor="accent1" w:themeShade="80"/>
          <w:sz w:val="24"/>
          <w:szCs w:val="24"/>
        </w:rPr>
        <w:t xml:space="preserve">Riesgos en el sector </w:t>
      </w:r>
      <w:r w:rsidRPr="007038F0">
        <w:rPr>
          <w:color w:val="1F3864" w:themeColor="accent1" w:themeShade="80"/>
          <w:sz w:val="24"/>
          <w:szCs w:val="24"/>
        </w:rPr>
        <w:t>externo</w:t>
      </w:r>
      <w:r w:rsidRPr="00DE1D8D">
        <w:rPr>
          <w:color w:val="1F3864" w:themeColor="accent1" w:themeShade="80"/>
          <w:sz w:val="24"/>
          <w:szCs w:val="24"/>
        </w:rPr>
        <w:t>.  Desviaciones en los pronósticos en la economía mundial</w:t>
      </w:r>
      <w:bookmarkEnd w:id="2"/>
      <w:r w:rsidRPr="00DE1D8D">
        <w:rPr>
          <w:color w:val="1F3864" w:themeColor="accent1" w:themeShade="80"/>
          <w:sz w:val="24"/>
          <w:szCs w:val="24"/>
        </w:rPr>
        <w:t xml:space="preserve"> </w:t>
      </w:r>
    </w:p>
    <w:p w14:paraId="1CBBCD58" w14:textId="77777777" w:rsidR="00246A61" w:rsidRPr="00DE1D8D" w:rsidRDefault="00246A61" w:rsidP="00246A61">
      <w:pPr>
        <w:pStyle w:val="Sinespaciado"/>
        <w:ind w:left="708" w:right="49" w:hanging="141"/>
        <w:jc w:val="both"/>
        <w:rPr>
          <w:rFonts w:ascii="Times New Roman" w:hAnsi="Times New Roman"/>
          <w:color w:val="FF0000"/>
          <w:sz w:val="24"/>
          <w:szCs w:val="24"/>
        </w:rPr>
      </w:pPr>
    </w:p>
    <w:p w14:paraId="6BC17638" w14:textId="77777777" w:rsidR="00DE1D8D" w:rsidRDefault="00DE1D8D" w:rsidP="00DE1D8D">
      <w:pPr>
        <w:pStyle w:val="Sinespaciado"/>
        <w:ind w:left="567" w:right="49"/>
        <w:jc w:val="both"/>
        <w:rPr>
          <w:rFonts w:ascii="Times New Roman" w:hAnsi="Times New Roman"/>
          <w:sz w:val="24"/>
          <w:szCs w:val="24"/>
        </w:rPr>
      </w:pPr>
      <w:r w:rsidRPr="00377B1F">
        <w:rPr>
          <w:rFonts w:ascii="Times New Roman" w:hAnsi="Times New Roman"/>
          <w:sz w:val="24"/>
          <w:szCs w:val="24"/>
        </w:rPr>
        <w:t xml:space="preserve">Cuando comenzó 2020, la economía global acababa de alcanzar su décimo año consecutivo de crecimiento ininterrumpido, una </w:t>
      </w:r>
      <w:r>
        <w:rPr>
          <w:rFonts w:ascii="Times New Roman" w:hAnsi="Times New Roman"/>
          <w:sz w:val="24"/>
          <w:szCs w:val="24"/>
        </w:rPr>
        <w:t>situación</w:t>
      </w:r>
      <w:r w:rsidRPr="00377B1F">
        <w:rPr>
          <w:rFonts w:ascii="Times New Roman" w:hAnsi="Times New Roman"/>
          <w:sz w:val="24"/>
          <w:szCs w:val="24"/>
        </w:rPr>
        <w:t xml:space="preserve"> que la mayoría de los economistas y autoridades de finanzas gubernamentales esperaban que persistiera durante los próximos años</w:t>
      </w:r>
      <w:r>
        <w:rPr>
          <w:rFonts w:ascii="Times New Roman" w:hAnsi="Times New Roman"/>
          <w:sz w:val="24"/>
          <w:szCs w:val="24"/>
        </w:rPr>
        <w:t xml:space="preserve">.  En el primer semestre del 2020 las </w:t>
      </w:r>
      <w:r w:rsidRPr="00DB3D13">
        <w:rPr>
          <w:rFonts w:ascii="Times New Roman" w:hAnsi="Times New Roman"/>
          <w:sz w:val="24"/>
          <w:szCs w:val="24"/>
        </w:rPr>
        <w:t xml:space="preserve">condiciones económicas mundiales se vieron deterioradas drásticamente debido a la emergencia mundial del COVID-19, situación que propició un escenario de alta incertidumbre para los pronósticos, </w:t>
      </w:r>
      <w:r>
        <w:rPr>
          <w:rFonts w:ascii="Times New Roman" w:hAnsi="Times New Roman"/>
          <w:sz w:val="24"/>
          <w:szCs w:val="24"/>
        </w:rPr>
        <w:t>por lo que el</w:t>
      </w:r>
      <w:r w:rsidRPr="00DB3D13">
        <w:rPr>
          <w:rFonts w:ascii="Times New Roman" w:hAnsi="Times New Roman"/>
          <w:sz w:val="24"/>
          <w:szCs w:val="24"/>
        </w:rPr>
        <w:t xml:space="preserve"> Fondo Monetario Internacional </w:t>
      </w:r>
      <w:r>
        <w:rPr>
          <w:rFonts w:ascii="Times New Roman" w:hAnsi="Times New Roman"/>
          <w:sz w:val="24"/>
          <w:szCs w:val="24"/>
        </w:rPr>
        <w:t>revisó</w:t>
      </w:r>
      <w:r w:rsidRPr="00DB3D13">
        <w:rPr>
          <w:rFonts w:ascii="Times New Roman" w:hAnsi="Times New Roman"/>
          <w:sz w:val="24"/>
          <w:szCs w:val="24"/>
        </w:rPr>
        <w:t xml:space="preserve"> a la baja las tasas de crecimiento de l</w:t>
      </w:r>
      <w:r>
        <w:rPr>
          <w:rFonts w:ascii="Times New Roman" w:hAnsi="Times New Roman"/>
          <w:sz w:val="24"/>
          <w:szCs w:val="24"/>
        </w:rPr>
        <w:t>a economía mundial para el 2020;</w:t>
      </w:r>
      <w:r w:rsidRPr="00DB3D13">
        <w:rPr>
          <w:rFonts w:ascii="Times New Roman" w:hAnsi="Times New Roman"/>
          <w:sz w:val="24"/>
          <w:szCs w:val="24"/>
        </w:rPr>
        <w:t xml:space="preserve"> en octubre de 2019 la proyección se ubicaba en 3.4% y disminuyó a 3.3% para enero del 2020, posteriormente en marzo se dio la declaración por parte de la Organización Mundial de Salud de la pandemia del COVID-19 y los pronósticos disminuyeron 6.3 puntos porcentuales situándose en -3.0% y posteriormente en junio disminuyó nuevamente en 1.9 puntos porcentuales. </w:t>
      </w:r>
    </w:p>
    <w:p w14:paraId="77E12698" w14:textId="77777777" w:rsidR="00246A61" w:rsidRPr="00DE1D8D" w:rsidRDefault="00246A61" w:rsidP="00DE1D8D">
      <w:pPr>
        <w:ind w:right="49"/>
        <w:jc w:val="both"/>
        <w:rPr>
          <w:color w:val="FF0000"/>
          <w:sz w:val="24"/>
          <w:szCs w:val="24"/>
        </w:rPr>
      </w:pPr>
    </w:p>
    <w:tbl>
      <w:tblPr>
        <w:tblStyle w:val="Tablaconcuadrcula"/>
        <w:tblW w:w="88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tblGrid>
      <w:tr w:rsidR="00DE1D8D" w:rsidRPr="00DE1D8D" w14:paraId="0486F600" w14:textId="77777777" w:rsidTr="007E09B5">
        <w:trPr>
          <w:trHeight w:val="3415"/>
          <w:jc w:val="center"/>
        </w:trPr>
        <w:tc>
          <w:tcPr>
            <w:tcW w:w="8871" w:type="dxa"/>
          </w:tcPr>
          <w:p w14:paraId="139296EC" w14:textId="77777777" w:rsidR="00246A61" w:rsidRPr="00DE1D8D" w:rsidRDefault="00814706" w:rsidP="00DE1D8D">
            <w:pPr>
              <w:pStyle w:val="Epgrafe"/>
              <w:keepNext/>
              <w:ind w:left="567" w:right="49"/>
              <w:rPr>
                <w:color w:val="auto"/>
                <w:sz w:val="24"/>
                <w:szCs w:val="24"/>
              </w:rPr>
            </w:pPr>
            <w:r>
              <w:rPr>
                <w:color w:val="auto"/>
                <w:sz w:val="24"/>
                <w:szCs w:val="24"/>
              </w:rPr>
              <w:t xml:space="preserve">Tabla 1. </w:t>
            </w:r>
            <w:r w:rsidR="00DE1D8D" w:rsidRPr="00DE1D8D">
              <w:rPr>
                <w:color w:val="auto"/>
                <w:sz w:val="24"/>
                <w:szCs w:val="24"/>
              </w:rPr>
              <w:t>Evolución de proyecciones de crecimiento económico durante 2020</w:t>
            </w:r>
          </w:p>
          <w:p w14:paraId="79B49F64" w14:textId="77777777" w:rsidR="00246A61" w:rsidRPr="00DE1D8D" w:rsidRDefault="00246A61" w:rsidP="00BA4D6D">
            <w:pPr>
              <w:jc w:val="center"/>
              <w:rPr>
                <w:sz w:val="22"/>
                <w:szCs w:val="22"/>
              </w:rPr>
            </w:pPr>
            <w:r w:rsidRPr="00DE1D8D">
              <w:rPr>
                <w:sz w:val="22"/>
                <w:szCs w:val="22"/>
              </w:rPr>
              <w:t>Porcentajes</w:t>
            </w:r>
          </w:p>
          <w:p w14:paraId="2153C05B" w14:textId="77777777" w:rsidR="00246A61" w:rsidRPr="00DE1D8D" w:rsidRDefault="00246A61" w:rsidP="00BA4D6D">
            <w:pPr>
              <w:ind w:left="567" w:right="49"/>
              <w:jc w:val="center"/>
              <w:rPr>
                <w:sz w:val="22"/>
                <w:szCs w:val="22"/>
              </w:rPr>
            </w:pPr>
            <w:r w:rsidRPr="00DE1D8D">
              <w:rPr>
                <w:sz w:val="22"/>
                <w:szCs w:val="22"/>
              </w:rPr>
              <w:t>Por fechas de revisión de proyecciones</w:t>
            </w:r>
          </w:p>
          <w:tbl>
            <w:tblPr>
              <w:tblW w:w="8645" w:type="dxa"/>
              <w:jc w:val="center"/>
              <w:tblCellMar>
                <w:left w:w="70" w:type="dxa"/>
                <w:right w:w="70" w:type="dxa"/>
              </w:tblCellMar>
              <w:tblLook w:val="04A0" w:firstRow="1" w:lastRow="0" w:firstColumn="1" w:lastColumn="0" w:noHBand="0" w:noVBand="1"/>
            </w:tblPr>
            <w:tblGrid>
              <w:gridCol w:w="3645"/>
              <w:gridCol w:w="1081"/>
              <w:gridCol w:w="1081"/>
              <w:gridCol w:w="946"/>
              <w:gridCol w:w="946"/>
              <w:gridCol w:w="946"/>
            </w:tblGrid>
            <w:tr w:rsidR="00DE1D8D" w:rsidRPr="003A6DE2" w14:paraId="29BFCA07" w14:textId="77777777" w:rsidTr="00DE1D8D">
              <w:trPr>
                <w:trHeight w:val="397"/>
                <w:jc w:val="center"/>
              </w:trPr>
              <w:tc>
                <w:tcPr>
                  <w:tcW w:w="364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50734CF" w14:textId="77777777" w:rsidR="00DE1D8D" w:rsidRPr="00397197" w:rsidRDefault="00DE1D8D" w:rsidP="00DE1D8D">
                  <w:pPr>
                    <w:ind w:left="567" w:right="49"/>
                    <w:jc w:val="center"/>
                    <w:rPr>
                      <w:b/>
                      <w:bCs/>
                      <w:sz w:val="22"/>
                      <w:szCs w:val="22"/>
                      <w:lang w:eastAsia="es-GT"/>
                    </w:rPr>
                  </w:pPr>
                  <w:r w:rsidRPr="00397197">
                    <w:rPr>
                      <w:b/>
                      <w:bCs/>
                      <w:sz w:val="22"/>
                      <w:szCs w:val="22"/>
                      <w:lang w:eastAsia="es-GT"/>
                    </w:rPr>
                    <w:t>Grupo</w:t>
                  </w:r>
                </w:p>
              </w:tc>
              <w:tc>
                <w:tcPr>
                  <w:tcW w:w="1081"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2081A332" w14:textId="77777777" w:rsidR="00DE1D8D" w:rsidRPr="00397197" w:rsidRDefault="00DE1D8D" w:rsidP="00DE1D8D">
                  <w:pPr>
                    <w:ind w:right="49"/>
                    <w:jc w:val="center"/>
                    <w:rPr>
                      <w:b/>
                      <w:bCs/>
                      <w:sz w:val="22"/>
                      <w:szCs w:val="22"/>
                      <w:lang w:eastAsia="es-GT"/>
                    </w:rPr>
                  </w:pPr>
                  <w:r w:rsidRPr="00397197">
                    <w:rPr>
                      <w:b/>
                      <w:bCs/>
                      <w:sz w:val="22"/>
                      <w:szCs w:val="22"/>
                      <w:lang w:eastAsia="es-GT"/>
                    </w:rPr>
                    <w:t xml:space="preserve">WEO 01/2020 </w:t>
                  </w:r>
                </w:p>
              </w:tc>
              <w:tc>
                <w:tcPr>
                  <w:tcW w:w="1081"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285E7F45" w14:textId="77777777" w:rsidR="00DE1D8D" w:rsidRPr="00397197" w:rsidRDefault="00DE1D8D" w:rsidP="00DE1D8D">
                  <w:pPr>
                    <w:ind w:right="49"/>
                    <w:jc w:val="center"/>
                    <w:rPr>
                      <w:b/>
                      <w:bCs/>
                      <w:sz w:val="22"/>
                      <w:szCs w:val="22"/>
                      <w:lang w:eastAsia="es-GT"/>
                    </w:rPr>
                  </w:pPr>
                  <w:r w:rsidRPr="00397197">
                    <w:rPr>
                      <w:b/>
                      <w:bCs/>
                      <w:sz w:val="22"/>
                      <w:szCs w:val="22"/>
                      <w:lang w:eastAsia="es-GT"/>
                    </w:rPr>
                    <w:t>WEO 04/2020</w:t>
                  </w:r>
                </w:p>
              </w:tc>
              <w:tc>
                <w:tcPr>
                  <w:tcW w:w="946"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4C454631" w14:textId="77777777" w:rsidR="00DE1D8D" w:rsidRPr="00397197" w:rsidRDefault="00DE1D8D" w:rsidP="00DE1D8D">
                  <w:pPr>
                    <w:ind w:right="49"/>
                    <w:jc w:val="center"/>
                    <w:rPr>
                      <w:b/>
                      <w:bCs/>
                      <w:sz w:val="22"/>
                      <w:szCs w:val="22"/>
                      <w:lang w:eastAsia="es-GT"/>
                    </w:rPr>
                  </w:pPr>
                  <w:r w:rsidRPr="00397197">
                    <w:rPr>
                      <w:b/>
                      <w:bCs/>
                      <w:sz w:val="22"/>
                      <w:szCs w:val="22"/>
                      <w:lang w:eastAsia="es-GT"/>
                    </w:rPr>
                    <w:t>WEO 06/2020</w:t>
                  </w:r>
                </w:p>
              </w:tc>
              <w:tc>
                <w:tcPr>
                  <w:tcW w:w="946"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18A2B49F" w14:textId="77777777" w:rsidR="00DE1D8D" w:rsidRPr="00397197" w:rsidRDefault="00DE1D8D" w:rsidP="00DE1D8D">
                  <w:pPr>
                    <w:ind w:right="49"/>
                    <w:rPr>
                      <w:b/>
                      <w:bCs/>
                      <w:sz w:val="22"/>
                      <w:szCs w:val="22"/>
                      <w:lang w:eastAsia="es-GT"/>
                    </w:rPr>
                  </w:pPr>
                  <w:r w:rsidRPr="00397197">
                    <w:rPr>
                      <w:b/>
                      <w:bCs/>
                      <w:sz w:val="22"/>
                      <w:szCs w:val="22"/>
                      <w:lang w:eastAsia="es-GT"/>
                    </w:rPr>
                    <w:t xml:space="preserve"> WEO 10/2020</w:t>
                  </w:r>
                </w:p>
              </w:tc>
              <w:tc>
                <w:tcPr>
                  <w:tcW w:w="946" w:type="dxa"/>
                  <w:tcBorders>
                    <w:top w:val="single" w:sz="4" w:space="0" w:color="auto"/>
                    <w:left w:val="nil"/>
                    <w:bottom w:val="single" w:sz="4" w:space="0" w:color="auto"/>
                    <w:right w:val="single" w:sz="4" w:space="0" w:color="auto"/>
                  </w:tcBorders>
                  <w:shd w:val="clear" w:color="auto" w:fill="8EAADB" w:themeFill="accent1" w:themeFillTint="99"/>
                </w:tcPr>
                <w:p w14:paraId="34F8040A" w14:textId="77777777" w:rsidR="00DE1D8D" w:rsidRPr="00397197" w:rsidRDefault="00DE1D8D" w:rsidP="00DE1D8D">
                  <w:pPr>
                    <w:ind w:right="49"/>
                    <w:rPr>
                      <w:b/>
                      <w:bCs/>
                      <w:sz w:val="22"/>
                      <w:szCs w:val="22"/>
                      <w:lang w:eastAsia="es-GT"/>
                    </w:rPr>
                  </w:pPr>
                  <w:r w:rsidRPr="00397197">
                    <w:rPr>
                      <w:b/>
                      <w:bCs/>
                      <w:sz w:val="22"/>
                      <w:szCs w:val="22"/>
                      <w:lang w:eastAsia="es-GT"/>
                    </w:rPr>
                    <w:t>WEO 01/2021</w:t>
                  </w:r>
                </w:p>
              </w:tc>
            </w:tr>
            <w:tr w:rsidR="00DE1D8D" w:rsidRPr="003A6DE2" w14:paraId="060C96A2" w14:textId="77777777" w:rsidTr="007038F0">
              <w:trPr>
                <w:trHeight w:val="248"/>
                <w:jc w:val="center"/>
              </w:trPr>
              <w:tc>
                <w:tcPr>
                  <w:tcW w:w="3645" w:type="dxa"/>
                  <w:tcBorders>
                    <w:top w:val="nil"/>
                    <w:left w:val="single" w:sz="4" w:space="0" w:color="auto"/>
                    <w:bottom w:val="nil"/>
                    <w:right w:val="single" w:sz="4" w:space="0" w:color="auto"/>
                  </w:tcBorders>
                  <w:shd w:val="clear" w:color="auto" w:fill="auto"/>
                  <w:noWrap/>
                  <w:vAlign w:val="bottom"/>
                  <w:hideMark/>
                </w:tcPr>
                <w:p w14:paraId="3DB63294" w14:textId="77777777" w:rsidR="00DE1D8D" w:rsidRPr="00397197" w:rsidRDefault="00DE1D8D" w:rsidP="00DE1D8D">
                  <w:pPr>
                    <w:ind w:right="49"/>
                    <w:rPr>
                      <w:sz w:val="22"/>
                      <w:szCs w:val="22"/>
                      <w:lang w:eastAsia="es-GT"/>
                    </w:rPr>
                  </w:pPr>
                  <w:r w:rsidRPr="00397197">
                    <w:rPr>
                      <w:sz w:val="22"/>
                      <w:szCs w:val="22"/>
                      <w:lang w:eastAsia="es-GT"/>
                    </w:rPr>
                    <w:t>Mundo</w:t>
                  </w:r>
                </w:p>
              </w:tc>
              <w:tc>
                <w:tcPr>
                  <w:tcW w:w="1081" w:type="dxa"/>
                  <w:tcBorders>
                    <w:top w:val="nil"/>
                    <w:left w:val="nil"/>
                    <w:bottom w:val="nil"/>
                    <w:right w:val="single" w:sz="4" w:space="0" w:color="auto"/>
                  </w:tcBorders>
                  <w:shd w:val="clear" w:color="auto" w:fill="auto"/>
                  <w:noWrap/>
                  <w:vAlign w:val="bottom"/>
                  <w:hideMark/>
                </w:tcPr>
                <w:p w14:paraId="11BF2EE9" w14:textId="77777777" w:rsidR="00DE1D8D" w:rsidRPr="00397197" w:rsidRDefault="00DE1D8D" w:rsidP="00DE1D8D">
                  <w:pPr>
                    <w:ind w:right="49"/>
                    <w:jc w:val="center"/>
                    <w:rPr>
                      <w:sz w:val="22"/>
                      <w:szCs w:val="22"/>
                      <w:lang w:eastAsia="es-GT"/>
                    </w:rPr>
                  </w:pPr>
                  <w:r w:rsidRPr="00397197">
                    <w:rPr>
                      <w:sz w:val="22"/>
                      <w:szCs w:val="22"/>
                      <w:lang w:eastAsia="es-GT"/>
                    </w:rPr>
                    <w:t>3.3</w:t>
                  </w:r>
                </w:p>
              </w:tc>
              <w:tc>
                <w:tcPr>
                  <w:tcW w:w="1081" w:type="dxa"/>
                  <w:tcBorders>
                    <w:top w:val="nil"/>
                    <w:left w:val="nil"/>
                    <w:bottom w:val="nil"/>
                    <w:right w:val="single" w:sz="4" w:space="0" w:color="auto"/>
                  </w:tcBorders>
                  <w:shd w:val="clear" w:color="auto" w:fill="auto"/>
                  <w:noWrap/>
                  <w:vAlign w:val="bottom"/>
                  <w:hideMark/>
                </w:tcPr>
                <w:p w14:paraId="6E775DA2" w14:textId="77777777" w:rsidR="00DE1D8D" w:rsidRPr="00397197" w:rsidRDefault="00DE1D8D" w:rsidP="00DE1D8D">
                  <w:pPr>
                    <w:ind w:right="49"/>
                    <w:jc w:val="center"/>
                    <w:rPr>
                      <w:sz w:val="22"/>
                      <w:szCs w:val="22"/>
                      <w:lang w:eastAsia="es-GT"/>
                    </w:rPr>
                  </w:pPr>
                  <w:r w:rsidRPr="00397197">
                    <w:rPr>
                      <w:sz w:val="22"/>
                      <w:szCs w:val="22"/>
                      <w:lang w:eastAsia="es-GT"/>
                    </w:rPr>
                    <w:t>-3.0</w:t>
                  </w:r>
                </w:p>
              </w:tc>
              <w:tc>
                <w:tcPr>
                  <w:tcW w:w="946" w:type="dxa"/>
                  <w:tcBorders>
                    <w:top w:val="nil"/>
                    <w:left w:val="nil"/>
                    <w:bottom w:val="nil"/>
                    <w:right w:val="single" w:sz="4" w:space="0" w:color="auto"/>
                  </w:tcBorders>
                  <w:shd w:val="clear" w:color="auto" w:fill="auto"/>
                  <w:noWrap/>
                  <w:vAlign w:val="bottom"/>
                  <w:hideMark/>
                </w:tcPr>
                <w:p w14:paraId="74500A82" w14:textId="77777777" w:rsidR="00DE1D8D" w:rsidRPr="00397197" w:rsidRDefault="00DE1D8D" w:rsidP="00DE1D8D">
                  <w:pPr>
                    <w:ind w:right="49"/>
                    <w:jc w:val="center"/>
                    <w:rPr>
                      <w:sz w:val="22"/>
                      <w:szCs w:val="22"/>
                      <w:lang w:eastAsia="es-GT"/>
                    </w:rPr>
                  </w:pPr>
                  <w:r w:rsidRPr="00397197">
                    <w:rPr>
                      <w:sz w:val="22"/>
                      <w:szCs w:val="22"/>
                      <w:lang w:eastAsia="es-GT"/>
                    </w:rPr>
                    <w:t>-4.9</w:t>
                  </w:r>
                </w:p>
              </w:tc>
              <w:tc>
                <w:tcPr>
                  <w:tcW w:w="946" w:type="dxa"/>
                  <w:tcBorders>
                    <w:top w:val="nil"/>
                    <w:left w:val="nil"/>
                    <w:bottom w:val="nil"/>
                    <w:right w:val="single" w:sz="4" w:space="0" w:color="auto"/>
                  </w:tcBorders>
                  <w:shd w:val="clear" w:color="auto" w:fill="auto"/>
                  <w:noWrap/>
                  <w:vAlign w:val="bottom"/>
                  <w:hideMark/>
                </w:tcPr>
                <w:p w14:paraId="3DB00467" w14:textId="77777777" w:rsidR="00DE1D8D" w:rsidRPr="00397197" w:rsidRDefault="00DE1D8D" w:rsidP="00DE1D8D">
                  <w:pPr>
                    <w:ind w:right="49"/>
                    <w:jc w:val="center"/>
                    <w:rPr>
                      <w:sz w:val="22"/>
                      <w:szCs w:val="22"/>
                      <w:lang w:eastAsia="es-GT"/>
                    </w:rPr>
                  </w:pPr>
                  <w:r w:rsidRPr="00397197">
                    <w:rPr>
                      <w:sz w:val="22"/>
                      <w:szCs w:val="22"/>
                      <w:lang w:eastAsia="es-GT"/>
                    </w:rPr>
                    <w:t>-4.4</w:t>
                  </w:r>
                </w:p>
              </w:tc>
              <w:tc>
                <w:tcPr>
                  <w:tcW w:w="946" w:type="dxa"/>
                  <w:tcBorders>
                    <w:top w:val="nil"/>
                    <w:left w:val="nil"/>
                    <w:bottom w:val="nil"/>
                    <w:right w:val="single" w:sz="4" w:space="0" w:color="auto"/>
                  </w:tcBorders>
                </w:tcPr>
                <w:p w14:paraId="24A5C1E8" w14:textId="77777777" w:rsidR="00DE1D8D" w:rsidRPr="00397197" w:rsidRDefault="00DE1D8D" w:rsidP="00DE1D8D">
                  <w:pPr>
                    <w:ind w:right="49"/>
                    <w:jc w:val="center"/>
                    <w:rPr>
                      <w:sz w:val="22"/>
                      <w:szCs w:val="22"/>
                      <w:lang w:eastAsia="es-GT"/>
                    </w:rPr>
                  </w:pPr>
                  <w:r w:rsidRPr="00397197">
                    <w:rPr>
                      <w:sz w:val="22"/>
                      <w:szCs w:val="22"/>
                      <w:lang w:eastAsia="es-GT"/>
                    </w:rPr>
                    <w:t>-3.5</w:t>
                  </w:r>
                </w:p>
              </w:tc>
            </w:tr>
            <w:tr w:rsidR="00DE1D8D" w:rsidRPr="003A6DE2" w14:paraId="05B4729B" w14:textId="77777777" w:rsidTr="007038F0">
              <w:trPr>
                <w:trHeight w:val="248"/>
                <w:jc w:val="center"/>
              </w:trPr>
              <w:tc>
                <w:tcPr>
                  <w:tcW w:w="3645" w:type="dxa"/>
                  <w:tcBorders>
                    <w:top w:val="nil"/>
                    <w:left w:val="single" w:sz="4" w:space="0" w:color="auto"/>
                    <w:bottom w:val="nil"/>
                    <w:right w:val="single" w:sz="4" w:space="0" w:color="auto"/>
                  </w:tcBorders>
                  <w:shd w:val="clear" w:color="auto" w:fill="auto"/>
                  <w:noWrap/>
                  <w:vAlign w:val="bottom"/>
                  <w:hideMark/>
                </w:tcPr>
                <w:p w14:paraId="2BFB84EB" w14:textId="77777777" w:rsidR="00DE1D8D" w:rsidRPr="00397197" w:rsidRDefault="00DE1D8D" w:rsidP="00DE1D8D">
                  <w:pPr>
                    <w:ind w:right="49"/>
                    <w:rPr>
                      <w:sz w:val="22"/>
                      <w:szCs w:val="22"/>
                      <w:lang w:eastAsia="es-GT"/>
                    </w:rPr>
                  </w:pPr>
                  <w:r w:rsidRPr="00397197">
                    <w:rPr>
                      <w:sz w:val="22"/>
                      <w:szCs w:val="22"/>
                      <w:lang w:eastAsia="es-GT"/>
                    </w:rPr>
                    <w:t>Economías Avanzadas</w:t>
                  </w:r>
                </w:p>
              </w:tc>
              <w:tc>
                <w:tcPr>
                  <w:tcW w:w="1081" w:type="dxa"/>
                  <w:tcBorders>
                    <w:top w:val="nil"/>
                    <w:left w:val="nil"/>
                    <w:bottom w:val="nil"/>
                    <w:right w:val="single" w:sz="4" w:space="0" w:color="auto"/>
                  </w:tcBorders>
                  <w:shd w:val="clear" w:color="auto" w:fill="auto"/>
                  <w:noWrap/>
                  <w:vAlign w:val="bottom"/>
                  <w:hideMark/>
                </w:tcPr>
                <w:p w14:paraId="6B26EA75" w14:textId="77777777" w:rsidR="00DE1D8D" w:rsidRPr="00397197" w:rsidRDefault="00DE1D8D" w:rsidP="00DE1D8D">
                  <w:pPr>
                    <w:ind w:right="49"/>
                    <w:jc w:val="center"/>
                    <w:rPr>
                      <w:sz w:val="22"/>
                      <w:szCs w:val="22"/>
                      <w:lang w:eastAsia="es-GT"/>
                    </w:rPr>
                  </w:pPr>
                  <w:r w:rsidRPr="00397197">
                    <w:rPr>
                      <w:sz w:val="22"/>
                      <w:szCs w:val="22"/>
                      <w:lang w:eastAsia="es-GT"/>
                    </w:rPr>
                    <w:t>1.6</w:t>
                  </w:r>
                </w:p>
              </w:tc>
              <w:tc>
                <w:tcPr>
                  <w:tcW w:w="1081" w:type="dxa"/>
                  <w:tcBorders>
                    <w:top w:val="nil"/>
                    <w:left w:val="nil"/>
                    <w:bottom w:val="nil"/>
                    <w:right w:val="single" w:sz="4" w:space="0" w:color="auto"/>
                  </w:tcBorders>
                  <w:shd w:val="clear" w:color="auto" w:fill="auto"/>
                  <w:noWrap/>
                  <w:vAlign w:val="bottom"/>
                  <w:hideMark/>
                </w:tcPr>
                <w:p w14:paraId="4EFD8875" w14:textId="77777777" w:rsidR="00DE1D8D" w:rsidRPr="00397197" w:rsidRDefault="00DE1D8D" w:rsidP="00DE1D8D">
                  <w:pPr>
                    <w:ind w:right="49"/>
                    <w:jc w:val="center"/>
                    <w:rPr>
                      <w:sz w:val="22"/>
                      <w:szCs w:val="22"/>
                      <w:lang w:eastAsia="es-GT"/>
                    </w:rPr>
                  </w:pPr>
                  <w:r w:rsidRPr="00397197">
                    <w:rPr>
                      <w:sz w:val="22"/>
                      <w:szCs w:val="22"/>
                      <w:lang w:eastAsia="es-GT"/>
                    </w:rPr>
                    <w:t>-6.1</w:t>
                  </w:r>
                </w:p>
              </w:tc>
              <w:tc>
                <w:tcPr>
                  <w:tcW w:w="946" w:type="dxa"/>
                  <w:tcBorders>
                    <w:top w:val="nil"/>
                    <w:left w:val="nil"/>
                    <w:bottom w:val="nil"/>
                    <w:right w:val="single" w:sz="4" w:space="0" w:color="auto"/>
                  </w:tcBorders>
                  <w:shd w:val="clear" w:color="auto" w:fill="auto"/>
                  <w:noWrap/>
                  <w:vAlign w:val="bottom"/>
                  <w:hideMark/>
                </w:tcPr>
                <w:p w14:paraId="6F68D761" w14:textId="77777777" w:rsidR="00DE1D8D" w:rsidRPr="00397197" w:rsidRDefault="00DE1D8D" w:rsidP="00DE1D8D">
                  <w:pPr>
                    <w:ind w:right="49"/>
                    <w:jc w:val="center"/>
                    <w:rPr>
                      <w:sz w:val="22"/>
                      <w:szCs w:val="22"/>
                      <w:lang w:eastAsia="es-GT"/>
                    </w:rPr>
                  </w:pPr>
                  <w:r w:rsidRPr="00397197">
                    <w:rPr>
                      <w:sz w:val="22"/>
                      <w:szCs w:val="22"/>
                      <w:lang w:eastAsia="es-GT"/>
                    </w:rPr>
                    <w:t>-8.0</w:t>
                  </w:r>
                </w:p>
              </w:tc>
              <w:tc>
                <w:tcPr>
                  <w:tcW w:w="946" w:type="dxa"/>
                  <w:tcBorders>
                    <w:top w:val="nil"/>
                    <w:left w:val="nil"/>
                    <w:bottom w:val="nil"/>
                    <w:right w:val="single" w:sz="4" w:space="0" w:color="auto"/>
                  </w:tcBorders>
                  <w:shd w:val="clear" w:color="auto" w:fill="auto"/>
                  <w:noWrap/>
                  <w:vAlign w:val="bottom"/>
                  <w:hideMark/>
                </w:tcPr>
                <w:p w14:paraId="241B8D24" w14:textId="77777777" w:rsidR="00DE1D8D" w:rsidRPr="00397197" w:rsidRDefault="00DE1D8D" w:rsidP="00DE1D8D">
                  <w:pPr>
                    <w:ind w:right="49"/>
                    <w:jc w:val="center"/>
                    <w:rPr>
                      <w:sz w:val="22"/>
                      <w:szCs w:val="22"/>
                      <w:lang w:eastAsia="es-GT"/>
                    </w:rPr>
                  </w:pPr>
                  <w:r w:rsidRPr="00397197">
                    <w:rPr>
                      <w:sz w:val="22"/>
                      <w:szCs w:val="22"/>
                      <w:lang w:eastAsia="es-GT"/>
                    </w:rPr>
                    <w:t>-5.8</w:t>
                  </w:r>
                </w:p>
              </w:tc>
              <w:tc>
                <w:tcPr>
                  <w:tcW w:w="946" w:type="dxa"/>
                  <w:tcBorders>
                    <w:top w:val="nil"/>
                    <w:left w:val="nil"/>
                    <w:bottom w:val="nil"/>
                    <w:right w:val="single" w:sz="4" w:space="0" w:color="auto"/>
                  </w:tcBorders>
                </w:tcPr>
                <w:p w14:paraId="50025CF1" w14:textId="77777777" w:rsidR="00DE1D8D" w:rsidRPr="00397197" w:rsidRDefault="00DE1D8D" w:rsidP="00DE1D8D">
                  <w:pPr>
                    <w:ind w:right="49"/>
                    <w:jc w:val="center"/>
                    <w:rPr>
                      <w:sz w:val="22"/>
                      <w:szCs w:val="22"/>
                      <w:lang w:eastAsia="es-GT"/>
                    </w:rPr>
                  </w:pPr>
                  <w:r w:rsidRPr="00397197">
                    <w:rPr>
                      <w:sz w:val="22"/>
                      <w:szCs w:val="22"/>
                      <w:lang w:eastAsia="es-GT"/>
                    </w:rPr>
                    <w:t>-4.9</w:t>
                  </w:r>
                </w:p>
              </w:tc>
            </w:tr>
            <w:tr w:rsidR="00DE1D8D" w:rsidRPr="003A6DE2" w14:paraId="37D65000" w14:textId="77777777" w:rsidTr="007038F0">
              <w:trPr>
                <w:trHeight w:val="248"/>
                <w:jc w:val="center"/>
              </w:trPr>
              <w:tc>
                <w:tcPr>
                  <w:tcW w:w="3645" w:type="dxa"/>
                  <w:tcBorders>
                    <w:top w:val="nil"/>
                    <w:left w:val="single" w:sz="4" w:space="0" w:color="auto"/>
                    <w:bottom w:val="nil"/>
                    <w:right w:val="single" w:sz="4" w:space="0" w:color="auto"/>
                  </w:tcBorders>
                  <w:shd w:val="clear" w:color="auto" w:fill="auto"/>
                  <w:noWrap/>
                  <w:vAlign w:val="bottom"/>
                  <w:hideMark/>
                </w:tcPr>
                <w:p w14:paraId="769D4ABE" w14:textId="77777777" w:rsidR="00DE1D8D" w:rsidRPr="00397197" w:rsidRDefault="00DE1D8D" w:rsidP="00DE1D8D">
                  <w:pPr>
                    <w:ind w:right="49"/>
                    <w:rPr>
                      <w:sz w:val="22"/>
                      <w:szCs w:val="22"/>
                      <w:lang w:eastAsia="es-GT"/>
                    </w:rPr>
                  </w:pPr>
                  <w:r w:rsidRPr="00397197">
                    <w:rPr>
                      <w:sz w:val="22"/>
                      <w:szCs w:val="22"/>
                      <w:lang w:eastAsia="es-GT"/>
                    </w:rPr>
                    <w:t>Estados Unidos</w:t>
                  </w:r>
                </w:p>
              </w:tc>
              <w:tc>
                <w:tcPr>
                  <w:tcW w:w="1081" w:type="dxa"/>
                  <w:tcBorders>
                    <w:top w:val="nil"/>
                    <w:left w:val="nil"/>
                    <w:bottom w:val="nil"/>
                    <w:right w:val="single" w:sz="4" w:space="0" w:color="auto"/>
                  </w:tcBorders>
                  <w:shd w:val="clear" w:color="auto" w:fill="auto"/>
                  <w:noWrap/>
                  <w:vAlign w:val="bottom"/>
                  <w:hideMark/>
                </w:tcPr>
                <w:p w14:paraId="0B496233" w14:textId="77777777" w:rsidR="00DE1D8D" w:rsidRPr="00397197" w:rsidRDefault="00DE1D8D" w:rsidP="00DE1D8D">
                  <w:pPr>
                    <w:ind w:right="49"/>
                    <w:jc w:val="center"/>
                    <w:rPr>
                      <w:sz w:val="22"/>
                      <w:szCs w:val="22"/>
                      <w:lang w:eastAsia="es-GT"/>
                    </w:rPr>
                  </w:pPr>
                  <w:r w:rsidRPr="00397197">
                    <w:rPr>
                      <w:sz w:val="22"/>
                      <w:szCs w:val="22"/>
                      <w:lang w:eastAsia="es-GT"/>
                    </w:rPr>
                    <w:t>2.0</w:t>
                  </w:r>
                </w:p>
              </w:tc>
              <w:tc>
                <w:tcPr>
                  <w:tcW w:w="1081" w:type="dxa"/>
                  <w:tcBorders>
                    <w:top w:val="nil"/>
                    <w:left w:val="nil"/>
                    <w:bottom w:val="nil"/>
                    <w:right w:val="single" w:sz="4" w:space="0" w:color="auto"/>
                  </w:tcBorders>
                  <w:shd w:val="clear" w:color="auto" w:fill="auto"/>
                  <w:noWrap/>
                  <w:vAlign w:val="bottom"/>
                  <w:hideMark/>
                </w:tcPr>
                <w:p w14:paraId="1948E5B8" w14:textId="77777777" w:rsidR="00DE1D8D" w:rsidRPr="00397197" w:rsidRDefault="00DE1D8D" w:rsidP="00DE1D8D">
                  <w:pPr>
                    <w:ind w:right="49"/>
                    <w:jc w:val="center"/>
                    <w:rPr>
                      <w:sz w:val="22"/>
                      <w:szCs w:val="22"/>
                      <w:lang w:eastAsia="es-GT"/>
                    </w:rPr>
                  </w:pPr>
                  <w:r w:rsidRPr="00397197">
                    <w:rPr>
                      <w:sz w:val="22"/>
                      <w:szCs w:val="22"/>
                      <w:lang w:eastAsia="es-GT"/>
                    </w:rPr>
                    <w:t>-5.9</w:t>
                  </w:r>
                </w:p>
              </w:tc>
              <w:tc>
                <w:tcPr>
                  <w:tcW w:w="946" w:type="dxa"/>
                  <w:tcBorders>
                    <w:top w:val="nil"/>
                    <w:left w:val="nil"/>
                    <w:bottom w:val="nil"/>
                    <w:right w:val="single" w:sz="4" w:space="0" w:color="auto"/>
                  </w:tcBorders>
                  <w:shd w:val="clear" w:color="auto" w:fill="auto"/>
                  <w:noWrap/>
                  <w:vAlign w:val="bottom"/>
                  <w:hideMark/>
                </w:tcPr>
                <w:p w14:paraId="1CA1773F" w14:textId="77777777" w:rsidR="00DE1D8D" w:rsidRPr="00397197" w:rsidRDefault="00DE1D8D" w:rsidP="00DE1D8D">
                  <w:pPr>
                    <w:ind w:right="49"/>
                    <w:jc w:val="center"/>
                    <w:rPr>
                      <w:sz w:val="22"/>
                      <w:szCs w:val="22"/>
                      <w:lang w:eastAsia="es-GT"/>
                    </w:rPr>
                  </w:pPr>
                  <w:r w:rsidRPr="00397197">
                    <w:rPr>
                      <w:sz w:val="22"/>
                      <w:szCs w:val="22"/>
                      <w:lang w:eastAsia="es-GT"/>
                    </w:rPr>
                    <w:t>-8.0</w:t>
                  </w:r>
                </w:p>
              </w:tc>
              <w:tc>
                <w:tcPr>
                  <w:tcW w:w="946" w:type="dxa"/>
                  <w:tcBorders>
                    <w:top w:val="nil"/>
                    <w:left w:val="nil"/>
                    <w:bottom w:val="nil"/>
                    <w:right w:val="single" w:sz="4" w:space="0" w:color="auto"/>
                  </w:tcBorders>
                  <w:shd w:val="clear" w:color="auto" w:fill="auto"/>
                  <w:noWrap/>
                  <w:vAlign w:val="bottom"/>
                  <w:hideMark/>
                </w:tcPr>
                <w:p w14:paraId="79687696" w14:textId="77777777" w:rsidR="00DE1D8D" w:rsidRPr="00397197" w:rsidRDefault="00DE1D8D" w:rsidP="00DE1D8D">
                  <w:pPr>
                    <w:ind w:right="49"/>
                    <w:jc w:val="center"/>
                    <w:rPr>
                      <w:sz w:val="22"/>
                      <w:szCs w:val="22"/>
                      <w:lang w:eastAsia="es-GT"/>
                    </w:rPr>
                  </w:pPr>
                  <w:r w:rsidRPr="00397197">
                    <w:rPr>
                      <w:sz w:val="22"/>
                      <w:szCs w:val="22"/>
                      <w:lang w:eastAsia="es-GT"/>
                    </w:rPr>
                    <w:t>-4.3</w:t>
                  </w:r>
                </w:p>
              </w:tc>
              <w:tc>
                <w:tcPr>
                  <w:tcW w:w="946" w:type="dxa"/>
                  <w:tcBorders>
                    <w:top w:val="nil"/>
                    <w:left w:val="nil"/>
                    <w:bottom w:val="nil"/>
                    <w:right w:val="single" w:sz="4" w:space="0" w:color="auto"/>
                  </w:tcBorders>
                </w:tcPr>
                <w:p w14:paraId="379A5C5E" w14:textId="77777777" w:rsidR="00DE1D8D" w:rsidRPr="00397197" w:rsidRDefault="00DE1D8D" w:rsidP="00DE1D8D">
                  <w:pPr>
                    <w:ind w:right="49"/>
                    <w:jc w:val="center"/>
                    <w:rPr>
                      <w:sz w:val="22"/>
                      <w:szCs w:val="22"/>
                      <w:lang w:eastAsia="es-GT"/>
                    </w:rPr>
                  </w:pPr>
                  <w:r w:rsidRPr="00397197">
                    <w:rPr>
                      <w:sz w:val="22"/>
                      <w:szCs w:val="22"/>
                      <w:lang w:eastAsia="es-GT"/>
                    </w:rPr>
                    <w:t>-3.4</w:t>
                  </w:r>
                </w:p>
              </w:tc>
            </w:tr>
            <w:tr w:rsidR="00DE1D8D" w:rsidRPr="003A6DE2" w14:paraId="320ED4E6" w14:textId="77777777" w:rsidTr="007038F0">
              <w:trPr>
                <w:trHeight w:val="248"/>
                <w:jc w:val="center"/>
              </w:trPr>
              <w:tc>
                <w:tcPr>
                  <w:tcW w:w="3645" w:type="dxa"/>
                  <w:tcBorders>
                    <w:top w:val="nil"/>
                    <w:left w:val="single" w:sz="4" w:space="0" w:color="auto"/>
                    <w:bottom w:val="nil"/>
                    <w:right w:val="single" w:sz="4" w:space="0" w:color="auto"/>
                  </w:tcBorders>
                  <w:shd w:val="clear" w:color="auto" w:fill="auto"/>
                  <w:noWrap/>
                  <w:vAlign w:val="bottom"/>
                  <w:hideMark/>
                </w:tcPr>
                <w:p w14:paraId="33C7DF46" w14:textId="77777777" w:rsidR="00DE1D8D" w:rsidRPr="00397197" w:rsidRDefault="00DE1D8D" w:rsidP="00DE1D8D">
                  <w:pPr>
                    <w:ind w:right="49"/>
                    <w:rPr>
                      <w:sz w:val="22"/>
                      <w:szCs w:val="22"/>
                      <w:lang w:eastAsia="es-GT"/>
                    </w:rPr>
                  </w:pPr>
                  <w:r w:rsidRPr="00397197">
                    <w:rPr>
                      <w:sz w:val="22"/>
                      <w:szCs w:val="22"/>
                      <w:lang w:eastAsia="es-GT"/>
                    </w:rPr>
                    <w:t>Zona del Euro</w:t>
                  </w:r>
                </w:p>
              </w:tc>
              <w:tc>
                <w:tcPr>
                  <w:tcW w:w="1081" w:type="dxa"/>
                  <w:tcBorders>
                    <w:top w:val="nil"/>
                    <w:left w:val="nil"/>
                    <w:bottom w:val="nil"/>
                    <w:right w:val="single" w:sz="4" w:space="0" w:color="auto"/>
                  </w:tcBorders>
                  <w:shd w:val="clear" w:color="auto" w:fill="auto"/>
                  <w:noWrap/>
                  <w:vAlign w:val="bottom"/>
                  <w:hideMark/>
                </w:tcPr>
                <w:p w14:paraId="15CD6104" w14:textId="77777777" w:rsidR="00DE1D8D" w:rsidRPr="00397197" w:rsidRDefault="00DE1D8D" w:rsidP="00DE1D8D">
                  <w:pPr>
                    <w:ind w:right="49"/>
                    <w:jc w:val="center"/>
                    <w:rPr>
                      <w:sz w:val="22"/>
                      <w:szCs w:val="22"/>
                      <w:lang w:eastAsia="es-GT"/>
                    </w:rPr>
                  </w:pPr>
                  <w:r w:rsidRPr="00397197">
                    <w:rPr>
                      <w:sz w:val="22"/>
                      <w:szCs w:val="22"/>
                      <w:lang w:eastAsia="es-GT"/>
                    </w:rPr>
                    <w:t>1.3</w:t>
                  </w:r>
                </w:p>
              </w:tc>
              <w:tc>
                <w:tcPr>
                  <w:tcW w:w="1081" w:type="dxa"/>
                  <w:tcBorders>
                    <w:top w:val="nil"/>
                    <w:left w:val="nil"/>
                    <w:bottom w:val="nil"/>
                    <w:right w:val="single" w:sz="4" w:space="0" w:color="auto"/>
                  </w:tcBorders>
                  <w:shd w:val="clear" w:color="auto" w:fill="auto"/>
                  <w:noWrap/>
                  <w:vAlign w:val="bottom"/>
                  <w:hideMark/>
                </w:tcPr>
                <w:p w14:paraId="030F8F1A" w14:textId="77777777" w:rsidR="00DE1D8D" w:rsidRPr="00397197" w:rsidRDefault="00DE1D8D" w:rsidP="00DE1D8D">
                  <w:pPr>
                    <w:ind w:right="49"/>
                    <w:jc w:val="center"/>
                    <w:rPr>
                      <w:sz w:val="22"/>
                      <w:szCs w:val="22"/>
                      <w:lang w:eastAsia="es-GT"/>
                    </w:rPr>
                  </w:pPr>
                  <w:r w:rsidRPr="00397197">
                    <w:rPr>
                      <w:sz w:val="22"/>
                      <w:szCs w:val="22"/>
                      <w:lang w:eastAsia="es-GT"/>
                    </w:rPr>
                    <w:t>-7.5</w:t>
                  </w:r>
                </w:p>
              </w:tc>
              <w:tc>
                <w:tcPr>
                  <w:tcW w:w="946" w:type="dxa"/>
                  <w:tcBorders>
                    <w:top w:val="nil"/>
                    <w:left w:val="nil"/>
                    <w:bottom w:val="nil"/>
                    <w:right w:val="single" w:sz="4" w:space="0" w:color="auto"/>
                  </w:tcBorders>
                  <w:shd w:val="clear" w:color="auto" w:fill="auto"/>
                  <w:noWrap/>
                  <w:vAlign w:val="bottom"/>
                  <w:hideMark/>
                </w:tcPr>
                <w:p w14:paraId="06F19837" w14:textId="77777777" w:rsidR="00DE1D8D" w:rsidRPr="00397197" w:rsidRDefault="00DE1D8D" w:rsidP="00DE1D8D">
                  <w:pPr>
                    <w:ind w:right="49"/>
                    <w:jc w:val="center"/>
                    <w:rPr>
                      <w:sz w:val="22"/>
                      <w:szCs w:val="22"/>
                      <w:lang w:eastAsia="es-GT"/>
                    </w:rPr>
                  </w:pPr>
                  <w:r w:rsidRPr="00397197">
                    <w:rPr>
                      <w:sz w:val="22"/>
                      <w:szCs w:val="22"/>
                      <w:lang w:eastAsia="es-GT"/>
                    </w:rPr>
                    <w:t>-10.2</w:t>
                  </w:r>
                </w:p>
              </w:tc>
              <w:tc>
                <w:tcPr>
                  <w:tcW w:w="946" w:type="dxa"/>
                  <w:tcBorders>
                    <w:top w:val="nil"/>
                    <w:left w:val="nil"/>
                    <w:bottom w:val="nil"/>
                    <w:right w:val="single" w:sz="4" w:space="0" w:color="auto"/>
                  </w:tcBorders>
                  <w:shd w:val="clear" w:color="auto" w:fill="auto"/>
                  <w:noWrap/>
                  <w:vAlign w:val="bottom"/>
                  <w:hideMark/>
                </w:tcPr>
                <w:p w14:paraId="7D691932" w14:textId="77777777" w:rsidR="00DE1D8D" w:rsidRPr="00397197" w:rsidRDefault="00DE1D8D" w:rsidP="00DE1D8D">
                  <w:pPr>
                    <w:ind w:right="49"/>
                    <w:jc w:val="center"/>
                    <w:rPr>
                      <w:sz w:val="22"/>
                      <w:szCs w:val="22"/>
                      <w:lang w:eastAsia="es-GT"/>
                    </w:rPr>
                  </w:pPr>
                  <w:r w:rsidRPr="00397197">
                    <w:rPr>
                      <w:sz w:val="22"/>
                      <w:szCs w:val="22"/>
                      <w:lang w:eastAsia="es-GT"/>
                    </w:rPr>
                    <w:t>-8.3</w:t>
                  </w:r>
                </w:p>
              </w:tc>
              <w:tc>
                <w:tcPr>
                  <w:tcW w:w="946" w:type="dxa"/>
                  <w:tcBorders>
                    <w:top w:val="nil"/>
                    <w:left w:val="nil"/>
                    <w:bottom w:val="nil"/>
                    <w:right w:val="single" w:sz="4" w:space="0" w:color="auto"/>
                  </w:tcBorders>
                </w:tcPr>
                <w:p w14:paraId="43F8923C" w14:textId="77777777" w:rsidR="00DE1D8D" w:rsidRPr="00397197" w:rsidRDefault="00DE1D8D" w:rsidP="00DE1D8D">
                  <w:pPr>
                    <w:ind w:right="49"/>
                    <w:jc w:val="center"/>
                    <w:rPr>
                      <w:sz w:val="22"/>
                      <w:szCs w:val="22"/>
                      <w:lang w:eastAsia="es-GT"/>
                    </w:rPr>
                  </w:pPr>
                  <w:r w:rsidRPr="00397197">
                    <w:rPr>
                      <w:sz w:val="22"/>
                      <w:szCs w:val="22"/>
                      <w:lang w:eastAsia="es-GT"/>
                    </w:rPr>
                    <w:t>-7.2</w:t>
                  </w:r>
                </w:p>
              </w:tc>
            </w:tr>
            <w:tr w:rsidR="00DE1D8D" w:rsidRPr="003A6DE2" w14:paraId="47C9B495" w14:textId="77777777" w:rsidTr="007038F0">
              <w:trPr>
                <w:trHeight w:val="248"/>
                <w:jc w:val="center"/>
              </w:trPr>
              <w:tc>
                <w:tcPr>
                  <w:tcW w:w="3645" w:type="dxa"/>
                  <w:tcBorders>
                    <w:top w:val="nil"/>
                    <w:left w:val="single" w:sz="4" w:space="0" w:color="auto"/>
                    <w:bottom w:val="nil"/>
                    <w:right w:val="single" w:sz="4" w:space="0" w:color="auto"/>
                  </w:tcBorders>
                  <w:shd w:val="clear" w:color="auto" w:fill="auto"/>
                  <w:noWrap/>
                  <w:vAlign w:val="bottom"/>
                  <w:hideMark/>
                </w:tcPr>
                <w:p w14:paraId="7E0A51DE" w14:textId="77777777" w:rsidR="00DE1D8D" w:rsidRPr="00397197" w:rsidRDefault="00DE1D8D" w:rsidP="00DE1D8D">
                  <w:pPr>
                    <w:ind w:right="49"/>
                    <w:rPr>
                      <w:sz w:val="22"/>
                      <w:szCs w:val="22"/>
                      <w:lang w:eastAsia="es-GT"/>
                    </w:rPr>
                  </w:pPr>
                  <w:r w:rsidRPr="00397197">
                    <w:rPr>
                      <w:sz w:val="22"/>
                      <w:szCs w:val="22"/>
                      <w:lang w:eastAsia="es-GT"/>
                    </w:rPr>
                    <w:t>Economías Emergentes y en Desarrollo</w:t>
                  </w:r>
                </w:p>
              </w:tc>
              <w:tc>
                <w:tcPr>
                  <w:tcW w:w="1081" w:type="dxa"/>
                  <w:tcBorders>
                    <w:top w:val="nil"/>
                    <w:left w:val="nil"/>
                    <w:bottom w:val="nil"/>
                    <w:right w:val="single" w:sz="4" w:space="0" w:color="auto"/>
                  </w:tcBorders>
                  <w:shd w:val="clear" w:color="auto" w:fill="auto"/>
                  <w:noWrap/>
                  <w:vAlign w:val="bottom"/>
                  <w:hideMark/>
                </w:tcPr>
                <w:p w14:paraId="6CF3BB70" w14:textId="77777777" w:rsidR="00DE1D8D" w:rsidRPr="00397197" w:rsidRDefault="00DE1D8D" w:rsidP="00DE1D8D">
                  <w:pPr>
                    <w:ind w:right="49"/>
                    <w:jc w:val="center"/>
                    <w:rPr>
                      <w:sz w:val="22"/>
                      <w:szCs w:val="22"/>
                      <w:lang w:eastAsia="es-GT"/>
                    </w:rPr>
                  </w:pPr>
                  <w:r w:rsidRPr="00397197">
                    <w:rPr>
                      <w:sz w:val="22"/>
                      <w:szCs w:val="22"/>
                      <w:lang w:eastAsia="es-GT"/>
                    </w:rPr>
                    <w:t>4.4</w:t>
                  </w:r>
                </w:p>
              </w:tc>
              <w:tc>
                <w:tcPr>
                  <w:tcW w:w="1081" w:type="dxa"/>
                  <w:tcBorders>
                    <w:top w:val="nil"/>
                    <w:left w:val="nil"/>
                    <w:bottom w:val="nil"/>
                    <w:right w:val="single" w:sz="4" w:space="0" w:color="auto"/>
                  </w:tcBorders>
                  <w:shd w:val="clear" w:color="auto" w:fill="auto"/>
                  <w:noWrap/>
                  <w:vAlign w:val="bottom"/>
                  <w:hideMark/>
                </w:tcPr>
                <w:p w14:paraId="5D6AB963" w14:textId="77777777" w:rsidR="00DE1D8D" w:rsidRPr="00397197" w:rsidRDefault="00DE1D8D" w:rsidP="00DE1D8D">
                  <w:pPr>
                    <w:ind w:right="49"/>
                    <w:jc w:val="center"/>
                    <w:rPr>
                      <w:sz w:val="22"/>
                      <w:szCs w:val="22"/>
                      <w:lang w:eastAsia="es-GT"/>
                    </w:rPr>
                  </w:pPr>
                  <w:r w:rsidRPr="00397197">
                    <w:rPr>
                      <w:sz w:val="22"/>
                      <w:szCs w:val="22"/>
                      <w:lang w:eastAsia="es-GT"/>
                    </w:rPr>
                    <w:t>-1.0</w:t>
                  </w:r>
                </w:p>
              </w:tc>
              <w:tc>
                <w:tcPr>
                  <w:tcW w:w="946" w:type="dxa"/>
                  <w:tcBorders>
                    <w:top w:val="nil"/>
                    <w:left w:val="nil"/>
                    <w:bottom w:val="nil"/>
                    <w:right w:val="single" w:sz="4" w:space="0" w:color="auto"/>
                  </w:tcBorders>
                  <w:shd w:val="clear" w:color="auto" w:fill="auto"/>
                  <w:noWrap/>
                  <w:vAlign w:val="bottom"/>
                  <w:hideMark/>
                </w:tcPr>
                <w:p w14:paraId="6256F4FD" w14:textId="77777777" w:rsidR="00DE1D8D" w:rsidRPr="00397197" w:rsidRDefault="00DE1D8D" w:rsidP="00DE1D8D">
                  <w:pPr>
                    <w:ind w:right="49"/>
                    <w:jc w:val="center"/>
                    <w:rPr>
                      <w:sz w:val="22"/>
                      <w:szCs w:val="22"/>
                      <w:lang w:eastAsia="es-GT"/>
                    </w:rPr>
                  </w:pPr>
                  <w:r w:rsidRPr="00397197">
                    <w:rPr>
                      <w:sz w:val="22"/>
                      <w:szCs w:val="22"/>
                      <w:lang w:eastAsia="es-GT"/>
                    </w:rPr>
                    <w:t>-3.0</w:t>
                  </w:r>
                </w:p>
              </w:tc>
              <w:tc>
                <w:tcPr>
                  <w:tcW w:w="946" w:type="dxa"/>
                  <w:tcBorders>
                    <w:top w:val="nil"/>
                    <w:left w:val="nil"/>
                    <w:bottom w:val="nil"/>
                    <w:right w:val="single" w:sz="4" w:space="0" w:color="auto"/>
                  </w:tcBorders>
                  <w:shd w:val="clear" w:color="auto" w:fill="auto"/>
                  <w:noWrap/>
                  <w:vAlign w:val="bottom"/>
                  <w:hideMark/>
                </w:tcPr>
                <w:p w14:paraId="3D016893" w14:textId="77777777" w:rsidR="00DE1D8D" w:rsidRPr="00397197" w:rsidRDefault="00DE1D8D" w:rsidP="00DE1D8D">
                  <w:pPr>
                    <w:ind w:right="49"/>
                    <w:jc w:val="center"/>
                    <w:rPr>
                      <w:sz w:val="22"/>
                      <w:szCs w:val="22"/>
                      <w:lang w:eastAsia="es-GT"/>
                    </w:rPr>
                  </w:pPr>
                  <w:r w:rsidRPr="00397197">
                    <w:rPr>
                      <w:sz w:val="22"/>
                      <w:szCs w:val="22"/>
                      <w:lang w:eastAsia="es-GT"/>
                    </w:rPr>
                    <w:t>-3.3</w:t>
                  </w:r>
                </w:p>
              </w:tc>
              <w:tc>
                <w:tcPr>
                  <w:tcW w:w="946" w:type="dxa"/>
                  <w:tcBorders>
                    <w:top w:val="nil"/>
                    <w:left w:val="nil"/>
                    <w:bottom w:val="nil"/>
                    <w:right w:val="single" w:sz="4" w:space="0" w:color="auto"/>
                  </w:tcBorders>
                </w:tcPr>
                <w:p w14:paraId="7A15A0FF" w14:textId="77777777" w:rsidR="00DE1D8D" w:rsidRPr="00397197" w:rsidRDefault="00DE1D8D" w:rsidP="00DE1D8D">
                  <w:pPr>
                    <w:ind w:right="49"/>
                    <w:jc w:val="center"/>
                    <w:rPr>
                      <w:sz w:val="22"/>
                      <w:szCs w:val="22"/>
                      <w:lang w:eastAsia="es-GT"/>
                    </w:rPr>
                  </w:pPr>
                </w:p>
                <w:p w14:paraId="2ACE4F6C" w14:textId="77777777" w:rsidR="00DE1D8D" w:rsidRPr="00397197" w:rsidRDefault="00DE1D8D" w:rsidP="00DE1D8D">
                  <w:pPr>
                    <w:ind w:right="49"/>
                    <w:jc w:val="center"/>
                    <w:rPr>
                      <w:sz w:val="22"/>
                      <w:szCs w:val="22"/>
                      <w:lang w:eastAsia="es-GT"/>
                    </w:rPr>
                  </w:pPr>
                  <w:r w:rsidRPr="00397197">
                    <w:rPr>
                      <w:sz w:val="22"/>
                      <w:szCs w:val="22"/>
                      <w:lang w:eastAsia="es-GT"/>
                    </w:rPr>
                    <w:t>-2.4</w:t>
                  </w:r>
                </w:p>
              </w:tc>
            </w:tr>
            <w:tr w:rsidR="00DE1D8D" w:rsidRPr="003A6DE2" w14:paraId="2F2D558C" w14:textId="77777777" w:rsidTr="007038F0">
              <w:trPr>
                <w:trHeight w:val="248"/>
                <w:jc w:val="center"/>
              </w:trPr>
              <w:tc>
                <w:tcPr>
                  <w:tcW w:w="3645" w:type="dxa"/>
                  <w:tcBorders>
                    <w:top w:val="nil"/>
                    <w:left w:val="single" w:sz="4" w:space="0" w:color="auto"/>
                    <w:bottom w:val="single" w:sz="4" w:space="0" w:color="auto"/>
                    <w:right w:val="single" w:sz="4" w:space="0" w:color="auto"/>
                  </w:tcBorders>
                  <w:shd w:val="clear" w:color="auto" w:fill="auto"/>
                  <w:noWrap/>
                  <w:vAlign w:val="bottom"/>
                  <w:hideMark/>
                </w:tcPr>
                <w:p w14:paraId="20218382" w14:textId="77777777" w:rsidR="00DE1D8D" w:rsidRPr="00397197" w:rsidRDefault="00DE1D8D" w:rsidP="00DE1D8D">
                  <w:pPr>
                    <w:ind w:right="49"/>
                    <w:rPr>
                      <w:sz w:val="22"/>
                      <w:szCs w:val="22"/>
                      <w:lang w:eastAsia="es-GT"/>
                    </w:rPr>
                  </w:pPr>
                  <w:r w:rsidRPr="00397197">
                    <w:rPr>
                      <w:sz w:val="22"/>
                      <w:szCs w:val="22"/>
                      <w:lang w:eastAsia="es-GT"/>
                    </w:rPr>
                    <w:t>Latinoamérica y el Caribe</w:t>
                  </w:r>
                </w:p>
              </w:tc>
              <w:tc>
                <w:tcPr>
                  <w:tcW w:w="1081" w:type="dxa"/>
                  <w:tcBorders>
                    <w:top w:val="nil"/>
                    <w:left w:val="nil"/>
                    <w:bottom w:val="single" w:sz="4" w:space="0" w:color="auto"/>
                    <w:right w:val="single" w:sz="4" w:space="0" w:color="auto"/>
                  </w:tcBorders>
                  <w:shd w:val="clear" w:color="auto" w:fill="auto"/>
                  <w:noWrap/>
                  <w:vAlign w:val="bottom"/>
                  <w:hideMark/>
                </w:tcPr>
                <w:p w14:paraId="40BEE1BA" w14:textId="77777777" w:rsidR="00DE1D8D" w:rsidRPr="00397197" w:rsidRDefault="00DE1D8D" w:rsidP="00DE1D8D">
                  <w:pPr>
                    <w:ind w:right="49"/>
                    <w:jc w:val="center"/>
                    <w:rPr>
                      <w:sz w:val="22"/>
                      <w:szCs w:val="22"/>
                      <w:lang w:eastAsia="es-GT"/>
                    </w:rPr>
                  </w:pPr>
                  <w:r w:rsidRPr="00397197">
                    <w:rPr>
                      <w:sz w:val="22"/>
                      <w:szCs w:val="22"/>
                      <w:lang w:eastAsia="es-GT"/>
                    </w:rPr>
                    <w:t>1.6</w:t>
                  </w:r>
                </w:p>
              </w:tc>
              <w:tc>
                <w:tcPr>
                  <w:tcW w:w="1081" w:type="dxa"/>
                  <w:tcBorders>
                    <w:top w:val="nil"/>
                    <w:left w:val="nil"/>
                    <w:bottom w:val="single" w:sz="4" w:space="0" w:color="auto"/>
                    <w:right w:val="single" w:sz="4" w:space="0" w:color="auto"/>
                  </w:tcBorders>
                  <w:shd w:val="clear" w:color="auto" w:fill="auto"/>
                  <w:noWrap/>
                  <w:vAlign w:val="bottom"/>
                  <w:hideMark/>
                </w:tcPr>
                <w:p w14:paraId="75E66BB1" w14:textId="77777777" w:rsidR="00DE1D8D" w:rsidRPr="00397197" w:rsidRDefault="00DE1D8D" w:rsidP="00DE1D8D">
                  <w:pPr>
                    <w:ind w:right="49"/>
                    <w:jc w:val="center"/>
                    <w:rPr>
                      <w:sz w:val="22"/>
                      <w:szCs w:val="22"/>
                      <w:lang w:eastAsia="es-GT"/>
                    </w:rPr>
                  </w:pPr>
                  <w:r w:rsidRPr="00397197">
                    <w:rPr>
                      <w:sz w:val="22"/>
                      <w:szCs w:val="22"/>
                      <w:lang w:eastAsia="es-GT"/>
                    </w:rPr>
                    <w:t>-5.2</w:t>
                  </w:r>
                </w:p>
              </w:tc>
              <w:tc>
                <w:tcPr>
                  <w:tcW w:w="946" w:type="dxa"/>
                  <w:tcBorders>
                    <w:top w:val="nil"/>
                    <w:left w:val="nil"/>
                    <w:bottom w:val="single" w:sz="4" w:space="0" w:color="auto"/>
                    <w:right w:val="single" w:sz="4" w:space="0" w:color="auto"/>
                  </w:tcBorders>
                  <w:shd w:val="clear" w:color="auto" w:fill="auto"/>
                  <w:noWrap/>
                  <w:vAlign w:val="bottom"/>
                  <w:hideMark/>
                </w:tcPr>
                <w:p w14:paraId="23BE5E50" w14:textId="77777777" w:rsidR="00DE1D8D" w:rsidRPr="00397197" w:rsidRDefault="00DE1D8D" w:rsidP="00DE1D8D">
                  <w:pPr>
                    <w:ind w:right="49"/>
                    <w:jc w:val="center"/>
                    <w:rPr>
                      <w:sz w:val="22"/>
                      <w:szCs w:val="22"/>
                      <w:lang w:eastAsia="es-GT"/>
                    </w:rPr>
                  </w:pPr>
                  <w:r w:rsidRPr="00397197">
                    <w:rPr>
                      <w:sz w:val="22"/>
                      <w:szCs w:val="22"/>
                      <w:lang w:eastAsia="es-GT"/>
                    </w:rPr>
                    <w:t>-9.4</w:t>
                  </w:r>
                </w:p>
              </w:tc>
              <w:tc>
                <w:tcPr>
                  <w:tcW w:w="946" w:type="dxa"/>
                  <w:tcBorders>
                    <w:top w:val="nil"/>
                    <w:left w:val="nil"/>
                    <w:bottom w:val="single" w:sz="4" w:space="0" w:color="auto"/>
                    <w:right w:val="single" w:sz="4" w:space="0" w:color="auto"/>
                  </w:tcBorders>
                  <w:shd w:val="clear" w:color="auto" w:fill="auto"/>
                  <w:noWrap/>
                  <w:vAlign w:val="bottom"/>
                  <w:hideMark/>
                </w:tcPr>
                <w:p w14:paraId="5934E406" w14:textId="77777777" w:rsidR="00DE1D8D" w:rsidRPr="00397197" w:rsidRDefault="00DE1D8D" w:rsidP="00DE1D8D">
                  <w:pPr>
                    <w:ind w:right="49"/>
                    <w:jc w:val="center"/>
                    <w:rPr>
                      <w:sz w:val="22"/>
                      <w:szCs w:val="22"/>
                      <w:lang w:eastAsia="es-GT"/>
                    </w:rPr>
                  </w:pPr>
                  <w:r w:rsidRPr="00397197">
                    <w:rPr>
                      <w:sz w:val="22"/>
                      <w:szCs w:val="22"/>
                      <w:lang w:eastAsia="es-GT"/>
                    </w:rPr>
                    <w:t>-8.1</w:t>
                  </w:r>
                </w:p>
              </w:tc>
              <w:tc>
                <w:tcPr>
                  <w:tcW w:w="946" w:type="dxa"/>
                  <w:tcBorders>
                    <w:top w:val="nil"/>
                    <w:left w:val="nil"/>
                    <w:bottom w:val="single" w:sz="4" w:space="0" w:color="auto"/>
                    <w:right w:val="single" w:sz="4" w:space="0" w:color="auto"/>
                  </w:tcBorders>
                </w:tcPr>
                <w:p w14:paraId="5D1CA686" w14:textId="77777777" w:rsidR="00DE1D8D" w:rsidRPr="00397197" w:rsidRDefault="00DE1D8D" w:rsidP="00DE1D8D">
                  <w:pPr>
                    <w:ind w:right="49"/>
                    <w:jc w:val="center"/>
                    <w:rPr>
                      <w:sz w:val="22"/>
                      <w:szCs w:val="22"/>
                      <w:lang w:eastAsia="es-GT"/>
                    </w:rPr>
                  </w:pPr>
                  <w:r w:rsidRPr="00397197">
                    <w:rPr>
                      <w:sz w:val="22"/>
                      <w:szCs w:val="22"/>
                      <w:lang w:eastAsia="es-GT"/>
                    </w:rPr>
                    <w:t>-7.4</w:t>
                  </w:r>
                </w:p>
              </w:tc>
            </w:tr>
          </w:tbl>
          <w:p w14:paraId="7937A0CA" w14:textId="77777777" w:rsidR="00246A61" w:rsidRPr="00DE1D8D" w:rsidRDefault="00246A61" w:rsidP="00BA4D6D">
            <w:pPr>
              <w:ind w:right="49"/>
              <w:rPr>
                <w:sz w:val="16"/>
                <w:szCs w:val="24"/>
              </w:rPr>
            </w:pPr>
            <w:r w:rsidRPr="00DE1D8D">
              <w:rPr>
                <w:sz w:val="16"/>
                <w:szCs w:val="24"/>
              </w:rPr>
              <w:t xml:space="preserve">  Fuente: </w:t>
            </w:r>
            <w:r w:rsidR="00DE1D8D" w:rsidRPr="00DE1D8D">
              <w:rPr>
                <w:sz w:val="16"/>
                <w:szCs w:val="24"/>
              </w:rPr>
              <w:t>Fondo Monetario Internacional.</w:t>
            </w:r>
          </w:p>
          <w:p w14:paraId="662069C7" w14:textId="77777777" w:rsidR="00246A61" w:rsidRPr="00DE1D8D" w:rsidRDefault="00246A61" w:rsidP="00BA4D6D">
            <w:pPr>
              <w:ind w:left="567" w:right="49"/>
              <w:rPr>
                <w:color w:val="FF0000"/>
                <w:sz w:val="24"/>
                <w:szCs w:val="24"/>
              </w:rPr>
            </w:pPr>
          </w:p>
        </w:tc>
      </w:tr>
    </w:tbl>
    <w:p w14:paraId="48981765" w14:textId="77777777" w:rsidR="007E09B5" w:rsidRDefault="007E09B5" w:rsidP="007E09B5">
      <w:pPr>
        <w:pStyle w:val="Sinespaciado"/>
        <w:ind w:left="567" w:right="49"/>
        <w:jc w:val="both"/>
        <w:rPr>
          <w:rFonts w:ascii="Times New Roman" w:hAnsi="Times New Roman"/>
          <w:sz w:val="24"/>
          <w:szCs w:val="24"/>
        </w:rPr>
      </w:pPr>
      <w:r>
        <w:rPr>
          <w:rFonts w:ascii="Times New Roman" w:hAnsi="Times New Roman"/>
          <w:sz w:val="24"/>
          <w:szCs w:val="24"/>
        </w:rPr>
        <w:t xml:space="preserve">La contracción de la </w:t>
      </w:r>
      <w:r w:rsidRPr="00DD2BCD">
        <w:rPr>
          <w:rFonts w:ascii="Times New Roman" w:hAnsi="Times New Roman"/>
          <w:sz w:val="24"/>
          <w:szCs w:val="24"/>
        </w:rPr>
        <w:t>actividad ocurrida en 2020 no tiene precedentes históricos recientes en términos</w:t>
      </w:r>
      <w:r>
        <w:rPr>
          <w:rFonts w:ascii="Times New Roman" w:hAnsi="Times New Roman"/>
          <w:sz w:val="24"/>
          <w:szCs w:val="24"/>
        </w:rPr>
        <w:t xml:space="preserve"> de su velocidad y gravedad, </w:t>
      </w:r>
      <w:r w:rsidRPr="00FD773B">
        <w:rPr>
          <w:rFonts w:ascii="Times New Roman" w:hAnsi="Times New Roman"/>
          <w:sz w:val="24"/>
          <w:szCs w:val="24"/>
        </w:rPr>
        <w:t xml:space="preserve">la debilidad de la demanda global provocada por la parálisis de la actividad y demás </w:t>
      </w:r>
      <w:r>
        <w:rPr>
          <w:rFonts w:ascii="Times New Roman" w:hAnsi="Times New Roman"/>
          <w:sz w:val="24"/>
          <w:szCs w:val="24"/>
        </w:rPr>
        <w:t xml:space="preserve">secuelas que generó la pandemia incidió </w:t>
      </w:r>
      <w:r w:rsidRPr="00927323">
        <w:rPr>
          <w:rFonts w:ascii="Times New Roman" w:hAnsi="Times New Roman"/>
          <w:sz w:val="24"/>
          <w:szCs w:val="24"/>
        </w:rPr>
        <w:t>en las finanzas públicas debido al a</w:t>
      </w:r>
      <w:r>
        <w:rPr>
          <w:rFonts w:ascii="Times New Roman" w:hAnsi="Times New Roman"/>
          <w:sz w:val="24"/>
          <w:szCs w:val="24"/>
        </w:rPr>
        <w:t>umento del gasto y la menor recaudación de ingresos.  L</w:t>
      </w:r>
      <w:r w:rsidRPr="00927323">
        <w:rPr>
          <w:rFonts w:ascii="Times New Roman" w:hAnsi="Times New Roman"/>
          <w:sz w:val="24"/>
          <w:szCs w:val="24"/>
        </w:rPr>
        <w:t>as medidas de política adoptadas en respuesta a la crisis</w:t>
      </w:r>
      <w:r>
        <w:rPr>
          <w:rFonts w:ascii="Times New Roman" w:hAnsi="Times New Roman"/>
          <w:sz w:val="24"/>
          <w:szCs w:val="24"/>
        </w:rPr>
        <w:t xml:space="preserve"> probablemente generarán nuevos </w:t>
      </w:r>
      <w:r w:rsidRPr="00927323">
        <w:rPr>
          <w:rFonts w:ascii="Times New Roman" w:hAnsi="Times New Roman"/>
          <w:sz w:val="24"/>
          <w:szCs w:val="24"/>
        </w:rPr>
        <w:t>riesgos fiscale</w:t>
      </w:r>
      <w:r>
        <w:rPr>
          <w:rFonts w:ascii="Times New Roman" w:hAnsi="Times New Roman"/>
          <w:sz w:val="24"/>
          <w:szCs w:val="24"/>
        </w:rPr>
        <w:t>s, y solamente se verán contrarrestados al tomar en cuenta l</w:t>
      </w:r>
      <w:r w:rsidRPr="00927323">
        <w:rPr>
          <w:rFonts w:ascii="Times New Roman" w:hAnsi="Times New Roman"/>
          <w:sz w:val="24"/>
          <w:szCs w:val="24"/>
        </w:rPr>
        <w:t>as ens</w:t>
      </w:r>
      <w:r>
        <w:rPr>
          <w:rFonts w:ascii="Times New Roman" w:hAnsi="Times New Roman"/>
          <w:sz w:val="24"/>
          <w:szCs w:val="24"/>
        </w:rPr>
        <w:t xml:space="preserve">eñanzas extraídas de anteriores </w:t>
      </w:r>
      <w:r w:rsidRPr="00927323">
        <w:rPr>
          <w:rFonts w:ascii="Times New Roman" w:hAnsi="Times New Roman"/>
          <w:sz w:val="24"/>
          <w:szCs w:val="24"/>
        </w:rPr>
        <w:t>situaciones de elevada tensión económica</w:t>
      </w:r>
      <w:r>
        <w:rPr>
          <w:rFonts w:ascii="Times New Roman" w:hAnsi="Times New Roman"/>
          <w:sz w:val="24"/>
          <w:szCs w:val="24"/>
        </w:rPr>
        <w:t>.</w:t>
      </w:r>
      <w:r w:rsidRPr="00927323">
        <w:rPr>
          <w:rFonts w:ascii="Times New Roman" w:hAnsi="Times New Roman"/>
          <w:sz w:val="24"/>
          <w:szCs w:val="24"/>
        </w:rPr>
        <w:t xml:space="preserve"> </w:t>
      </w:r>
    </w:p>
    <w:p w14:paraId="0DC65CC7" w14:textId="77777777" w:rsidR="007E09B5" w:rsidRDefault="007E09B5" w:rsidP="007E09B5">
      <w:pPr>
        <w:pStyle w:val="Sinespaciado"/>
        <w:ind w:left="567" w:right="49"/>
        <w:jc w:val="both"/>
        <w:rPr>
          <w:rFonts w:ascii="Times New Roman" w:hAnsi="Times New Roman"/>
          <w:sz w:val="24"/>
          <w:szCs w:val="24"/>
        </w:rPr>
      </w:pPr>
    </w:p>
    <w:p w14:paraId="0DE20507" w14:textId="77777777" w:rsidR="00E420AA" w:rsidRPr="00DE1D8D" w:rsidRDefault="007E09B5" w:rsidP="007E09B5">
      <w:pPr>
        <w:ind w:left="567" w:right="49"/>
        <w:jc w:val="both"/>
        <w:rPr>
          <w:color w:val="FF0000"/>
          <w:sz w:val="24"/>
          <w:szCs w:val="24"/>
          <w:lang w:val="es-MX"/>
        </w:rPr>
      </w:pPr>
      <w:r w:rsidRPr="00381F8B">
        <w:rPr>
          <w:sz w:val="24"/>
          <w:szCs w:val="24"/>
        </w:rPr>
        <w:t xml:space="preserve">A nivel global, los gobiernos recurrieron a diversas medidas de apoyo para hacer frente a los </w:t>
      </w:r>
      <w:r w:rsidRPr="00381F8B">
        <w:rPr>
          <w:sz w:val="24"/>
          <w:szCs w:val="24"/>
        </w:rPr>
        <w:lastRenderedPageBreak/>
        <w:t>desafíos macroeconómicos y sociales planteados por la pandemia todavía existente.  Algunas de esas medidas incidieron directamente en las finanzas públicas, materializándose como aumentos de déficits fiscales y otras incrementaron la deuda mediante operaciones fuera del presupuesto o por debajo de la línea.</w:t>
      </w:r>
    </w:p>
    <w:p w14:paraId="32E7A301" w14:textId="77777777" w:rsidR="00246A61" w:rsidRPr="00DE1D8D" w:rsidRDefault="00246A61" w:rsidP="007E09B5">
      <w:pPr>
        <w:ind w:right="49"/>
        <w:jc w:val="both"/>
        <w:rPr>
          <w:color w:val="FF0000"/>
          <w:sz w:val="24"/>
          <w:szCs w:val="24"/>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1D8D" w:rsidRPr="00DE1D8D" w14:paraId="160FA3BA" w14:textId="77777777" w:rsidTr="00BA4D6D">
        <w:tc>
          <w:tcPr>
            <w:tcW w:w="9962" w:type="dxa"/>
          </w:tcPr>
          <w:p w14:paraId="7B651F72" w14:textId="77777777" w:rsidR="007038F0" w:rsidRPr="00E65CF2" w:rsidRDefault="00814706" w:rsidP="007038F0">
            <w:pPr>
              <w:pStyle w:val="Epgrafe"/>
              <w:keepNext/>
              <w:ind w:left="567" w:right="49"/>
              <w:rPr>
                <w:color w:val="auto"/>
                <w:sz w:val="24"/>
                <w:szCs w:val="24"/>
              </w:rPr>
            </w:pPr>
            <w:r>
              <w:rPr>
                <w:color w:val="auto"/>
                <w:sz w:val="24"/>
                <w:szCs w:val="24"/>
              </w:rPr>
              <w:t xml:space="preserve">Gráfica 1. </w:t>
            </w:r>
            <w:r w:rsidR="007038F0" w:rsidRPr="00E65CF2">
              <w:rPr>
                <w:color w:val="auto"/>
                <w:sz w:val="24"/>
                <w:szCs w:val="24"/>
              </w:rPr>
              <w:t>Comportamiento del crecimiento</w:t>
            </w:r>
            <w:r w:rsidR="007038F0">
              <w:rPr>
                <w:color w:val="auto"/>
                <w:sz w:val="24"/>
                <w:szCs w:val="24"/>
              </w:rPr>
              <w:t xml:space="preserve"> económico mundial</w:t>
            </w:r>
            <w:r w:rsidR="007038F0" w:rsidRPr="00E65CF2">
              <w:rPr>
                <w:color w:val="auto"/>
                <w:sz w:val="24"/>
                <w:szCs w:val="24"/>
              </w:rPr>
              <w:t xml:space="preserve">, la recesión </w:t>
            </w:r>
            <w:r w:rsidR="007038F0">
              <w:rPr>
                <w:color w:val="auto"/>
                <w:sz w:val="24"/>
                <w:szCs w:val="24"/>
              </w:rPr>
              <w:t>provocada por el COVID-19</w:t>
            </w:r>
          </w:p>
          <w:p w14:paraId="7174608E" w14:textId="77777777" w:rsidR="00246A61" w:rsidRPr="007038F0" w:rsidRDefault="007038F0" w:rsidP="00BA4D6D">
            <w:pPr>
              <w:jc w:val="center"/>
              <w:rPr>
                <w:sz w:val="22"/>
              </w:rPr>
            </w:pPr>
            <w:r>
              <w:rPr>
                <w:sz w:val="22"/>
              </w:rPr>
              <w:t xml:space="preserve">         </w:t>
            </w:r>
            <w:r w:rsidR="00246A61" w:rsidRPr="007038F0">
              <w:rPr>
                <w:sz w:val="22"/>
              </w:rPr>
              <w:t>Porcentajes</w:t>
            </w:r>
          </w:p>
          <w:p w14:paraId="18A92970" w14:textId="77777777" w:rsidR="007038F0" w:rsidRDefault="007038F0" w:rsidP="00BA4D6D">
            <w:pPr>
              <w:jc w:val="center"/>
              <w:rPr>
                <w:color w:val="FF0000"/>
              </w:rPr>
            </w:pPr>
            <w:r w:rsidRPr="00E65CF2">
              <w:rPr>
                <w:noProof/>
                <w:lang w:val="es-GT" w:eastAsia="es-GT"/>
              </w:rPr>
              <w:drawing>
                <wp:anchor distT="0" distB="0" distL="114300" distR="114300" simplePos="0" relativeHeight="251693056" behindDoc="0" locked="0" layoutInCell="1" allowOverlap="1" wp14:anchorId="5D198012" wp14:editId="61112E1E">
                  <wp:simplePos x="0" y="0"/>
                  <wp:positionH relativeFrom="column">
                    <wp:posOffset>453976</wp:posOffset>
                  </wp:positionH>
                  <wp:positionV relativeFrom="paragraph">
                    <wp:posOffset>23055</wp:posOffset>
                  </wp:positionV>
                  <wp:extent cx="5562600" cy="1699847"/>
                  <wp:effectExtent l="0" t="0" r="0" b="0"/>
                  <wp:wrapNone/>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CA77F49" w14:textId="77777777" w:rsidR="007038F0" w:rsidRDefault="007038F0" w:rsidP="00BA4D6D">
            <w:pPr>
              <w:jc w:val="center"/>
              <w:rPr>
                <w:color w:val="FF0000"/>
              </w:rPr>
            </w:pPr>
          </w:p>
          <w:p w14:paraId="30CAE5F1" w14:textId="77777777" w:rsidR="007038F0" w:rsidRDefault="007038F0" w:rsidP="00BA4D6D">
            <w:pPr>
              <w:jc w:val="center"/>
              <w:rPr>
                <w:color w:val="FF0000"/>
              </w:rPr>
            </w:pPr>
          </w:p>
          <w:p w14:paraId="72E420E5" w14:textId="77777777" w:rsidR="007038F0" w:rsidRDefault="007038F0" w:rsidP="00BA4D6D">
            <w:pPr>
              <w:jc w:val="center"/>
              <w:rPr>
                <w:color w:val="FF0000"/>
              </w:rPr>
            </w:pPr>
          </w:p>
          <w:p w14:paraId="34CEE2EF" w14:textId="77777777" w:rsidR="007038F0" w:rsidRDefault="007038F0" w:rsidP="00BA4D6D">
            <w:pPr>
              <w:jc w:val="center"/>
              <w:rPr>
                <w:color w:val="FF0000"/>
              </w:rPr>
            </w:pPr>
          </w:p>
          <w:p w14:paraId="7FE4BA78" w14:textId="77777777" w:rsidR="007038F0" w:rsidRPr="00DE1D8D" w:rsidRDefault="007038F0" w:rsidP="00BA4D6D">
            <w:pPr>
              <w:jc w:val="center"/>
              <w:rPr>
                <w:color w:val="FF0000"/>
              </w:rPr>
            </w:pPr>
          </w:p>
          <w:p w14:paraId="04D29106" w14:textId="77777777" w:rsidR="00246A61" w:rsidRDefault="00246A61" w:rsidP="00BA4D6D">
            <w:pPr>
              <w:ind w:left="567" w:right="49"/>
              <w:jc w:val="center"/>
              <w:rPr>
                <w:color w:val="FF0000"/>
                <w:sz w:val="24"/>
                <w:szCs w:val="24"/>
                <w:lang w:val="es-MX"/>
              </w:rPr>
            </w:pPr>
          </w:p>
          <w:p w14:paraId="1D12375F" w14:textId="77777777" w:rsidR="007038F0" w:rsidRDefault="007038F0" w:rsidP="00BA4D6D">
            <w:pPr>
              <w:ind w:left="567" w:right="49"/>
              <w:jc w:val="center"/>
              <w:rPr>
                <w:color w:val="FF0000"/>
                <w:sz w:val="24"/>
                <w:szCs w:val="24"/>
                <w:lang w:val="es-MX"/>
              </w:rPr>
            </w:pPr>
          </w:p>
          <w:p w14:paraId="5EE30716" w14:textId="77777777" w:rsidR="007038F0" w:rsidRDefault="007038F0" w:rsidP="00BA4D6D">
            <w:pPr>
              <w:ind w:left="567" w:right="49"/>
              <w:jc w:val="center"/>
              <w:rPr>
                <w:color w:val="FF0000"/>
                <w:sz w:val="24"/>
                <w:szCs w:val="24"/>
                <w:lang w:val="es-MX"/>
              </w:rPr>
            </w:pPr>
          </w:p>
          <w:p w14:paraId="4693AD16" w14:textId="77777777" w:rsidR="007038F0" w:rsidRDefault="007038F0" w:rsidP="00BA4D6D">
            <w:pPr>
              <w:ind w:left="567" w:right="49"/>
              <w:jc w:val="center"/>
              <w:rPr>
                <w:color w:val="FF0000"/>
                <w:sz w:val="24"/>
                <w:szCs w:val="24"/>
                <w:lang w:val="es-MX"/>
              </w:rPr>
            </w:pPr>
          </w:p>
          <w:p w14:paraId="2FDD6DA0" w14:textId="0C11106C" w:rsidR="007038F0" w:rsidRDefault="00FB6873" w:rsidP="00924BA7">
            <w:pPr>
              <w:ind w:right="49"/>
              <w:rPr>
                <w:color w:val="FF0000"/>
                <w:sz w:val="24"/>
                <w:szCs w:val="24"/>
                <w:lang w:val="es-MX"/>
              </w:rPr>
            </w:pPr>
            <w:r w:rsidRPr="00E572C5">
              <w:rPr>
                <w:noProof/>
                <w:color w:val="FF0000"/>
                <w:sz w:val="24"/>
                <w:szCs w:val="24"/>
                <w:lang w:val="es-GT" w:eastAsia="es-GT"/>
              </w:rPr>
              <mc:AlternateContent>
                <mc:Choice Requires="wps">
                  <w:drawing>
                    <wp:anchor distT="0" distB="0" distL="114300" distR="114300" simplePos="0" relativeHeight="251695104" behindDoc="0" locked="0" layoutInCell="1" allowOverlap="1" wp14:anchorId="2B5693AE" wp14:editId="6B232C1B">
                      <wp:simplePos x="0" y="0"/>
                      <wp:positionH relativeFrom="column">
                        <wp:posOffset>451485</wp:posOffset>
                      </wp:positionH>
                      <wp:positionV relativeFrom="paragraph">
                        <wp:posOffset>142875</wp:posOffset>
                      </wp:positionV>
                      <wp:extent cx="4683760" cy="222250"/>
                      <wp:effectExtent l="0" t="0" r="2540" b="6350"/>
                      <wp:wrapNone/>
                      <wp:docPr id="11" name="Text Box 2"/>
                      <wp:cNvGraphicFramePr/>
                      <a:graphic xmlns:a="http://schemas.openxmlformats.org/drawingml/2006/main">
                        <a:graphicData uri="http://schemas.microsoft.com/office/word/2010/wordprocessingShape">
                          <wps:wsp>
                            <wps:cNvSpPr txBox="1"/>
                            <wps:spPr>
                              <a:xfrm>
                                <a:off x="0" y="0"/>
                                <a:ext cx="4683760" cy="222250"/>
                              </a:xfrm>
                              <a:prstGeom prst="rect">
                                <a:avLst/>
                              </a:prstGeom>
                              <a:solidFill>
                                <a:schemeClr val="lt1"/>
                              </a:solidFill>
                              <a:ln w="6350">
                                <a:noFill/>
                              </a:ln>
                            </wps:spPr>
                            <wps:txbx>
                              <w:txbxContent>
                                <w:p w14:paraId="1C1E0AB5" w14:textId="6EE52C90" w:rsidR="005C20BF" w:rsidRPr="007038F0" w:rsidRDefault="005C20BF" w:rsidP="007038F0">
                                  <w:pPr>
                                    <w:rPr>
                                      <w:bCs/>
                                      <w:sz w:val="16"/>
                                      <w:szCs w:val="16"/>
                                    </w:rPr>
                                  </w:pPr>
                                  <w:r w:rsidRPr="007038F0">
                                    <w:rPr>
                                      <w:bCs/>
                                      <w:sz w:val="16"/>
                                      <w:szCs w:val="16"/>
                                    </w:rPr>
                                    <w:t xml:space="preserve">Fuente: </w:t>
                                  </w:r>
                                  <w:r>
                                    <w:rPr>
                                      <w:bCs/>
                                      <w:sz w:val="16"/>
                                      <w:szCs w:val="11"/>
                                    </w:rPr>
                                    <w:t>Ministerio de Finanzas Públicas</w:t>
                                  </w:r>
                                  <w:r w:rsidRPr="00A614CD">
                                    <w:rPr>
                                      <w:bCs/>
                                      <w:sz w:val="16"/>
                                      <w:szCs w:val="11"/>
                                    </w:rPr>
                                    <w:t xml:space="preserve"> </w:t>
                                  </w:r>
                                  <w:r w:rsidRPr="007038F0">
                                    <w:rPr>
                                      <w:bCs/>
                                      <w:sz w:val="16"/>
                                      <w:szCs w:val="16"/>
                                    </w:rPr>
                                    <w:t>con información del FMI, WEO actualización abril 2021</w:t>
                                  </w:r>
                                  <w:r>
                                    <w:rPr>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2B5693AE" id="_x0000_t202" coordsize="21600,21600" o:spt="202" path="m,l,21600r21600,l21600,xe">
                      <v:stroke joinstyle="miter"/>
                      <v:path gradientshapeok="t" o:connecttype="rect"/>
                    </v:shapetype>
                    <v:shape id="Text Box 2" o:spid="_x0000_s1026" type="#_x0000_t202" style="position:absolute;margin-left:35.55pt;margin-top:11.25pt;width:368.8pt;height: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" fillcolor="white [3201]" stroked="f" strokeweight=".5pt">
                      <v:textbox>
                        <w:txbxContent>
                          <w:p w14:paraId="1C1E0AB5" w14:textId="6EE52C90" w:rsidR="005C20BF" w:rsidRPr="007038F0" w:rsidRDefault="005C20BF" w:rsidP="007038F0">
                            <w:pPr>
                              <w:rPr>
                                <w:bCs/>
                                <w:sz w:val="16"/>
                                <w:szCs w:val="16"/>
                              </w:rPr>
                            </w:pPr>
                            <w:r w:rsidRPr="007038F0">
                              <w:rPr>
                                <w:bCs/>
                                <w:sz w:val="16"/>
                                <w:szCs w:val="16"/>
                              </w:rPr>
                              <w:t xml:space="preserve">Fuente: </w:t>
                            </w:r>
                            <w:r>
                              <w:rPr>
                                <w:bCs/>
                                <w:sz w:val="16"/>
                                <w:szCs w:val="11"/>
                              </w:rPr>
                              <w:t>Ministerio de Finanzas Públicas</w:t>
                            </w:r>
                            <w:r w:rsidRPr="00A614CD">
                              <w:rPr>
                                <w:bCs/>
                                <w:sz w:val="16"/>
                                <w:szCs w:val="11"/>
                              </w:rPr>
                              <w:t xml:space="preserve"> </w:t>
                            </w:r>
                            <w:r w:rsidRPr="007038F0">
                              <w:rPr>
                                <w:bCs/>
                                <w:sz w:val="16"/>
                                <w:szCs w:val="16"/>
                              </w:rPr>
                              <w:t>con información del FMI, WEO actualización abril 2021</w:t>
                            </w:r>
                            <w:r>
                              <w:rPr>
                                <w:bCs/>
                                <w:sz w:val="16"/>
                                <w:szCs w:val="16"/>
                              </w:rPr>
                              <w:t>.</w:t>
                            </w:r>
                          </w:p>
                        </w:txbxContent>
                      </v:textbox>
                    </v:shape>
                  </w:pict>
                </mc:Fallback>
              </mc:AlternateContent>
            </w:r>
          </w:p>
          <w:p w14:paraId="4BC004E0" w14:textId="20F2576F" w:rsidR="00246A61" w:rsidRPr="00DE1D8D" w:rsidRDefault="007038F0" w:rsidP="007038F0">
            <w:pPr>
              <w:ind w:right="49"/>
              <w:rPr>
                <w:color w:val="FF0000"/>
                <w:szCs w:val="24"/>
              </w:rPr>
            </w:pPr>
            <w:r>
              <w:rPr>
                <w:color w:val="FF0000"/>
                <w:szCs w:val="24"/>
              </w:rPr>
              <w:t xml:space="preserve">                  </w:t>
            </w:r>
          </w:p>
          <w:p w14:paraId="2087D553" w14:textId="77777777" w:rsidR="00246A61" w:rsidRPr="007038F0" w:rsidRDefault="00246A61" w:rsidP="00BA4D6D">
            <w:pPr>
              <w:ind w:left="567" w:right="49"/>
              <w:jc w:val="center"/>
              <w:rPr>
                <w:color w:val="FF0000"/>
                <w:sz w:val="8"/>
                <w:szCs w:val="24"/>
                <w:lang w:val="es-MX"/>
              </w:rPr>
            </w:pPr>
          </w:p>
        </w:tc>
      </w:tr>
    </w:tbl>
    <w:p w14:paraId="7108D07D" w14:textId="77777777" w:rsidR="007038F0" w:rsidRPr="007038F0" w:rsidRDefault="007038F0" w:rsidP="00246A61">
      <w:pPr>
        <w:ind w:right="49"/>
        <w:rPr>
          <w:color w:val="FF0000"/>
          <w:szCs w:val="24"/>
          <w:lang w:val="es-MX"/>
        </w:rPr>
      </w:pPr>
    </w:p>
    <w:p w14:paraId="7A3334E8" w14:textId="77777777" w:rsidR="00246A61" w:rsidRPr="007038F0" w:rsidRDefault="00246A61" w:rsidP="00246A61">
      <w:pPr>
        <w:pStyle w:val="Ttulo1"/>
        <w:widowControl/>
        <w:numPr>
          <w:ilvl w:val="1"/>
          <w:numId w:val="5"/>
        </w:numPr>
        <w:ind w:left="993" w:right="49"/>
        <w:jc w:val="left"/>
        <w:rPr>
          <w:b w:val="0"/>
          <w:color w:val="1F3864" w:themeColor="accent1" w:themeShade="80"/>
          <w:sz w:val="24"/>
          <w:szCs w:val="24"/>
        </w:rPr>
      </w:pPr>
      <w:bookmarkStart w:id="3" w:name="_Toc83302154"/>
      <w:r w:rsidRPr="007038F0">
        <w:rPr>
          <w:color w:val="1F3864" w:themeColor="accent1" w:themeShade="80"/>
          <w:sz w:val="24"/>
          <w:szCs w:val="24"/>
        </w:rPr>
        <w:t>Riesgo</w:t>
      </w:r>
      <w:r w:rsidR="007038F0" w:rsidRPr="007038F0">
        <w:rPr>
          <w:color w:val="1F3864" w:themeColor="accent1" w:themeShade="80"/>
          <w:sz w:val="24"/>
          <w:szCs w:val="24"/>
        </w:rPr>
        <w:t>s asociados a las proyecciones de crecimiento económico 2021-2022</w:t>
      </w:r>
      <w:bookmarkEnd w:id="3"/>
    </w:p>
    <w:p w14:paraId="19819EE5" w14:textId="77777777" w:rsidR="00246A61" w:rsidRPr="00DE1D8D" w:rsidRDefault="00246A61" w:rsidP="00246A61">
      <w:pPr>
        <w:rPr>
          <w:color w:val="FF0000"/>
        </w:rPr>
      </w:pPr>
    </w:p>
    <w:p w14:paraId="6CBC1724" w14:textId="4642899A" w:rsidR="00924BA7" w:rsidRDefault="007038F0" w:rsidP="00924BA7">
      <w:pPr>
        <w:pStyle w:val="Sinespaciado"/>
        <w:ind w:left="567" w:right="49"/>
        <w:jc w:val="both"/>
        <w:rPr>
          <w:rFonts w:ascii="Times New Roman" w:hAnsi="Times New Roman"/>
          <w:sz w:val="24"/>
          <w:szCs w:val="24"/>
          <w:lang w:val="es-ES_tradnl"/>
        </w:rPr>
      </w:pPr>
      <w:r w:rsidRPr="002007BE">
        <w:rPr>
          <w:rFonts w:ascii="Times New Roman" w:hAnsi="Times New Roman"/>
          <w:sz w:val="24"/>
          <w:szCs w:val="24"/>
          <w:lang w:val="es-ES_tradnl"/>
        </w:rPr>
        <w:t>Tras una contracción de 3.</w:t>
      </w:r>
      <w:r w:rsidR="000C7FAD">
        <w:rPr>
          <w:rFonts w:ascii="Times New Roman" w:hAnsi="Times New Roman"/>
          <w:sz w:val="24"/>
          <w:szCs w:val="24"/>
          <w:lang w:val="es-ES_tradnl"/>
        </w:rPr>
        <w:t>2</w:t>
      </w:r>
      <w:r w:rsidRPr="002007BE">
        <w:rPr>
          <w:rFonts w:ascii="Times New Roman" w:hAnsi="Times New Roman"/>
          <w:sz w:val="24"/>
          <w:szCs w:val="24"/>
          <w:lang w:val="es-ES_tradnl"/>
        </w:rPr>
        <w:t>% en 2020, se proyecta que la economía mundial registra</w:t>
      </w:r>
      <w:r>
        <w:rPr>
          <w:rFonts w:ascii="Times New Roman" w:hAnsi="Times New Roman"/>
          <w:sz w:val="24"/>
          <w:szCs w:val="24"/>
          <w:lang w:val="es-ES_tradnl"/>
        </w:rPr>
        <w:t>rá un crecimiento de 6% en 2021, según el Fondo Monetario Internacional, atribuido al</w:t>
      </w:r>
      <w:r w:rsidRPr="002007BE">
        <w:rPr>
          <w:rFonts w:ascii="Times New Roman" w:hAnsi="Times New Roman"/>
          <w:sz w:val="24"/>
          <w:szCs w:val="24"/>
          <w:lang w:val="es-ES_tradnl"/>
        </w:rPr>
        <w:t xml:space="preserve"> efecto del impulso fiscal adicional instituido por algunas economías grandes y la recuperación prevista para el segundo semestre del año gracias a la vacunación. Este ritmo refleja la continua adaptación de todos los sectores de la economía a la difícil situación sanitaria. La solidez de la recuperación proyectada varía entre países, dependiendo de la gravedad de la crisis sanitaria, el grado de trastorno interno de la actividad, relacionado con la dependencia de los países de sectores de contacto personal intensivo, la exposición a efectos de desbordamiento transfronterizos y por la eficacia con que las políticas de apoyo limiten daños persistentes. </w:t>
      </w:r>
    </w:p>
    <w:p w14:paraId="18D36B7E" w14:textId="77777777" w:rsidR="007038F0" w:rsidRDefault="007038F0" w:rsidP="007038F0">
      <w:pPr>
        <w:pStyle w:val="Sinespaciado"/>
        <w:ind w:left="567" w:right="49"/>
        <w:jc w:val="both"/>
        <w:rPr>
          <w:rFonts w:ascii="Times New Roman" w:hAnsi="Times New Roman"/>
          <w:sz w:val="24"/>
          <w:szCs w:val="24"/>
          <w:lang w:val="es-ES_tradnl"/>
        </w:rPr>
      </w:pPr>
    </w:p>
    <w:p w14:paraId="01CF8D94" w14:textId="77777777" w:rsidR="007038F0" w:rsidRPr="007038F0" w:rsidRDefault="00814706" w:rsidP="007038F0">
      <w:pPr>
        <w:pStyle w:val="Epgrafe"/>
        <w:keepNext/>
        <w:ind w:left="567" w:right="49"/>
        <w:rPr>
          <w:color w:val="auto"/>
          <w:sz w:val="24"/>
          <w:szCs w:val="24"/>
        </w:rPr>
      </w:pPr>
      <w:bookmarkStart w:id="4" w:name="_Toc71110174"/>
      <w:r>
        <w:rPr>
          <w:color w:val="auto"/>
          <w:sz w:val="24"/>
          <w:szCs w:val="24"/>
        </w:rPr>
        <w:t xml:space="preserve">Gráfica 2.  </w:t>
      </w:r>
      <w:r w:rsidR="007038F0" w:rsidRPr="007038F0">
        <w:rPr>
          <w:color w:val="auto"/>
          <w:sz w:val="24"/>
          <w:szCs w:val="24"/>
        </w:rPr>
        <w:t>Pronóstico de crecimiento de la producción mundial en 2021</w:t>
      </w:r>
      <w:bookmarkEnd w:id="4"/>
    </w:p>
    <w:p w14:paraId="12772136" w14:textId="77777777" w:rsidR="007038F0" w:rsidRDefault="007038F0" w:rsidP="007038F0">
      <w:pPr>
        <w:pStyle w:val="Sinespaciado"/>
        <w:ind w:left="567" w:right="49"/>
        <w:jc w:val="both"/>
        <w:rPr>
          <w:rFonts w:ascii="Times New Roman" w:hAnsi="Times New Roman"/>
          <w:sz w:val="24"/>
          <w:szCs w:val="24"/>
          <w:lang w:val="es-ES_tradnl"/>
        </w:rPr>
      </w:pPr>
      <w:r>
        <w:rPr>
          <w:noProof/>
          <w:lang w:val="es-GT" w:eastAsia="es-GT"/>
        </w:rPr>
        <w:drawing>
          <wp:anchor distT="0" distB="0" distL="114300" distR="114300" simplePos="0" relativeHeight="251697152" behindDoc="0" locked="0" layoutInCell="1" allowOverlap="1" wp14:anchorId="59DF1690" wp14:editId="3F6007A3">
            <wp:simplePos x="0" y="0"/>
            <wp:positionH relativeFrom="column">
              <wp:posOffset>973895</wp:posOffset>
            </wp:positionH>
            <wp:positionV relativeFrom="paragraph">
              <wp:posOffset>49970</wp:posOffset>
            </wp:positionV>
            <wp:extent cx="4607560" cy="1647092"/>
            <wp:effectExtent l="0" t="0" r="2540" b="0"/>
            <wp:wrapNone/>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F41E22B" w14:textId="77777777" w:rsidR="007038F0" w:rsidRDefault="007038F0" w:rsidP="007038F0">
      <w:pPr>
        <w:pStyle w:val="Sinespaciado"/>
        <w:ind w:left="567" w:right="49"/>
        <w:jc w:val="both"/>
        <w:rPr>
          <w:rFonts w:ascii="Times New Roman" w:hAnsi="Times New Roman"/>
          <w:sz w:val="24"/>
          <w:szCs w:val="24"/>
          <w:lang w:val="es-ES_tradnl"/>
        </w:rPr>
      </w:pPr>
    </w:p>
    <w:p w14:paraId="1D8E7C64" w14:textId="77777777" w:rsidR="007038F0" w:rsidRDefault="007038F0" w:rsidP="007038F0">
      <w:pPr>
        <w:pStyle w:val="Sinespaciado"/>
        <w:ind w:left="567" w:right="49"/>
        <w:jc w:val="both"/>
        <w:rPr>
          <w:rFonts w:ascii="Times New Roman" w:hAnsi="Times New Roman"/>
          <w:sz w:val="24"/>
          <w:szCs w:val="24"/>
          <w:lang w:val="es-ES_tradnl"/>
        </w:rPr>
      </w:pPr>
    </w:p>
    <w:p w14:paraId="7E46CA09" w14:textId="77777777" w:rsidR="007038F0" w:rsidRDefault="007038F0" w:rsidP="007038F0">
      <w:pPr>
        <w:pStyle w:val="Sinespaciado"/>
        <w:ind w:left="567" w:right="49"/>
        <w:jc w:val="both"/>
        <w:rPr>
          <w:rFonts w:ascii="Times New Roman" w:hAnsi="Times New Roman"/>
          <w:sz w:val="24"/>
          <w:szCs w:val="24"/>
          <w:lang w:val="es-ES_tradnl"/>
        </w:rPr>
      </w:pPr>
    </w:p>
    <w:p w14:paraId="7CC1C6EF" w14:textId="77777777" w:rsidR="007038F0" w:rsidRDefault="007038F0" w:rsidP="007038F0">
      <w:pPr>
        <w:pStyle w:val="Sinespaciado"/>
        <w:ind w:left="567" w:right="49"/>
        <w:jc w:val="both"/>
        <w:rPr>
          <w:rFonts w:ascii="Times New Roman" w:hAnsi="Times New Roman"/>
          <w:sz w:val="24"/>
          <w:szCs w:val="24"/>
          <w:lang w:val="es-ES_tradnl"/>
        </w:rPr>
      </w:pPr>
    </w:p>
    <w:p w14:paraId="30F9AED8" w14:textId="77777777" w:rsidR="007038F0" w:rsidRDefault="007038F0" w:rsidP="007038F0">
      <w:pPr>
        <w:pStyle w:val="Sinespaciado"/>
        <w:ind w:left="567" w:right="49"/>
        <w:jc w:val="both"/>
        <w:rPr>
          <w:rFonts w:ascii="Times New Roman" w:hAnsi="Times New Roman"/>
          <w:sz w:val="24"/>
          <w:szCs w:val="24"/>
          <w:lang w:val="es-ES_tradnl"/>
        </w:rPr>
      </w:pPr>
    </w:p>
    <w:p w14:paraId="75B55D39" w14:textId="77777777" w:rsidR="007038F0" w:rsidRDefault="007038F0" w:rsidP="007038F0">
      <w:pPr>
        <w:pStyle w:val="Sinespaciado"/>
        <w:ind w:left="567" w:right="49"/>
        <w:jc w:val="both"/>
        <w:rPr>
          <w:rFonts w:ascii="Times New Roman" w:hAnsi="Times New Roman"/>
          <w:sz w:val="24"/>
          <w:szCs w:val="24"/>
          <w:lang w:val="es-ES_tradnl"/>
        </w:rPr>
      </w:pPr>
    </w:p>
    <w:p w14:paraId="49C63BDB" w14:textId="77777777" w:rsidR="007038F0" w:rsidRDefault="007038F0" w:rsidP="007038F0">
      <w:pPr>
        <w:pStyle w:val="Sinespaciado"/>
        <w:ind w:left="567" w:right="49"/>
        <w:jc w:val="both"/>
        <w:rPr>
          <w:rFonts w:ascii="Times New Roman" w:hAnsi="Times New Roman"/>
          <w:sz w:val="24"/>
          <w:szCs w:val="24"/>
          <w:lang w:val="es-ES_tradnl"/>
        </w:rPr>
      </w:pPr>
    </w:p>
    <w:p w14:paraId="54F32CFB" w14:textId="77777777" w:rsidR="007038F0" w:rsidRDefault="007038F0" w:rsidP="007038F0">
      <w:pPr>
        <w:pStyle w:val="Sinespaciado"/>
        <w:ind w:left="567" w:right="49"/>
        <w:jc w:val="both"/>
        <w:rPr>
          <w:rFonts w:ascii="Times New Roman" w:hAnsi="Times New Roman"/>
          <w:sz w:val="24"/>
          <w:szCs w:val="24"/>
          <w:lang w:val="es-ES_tradnl"/>
        </w:rPr>
      </w:pPr>
    </w:p>
    <w:p w14:paraId="278C21E1" w14:textId="123C216C" w:rsidR="007038F0" w:rsidRDefault="00FB6873" w:rsidP="00924BA7">
      <w:pPr>
        <w:pStyle w:val="Sinespaciado"/>
        <w:ind w:right="49"/>
        <w:jc w:val="both"/>
        <w:rPr>
          <w:rFonts w:ascii="Times New Roman" w:hAnsi="Times New Roman"/>
          <w:sz w:val="24"/>
          <w:szCs w:val="24"/>
          <w:lang w:val="es-ES_tradnl"/>
        </w:rPr>
      </w:pPr>
      <w:r w:rsidRPr="0062341C">
        <w:rPr>
          <w:noProof/>
          <w:color w:val="FF0000"/>
          <w:lang w:val="es-GT" w:eastAsia="es-GT"/>
        </w:rPr>
        <mc:AlternateContent>
          <mc:Choice Requires="wps">
            <w:drawing>
              <wp:anchor distT="0" distB="0" distL="114300" distR="114300" simplePos="0" relativeHeight="251699200" behindDoc="0" locked="0" layoutInCell="1" allowOverlap="1" wp14:anchorId="42402F77" wp14:editId="6211CD8E">
                <wp:simplePos x="0" y="0"/>
                <wp:positionH relativeFrom="margin">
                  <wp:posOffset>1016635</wp:posOffset>
                </wp:positionH>
                <wp:positionV relativeFrom="paragraph">
                  <wp:posOffset>118599</wp:posOffset>
                </wp:positionV>
                <wp:extent cx="3638550" cy="214746"/>
                <wp:effectExtent l="0" t="0" r="0" b="0"/>
                <wp:wrapNone/>
                <wp:docPr id="64" name="Text Box 16"/>
                <wp:cNvGraphicFramePr/>
                <a:graphic xmlns:a="http://schemas.openxmlformats.org/drawingml/2006/main">
                  <a:graphicData uri="http://schemas.microsoft.com/office/word/2010/wordprocessingShape">
                    <wps:wsp>
                      <wps:cNvSpPr txBox="1"/>
                      <wps:spPr>
                        <a:xfrm>
                          <a:off x="0" y="0"/>
                          <a:ext cx="3638550" cy="214746"/>
                        </a:xfrm>
                        <a:prstGeom prst="rect">
                          <a:avLst/>
                        </a:prstGeom>
                        <a:solidFill>
                          <a:schemeClr val="lt1"/>
                        </a:solidFill>
                        <a:ln w="6350">
                          <a:noFill/>
                        </a:ln>
                      </wps:spPr>
                      <wps:txbx>
                        <w:txbxContent>
                          <w:p w14:paraId="1910A786" w14:textId="77777777" w:rsidR="005C20BF" w:rsidRPr="00EC77E9" w:rsidRDefault="005C20BF" w:rsidP="007038F0">
                            <w:pPr>
                              <w:rPr>
                                <w:sz w:val="16"/>
                                <w:szCs w:val="16"/>
                              </w:rPr>
                            </w:pPr>
                            <w:r w:rsidRPr="00EC77E9">
                              <w:rPr>
                                <w:sz w:val="16"/>
                                <w:szCs w:val="16"/>
                              </w:rPr>
                              <w:t xml:space="preserve">Fuente: </w:t>
                            </w:r>
                            <w:r>
                              <w:rPr>
                                <w:sz w:val="16"/>
                                <w:szCs w:val="16"/>
                              </w:rPr>
                              <w:t xml:space="preserve">Fondo </w:t>
                            </w:r>
                            <w:r w:rsidRPr="00EC77E9">
                              <w:rPr>
                                <w:sz w:val="16"/>
                                <w:szCs w:val="16"/>
                              </w:rPr>
                              <w:t>M</w:t>
                            </w:r>
                            <w:r>
                              <w:rPr>
                                <w:sz w:val="16"/>
                                <w:szCs w:val="16"/>
                              </w:rPr>
                              <w:t xml:space="preserve">onetario </w:t>
                            </w:r>
                            <w:r w:rsidRPr="00EC77E9">
                              <w:rPr>
                                <w:sz w:val="16"/>
                                <w:szCs w:val="16"/>
                              </w:rPr>
                              <w:t>I</w:t>
                            </w:r>
                            <w:r>
                              <w:rPr>
                                <w:sz w:val="16"/>
                                <w:szCs w:val="16"/>
                              </w:rPr>
                              <w:t>nternacional.</w:t>
                            </w:r>
                          </w:p>
                          <w:p w14:paraId="2EF76D03" w14:textId="77777777" w:rsidR="005C20BF" w:rsidRPr="00EC77E9" w:rsidRDefault="005C20BF" w:rsidP="007038F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42402F77" id="Text Box 16" o:spid="_x0000_s1027" type="#_x0000_t202" style="position:absolute;left:0;text-align:left;margin-left:80.05pt;margin-top:9.35pt;width:286.5pt;height:16.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" fillcolor="white [3201]" stroked="f" strokeweight=".5pt">
                <v:textbox>
                  <w:txbxContent>
                    <w:p w14:paraId="1910A786" w14:textId="77777777" w:rsidR="005C20BF" w:rsidRPr="00EC77E9" w:rsidRDefault="005C20BF" w:rsidP="007038F0">
                      <w:pPr>
                        <w:rPr>
                          <w:sz w:val="16"/>
                          <w:szCs w:val="16"/>
                        </w:rPr>
                      </w:pPr>
                      <w:r w:rsidRPr="00EC77E9">
                        <w:rPr>
                          <w:sz w:val="16"/>
                          <w:szCs w:val="16"/>
                        </w:rPr>
                        <w:t xml:space="preserve">Fuente: </w:t>
                      </w:r>
                      <w:r>
                        <w:rPr>
                          <w:sz w:val="16"/>
                          <w:szCs w:val="16"/>
                        </w:rPr>
                        <w:t xml:space="preserve">Fondo </w:t>
                      </w:r>
                      <w:r w:rsidRPr="00EC77E9">
                        <w:rPr>
                          <w:sz w:val="16"/>
                          <w:szCs w:val="16"/>
                        </w:rPr>
                        <w:t>M</w:t>
                      </w:r>
                      <w:r>
                        <w:rPr>
                          <w:sz w:val="16"/>
                          <w:szCs w:val="16"/>
                        </w:rPr>
                        <w:t xml:space="preserve">onetario </w:t>
                      </w:r>
                      <w:r w:rsidRPr="00EC77E9">
                        <w:rPr>
                          <w:sz w:val="16"/>
                          <w:szCs w:val="16"/>
                        </w:rPr>
                        <w:t>I</w:t>
                      </w:r>
                      <w:r>
                        <w:rPr>
                          <w:sz w:val="16"/>
                          <w:szCs w:val="16"/>
                        </w:rPr>
                        <w:t>nternacional.</w:t>
                      </w:r>
                    </w:p>
                    <w:p w14:paraId="2EF76D03" w14:textId="77777777" w:rsidR="005C20BF" w:rsidRPr="00EC77E9" w:rsidRDefault="005C20BF" w:rsidP="007038F0">
                      <w:pPr>
                        <w:rPr>
                          <w:sz w:val="16"/>
                          <w:szCs w:val="16"/>
                        </w:rPr>
                      </w:pPr>
                    </w:p>
                  </w:txbxContent>
                </v:textbox>
                <w10:wrap anchorx="margin"/>
              </v:shape>
            </w:pict>
          </mc:Fallback>
        </mc:AlternateContent>
      </w:r>
    </w:p>
    <w:p w14:paraId="04331E3C" w14:textId="6EE2EA1C" w:rsidR="007038F0" w:rsidRDefault="007038F0" w:rsidP="00FB6873">
      <w:pPr>
        <w:pStyle w:val="Sinespaciado"/>
        <w:ind w:left="567" w:right="49"/>
        <w:jc w:val="both"/>
        <w:rPr>
          <w:rFonts w:ascii="Times New Roman" w:hAnsi="Times New Roman"/>
          <w:sz w:val="24"/>
          <w:szCs w:val="24"/>
          <w:lang w:val="es-ES_tradnl"/>
        </w:rPr>
      </w:pPr>
    </w:p>
    <w:p w14:paraId="1BD4E0DC" w14:textId="77777777" w:rsidR="00287546" w:rsidRDefault="00287546" w:rsidP="00924BA7">
      <w:pPr>
        <w:pStyle w:val="Sinespaciado"/>
        <w:ind w:left="567" w:right="49"/>
        <w:jc w:val="both"/>
        <w:rPr>
          <w:rFonts w:ascii="Times New Roman" w:hAnsi="Times New Roman"/>
          <w:sz w:val="24"/>
          <w:szCs w:val="24"/>
          <w:lang w:val="es-ES_tradnl"/>
        </w:rPr>
      </w:pPr>
    </w:p>
    <w:p w14:paraId="5C042F02" w14:textId="64E7632F" w:rsidR="00924BA7" w:rsidRDefault="00924BA7" w:rsidP="00924BA7">
      <w:pPr>
        <w:pStyle w:val="Sinespaciado"/>
        <w:ind w:left="567" w:right="49"/>
        <w:jc w:val="both"/>
        <w:rPr>
          <w:rFonts w:ascii="Times New Roman" w:hAnsi="Times New Roman"/>
          <w:sz w:val="24"/>
          <w:szCs w:val="24"/>
          <w:lang w:val="es-ES_tradnl"/>
        </w:rPr>
      </w:pPr>
      <w:r w:rsidRPr="002007BE">
        <w:rPr>
          <w:rFonts w:ascii="Times New Roman" w:hAnsi="Times New Roman"/>
          <w:sz w:val="24"/>
          <w:szCs w:val="24"/>
          <w:lang w:val="es-ES_tradnl"/>
        </w:rPr>
        <w:lastRenderedPageBreak/>
        <w:t>El daño persistente a la oferta potencial tanto en las economías avanzadas como en las de mercados emergentes y la desaceleración del crecimiento de la fuerza laboral debido al envejecimiento de la población (en gran medida en las economías avanzadas, pero también en algunas economías de mercados emergentes), así como el necesario reequilibramiento hacia una trayectoria de crecimiento sostenible en China, empañarán las perspectivas de crecimiento de la economía mundial a mediano plazo. Se proyecta que los niveles del PIB se mantendrán muy por debajo de la trayectoria de la tendencia previa a la pandemia hasta 2024 inclusive en la mayoría de los países.</w:t>
      </w:r>
      <w:r>
        <w:rPr>
          <w:rFonts w:ascii="Times New Roman" w:hAnsi="Times New Roman"/>
          <w:sz w:val="24"/>
          <w:szCs w:val="24"/>
          <w:lang w:val="es-ES_tradnl"/>
        </w:rPr>
        <w:t xml:space="preserve"> </w:t>
      </w:r>
    </w:p>
    <w:p w14:paraId="666C18E6" w14:textId="77777777" w:rsidR="00924BA7" w:rsidRDefault="00924BA7" w:rsidP="007038F0">
      <w:pPr>
        <w:pStyle w:val="Sinespaciado"/>
        <w:ind w:left="567" w:right="49"/>
        <w:jc w:val="both"/>
        <w:rPr>
          <w:rFonts w:ascii="Times New Roman" w:hAnsi="Times New Roman"/>
          <w:sz w:val="24"/>
          <w:szCs w:val="24"/>
          <w:lang w:val="es-ES_tradnl"/>
        </w:rPr>
      </w:pPr>
    </w:p>
    <w:p w14:paraId="381BA283" w14:textId="11E056BC" w:rsidR="007038F0" w:rsidRDefault="007038F0" w:rsidP="007038F0">
      <w:pPr>
        <w:pStyle w:val="Sinespaciado"/>
        <w:ind w:left="567" w:right="49"/>
        <w:jc w:val="both"/>
        <w:rPr>
          <w:rFonts w:ascii="Times New Roman" w:hAnsi="Times New Roman"/>
          <w:sz w:val="24"/>
          <w:szCs w:val="24"/>
          <w:lang w:val="es-ES_tradnl"/>
        </w:rPr>
      </w:pPr>
      <w:r>
        <w:rPr>
          <w:rFonts w:ascii="Times New Roman" w:hAnsi="Times New Roman"/>
          <w:sz w:val="24"/>
          <w:szCs w:val="24"/>
          <w:lang w:val="es-ES_tradnl"/>
        </w:rPr>
        <w:t xml:space="preserve">A nivel global existe gran incertidumbre rodeando el panorama mundial.  </w:t>
      </w:r>
      <w:r w:rsidRPr="00173597">
        <w:rPr>
          <w:rFonts w:ascii="Times New Roman" w:hAnsi="Times New Roman"/>
          <w:sz w:val="24"/>
          <w:szCs w:val="24"/>
          <w:lang w:val="es-ES_tradnl"/>
        </w:rPr>
        <w:t>El desarrollo futuro de eventos dependerá del camino de la crisis de salud, incluso si las nuevas cepas de COVID-19 resultan susceptibles a las vacunas o prolongan la pandemia</w:t>
      </w:r>
      <w:r w:rsidR="002F14DE">
        <w:rPr>
          <w:rFonts w:ascii="Times New Roman" w:hAnsi="Times New Roman"/>
          <w:sz w:val="24"/>
          <w:szCs w:val="24"/>
          <w:lang w:val="es-ES_tradnl"/>
        </w:rPr>
        <w:t>, l</w:t>
      </w:r>
      <w:r w:rsidRPr="00173597">
        <w:rPr>
          <w:rFonts w:ascii="Times New Roman" w:hAnsi="Times New Roman"/>
          <w:sz w:val="24"/>
          <w:szCs w:val="24"/>
          <w:lang w:val="es-ES_tradnl"/>
        </w:rPr>
        <w:t>a eficacia de las acciones políticas para limitar el daño económico persistente; la evolución de las condiciones financieras y de los precios de las materias primas; y la capacidad de ajuste de la economía.</w:t>
      </w:r>
      <w:r>
        <w:rPr>
          <w:rFonts w:ascii="Times New Roman" w:hAnsi="Times New Roman"/>
          <w:sz w:val="24"/>
          <w:szCs w:val="24"/>
          <w:lang w:val="es-ES_tradnl"/>
        </w:rPr>
        <w:t xml:space="preserve"> Sin embargo, c</w:t>
      </w:r>
      <w:r w:rsidRPr="00173597">
        <w:rPr>
          <w:rFonts w:ascii="Times New Roman" w:hAnsi="Times New Roman"/>
          <w:sz w:val="24"/>
          <w:szCs w:val="24"/>
          <w:lang w:val="es-ES_tradnl"/>
        </w:rPr>
        <w:t>uando los niveles elevados de deuda limiten el alcance de la acción, los esfuerzos deben estar dirigidos a crear espacio a través de un aumento en la recaudación de ingresos, una mayor progresividad fiscal y la reducción de los subsidios innecesarios.</w:t>
      </w:r>
      <w:r>
        <w:rPr>
          <w:rFonts w:ascii="Times New Roman" w:hAnsi="Times New Roman"/>
          <w:sz w:val="24"/>
          <w:szCs w:val="24"/>
          <w:lang w:val="es-ES_tradnl"/>
        </w:rPr>
        <w:t xml:space="preserve">  Asimismo, </w:t>
      </w:r>
      <w:r w:rsidR="002F14DE">
        <w:rPr>
          <w:rFonts w:ascii="Times New Roman" w:hAnsi="Times New Roman"/>
          <w:sz w:val="24"/>
          <w:szCs w:val="24"/>
          <w:lang w:val="es-ES_tradnl"/>
        </w:rPr>
        <w:t>l</w:t>
      </w:r>
      <w:r w:rsidRPr="00173597">
        <w:rPr>
          <w:rFonts w:ascii="Times New Roman" w:hAnsi="Times New Roman"/>
          <w:sz w:val="24"/>
          <w:szCs w:val="24"/>
          <w:lang w:val="es-ES_tradnl"/>
        </w:rPr>
        <w:t>os desafíos de largo plazo no pueden ser ignorados: aumentar la productividad, mejorar los marcos de políticas y abordar el cambio climático.</w:t>
      </w:r>
    </w:p>
    <w:p w14:paraId="4C11829D" w14:textId="77777777" w:rsidR="007038F0" w:rsidRDefault="007038F0" w:rsidP="007038F0">
      <w:pPr>
        <w:jc w:val="both"/>
        <w:rPr>
          <w:sz w:val="24"/>
          <w:szCs w:val="24"/>
          <w:lang w:eastAsia="en-US"/>
        </w:rPr>
      </w:pPr>
    </w:p>
    <w:p w14:paraId="56CC9D1F" w14:textId="77777777" w:rsidR="007038F0" w:rsidRPr="007038F0" w:rsidRDefault="00814706" w:rsidP="007038F0">
      <w:pPr>
        <w:pStyle w:val="Epgrafe"/>
        <w:keepNext/>
        <w:rPr>
          <w:color w:val="auto"/>
          <w:sz w:val="24"/>
          <w:szCs w:val="24"/>
        </w:rPr>
      </w:pPr>
      <w:r>
        <w:rPr>
          <w:color w:val="auto"/>
          <w:sz w:val="24"/>
          <w:szCs w:val="24"/>
        </w:rPr>
        <w:t xml:space="preserve">Tabla 2.  </w:t>
      </w:r>
      <w:r w:rsidR="007038F0" w:rsidRPr="007038F0">
        <w:rPr>
          <w:color w:val="auto"/>
          <w:sz w:val="24"/>
          <w:szCs w:val="24"/>
        </w:rPr>
        <w:t xml:space="preserve">Panorama del crecimiento de la economía mundial 2021-2022 </w:t>
      </w:r>
    </w:p>
    <w:p w14:paraId="02B4912C" w14:textId="77777777" w:rsidR="007038F0" w:rsidRPr="007038F0" w:rsidRDefault="007038F0" w:rsidP="007038F0">
      <w:pPr>
        <w:pStyle w:val="Epgrafe"/>
        <w:keepNext/>
        <w:rPr>
          <w:b w:val="0"/>
          <w:bCs/>
          <w:i/>
          <w:iCs/>
          <w:color w:val="auto"/>
          <w:sz w:val="22"/>
        </w:rPr>
      </w:pPr>
      <w:r w:rsidRPr="007038F0">
        <w:rPr>
          <w:b w:val="0"/>
          <w:bCs/>
          <w:color w:val="auto"/>
          <w:sz w:val="22"/>
        </w:rPr>
        <w:t>porcentaje</w:t>
      </w:r>
    </w:p>
    <w:tbl>
      <w:tblPr>
        <w:tblW w:w="7207" w:type="dxa"/>
        <w:jc w:val="center"/>
        <w:tblCellMar>
          <w:left w:w="70" w:type="dxa"/>
          <w:right w:w="70" w:type="dxa"/>
        </w:tblCellMar>
        <w:tblLook w:val="04A0" w:firstRow="1" w:lastRow="0" w:firstColumn="1" w:lastColumn="0" w:noHBand="0" w:noVBand="1"/>
      </w:tblPr>
      <w:tblGrid>
        <w:gridCol w:w="3745"/>
        <w:gridCol w:w="891"/>
        <w:gridCol w:w="789"/>
        <w:gridCol w:w="891"/>
        <w:gridCol w:w="891"/>
      </w:tblGrid>
      <w:tr w:rsidR="007038F0" w:rsidRPr="00844EAB" w14:paraId="1E3225DF" w14:textId="77777777" w:rsidTr="00927441">
        <w:trPr>
          <w:trHeight w:val="234"/>
          <w:jc w:val="center"/>
        </w:trPr>
        <w:tc>
          <w:tcPr>
            <w:tcW w:w="3745" w:type="dxa"/>
            <w:tcBorders>
              <w:top w:val="single" w:sz="4" w:space="0" w:color="auto"/>
              <w:left w:val="single" w:sz="4" w:space="0" w:color="auto"/>
              <w:bottom w:val="nil"/>
              <w:right w:val="single" w:sz="4" w:space="0" w:color="auto"/>
            </w:tcBorders>
            <w:shd w:val="clear" w:color="auto" w:fill="8EAADB" w:themeFill="accent1" w:themeFillTint="99"/>
            <w:noWrap/>
            <w:vAlign w:val="center"/>
            <w:hideMark/>
          </w:tcPr>
          <w:p w14:paraId="6431EF78" w14:textId="77777777" w:rsidR="007038F0" w:rsidRPr="00927441" w:rsidRDefault="007038F0" w:rsidP="007038F0">
            <w:pPr>
              <w:widowControl/>
              <w:jc w:val="right"/>
              <w:rPr>
                <w:rFonts w:ascii="Times" w:hAnsi="Times" w:cs="Times"/>
                <w:b/>
                <w:sz w:val="18"/>
                <w:szCs w:val="18"/>
                <w:lang w:val="es-GT" w:eastAsia="es-GT"/>
              </w:rPr>
            </w:pPr>
            <w:r w:rsidRPr="00927441">
              <w:rPr>
                <w:rFonts w:ascii="Times" w:hAnsi="Times" w:cs="Times"/>
                <w:b/>
                <w:sz w:val="18"/>
                <w:szCs w:val="18"/>
                <w:lang w:val="es-GT" w:eastAsia="es-GT"/>
              </w:rPr>
              <w:t> </w:t>
            </w:r>
          </w:p>
        </w:tc>
        <w:tc>
          <w:tcPr>
            <w:tcW w:w="1680" w:type="dxa"/>
            <w:gridSpan w:val="2"/>
            <w:tcBorders>
              <w:top w:val="single" w:sz="4" w:space="0" w:color="auto"/>
              <w:left w:val="nil"/>
              <w:bottom w:val="nil"/>
              <w:right w:val="single" w:sz="4" w:space="0" w:color="000000"/>
            </w:tcBorders>
            <w:shd w:val="clear" w:color="auto" w:fill="8EAADB" w:themeFill="accent1" w:themeFillTint="99"/>
            <w:noWrap/>
            <w:vAlign w:val="center"/>
            <w:hideMark/>
          </w:tcPr>
          <w:p w14:paraId="6ABCA80F" w14:textId="77777777" w:rsidR="007038F0" w:rsidRPr="00927441" w:rsidRDefault="007038F0" w:rsidP="007038F0">
            <w:pPr>
              <w:widowControl/>
              <w:jc w:val="center"/>
              <w:rPr>
                <w:rFonts w:ascii="Times" w:hAnsi="Times" w:cs="Times"/>
                <w:b/>
                <w:bCs/>
                <w:sz w:val="18"/>
                <w:szCs w:val="18"/>
                <w:lang w:val="es-GT" w:eastAsia="es-GT"/>
              </w:rPr>
            </w:pPr>
            <w:r w:rsidRPr="00927441">
              <w:rPr>
                <w:rFonts w:ascii="Times" w:hAnsi="Times" w:cs="Times"/>
                <w:b/>
                <w:bCs/>
                <w:sz w:val="18"/>
                <w:szCs w:val="18"/>
                <w:lang w:val="es-GT" w:eastAsia="es-GT"/>
              </w:rPr>
              <w:t>2021</w:t>
            </w:r>
          </w:p>
        </w:tc>
        <w:tc>
          <w:tcPr>
            <w:tcW w:w="1782" w:type="dxa"/>
            <w:gridSpan w:val="2"/>
            <w:tcBorders>
              <w:top w:val="single" w:sz="4" w:space="0" w:color="auto"/>
              <w:left w:val="nil"/>
              <w:bottom w:val="nil"/>
              <w:right w:val="single" w:sz="4" w:space="0" w:color="auto"/>
            </w:tcBorders>
            <w:shd w:val="clear" w:color="auto" w:fill="8EAADB" w:themeFill="accent1" w:themeFillTint="99"/>
          </w:tcPr>
          <w:p w14:paraId="628833A5" w14:textId="77777777" w:rsidR="007038F0" w:rsidRPr="00927441" w:rsidRDefault="007038F0" w:rsidP="007038F0">
            <w:pPr>
              <w:widowControl/>
              <w:jc w:val="center"/>
              <w:rPr>
                <w:rFonts w:ascii="Times" w:hAnsi="Times" w:cs="Times"/>
                <w:b/>
                <w:bCs/>
                <w:sz w:val="18"/>
                <w:szCs w:val="18"/>
                <w:lang w:val="es-GT" w:eastAsia="es-GT"/>
              </w:rPr>
            </w:pPr>
            <w:r w:rsidRPr="00927441">
              <w:rPr>
                <w:rFonts w:ascii="Times" w:hAnsi="Times" w:cs="Times"/>
                <w:b/>
                <w:bCs/>
                <w:sz w:val="18"/>
                <w:szCs w:val="18"/>
                <w:lang w:val="es-GT" w:eastAsia="es-GT"/>
              </w:rPr>
              <w:t>2022</w:t>
            </w:r>
          </w:p>
        </w:tc>
      </w:tr>
      <w:tr w:rsidR="007038F0" w:rsidRPr="00844EAB" w14:paraId="46641C82" w14:textId="77777777" w:rsidTr="00927441">
        <w:trPr>
          <w:trHeight w:val="300"/>
          <w:jc w:val="center"/>
        </w:trPr>
        <w:tc>
          <w:tcPr>
            <w:tcW w:w="3745"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04E3A931" w14:textId="77777777" w:rsidR="007038F0" w:rsidRPr="00927441" w:rsidRDefault="007038F0" w:rsidP="007038F0">
            <w:pPr>
              <w:widowControl/>
              <w:jc w:val="right"/>
              <w:rPr>
                <w:rFonts w:ascii="Times" w:hAnsi="Times" w:cs="Times"/>
                <w:b/>
                <w:sz w:val="18"/>
                <w:szCs w:val="18"/>
                <w:lang w:val="es-GT" w:eastAsia="es-GT"/>
              </w:rPr>
            </w:pPr>
            <w:r w:rsidRPr="00927441">
              <w:rPr>
                <w:rFonts w:ascii="Times" w:hAnsi="Times" w:cs="Times"/>
                <w:b/>
                <w:sz w:val="18"/>
                <w:szCs w:val="18"/>
                <w:lang w:val="es-GT" w:eastAsia="es-GT"/>
              </w:rPr>
              <w:t> </w:t>
            </w:r>
          </w:p>
        </w:tc>
        <w:tc>
          <w:tcPr>
            <w:tcW w:w="891" w:type="dxa"/>
            <w:tcBorders>
              <w:top w:val="nil"/>
              <w:left w:val="nil"/>
              <w:bottom w:val="single" w:sz="4" w:space="0" w:color="auto"/>
              <w:right w:val="nil"/>
            </w:tcBorders>
            <w:shd w:val="clear" w:color="auto" w:fill="8EAADB" w:themeFill="accent1" w:themeFillTint="99"/>
            <w:noWrap/>
            <w:vAlign w:val="center"/>
            <w:hideMark/>
          </w:tcPr>
          <w:p w14:paraId="2CDE73BA" w14:textId="77777777" w:rsidR="007038F0" w:rsidRPr="00927441" w:rsidRDefault="007038F0" w:rsidP="007038F0">
            <w:pPr>
              <w:widowControl/>
              <w:jc w:val="center"/>
              <w:rPr>
                <w:rFonts w:ascii="Times" w:hAnsi="Times" w:cs="Times"/>
                <w:b/>
                <w:sz w:val="18"/>
                <w:szCs w:val="18"/>
                <w:lang w:val="es-GT" w:eastAsia="es-GT"/>
              </w:rPr>
            </w:pPr>
            <w:r w:rsidRPr="00927441">
              <w:rPr>
                <w:rFonts w:ascii="Times" w:hAnsi="Times" w:cs="Times"/>
                <w:b/>
                <w:sz w:val="18"/>
                <w:szCs w:val="18"/>
                <w:lang w:val="es-GT" w:eastAsia="es-GT"/>
              </w:rPr>
              <w:t>BM</w:t>
            </w:r>
          </w:p>
        </w:tc>
        <w:tc>
          <w:tcPr>
            <w:tcW w:w="789" w:type="dxa"/>
            <w:tcBorders>
              <w:top w:val="nil"/>
              <w:left w:val="nil"/>
              <w:bottom w:val="single" w:sz="4" w:space="0" w:color="auto"/>
              <w:right w:val="single" w:sz="4" w:space="0" w:color="auto"/>
            </w:tcBorders>
            <w:shd w:val="clear" w:color="auto" w:fill="8EAADB" w:themeFill="accent1" w:themeFillTint="99"/>
            <w:noWrap/>
            <w:vAlign w:val="center"/>
            <w:hideMark/>
          </w:tcPr>
          <w:p w14:paraId="6D0A5F83" w14:textId="77777777" w:rsidR="007038F0" w:rsidRPr="00927441" w:rsidRDefault="007038F0" w:rsidP="007038F0">
            <w:pPr>
              <w:widowControl/>
              <w:jc w:val="center"/>
              <w:rPr>
                <w:rFonts w:ascii="Times" w:hAnsi="Times" w:cs="Times"/>
                <w:b/>
                <w:sz w:val="18"/>
                <w:szCs w:val="18"/>
                <w:lang w:val="es-GT" w:eastAsia="es-GT"/>
              </w:rPr>
            </w:pPr>
            <w:r w:rsidRPr="00927441">
              <w:rPr>
                <w:rFonts w:ascii="Times" w:hAnsi="Times" w:cs="Times"/>
                <w:b/>
                <w:sz w:val="18"/>
                <w:szCs w:val="18"/>
                <w:lang w:val="es-GT" w:eastAsia="es-GT"/>
              </w:rPr>
              <w:t>FMI</w:t>
            </w:r>
          </w:p>
        </w:tc>
        <w:tc>
          <w:tcPr>
            <w:tcW w:w="891" w:type="dxa"/>
            <w:tcBorders>
              <w:top w:val="nil"/>
              <w:left w:val="nil"/>
              <w:bottom w:val="single" w:sz="4" w:space="0" w:color="auto"/>
              <w:right w:val="nil"/>
            </w:tcBorders>
            <w:shd w:val="clear" w:color="auto" w:fill="8EAADB" w:themeFill="accent1" w:themeFillTint="99"/>
            <w:vAlign w:val="bottom"/>
          </w:tcPr>
          <w:p w14:paraId="41FF2697" w14:textId="77777777" w:rsidR="007038F0" w:rsidRPr="00927441" w:rsidRDefault="007038F0" w:rsidP="007038F0">
            <w:pPr>
              <w:widowControl/>
              <w:jc w:val="center"/>
              <w:rPr>
                <w:rFonts w:ascii="Times" w:hAnsi="Times" w:cs="Times"/>
                <w:b/>
                <w:sz w:val="18"/>
                <w:szCs w:val="18"/>
                <w:lang w:val="es-GT" w:eastAsia="es-GT"/>
              </w:rPr>
            </w:pPr>
            <w:r w:rsidRPr="00927441">
              <w:rPr>
                <w:rFonts w:ascii="Times" w:hAnsi="Times" w:cs="Times"/>
                <w:b/>
                <w:sz w:val="18"/>
                <w:szCs w:val="18"/>
                <w:lang w:val="es-GT" w:eastAsia="es-GT"/>
              </w:rPr>
              <w:t>BM</w:t>
            </w:r>
          </w:p>
        </w:tc>
        <w:tc>
          <w:tcPr>
            <w:tcW w:w="891" w:type="dxa"/>
            <w:tcBorders>
              <w:top w:val="nil"/>
              <w:left w:val="nil"/>
              <w:bottom w:val="single" w:sz="4" w:space="0" w:color="auto"/>
              <w:right w:val="single" w:sz="4" w:space="0" w:color="auto"/>
            </w:tcBorders>
            <w:shd w:val="clear" w:color="auto" w:fill="8EAADB" w:themeFill="accent1" w:themeFillTint="99"/>
            <w:noWrap/>
            <w:vAlign w:val="bottom"/>
            <w:hideMark/>
          </w:tcPr>
          <w:p w14:paraId="74784E63" w14:textId="77777777" w:rsidR="007038F0" w:rsidRPr="00927441" w:rsidRDefault="007038F0" w:rsidP="007038F0">
            <w:pPr>
              <w:widowControl/>
              <w:jc w:val="center"/>
              <w:rPr>
                <w:rFonts w:ascii="Times" w:hAnsi="Times" w:cs="Times"/>
                <w:b/>
                <w:sz w:val="18"/>
                <w:szCs w:val="18"/>
                <w:lang w:val="es-GT" w:eastAsia="es-GT"/>
              </w:rPr>
            </w:pPr>
            <w:r w:rsidRPr="00927441">
              <w:rPr>
                <w:rFonts w:ascii="Times" w:hAnsi="Times" w:cs="Times"/>
                <w:b/>
                <w:sz w:val="18"/>
                <w:szCs w:val="18"/>
                <w:lang w:val="es-GT" w:eastAsia="es-GT"/>
              </w:rPr>
              <w:t>FMI</w:t>
            </w:r>
          </w:p>
        </w:tc>
      </w:tr>
      <w:tr w:rsidR="007038F0" w:rsidRPr="00844EAB" w14:paraId="3AB0EDFA"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09A67A7A" w14:textId="77777777" w:rsidR="007038F0" w:rsidRPr="00844EAB" w:rsidRDefault="007038F0" w:rsidP="007038F0">
            <w:pPr>
              <w:widowControl/>
              <w:rPr>
                <w:rFonts w:ascii="Times" w:hAnsi="Times" w:cs="Times"/>
                <w:b/>
                <w:bCs/>
                <w:color w:val="262626"/>
                <w:sz w:val="18"/>
                <w:szCs w:val="18"/>
                <w:lang w:val="es-GT" w:eastAsia="es-GT"/>
              </w:rPr>
            </w:pPr>
            <w:r w:rsidRPr="00844EAB">
              <w:rPr>
                <w:rFonts w:ascii="Times" w:hAnsi="Times" w:cs="Times"/>
                <w:b/>
                <w:bCs/>
                <w:color w:val="262626"/>
                <w:sz w:val="18"/>
                <w:szCs w:val="18"/>
                <w:lang w:val="es-GT" w:eastAsia="es-GT"/>
              </w:rPr>
              <w:t>Mundo</w:t>
            </w:r>
          </w:p>
        </w:tc>
        <w:tc>
          <w:tcPr>
            <w:tcW w:w="891" w:type="dxa"/>
            <w:tcBorders>
              <w:top w:val="nil"/>
              <w:left w:val="nil"/>
              <w:bottom w:val="nil"/>
              <w:right w:val="nil"/>
            </w:tcBorders>
            <w:shd w:val="clear" w:color="auto" w:fill="auto"/>
            <w:noWrap/>
            <w:vAlign w:val="center"/>
            <w:hideMark/>
          </w:tcPr>
          <w:p w14:paraId="52B5463A" w14:textId="77777777" w:rsidR="007038F0" w:rsidRPr="00844EAB" w:rsidRDefault="007038F0" w:rsidP="007038F0">
            <w:pPr>
              <w:widowControl/>
              <w:jc w:val="center"/>
              <w:rPr>
                <w:rFonts w:ascii="Times" w:hAnsi="Times" w:cs="Times"/>
                <w:b/>
                <w:bCs/>
                <w:sz w:val="18"/>
                <w:szCs w:val="18"/>
                <w:lang w:val="es-GT" w:eastAsia="es-GT"/>
              </w:rPr>
            </w:pPr>
            <w:r w:rsidRPr="00844EAB">
              <w:rPr>
                <w:rFonts w:ascii="Times" w:hAnsi="Times" w:cs="Times"/>
                <w:b/>
                <w:bCs/>
                <w:sz w:val="18"/>
                <w:szCs w:val="18"/>
                <w:lang w:val="es-GT" w:eastAsia="es-GT"/>
              </w:rPr>
              <w:t>5.6</w:t>
            </w:r>
          </w:p>
        </w:tc>
        <w:tc>
          <w:tcPr>
            <w:tcW w:w="789" w:type="dxa"/>
            <w:tcBorders>
              <w:top w:val="nil"/>
              <w:left w:val="nil"/>
              <w:bottom w:val="nil"/>
              <w:right w:val="single" w:sz="4" w:space="0" w:color="auto"/>
            </w:tcBorders>
            <w:shd w:val="clear" w:color="auto" w:fill="FBE4D5" w:themeFill="accent2" w:themeFillTint="33"/>
            <w:noWrap/>
            <w:vAlign w:val="center"/>
            <w:hideMark/>
          </w:tcPr>
          <w:p w14:paraId="0F5409D9" w14:textId="77777777" w:rsidR="007038F0" w:rsidRPr="00135EFE" w:rsidRDefault="007038F0" w:rsidP="007038F0">
            <w:pPr>
              <w:widowControl/>
              <w:jc w:val="center"/>
              <w:rPr>
                <w:rFonts w:ascii="Times" w:hAnsi="Times" w:cs="Times"/>
                <w:b/>
                <w:bCs/>
                <w:sz w:val="18"/>
                <w:szCs w:val="18"/>
                <w:lang w:val="es-GT" w:eastAsia="es-GT"/>
              </w:rPr>
            </w:pPr>
            <w:r w:rsidRPr="00135EFE">
              <w:rPr>
                <w:rFonts w:ascii="Times" w:hAnsi="Times" w:cs="Times"/>
                <w:b/>
                <w:bCs/>
                <w:sz w:val="18"/>
                <w:szCs w:val="18"/>
                <w:lang w:val="es-GT" w:eastAsia="es-GT"/>
              </w:rPr>
              <w:t>6</w:t>
            </w:r>
            <w:r>
              <w:rPr>
                <w:rFonts w:ascii="Times" w:hAnsi="Times" w:cs="Times"/>
                <w:b/>
                <w:bCs/>
                <w:sz w:val="18"/>
                <w:szCs w:val="18"/>
                <w:lang w:val="es-GT" w:eastAsia="es-GT"/>
              </w:rPr>
              <w:t>.0</w:t>
            </w:r>
          </w:p>
        </w:tc>
        <w:tc>
          <w:tcPr>
            <w:tcW w:w="891" w:type="dxa"/>
            <w:tcBorders>
              <w:top w:val="nil"/>
              <w:left w:val="nil"/>
              <w:bottom w:val="nil"/>
              <w:right w:val="nil"/>
            </w:tcBorders>
            <w:vAlign w:val="center"/>
          </w:tcPr>
          <w:p w14:paraId="260A7717"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b/>
                <w:bCs/>
                <w:sz w:val="18"/>
                <w:szCs w:val="18"/>
                <w:lang w:val="es-GT" w:eastAsia="es-GT"/>
              </w:rPr>
              <w:t>4.3</w:t>
            </w:r>
          </w:p>
        </w:tc>
        <w:tc>
          <w:tcPr>
            <w:tcW w:w="891" w:type="dxa"/>
            <w:tcBorders>
              <w:top w:val="nil"/>
              <w:left w:val="nil"/>
              <w:bottom w:val="nil"/>
              <w:right w:val="single" w:sz="4" w:space="0" w:color="auto"/>
            </w:tcBorders>
            <w:shd w:val="clear" w:color="000000" w:fill="FDE9D9"/>
            <w:noWrap/>
            <w:vAlign w:val="center"/>
            <w:hideMark/>
          </w:tcPr>
          <w:p w14:paraId="7A877C1A" w14:textId="5A8B9F5E" w:rsidR="007038F0" w:rsidRPr="00135EFE" w:rsidRDefault="007038F0" w:rsidP="007038F0">
            <w:pPr>
              <w:widowControl/>
              <w:jc w:val="center"/>
              <w:rPr>
                <w:rFonts w:ascii="Times" w:hAnsi="Times" w:cs="Times"/>
                <w:b/>
                <w:bCs/>
                <w:color w:val="244062"/>
                <w:sz w:val="18"/>
                <w:szCs w:val="18"/>
                <w:lang w:val="es-GT" w:eastAsia="es-GT"/>
              </w:rPr>
            </w:pPr>
            <w:r w:rsidRPr="00135EFE">
              <w:rPr>
                <w:rFonts w:ascii="Times" w:hAnsi="Times" w:cs="Times"/>
                <w:b/>
                <w:bCs/>
                <w:color w:val="244062"/>
                <w:sz w:val="18"/>
                <w:szCs w:val="18"/>
                <w:lang w:val="es-GT" w:eastAsia="es-GT"/>
              </w:rPr>
              <w:t>4.</w:t>
            </w:r>
            <w:r w:rsidR="000C7FAD">
              <w:rPr>
                <w:rFonts w:ascii="Times" w:hAnsi="Times" w:cs="Times"/>
                <w:b/>
                <w:bCs/>
                <w:color w:val="244062"/>
                <w:sz w:val="18"/>
                <w:szCs w:val="18"/>
                <w:lang w:val="es-GT" w:eastAsia="es-GT"/>
              </w:rPr>
              <w:t>9</w:t>
            </w:r>
          </w:p>
        </w:tc>
      </w:tr>
      <w:tr w:rsidR="007038F0" w:rsidRPr="00844EAB" w14:paraId="6EC9A997"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30A66577" w14:textId="77777777" w:rsidR="007038F0" w:rsidRPr="00844EAB" w:rsidRDefault="007038F0" w:rsidP="007038F0">
            <w:pPr>
              <w:widowControl/>
              <w:rPr>
                <w:rFonts w:ascii="Times" w:hAnsi="Times" w:cs="Times"/>
                <w:b/>
                <w:bCs/>
                <w:color w:val="262626"/>
                <w:sz w:val="18"/>
                <w:szCs w:val="18"/>
                <w:lang w:val="es-GT" w:eastAsia="es-GT"/>
              </w:rPr>
            </w:pPr>
            <w:r w:rsidRPr="00844EAB">
              <w:rPr>
                <w:rFonts w:ascii="Times" w:hAnsi="Times" w:cs="Times"/>
                <w:b/>
                <w:bCs/>
                <w:color w:val="262626"/>
                <w:sz w:val="18"/>
                <w:szCs w:val="18"/>
                <w:lang w:val="es-GT" w:eastAsia="es-GT"/>
              </w:rPr>
              <w:t>Economías avanzadas</w:t>
            </w:r>
          </w:p>
        </w:tc>
        <w:tc>
          <w:tcPr>
            <w:tcW w:w="891" w:type="dxa"/>
            <w:tcBorders>
              <w:top w:val="nil"/>
              <w:left w:val="nil"/>
              <w:bottom w:val="nil"/>
              <w:right w:val="nil"/>
            </w:tcBorders>
            <w:shd w:val="clear" w:color="auto" w:fill="auto"/>
            <w:noWrap/>
            <w:vAlign w:val="center"/>
            <w:hideMark/>
          </w:tcPr>
          <w:p w14:paraId="7A8F514E" w14:textId="77777777" w:rsidR="007038F0" w:rsidRPr="00844EAB" w:rsidRDefault="007038F0" w:rsidP="007038F0">
            <w:pPr>
              <w:widowControl/>
              <w:jc w:val="center"/>
              <w:rPr>
                <w:rFonts w:ascii="Times" w:hAnsi="Times" w:cs="Times"/>
                <w:b/>
                <w:bCs/>
                <w:sz w:val="18"/>
                <w:szCs w:val="18"/>
                <w:lang w:val="es-GT" w:eastAsia="es-GT"/>
              </w:rPr>
            </w:pPr>
            <w:r w:rsidRPr="00844EAB">
              <w:rPr>
                <w:rFonts w:ascii="Times" w:hAnsi="Times" w:cs="Times"/>
                <w:b/>
                <w:bCs/>
                <w:sz w:val="18"/>
                <w:szCs w:val="18"/>
                <w:lang w:val="es-GT" w:eastAsia="es-GT"/>
              </w:rPr>
              <w:t>5.4</w:t>
            </w:r>
          </w:p>
        </w:tc>
        <w:tc>
          <w:tcPr>
            <w:tcW w:w="789" w:type="dxa"/>
            <w:tcBorders>
              <w:top w:val="nil"/>
              <w:left w:val="nil"/>
              <w:bottom w:val="nil"/>
              <w:right w:val="single" w:sz="4" w:space="0" w:color="auto"/>
            </w:tcBorders>
            <w:shd w:val="clear" w:color="auto" w:fill="FBE4D5" w:themeFill="accent2" w:themeFillTint="33"/>
            <w:noWrap/>
            <w:vAlign w:val="center"/>
            <w:hideMark/>
          </w:tcPr>
          <w:p w14:paraId="672F1DB0" w14:textId="02373C38" w:rsidR="007038F0" w:rsidRPr="00135EFE" w:rsidRDefault="007038F0" w:rsidP="007038F0">
            <w:pPr>
              <w:widowControl/>
              <w:jc w:val="center"/>
              <w:rPr>
                <w:rFonts w:ascii="Times" w:hAnsi="Times" w:cs="Times"/>
                <w:b/>
                <w:bCs/>
                <w:sz w:val="18"/>
                <w:szCs w:val="18"/>
                <w:lang w:val="es-GT" w:eastAsia="es-GT"/>
              </w:rPr>
            </w:pPr>
            <w:r w:rsidRPr="00135EFE">
              <w:rPr>
                <w:rFonts w:ascii="Times" w:hAnsi="Times" w:cs="Times"/>
                <w:b/>
                <w:bCs/>
                <w:sz w:val="18"/>
                <w:szCs w:val="18"/>
                <w:lang w:val="es-GT" w:eastAsia="es-GT"/>
              </w:rPr>
              <w:t>5.</w:t>
            </w:r>
            <w:r w:rsidR="000C7FAD">
              <w:rPr>
                <w:rFonts w:ascii="Times" w:hAnsi="Times" w:cs="Times"/>
                <w:b/>
                <w:bCs/>
                <w:sz w:val="18"/>
                <w:szCs w:val="18"/>
                <w:lang w:val="es-GT" w:eastAsia="es-GT"/>
              </w:rPr>
              <w:t>6</w:t>
            </w:r>
          </w:p>
        </w:tc>
        <w:tc>
          <w:tcPr>
            <w:tcW w:w="891" w:type="dxa"/>
            <w:tcBorders>
              <w:top w:val="nil"/>
              <w:left w:val="nil"/>
              <w:bottom w:val="nil"/>
              <w:right w:val="nil"/>
            </w:tcBorders>
            <w:vAlign w:val="center"/>
          </w:tcPr>
          <w:p w14:paraId="1592C8A0"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b/>
                <w:bCs/>
                <w:sz w:val="18"/>
                <w:szCs w:val="18"/>
                <w:lang w:val="es-GT" w:eastAsia="es-GT"/>
              </w:rPr>
              <w:t>4.0</w:t>
            </w:r>
          </w:p>
        </w:tc>
        <w:tc>
          <w:tcPr>
            <w:tcW w:w="891" w:type="dxa"/>
            <w:tcBorders>
              <w:top w:val="nil"/>
              <w:left w:val="nil"/>
              <w:bottom w:val="nil"/>
              <w:right w:val="single" w:sz="4" w:space="0" w:color="auto"/>
            </w:tcBorders>
            <w:shd w:val="clear" w:color="000000" w:fill="FDE9D9"/>
            <w:noWrap/>
            <w:vAlign w:val="center"/>
            <w:hideMark/>
          </w:tcPr>
          <w:p w14:paraId="3B2753E1" w14:textId="5EBD9268" w:rsidR="007038F0" w:rsidRPr="00135EFE" w:rsidRDefault="000C7FAD" w:rsidP="007038F0">
            <w:pPr>
              <w:widowControl/>
              <w:jc w:val="center"/>
              <w:rPr>
                <w:rFonts w:ascii="Times" w:hAnsi="Times" w:cs="Times"/>
                <w:b/>
                <w:bCs/>
                <w:color w:val="244062"/>
                <w:sz w:val="18"/>
                <w:szCs w:val="18"/>
                <w:lang w:val="es-GT" w:eastAsia="es-GT"/>
              </w:rPr>
            </w:pPr>
            <w:r>
              <w:rPr>
                <w:rFonts w:ascii="Times" w:hAnsi="Times" w:cs="Times"/>
                <w:b/>
                <w:bCs/>
                <w:color w:val="244062"/>
                <w:sz w:val="18"/>
                <w:szCs w:val="18"/>
                <w:lang w:val="es-GT" w:eastAsia="es-GT"/>
              </w:rPr>
              <w:t>4.4</w:t>
            </w:r>
          </w:p>
        </w:tc>
      </w:tr>
      <w:tr w:rsidR="007038F0" w:rsidRPr="00844EAB" w14:paraId="1D6DDE8C"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497BF14D" w14:textId="77777777" w:rsidR="007038F0" w:rsidRPr="00844EAB" w:rsidRDefault="007038F0" w:rsidP="007038F0">
            <w:pPr>
              <w:widowControl/>
              <w:rPr>
                <w:rFonts w:ascii="Times" w:hAnsi="Times" w:cs="Times"/>
                <w:sz w:val="18"/>
                <w:szCs w:val="18"/>
                <w:lang w:val="es-GT" w:eastAsia="es-GT"/>
              </w:rPr>
            </w:pPr>
            <w:r w:rsidRPr="00844EAB">
              <w:rPr>
                <w:rFonts w:ascii="Times" w:hAnsi="Times" w:cs="Times"/>
                <w:sz w:val="18"/>
                <w:szCs w:val="18"/>
                <w:lang w:val="es-GT" w:eastAsia="es-GT"/>
              </w:rPr>
              <w:t xml:space="preserve">        Estados Unidos</w:t>
            </w:r>
          </w:p>
        </w:tc>
        <w:tc>
          <w:tcPr>
            <w:tcW w:w="891" w:type="dxa"/>
            <w:tcBorders>
              <w:top w:val="nil"/>
              <w:left w:val="nil"/>
              <w:bottom w:val="nil"/>
              <w:right w:val="nil"/>
            </w:tcBorders>
            <w:shd w:val="clear" w:color="auto" w:fill="auto"/>
            <w:noWrap/>
            <w:vAlign w:val="center"/>
            <w:hideMark/>
          </w:tcPr>
          <w:p w14:paraId="32E50318" w14:textId="77777777" w:rsidR="007038F0" w:rsidRPr="00844EAB" w:rsidRDefault="007038F0" w:rsidP="007038F0">
            <w:pPr>
              <w:widowControl/>
              <w:jc w:val="center"/>
              <w:rPr>
                <w:rFonts w:ascii="Times" w:hAnsi="Times" w:cs="Times"/>
                <w:sz w:val="18"/>
                <w:szCs w:val="18"/>
                <w:lang w:val="es-GT" w:eastAsia="es-GT"/>
              </w:rPr>
            </w:pPr>
            <w:r w:rsidRPr="00844EAB">
              <w:rPr>
                <w:rFonts w:ascii="Times" w:hAnsi="Times" w:cs="Times"/>
                <w:sz w:val="18"/>
                <w:szCs w:val="18"/>
                <w:lang w:val="es-GT" w:eastAsia="es-GT"/>
              </w:rPr>
              <w:t>6.8</w:t>
            </w:r>
          </w:p>
        </w:tc>
        <w:tc>
          <w:tcPr>
            <w:tcW w:w="789" w:type="dxa"/>
            <w:tcBorders>
              <w:top w:val="nil"/>
              <w:left w:val="nil"/>
              <w:bottom w:val="nil"/>
              <w:right w:val="single" w:sz="4" w:space="0" w:color="auto"/>
            </w:tcBorders>
            <w:shd w:val="clear" w:color="auto" w:fill="FBE4D5" w:themeFill="accent2" w:themeFillTint="33"/>
            <w:noWrap/>
            <w:vAlign w:val="center"/>
            <w:hideMark/>
          </w:tcPr>
          <w:p w14:paraId="16B48DAF" w14:textId="553BC7F1" w:rsidR="007038F0" w:rsidRPr="00135EFE" w:rsidRDefault="000C7FAD" w:rsidP="007038F0">
            <w:pPr>
              <w:widowControl/>
              <w:jc w:val="center"/>
              <w:rPr>
                <w:rFonts w:ascii="Times" w:hAnsi="Times" w:cs="Times"/>
                <w:sz w:val="18"/>
                <w:szCs w:val="18"/>
                <w:lang w:val="es-GT" w:eastAsia="es-GT"/>
              </w:rPr>
            </w:pPr>
            <w:r>
              <w:rPr>
                <w:rFonts w:ascii="Times" w:hAnsi="Times" w:cs="Times"/>
                <w:sz w:val="18"/>
                <w:szCs w:val="18"/>
                <w:lang w:val="es-GT" w:eastAsia="es-GT"/>
              </w:rPr>
              <w:t>7.0</w:t>
            </w:r>
          </w:p>
        </w:tc>
        <w:tc>
          <w:tcPr>
            <w:tcW w:w="891" w:type="dxa"/>
            <w:tcBorders>
              <w:top w:val="nil"/>
              <w:left w:val="nil"/>
              <w:bottom w:val="nil"/>
              <w:right w:val="nil"/>
            </w:tcBorders>
            <w:vAlign w:val="center"/>
          </w:tcPr>
          <w:p w14:paraId="27AC1D83"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sz w:val="18"/>
                <w:szCs w:val="18"/>
                <w:lang w:val="es-GT" w:eastAsia="es-GT"/>
              </w:rPr>
              <w:t>4.2</w:t>
            </w:r>
          </w:p>
        </w:tc>
        <w:tc>
          <w:tcPr>
            <w:tcW w:w="891" w:type="dxa"/>
            <w:tcBorders>
              <w:top w:val="nil"/>
              <w:left w:val="nil"/>
              <w:bottom w:val="nil"/>
              <w:right w:val="single" w:sz="4" w:space="0" w:color="auto"/>
            </w:tcBorders>
            <w:shd w:val="clear" w:color="000000" w:fill="FDE9D9"/>
            <w:noWrap/>
            <w:vAlign w:val="center"/>
            <w:hideMark/>
          </w:tcPr>
          <w:p w14:paraId="10F4E124" w14:textId="7031C605" w:rsidR="007038F0" w:rsidRPr="00844EAB" w:rsidRDefault="000C7FAD" w:rsidP="007038F0">
            <w:pPr>
              <w:widowControl/>
              <w:jc w:val="center"/>
              <w:rPr>
                <w:rFonts w:ascii="Times" w:hAnsi="Times" w:cs="Times"/>
                <w:color w:val="244062"/>
                <w:sz w:val="18"/>
                <w:szCs w:val="18"/>
                <w:lang w:val="es-GT" w:eastAsia="es-GT"/>
              </w:rPr>
            </w:pPr>
            <w:r>
              <w:rPr>
                <w:rFonts w:ascii="Times" w:hAnsi="Times" w:cs="Times"/>
                <w:color w:val="244062"/>
                <w:sz w:val="18"/>
                <w:szCs w:val="18"/>
                <w:lang w:val="es-GT" w:eastAsia="es-GT"/>
              </w:rPr>
              <w:t>4.9</w:t>
            </w:r>
          </w:p>
        </w:tc>
      </w:tr>
      <w:tr w:rsidR="007038F0" w:rsidRPr="00844EAB" w14:paraId="15933585"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1AFF6ABE" w14:textId="77777777" w:rsidR="007038F0" w:rsidRPr="00844EAB" w:rsidRDefault="007038F0" w:rsidP="007038F0">
            <w:pPr>
              <w:widowControl/>
              <w:rPr>
                <w:rFonts w:ascii="Times" w:hAnsi="Times" w:cs="Times"/>
                <w:sz w:val="18"/>
                <w:szCs w:val="18"/>
                <w:lang w:val="es-GT" w:eastAsia="es-GT"/>
              </w:rPr>
            </w:pPr>
            <w:r w:rsidRPr="00844EAB">
              <w:rPr>
                <w:rFonts w:ascii="Times" w:hAnsi="Times" w:cs="Times"/>
                <w:sz w:val="18"/>
                <w:szCs w:val="18"/>
                <w:lang w:val="es-GT" w:eastAsia="es-GT"/>
              </w:rPr>
              <w:t xml:space="preserve">        Zona Euro</w:t>
            </w:r>
          </w:p>
        </w:tc>
        <w:tc>
          <w:tcPr>
            <w:tcW w:w="891" w:type="dxa"/>
            <w:tcBorders>
              <w:top w:val="nil"/>
              <w:left w:val="nil"/>
              <w:bottom w:val="nil"/>
              <w:right w:val="nil"/>
            </w:tcBorders>
            <w:shd w:val="clear" w:color="auto" w:fill="auto"/>
            <w:noWrap/>
            <w:vAlign w:val="center"/>
            <w:hideMark/>
          </w:tcPr>
          <w:p w14:paraId="53AEB23F" w14:textId="77777777" w:rsidR="007038F0" w:rsidRPr="00844EAB" w:rsidRDefault="007038F0" w:rsidP="007038F0">
            <w:pPr>
              <w:widowControl/>
              <w:jc w:val="center"/>
              <w:rPr>
                <w:rFonts w:ascii="Times" w:hAnsi="Times" w:cs="Times"/>
                <w:sz w:val="18"/>
                <w:szCs w:val="18"/>
                <w:lang w:val="es-GT" w:eastAsia="es-GT"/>
              </w:rPr>
            </w:pPr>
            <w:r w:rsidRPr="00844EAB">
              <w:rPr>
                <w:rFonts w:ascii="Times" w:hAnsi="Times" w:cs="Times"/>
                <w:sz w:val="18"/>
                <w:szCs w:val="18"/>
                <w:lang w:val="es-GT" w:eastAsia="es-GT"/>
              </w:rPr>
              <w:t>4.2</w:t>
            </w:r>
          </w:p>
        </w:tc>
        <w:tc>
          <w:tcPr>
            <w:tcW w:w="789" w:type="dxa"/>
            <w:tcBorders>
              <w:top w:val="nil"/>
              <w:left w:val="nil"/>
              <w:bottom w:val="nil"/>
              <w:right w:val="single" w:sz="4" w:space="0" w:color="auto"/>
            </w:tcBorders>
            <w:shd w:val="clear" w:color="auto" w:fill="FBE4D5" w:themeFill="accent2" w:themeFillTint="33"/>
            <w:noWrap/>
            <w:vAlign w:val="center"/>
            <w:hideMark/>
          </w:tcPr>
          <w:p w14:paraId="6FF8EFB4" w14:textId="3FCC9D6E" w:rsidR="007038F0" w:rsidRPr="00135EFE" w:rsidRDefault="000C7FAD" w:rsidP="007038F0">
            <w:pPr>
              <w:widowControl/>
              <w:jc w:val="center"/>
              <w:rPr>
                <w:rFonts w:ascii="Times" w:hAnsi="Times" w:cs="Times"/>
                <w:sz w:val="18"/>
                <w:szCs w:val="18"/>
                <w:lang w:val="es-GT" w:eastAsia="es-GT"/>
              </w:rPr>
            </w:pPr>
            <w:r>
              <w:rPr>
                <w:rFonts w:ascii="Times" w:hAnsi="Times" w:cs="Times"/>
                <w:sz w:val="18"/>
                <w:szCs w:val="18"/>
                <w:lang w:val="es-GT" w:eastAsia="es-GT"/>
              </w:rPr>
              <w:t>4.6</w:t>
            </w:r>
          </w:p>
        </w:tc>
        <w:tc>
          <w:tcPr>
            <w:tcW w:w="891" w:type="dxa"/>
            <w:tcBorders>
              <w:top w:val="nil"/>
              <w:left w:val="nil"/>
              <w:bottom w:val="nil"/>
              <w:right w:val="nil"/>
            </w:tcBorders>
            <w:vAlign w:val="center"/>
          </w:tcPr>
          <w:p w14:paraId="3C10BDE8"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sz w:val="18"/>
                <w:szCs w:val="18"/>
                <w:lang w:val="es-GT" w:eastAsia="es-GT"/>
              </w:rPr>
              <w:t>4.4</w:t>
            </w:r>
          </w:p>
        </w:tc>
        <w:tc>
          <w:tcPr>
            <w:tcW w:w="891" w:type="dxa"/>
            <w:tcBorders>
              <w:top w:val="nil"/>
              <w:left w:val="nil"/>
              <w:bottom w:val="nil"/>
              <w:right w:val="single" w:sz="4" w:space="0" w:color="auto"/>
            </w:tcBorders>
            <w:shd w:val="clear" w:color="000000" w:fill="FDE9D9"/>
            <w:noWrap/>
            <w:vAlign w:val="center"/>
            <w:hideMark/>
          </w:tcPr>
          <w:p w14:paraId="69524E50" w14:textId="01DD6570" w:rsidR="007038F0" w:rsidRPr="00844EAB" w:rsidRDefault="000C7FAD" w:rsidP="007038F0">
            <w:pPr>
              <w:widowControl/>
              <w:jc w:val="center"/>
              <w:rPr>
                <w:rFonts w:ascii="Times" w:hAnsi="Times" w:cs="Times"/>
                <w:color w:val="244062"/>
                <w:sz w:val="18"/>
                <w:szCs w:val="18"/>
                <w:lang w:val="es-GT" w:eastAsia="es-GT"/>
              </w:rPr>
            </w:pPr>
            <w:r>
              <w:rPr>
                <w:rFonts w:ascii="Times" w:hAnsi="Times" w:cs="Times"/>
                <w:color w:val="244062"/>
                <w:sz w:val="18"/>
                <w:szCs w:val="18"/>
                <w:lang w:val="es-GT" w:eastAsia="es-GT"/>
              </w:rPr>
              <w:t>4.3</w:t>
            </w:r>
          </w:p>
        </w:tc>
      </w:tr>
      <w:tr w:rsidR="007038F0" w:rsidRPr="00844EAB" w14:paraId="7C49D674"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4B78FCB8" w14:textId="77777777" w:rsidR="007038F0" w:rsidRPr="00844EAB" w:rsidRDefault="007038F0" w:rsidP="007038F0">
            <w:pPr>
              <w:widowControl/>
              <w:rPr>
                <w:rFonts w:ascii="Times" w:hAnsi="Times" w:cs="Times"/>
                <w:sz w:val="18"/>
                <w:szCs w:val="18"/>
                <w:lang w:val="es-GT" w:eastAsia="es-GT"/>
              </w:rPr>
            </w:pPr>
            <w:r w:rsidRPr="00844EAB">
              <w:rPr>
                <w:rFonts w:ascii="Times" w:hAnsi="Times" w:cs="Times"/>
                <w:sz w:val="18"/>
                <w:szCs w:val="18"/>
                <w:lang w:val="es-GT" w:eastAsia="es-GT"/>
              </w:rPr>
              <w:t xml:space="preserve">        Japón</w:t>
            </w:r>
          </w:p>
        </w:tc>
        <w:tc>
          <w:tcPr>
            <w:tcW w:w="891" w:type="dxa"/>
            <w:tcBorders>
              <w:top w:val="nil"/>
              <w:left w:val="nil"/>
              <w:bottom w:val="nil"/>
              <w:right w:val="nil"/>
            </w:tcBorders>
            <w:shd w:val="clear" w:color="auto" w:fill="auto"/>
            <w:noWrap/>
            <w:vAlign w:val="center"/>
            <w:hideMark/>
          </w:tcPr>
          <w:p w14:paraId="7B83EAAB" w14:textId="77777777" w:rsidR="007038F0" w:rsidRPr="00844EAB" w:rsidRDefault="007038F0" w:rsidP="007038F0">
            <w:pPr>
              <w:widowControl/>
              <w:jc w:val="center"/>
              <w:rPr>
                <w:rFonts w:ascii="Times" w:hAnsi="Times" w:cs="Times"/>
                <w:sz w:val="18"/>
                <w:szCs w:val="18"/>
                <w:lang w:val="es-GT" w:eastAsia="es-GT"/>
              </w:rPr>
            </w:pPr>
            <w:r w:rsidRPr="00844EAB">
              <w:rPr>
                <w:rFonts w:ascii="Times" w:hAnsi="Times" w:cs="Times"/>
                <w:sz w:val="18"/>
                <w:szCs w:val="18"/>
                <w:lang w:val="es-GT" w:eastAsia="es-GT"/>
              </w:rPr>
              <w:t>2.9</w:t>
            </w:r>
          </w:p>
        </w:tc>
        <w:tc>
          <w:tcPr>
            <w:tcW w:w="789" w:type="dxa"/>
            <w:tcBorders>
              <w:top w:val="nil"/>
              <w:left w:val="nil"/>
              <w:bottom w:val="nil"/>
              <w:right w:val="single" w:sz="4" w:space="0" w:color="auto"/>
            </w:tcBorders>
            <w:shd w:val="clear" w:color="auto" w:fill="FBE4D5" w:themeFill="accent2" w:themeFillTint="33"/>
            <w:noWrap/>
            <w:vAlign w:val="center"/>
            <w:hideMark/>
          </w:tcPr>
          <w:p w14:paraId="0ECE9B6F" w14:textId="1FB616C1" w:rsidR="007038F0" w:rsidRPr="00135EFE" w:rsidRDefault="000C7FAD" w:rsidP="007038F0">
            <w:pPr>
              <w:widowControl/>
              <w:jc w:val="center"/>
              <w:rPr>
                <w:rFonts w:ascii="Times" w:hAnsi="Times" w:cs="Times"/>
                <w:sz w:val="18"/>
                <w:szCs w:val="18"/>
                <w:lang w:val="es-GT" w:eastAsia="es-GT"/>
              </w:rPr>
            </w:pPr>
            <w:r>
              <w:rPr>
                <w:rFonts w:ascii="Times" w:hAnsi="Times" w:cs="Times"/>
                <w:sz w:val="18"/>
                <w:szCs w:val="18"/>
                <w:lang w:val="es-GT" w:eastAsia="es-GT"/>
              </w:rPr>
              <w:t>2.8</w:t>
            </w:r>
          </w:p>
        </w:tc>
        <w:tc>
          <w:tcPr>
            <w:tcW w:w="891" w:type="dxa"/>
            <w:tcBorders>
              <w:top w:val="nil"/>
              <w:left w:val="nil"/>
              <w:bottom w:val="nil"/>
              <w:right w:val="nil"/>
            </w:tcBorders>
            <w:vAlign w:val="center"/>
          </w:tcPr>
          <w:p w14:paraId="272DA7CD"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sz w:val="18"/>
                <w:szCs w:val="18"/>
                <w:lang w:val="es-GT" w:eastAsia="es-GT"/>
              </w:rPr>
              <w:t>2.6</w:t>
            </w:r>
          </w:p>
        </w:tc>
        <w:tc>
          <w:tcPr>
            <w:tcW w:w="891" w:type="dxa"/>
            <w:tcBorders>
              <w:top w:val="nil"/>
              <w:left w:val="nil"/>
              <w:bottom w:val="nil"/>
              <w:right w:val="single" w:sz="4" w:space="0" w:color="auto"/>
            </w:tcBorders>
            <w:shd w:val="clear" w:color="000000" w:fill="FDE9D9"/>
            <w:noWrap/>
            <w:vAlign w:val="center"/>
            <w:hideMark/>
          </w:tcPr>
          <w:p w14:paraId="1D8B18F9" w14:textId="01ACAB94" w:rsidR="007038F0" w:rsidRPr="00844EAB" w:rsidRDefault="000C7FAD" w:rsidP="007038F0">
            <w:pPr>
              <w:widowControl/>
              <w:jc w:val="center"/>
              <w:rPr>
                <w:rFonts w:ascii="Times" w:hAnsi="Times" w:cs="Times"/>
                <w:color w:val="244062"/>
                <w:sz w:val="18"/>
                <w:szCs w:val="18"/>
                <w:lang w:val="es-GT" w:eastAsia="es-GT"/>
              </w:rPr>
            </w:pPr>
            <w:r>
              <w:rPr>
                <w:rFonts w:ascii="Times" w:hAnsi="Times" w:cs="Times"/>
                <w:color w:val="244062"/>
                <w:sz w:val="18"/>
                <w:szCs w:val="18"/>
                <w:lang w:val="es-GT" w:eastAsia="es-GT"/>
              </w:rPr>
              <w:t>3.0</w:t>
            </w:r>
          </w:p>
        </w:tc>
      </w:tr>
      <w:tr w:rsidR="007038F0" w:rsidRPr="00135EFE" w14:paraId="01954944"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37B523B7" w14:textId="77777777" w:rsidR="007038F0" w:rsidRPr="00844EAB" w:rsidRDefault="007038F0" w:rsidP="007038F0">
            <w:pPr>
              <w:widowControl/>
              <w:rPr>
                <w:rFonts w:ascii="Times" w:hAnsi="Times" w:cs="Times"/>
                <w:b/>
                <w:bCs/>
                <w:color w:val="262626"/>
                <w:sz w:val="18"/>
                <w:szCs w:val="18"/>
                <w:lang w:val="es-GT" w:eastAsia="es-GT"/>
              </w:rPr>
            </w:pPr>
            <w:r w:rsidRPr="00844EAB">
              <w:rPr>
                <w:rFonts w:ascii="Times" w:hAnsi="Times" w:cs="Times"/>
                <w:b/>
                <w:bCs/>
                <w:color w:val="262626"/>
                <w:sz w:val="18"/>
                <w:szCs w:val="18"/>
                <w:lang w:val="es-GT" w:eastAsia="es-GT"/>
              </w:rPr>
              <w:t>Economías emergentes y en desarrollo (EMDEs)</w:t>
            </w:r>
          </w:p>
        </w:tc>
        <w:tc>
          <w:tcPr>
            <w:tcW w:w="891" w:type="dxa"/>
            <w:tcBorders>
              <w:top w:val="nil"/>
              <w:left w:val="nil"/>
              <w:bottom w:val="nil"/>
              <w:right w:val="nil"/>
            </w:tcBorders>
            <w:shd w:val="clear" w:color="auto" w:fill="auto"/>
            <w:noWrap/>
            <w:vAlign w:val="center"/>
            <w:hideMark/>
          </w:tcPr>
          <w:p w14:paraId="3B27FBD2" w14:textId="77777777" w:rsidR="007038F0" w:rsidRPr="00844EAB" w:rsidRDefault="007038F0" w:rsidP="007038F0">
            <w:pPr>
              <w:widowControl/>
              <w:jc w:val="center"/>
              <w:rPr>
                <w:rFonts w:ascii="Times" w:hAnsi="Times" w:cs="Times"/>
                <w:b/>
                <w:bCs/>
                <w:sz w:val="18"/>
                <w:szCs w:val="18"/>
                <w:lang w:val="es-GT" w:eastAsia="es-GT"/>
              </w:rPr>
            </w:pPr>
            <w:r w:rsidRPr="00844EAB">
              <w:rPr>
                <w:rFonts w:ascii="Times" w:hAnsi="Times" w:cs="Times"/>
                <w:b/>
                <w:bCs/>
                <w:sz w:val="18"/>
                <w:szCs w:val="18"/>
                <w:lang w:val="es-GT" w:eastAsia="es-GT"/>
              </w:rPr>
              <w:t>6.0</w:t>
            </w:r>
          </w:p>
        </w:tc>
        <w:tc>
          <w:tcPr>
            <w:tcW w:w="789" w:type="dxa"/>
            <w:tcBorders>
              <w:top w:val="nil"/>
              <w:left w:val="nil"/>
              <w:bottom w:val="nil"/>
              <w:right w:val="single" w:sz="4" w:space="0" w:color="auto"/>
            </w:tcBorders>
            <w:shd w:val="clear" w:color="auto" w:fill="FBE4D5" w:themeFill="accent2" w:themeFillTint="33"/>
            <w:noWrap/>
            <w:vAlign w:val="center"/>
            <w:hideMark/>
          </w:tcPr>
          <w:p w14:paraId="07F4870D" w14:textId="028E76E2" w:rsidR="007038F0" w:rsidRPr="00135EFE" w:rsidRDefault="000C7FAD" w:rsidP="007038F0">
            <w:pPr>
              <w:widowControl/>
              <w:jc w:val="center"/>
              <w:rPr>
                <w:rFonts w:ascii="Times" w:hAnsi="Times" w:cs="Times"/>
                <w:b/>
                <w:bCs/>
                <w:sz w:val="18"/>
                <w:szCs w:val="18"/>
                <w:lang w:val="es-GT" w:eastAsia="es-GT"/>
              </w:rPr>
            </w:pPr>
            <w:r>
              <w:rPr>
                <w:rFonts w:ascii="Times" w:hAnsi="Times" w:cs="Times"/>
                <w:b/>
                <w:bCs/>
                <w:sz w:val="18"/>
                <w:szCs w:val="18"/>
                <w:lang w:val="es-GT" w:eastAsia="es-GT"/>
              </w:rPr>
              <w:t>6.3</w:t>
            </w:r>
          </w:p>
        </w:tc>
        <w:tc>
          <w:tcPr>
            <w:tcW w:w="891" w:type="dxa"/>
            <w:tcBorders>
              <w:top w:val="nil"/>
              <w:left w:val="nil"/>
              <w:bottom w:val="nil"/>
              <w:right w:val="nil"/>
            </w:tcBorders>
            <w:vAlign w:val="center"/>
          </w:tcPr>
          <w:p w14:paraId="4AEDB671"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b/>
                <w:bCs/>
                <w:sz w:val="18"/>
                <w:szCs w:val="18"/>
                <w:lang w:val="es-GT" w:eastAsia="es-GT"/>
              </w:rPr>
              <w:t>4.7</w:t>
            </w:r>
          </w:p>
        </w:tc>
        <w:tc>
          <w:tcPr>
            <w:tcW w:w="891" w:type="dxa"/>
            <w:tcBorders>
              <w:top w:val="nil"/>
              <w:left w:val="nil"/>
              <w:bottom w:val="nil"/>
              <w:right w:val="single" w:sz="4" w:space="0" w:color="auto"/>
            </w:tcBorders>
            <w:shd w:val="clear" w:color="000000" w:fill="FDE9D9"/>
            <w:noWrap/>
            <w:vAlign w:val="center"/>
            <w:hideMark/>
          </w:tcPr>
          <w:p w14:paraId="1C7CFA26" w14:textId="45587325" w:rsidR="007038F0" w:rsidRPr="00135EFE" w:rsidRDefault="000C7FAD" w:rsidP="000C7FAD">
            <w:pPr>
              <w:widowControl/>
              <w:jc w:val="center"/>
              <w:rPr>
                <w:rFonts w:ascii="Times" w:hAnsi="Times" w:cs="Times"/>
                <w:b/>
                <w:bCs/>
                <w:color w:val="244062"/>
                <w:sz w:val="18"/>
                <w:szCs w:val="18"/>
                <w:lang w:val="es-GT" w:eastAsia="es-GT"/>
              </w:rPr>
            </w:pPr>
            <w:r>
              <w:rPr>
                <w:rFonts w:ascii="Times" w:hAnsi="Times" w:cs="Times"/>
                <w:b/>
                <w:bCs/>
                <w:color w:val="244062"/>
                <w:sz w:val="18"/>
                <w:szCs w:val="18"/>
                <w:lang w:val="es-GT" w:eastAsia="es-GT"/>
              </w:rPr>
              <w:t>5.2</w:t>
            </w:r>
          </w:p>
        </w:tc>
      </w:tr>
      <w:tr w:rsidR="007038F0" w:rsidRPr="00844EAB" w14:paraId="04C80273"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572877CA" w14:textId="77777777" w:rsidR="007038F0" w:rsidRPr="00844EAB" w:rsidRDefault="007038F0" w:rsidP="007038F0">
            <w:pPr>
              <w:widowControl/>
              <w:rPr>
                <w:rFonts w:ascii="Times" w:hAnsi="Times" w:cs="Times"/>
                <w:sz w:val="18"/>
                <w:szCs w:val="18"/>
                <w:lang w:val="es-GT" w:eastAsia="es-GT"/>
              </w:rPr>
            </w:pPr>
            <w:r w:rsidRPr="00844EAB">
              <w:rPr>
                <w:rFonts w:ascii="Times" w:hAnsi="Times" w:cs="Times"/>
                <w:sz w:val="18"/>
                <w:szCs w:val="18"/>
                <w:lang w:val="es-GT" w:eastAsia="es-GT"/>
              </w:rPr>
              <w:t xml:space="preserve">        China</w:t>
            </w:r>
          </w:p>
        </w:tc>
        <w:tc>
          <w:tcPr>
            <w:tcW w:w="891" w:type="dxa"/>
            <w:tcBorders>
              <w:top w:val="nil"/>
              <w:left w:val="nil"/>
              <w:bottom w:val="nil"/>
              <w:right w:val="nil"/>
            </w:tcBorders>
            <w:shd w:val="clear" w:color="auto" w:fill="auto"/>
            <w:noWrap/>
            <w:vAlign w:val="center"/>
            <w:hideMark/>
          </w:tcPr>
          <w:p w14:paraId="4688622A" w14:textId="77777777" w:rsidR="007038F0" w:rsidRPr="00844EAB" w:rsidRDefault="007038F0" w:rsidP="007038F0">
            <w:pPr>
              <w:widowControl/>
              <w:jc w:val="center"/>
              <w:rPr>
                <w:rFonts w:ascii="Times" w:hAnsi="Times" w:cs="Times"/>
                <w:sz w:val="18"/>
                <w:szCs w:val="18"/>
                <w:lang w:val="es-GT" w:eastAsia="es-GT"/>
              </w:rPr>
            </w:pPr>
            <w:r w:rsidRPr="00844EAB">
              <w:rPr>
                <w:rFonts w:ascii="Times" w:hAnsi="Times" w:cs="Times"/>
                <w:sz w:val="18"/>
                <w:szCs w:val="18"/>
                <w:lang w:val="es-GT" w:eastAsia="es-GT"/>
              </w:rPr>
              <w:t>8.5</w:t>
            </w:r>
          </w:p>
        </w:tc>
        <w:tc>
          <w:tcPr>
            <w:tcW w:w="789" w:type="dxa"/>
            <w:tcBorders>
              <w:top w:val="nil"/>
              <w:left w:val="nil"/>
              <w:bottom w:val="nil"/>
              <w:right w:val="single" w:sz="4" w:space="0" w:color="auto"/>
            </w:tcBorders>
            <w:shd w:val="clear" w:color="auto" w:fill="FBE4D5" w:themeFill="accent2" w:themeFillTint="33"/>
            <w:noWrap/>
            <w:vAlign w:val="center"/>
            <w:hideMark/>
          </w:tcPr>
          <w:p w14:paraId="792ACC22" w14:textId="0C37B169" w:rsidR="007038F0" w:rsidRPr="00135EFE" w:rsidRDefault="000C7FAD" w:rsidP="007038F0">
            <w:pPr>
              <w:widowControl/>
              <w:jc w:val="center"/>
              <w:rPr>
                <w:rFonts w:ascii="Times" w:hAnsi="Times" w:cs="Times"/>
                <w:sz w:val="18"/>
                <w:szCs w:val="18"/>
                <w:lang w:val="es-GT" w:eastAsia="es-GT"/>
              </w:rPr>
            </w:pPr>
            <w:r>
              <w:rPr>
                <w:rFonts w:ascii="Times" w:hAnsi="Times" w:cs="Times"/>
                <w:sz w:val="18"/>
                <w:szCs w:val="18"/>
                <w:lang w:val="es-GT" w:eastAsia="es-GT"/>
              </w:rPr>
              <w:t>8.1</w:t>
            </w:r>
          </w:p>
        </w:tc>
        <w:tc>
          <w:tcPr>
            <w:tcW w:w="891" w:type="dxa"/>
            <w:tcBorders>
              <w:top w:val="nil"/>
              <w:left w:val="nil"/>
              <w:bottom w:val="nil"/>
              <w:right w:val="nil"/>
            </w:tcBorders>
            <w:vAlign w:val="center"/>
          </w:tcPr>
          <w:p w14:paraId="79E61D3F"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sz w:val="18"/>
                <w:szCs w:val="18"/>
                <w:lang w:val="es-GT" w:eastAsia="es-GT"/>
              </w:rPr>
              <w:t>5.4</w:t>
            </w:r>
          </w:p>
        </w:tc>
        <w:tc>
          <w:tcPr>
            <w:tcW w:w="891" w:type="dxa"/>
            <w:tcBorders>
              <w:top w:val="nil"/>
              <w:left w:val="nil"/>
              <w:bottom w:val="nil"/>
              <w:right w:val="single" w:sz="4" w:space="0" w:color="auto"/>
            </w:tcBorders>
            <w:shd w:val="clear" w:color="000000" w:fill="FDE9D9"/>
            <w:noWrap/>
            <w:vAlign w:val="center"/>
            <w:hideMark/>
          </w:tcPr>
          <w:p w14:paraId="0BFD057B" w14:textId="79899C08" w:rsidR="007038F0" w:rsidRPr="00844EAB" w:rsidRDefault="000C7FAD" w:rsidP="007038F0">
            <w:pPr>
              <w:widowControl/>
              <w:jc w:val="center"/>
              <w:rPr>
                <w:rFonts w:ascii="Times" w:hAnsi="Times" w:cs="Times"/>
                <w:color w:val="244062"/>
                <w:sz w:val="18"/>
                <w:szCs w:val="18"/>
                <w:lang w:val="es-GT" w:eastAsia="es-GT"/>
              </w:rPr>
            </w:pPr>
            <w:r>
              <w:rPr>
                <w:rFonts w:ascii="Times" w:hAnsi="Times" w:cs="Times"/>
                <w:color w:val="244062"/>
                <w:sz w:val="18"/>
                <w:szCs w:val="18"/>
                <w:lang w:val="es-GT" w:eastAsia="es-GT"/>
              </w:rPr>
              <w:t>5.7</w:t>
            </w:r>
          </w:p>
        </w:tc>
      </w:tr>
      <w:tr w:rsidR="007038F0" w:rsidRPr="00844EAB" w14:paraId="2DC136C3"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0812A330" w14:textId="77777777" w:rsidR="007038F0" w:rsidRPr="00844EAB" w:rsidRDefault="007038F0" w:rsidP="007038F0">
            <w:pPr>
              <w:widowControl/>
              <w:rPr>
                <w:rFonts w:ascii="Times" w:hAnsi="Times" w:cs="Times"/>
                <w:sz w:val="18"/>
                <w:szCs w:val="18"/>
                <w:lang w:val="es-GT" w:eastAsia="es-GT"/>
              </w:rPr>
            </w:pPr>
            <w:r w:rsidRPr="00844EAB">
              <w:rPr>
                <w:rFonts w:ascii="Times" w:hAnsi="Times" w:cs="Times"/>
                <w:sz w:val="18"/>
                <w:szCs w:val="18"/>
                <w:lang w:val="es-GT" w:eastAsia="es-GT"/>
              </w:rPr>
              <w:t xml:space="preserve">   América Latina y el Caribe</w:t>
            </w:r>
          </w:p>
        </w:tc>
        <w:tc>
          <w:tcPr>
            <w:tcW w:w="891" w:type="dxa"/>
            <w:tcBorders>
              <w:top w:val="nil"/>
              <w:left w:val="nil"/>
              <w:bottom w:val="nil"/>
              <w:right w:val="nil"/>
            </w:tcBorders>
            <w:shd w:val="clear" w:color="auto" w:fill="auto"/>
            <w:noWrap/>
            <w:vAlign w:val="center"/>
            <w:hideMark/>
          </w:tcPr>
          <w:p w14:paraId="4E0B1EC3" w14:textId="77777777" w:rsidR="007038F0" w:rsidRPr="00844EAB" w:rsidRDefault="007038F0" w:rsidP="007038F0">
            <w:pPr>
              <w:widowControl/>
              <w:jc w:val="center"/>
              <w:rPr>
                <w:rFonts w:ascii="Times" w:hAnsi="Times" w:cs="Times"/>
                <w:sz w:val="18"/>
                <w:szCs w:val="18"/>
                <w:lang w:val="es-GT" w:eastAsia="es-GT"/>
              </w:rPr>
            </w:pPr>
            <w:r w:rsidRPr="00844EAB">
              <w:rPr>
                <w:rFonts w:ascii="Times" w:hAnsi="Times" w:cs="Times"/>
                <w:sz w:val="18"/>
                <w:szCs w:val="18"/>
                <w:lang w:val="es-GT" w:eastAsia="es-GT"/>
              </w:rPr>
              <w:t>5.2</w:t>
            </w:r>
          </w:p>
        </w:tc>
        <w:tc>
          <w:tcPr>
            <w:tcW w:w="789" w:type="dxa"/>
            <w:tcBorders>
              <w:top w:val="nil"/>
              <w:left w:val="nil"/>
              <w:bottom w:val="nil"/>
              <w:right w:val="single" w:sz="4" w:space="0" w:color="auto"/>
            </w:tcBorders>
            <w:shd w:val="clear" w:color="auto" w:fill="FBE4D5" w:themeFill="accent2" w:themeFillTint="33"/>
            <w:noWrap/>
            <w:vAlign w:val="center"/>
            <w:hideMark/>
          </w:tcPr>
          <w:p w14:paraId="1BA7ECC5" w14:textId="06AA71D7" w:rsidR="007038F0" w:rsidRPr="00135EFE" w:rsidRDefault="000C7FAD" w:rsidP="007038F0">
            <w:pPr>
              <w:widowControl/>
              <w:jc w:val="center"/>
              <w:rPr>
                <w:rFonts w:ascii="Times" w:hAnsi="Times" w:cs="Times"/>
                <w:sz w:val="18"/>
                <w:szCs w:val="18"/>
                <w:lang w:val="es-GT" w:eastAsia="es-GT"/>
              </w:rPr>
            </w:pPr>
            <w:r>
              <w:rPr>
                <w:rFonts w:ascii="Times" w:hAnsi="Times" w:cs="Times"/>
                <w:sz w:val="18"/>
                <w:szCs w:val="18"/>
                <w:lang w:val="es-GT" w:eastAsia="es-GT"/>
              </w:rPr>
              <w:t>5.8</w:t>
            </w:r>
          </w:p>
        </w:tc>
        <w:tc>
          <w:tcPr>
            <w:tcW w:w="891" w:type="dxa"/>
            <w:tcBorders>
              <w:top w:val="nil"/>
              <w:left w:val="nil"/>
              <w:bottom w:val="nil"/>
              <w:right w:val="nil"/>
            </w:tcBorders>
            <w:vAlign w:val="center"/>
          </w:tcPr>
          <w:p w14:paraId="1432F173"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sz w:val="18"/>
                <w:szCs w:val="18"/>
                <w:lang w:val="es-GT" w:eastAsia="es-GT"/>
              </w:rPr>
              <w:t>2.9</w:t>
            </w:r>
          </w:p>
        </w:tc>
        <w:tc>
          <w:tcPr>
            <w:tcW w:w="891" w:type="dxa"/>
            <w:tcBorders>
              <w:top w:val="nil"/>
              <w:left w:val="nil"/>
              <w:bottom w:val="nil"/>
              <w:right w:val="single" w:sz="4" w:space="0" w:color="auto"/>
            </w:tcBorders>
            <w:shd w:val="clear" w:color="000000" w:fill="FDE9D9"/>
            <w:noWrap/>
            <w:vAlign w:val="center"/>
            <w:hideMark/>
          </w:tcPr>
          <w:p w14:paraId="01657EE1" w14:textId="442FF411" w:rsidR="007038F0" w:rsidRPr="00844EAB" w:rsidRDefault="000C7FAD" w:rsidP="007038F0">
            <w:pPr>
              <w:widowControl/>
              <w:jc w:val="center"/>
              <w:rPr>
                <w:rFonts w:ascii="Times" w:hAnsi="Times" w:cs="Times"/>
                <w:color w:val="244062"/>
                <w:sz w:val="18"/>
                <w:szCs w:val="18"/>
                <w:lang w:val="es-GT" w:eastAsia="es-GT"/>
              </w:rPr>
            </w:pPr>
            <w:r>
              <w:rPr>
                <w:rFonts w:ascii="Times" w:hAnsi="Times" w:cs="Times"/>
                <w:color w:val="244062"/>
                <w:sz w:val="18"/>
                <w:szCs w:val="18"/>
                <w:lang w:val="es-GT" w:eastAsia="es-GT"/>
              </w:rPr>
              <w:t>3.2</w:t>
            </w:r>
          </w:p>
        </w:tc>
      </w:tr>
      <w:tr w:rsidR="007038F0" w:rsidRPr="00844EAB" w14:paraId="50575D4A"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685E9315" w14:textId="77777777" w:rsidR="007038F0" w:rsidRPr="00844EAB" w:rsidRDefault="007038F0" w:rsidP="007038F0">
            <w:pPr>
              <w:widowControl/>
              <w:rPr>
                <w:rFonts w:ascii="Times" w:hAnsi="Times" w:cs="Times"/>
                <w:sz w:val="18"/>
                <w:szCs w:val="18"/>
                <w:lang w:val="es-GT" w:eastAsia="es-GT"/>
              </w:rPr>
            </w:pPr>
            <w:r w:rsidRPr="00844EAB">
              <w:rPr>
                <w:rFonts w:ascii="Times" w:hAnsi="Times" w:cs="Times"/>
                <w:sz w:val="18"/>
                <w:szCs w:val="18"/>
                <w:lang w:val="es-GT" w:eastAsia="es-GT"/>
              </w:rPr>
              <w:t xml:space="preserve">        Brasil</w:t>
            </w:r>
          </w:p>
        </w:tc>
        <w:tc>
          <w:tcPr>
            <w:tcW w:w="891" w:type="dxa"/>
            <w:tcBorders>
              <w:top w:val="nil"/>
              <w:left w:val="nil"/>
              <w:bottom w:val="nil"/>
              <w:right w:val="nil"/>
            </w:tcBorders>
            <w:shd w:val="clear" w:color="auto" w:fill="auto"/>
            <w:noWrap/>
            <w:vAlign w:val="center"/>
            <w:hideMark/>
          </w:tcPr>
          <w:p w14:paraId="0F3D7379" w14:textId="77777777" w:rsidR="007038F0" w:rsidRPr="00844EAB" w:rsidRDefault="007038F0" w:rsidP="007038F0">
            <w:pPr>
              <w:widowControl/>
              <w:jc w:val="center"/>
              <w:rPr>
                <w:rFonts w:ascii="Times" w:hAnsi="Times" w:cs="Times"/>
                <w:sz w:val="18"/>
                <w:szCs w:val="18"/>
                <w:lang w:val="es-GT" w:eastAsia="es-GT"/>
              </w:rPr>
            </w:pPr>
            <w:r w:rsidRPr="00844EAB">
              <w:rPr>
                <w:rFonts w:ascii="Times" w:hAnsi="Times" w:cs="Times"/>
                <w:sz w:val="18"/>
                <w:szCs w:val="18"/>
                <w:lang w:val="es-GT" w:eastAsia="es-GT"/>
              </w:rPr>
              <w:t>4.5</w:t>
            </w:r>
          </w:p>
        </w:tc>
        <w:tc>
          <w:tcPr>
            <w:tcW w:w="789" w:type="dxa"/>
            <w:tcBorders>
              <w:top w:val="nil"/>
              <w:left w:val="nil"/>
              <w:bottom w:val="nil"/>
              <w:right w:val="single" w:sz="4" w:space="0" w:color="auto"/>
            </w:tcBorders>
            <w:shd w:val="clear" w:color="auto" w:fill="FBE4D5" w:themeFill="accent2" w:themeFillTint="33"/>
            <w:noWrap/>
            <w:vAlign w:val="center"/>
            <w:hideMark/>
          </w:tcPr>
          <w:p w14:paraId="438394DD" w14:textId="72337401" w:rsidR="007038F0" w:rsidRPr="00135EFE" w:rsidRDefault="000C7FAD" w:rsidP="007038F0">
            <w:pPr>
              <w:widowControl/>
              <w:jc w:val="center"/>
              <w:rPr>
                <w:rFonts w:ascii="Times" w:hAnsi="Times" w:cs="Times"/>
                <w:sz w:val="18"/>
                <w:szCs w:val="18"/>
                <w:lang w:val="es-GT" w:eastAsia="es-GT"/>
              </w:rPr>
            </w:pPr>
            <w:r>
              <w:rPr>
                <w:rFonts w:ascii="Times" w:hAnsi="Times" w:cs="Times"/>
                <w:sz w:val="18"/>
                <w:szCs w:val="18"/>
                <w:lang w:val="es-GT" w:eastAsia="es-GT"/>
              </w:rPr>
              <w:t>5.3</w:t>
            </w:r>
          </w:p>
        </w:tc>
        <w:tc>
          <w:tcPr>
            <w:tcW w:w="891" w:type="dxa"/>
            <w:tcBorders>
              <w:top w:val="nil"/>
              <w:left w:val="nil"/>
              <w:bottom w:val="nil"/>
              <w:right w:val="nil"/>
            </w:tcBorders>
            <w:vAlign w:val="center"/>
          </w:tcPr>
          <w:p w14:paraId="29F2CD0F"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sz w:val="18"/>
                <w:szCs w:val="18"/>
                <w:lang w:val="es-GT" w:eastAsia="es-GT"/>
              </w:rPr>
              <w:t>2.5</w:t>
            </w:r>
          </w:p>
        </w:tc>
        <w:tc>
          <w:tcPr>
            <w:tcW w:w="891" w:type="dxa"/>
            <w:tcBorders>
              <w:top w:val="nil"/>
              <w:left w:val="nil"/>
              <w:bottom w:val="nil"/>
              <w:right w:val="single" w:sz="4" w:space="0" w:color="auto"/>
            </w:tcBorders>
            <w:shd w:val="clear" w:color="000000" w:fill="FDE9D9"/>
            <w:noWrap/>
            <w:vAlign w:val="center"/>
            <w:hideMark/>
          </w:tcPr>
          <w:p w14:paraId="62B18C11" w14:textId="19406095" w:rsidR="007038F0" w:rsidRPr="00844EAB" w:rsidRDefault="000C7FAD" w:rsidP="007038F0">
            <w:pPr>
              <w:widowControl/>
              <w:jc w:val="center"/>
              <w:rPr>
                <w:rFonts w:ascii="Times" w:hAnsi="Times" w:cs="Times"/>
                <w:color w:val="244062"/>
                <w:sz w:val="18"/>
                <w:szCs w:val="18"/>
                <w:lang w:val="es-GT" w:eastAsia="es-GT"/>
              </w:rPr>
            </w:pPr>
            <w:r>
              <w:rPr>
                <w:rFonts w:ascii="Times" w:hAnsi="Times" w:cs="Times"/>
                <w:color w:val="244062"/>
                <w:sz w:val="18"/>
                <w:szCs w:val="18"/>
                <w:lang w:val="es-GT" w:eastAsia="es-GT"/>
              </w:rPr>
              <w:t>1.9</w:t>
            </w:r>
          </w:p>
        </w:tc>
      </w:tr>
      <w:tr w:rsidR="007038F0" w:rsidRPr="00844EAB" w14:paraId="6790F2DB"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42A2B60D" w14:textId="77777777" w:rsidR="007038F0" w:rsidRPr="00844EAB" w:rsidRDefault="007038F0" w:rsidP="007038F0">
            <w:pPr>
              <w:widowControl/>
              <w:rPr>
                <w:rFonts w:ascii="Times" w:hAnsi="Times" w:cs="Times"/>
                <w:sz w:val="18"/>
                <w:szCs w:val="18"/>
                <w:lang w:val="es-GT" w:eastAsia="es-GT"/>
              </w:rPr>
            </w:pPr>
            <w:r w:rsidRPr="00844EAB">
              <w:rPr>
                <w:rFonts w:ascii="Times" w:hAnsi="Times" w:cs="Times"/>
                <w:sz w:val="18"/>
                <w:szCs w:val="18"/>
                <w:lang w:val="es-GT" w:eastAsia="es-GT"/>
              </w:rPr>
              <w:t xml:space="preserve">        México</w:t>
            </w:r>
          </w:p>
        </w:tc>
        <w:tc>
          <w:tcPr>
            <w:tcW w:w="891" w:type="dxa"/>
            <w:tcBorders>
              <w:top w:val="nil"/>
              <w:left w:val="nil"/>
              <w:bottom w:val="nil"/>
              <w:right w:val="nil"/>
            </w:tcBorders>
            <w:shd w:val="clear" w:color="auto" w:fill="auto"/>
            <w:noWrap/>
            <w:vAlign w:val="center"/>
            <w:hideMark/>
          </w:tcPr>
          <w:p w14:paraId="772EE636" w14:textId="77777777" w:rsidR="007038F0" w:rsidRPr="00844EAB" w:rsidRDefault="007038F0" w:rsidP="007038F0">
            <w:pPr>
              <w:widowControl/>
              <w:jc w:val="center"/>
              <w:rPr>
                <w:rFonts w:ascii="Times" w:hAnsi="Times" w:cs="Times"/>
                <w:sz w:val="18"/>
                <w:szCs w:val="18"/>
                <w:lang w:val="es-GT" w:eastAsia="es-GT"/>
              </w:rPr>
            </w:pPr>
            <w:r w:rsidRPr="00844EAB">
              <w:rPr>
                <w:rFonts w:ascii="Times" w:hAnsi="Times" w:cs="Times"/>
                <w:sz w:val="18"/>
                <w:szCs w:val="18"/>
                <w:lang w:val="es-GT" w:eastAsia="es-GT"/>
              </w:rPr>
              <w:t>5.0</w:t>
            </w:r>
          </w:p>
        </w:tc>
        <w:tc>
          <w:tcPr>
            <w:tcW w:w="789" w:type="dxa"/>
            <w:tcBorders>
              <w:top w:val="nil"/>
              <w:left w:val="nil"/>
              <w:bottom w:val="nil"/>
              <w:right w:val="single" w:sz="4" w:space="0" w:color="auto"/>
            </w:tcBorders>
            <w:shd w:val="clear" w:color="auto" w:fill="FBE4D5" w:themeFill="accent2" w:themeFillTint="33"/>
            <w:noWrap/>
            <w:vAlign w:val="center"/>
            <w:hideMark/>
          </w:tcPr>
          <w:p w14:paraId="5D42AF7C" w14:textId="084AC2E7" w:rsidR="007038F0" w:rsidRPr="00135EFE" w:rsidRDefault="000C7FAD" w:rsidP="007038F0">
            <w:pPr>
              <w:widowControl/>
              <w:jc w:val="center"/>
              <w:rPr>
                <w:rFonts w:ascii="Times" w:hAnsi="Times" w:cs="Times"/>
                <w:sz w:val="18"/>
                <w:szCs w:val="18"/>
                <w:lang w:val="es-GT" w:eastAsia="es-GT"/>
              </w:rPr>
            </w:pPr>
            <w:r>
              <w:rPr>
                <w:rFonts w:ascii="Times" w:hAnsi="Times" w:cs="Times"/>
                <w:sz w:val="18"/>
                <w:szCs w:val="18"/>
                <w:lang w:val="es-GT" w:eastAsia="es-GT"/>
              </w:rPr>
              <w:t>6.3</w:t>
            </w:r>
          </w:p>
        </w:tc>
        <w:tc>
          <w:tcPr>
            <w:tcW w:w="891" w:type="dxa"/>
            <w:tcBorders>
              <w:top w:val="nil"/>
              <w:left w:val="nil"/>
              <w:bottom w:val="nil"/>
              <w:right w:val="nil"/>
            </w:tcBorders>
            <w:vAlign w:val="center"/>
          </w:tcPr>
          <w:p w14:paraId="62530A47"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sz w:val="18"/>
                <w:szCs w:val="18"/>
                <w:lang w:val="es-GT" w:eastAsia="es-GT"/>
              </w:rPr>
              <w:t>3.0</w:t>
            </w:r>
          </w:p>
        </w:tc>
        <w:tc>
          <w:tcPr>
            <w:tcW w:w="891" w:type="dxa"/>
            <w:tcBorders>
              <w:top w:val="nil"/>
              <w:left w:val="nil"/>
              <w:bottom w:val="nil"/>
              <w:right w:val="single" w:sz="4" w:space="0" w:color="auto"/>
            </w:tcBorders>
            <w:shd w:val="clear" w:color="000000" w:fill="FDE9D9"/>
            <w:noWrap/>
            <w:vAlign w:val="center"/>
            <w:hideMark/>
          </w:tcPr>
          <w:p w14:paraId="26BE24A7" w14:textId="48727990" w:rsidR="007038F0" w:rsidRPr="00844EAB" w:rsidRDefault="000C7FAD" w:rsidP="000C7FAD">
            <w:pPr>
              <w:widowControl/>
              <w:jc w:val="center"/>
              <w:rPr>
                <w:rFonts w:ascii="Times" w:hAnsi="Times" w:cs="Times"/>
                <w:color w:val="244062"/>
                <w:sz w:val="18"/>
                <w:szCs w:val="18"/>
                <w:lang w:val="es-GT" w:eastAsia="es-GT"/>
              </w:rPr>
            </w:pPr>
            <w:r>
              <w:rPr>
                <w:rFonts w:ascii="Times" w:hAnsi="Times" w:cs="Times"/>
                <w:color w:val="244062"/>
                <w:sz w:val="18"/>
                <w:szCs w:val="18"/>
                <w:lang w:val="es-GT" w:eastAsia="es-GT"/>
              </w:rPr>
              <w:t>4.2</w:t>
            </w:r>
          </w:p>
        </w:tc>
      </w:tr>
      <w:tr w:rsidR="007038F0" w:rsidRPr="00844EAB" w14:paraId="1B68E57E" w14:textId="77777777" w:rsidTr="007038F0">
        <w:trPr>
          <w:trHeight w:val="300"/>
          <w:jc w:val="center"/>
        </w:trPr>
        <w:tc>
          <w:tcPr>
            <w:tcW w:w="3745" w:type="dxa"/>
            <w:tcBorders>
              <w:top w:val="nil"/>
              <w:left w:val="single" w:sz="4" w:space="0" w:color="auto"/>
              <w:bottom w:val="nil"/>
              <w:right w:val="single" w:sz="4" w:space="0" w:color="auto"/>
            </w:tcBorders>
            <w:shd w:val="clear" w:color="auto" w:fill="auto"/>
            <w:noWrap/>
            <w:vAlign w:val="center"/>
            <w:hideMark/>
          </w:tcPr>
          <w:p w14:paraId="3EC1B3BE" w14:textId="77777777" w:rsidR="007038F0" w:rsidRPr="00844EAB" w:rsidRDefault="007038F0" w:rsidP="007038F0">
            <w:pPr>
              <w:widowControl/>
              <w:rPr>
                <w:rFonts w:ascii="Times" w:hAnsi="Times" w:cs="Times"/>
                <w:sz w:val="18"/>
                <w:szCs w:val="18"/>
                <w:lang w:val="es-GT" w:eastAsia="es-GT"/>
              </w:rPr>
            </w:pPr>
            <w:r w:rsidRPr="00844EAB">
              <w:rPr>
                <w:rFonts w:ascii="Times" w:hAnsi="Times" w:cs="Times"/>
                <w:sz w:val="18"/>
                <w:szCs w:val="18"/>
                <w:lang w:val="es-GT" w:eastAsia="es-GT"/>
              </w:rPr>
              <w:t xml:space="preserve">   Oriente Medio y Norte de África</w:t>
            </w:r>
          </w:p>
        </w:tc>
        <w:tc>
          <w:tcPr>
            <w:tcW w:w="891" w:type="dxa"/>
            <w:tcBorders>
              <w:top w:val="nil"/>
              <w:left w:val="nil"/>
              <w:bottom w:val="nil"/>
              <w:right w:val="nil"/>
            </w:tcBorders>
            <w:shd w:val="clear" w:color="auto" w:fill="auto"/>
            <w:noWrap/>
            <w:vAlign w:val="center"/>
            <w:hideMark/>
          </w:tcPr>
          <w:p w14:paraId="2819675A" w14:textId="77777777" w:rsidR="007038F0" w:rsidRPr="00844EAB" w:rsidRDefault="007038F0" w:rsidP="007038F0">
            <w:pPr>
              <w:widowControl/>
              <w:jc w:val="center"/>
              <w:rPr>
                <w:rFonts w:ascii="Times" w:hAnsi="Times" w:cs="Times"/>
                <w:sz w:val="18"/>
                <w:szCs w:val="18"/>
                <w:lang w:val="es-GT" w:eastAsia="es-GT"/>
              </w:rPr>
            </w:pPr>
            <w:r w:rsidRPr="00844EAB">
              <w:rPr>
                <w:rFonts w:ascii="Times" w:hAnsi="Times" w:cs="Times"/>
                <w:sz w:val="18"/>
                <w:szCs w:val="18"/>
                <w:lang w:val="es-GT" w:eastAsia="es-GT"/>
              </w:rPr>
              <w:t>2.4</w:t>
            </w:r>
          </w:p>
        </w:tc>
        <w:tc>
          <w:tcPr>
            <w:tcW w:w="789" w:type="dxa"/>
            <w:tcBorders>
              <w:top w:val="nil"/>
              <w:left w:val="nil"/>
              <w:bottom w:val="nil"/>
              <w:right w:val="single" w:sz="4" w:space="0" w:color="auto"/>
            </w:tcBorders>
            <w:shd w:val="clear" w:color="auto" w:fill="FBE4D5" w:themeFill="accent2" w:themeFillTint="33"/>
            <w:noWrap/>
            <w:vAlign w:val="center"/>
            <w:hideMark/>
          </w:tcPr>
          <w:p w14:paraId="719EADAD" w14:textId="77777777" w:rsidR="007038F0" w:rsidRPr="00135EFE" w:rsidRDefault="007038F0" w:rsidP="007038F0">
            <w:pPr>
              <w:widowControl/>
              <w:jc w:val="center"/>
              <w:rPr>
                <w:rFonts w:ascii="Times" w:hAnsi="Times" w:cs="Times"/>
                <w:sz w:val="18"/>
                <w:szCs w:val="18"/>
                <w:lang w:val="es-GT" w:eastAsia="es-GT"/>
              </w:rPr>
            </w:pPr>
            <w:r w:rsidRPr="00135EFE">
              <w:rPr>
                <w:rFonts w:ascii="Times" w:hAnsi="Times" w:cs="Times"/>
                <w:sz w:val="18"/>
                <w:szCs w:val="18"/>
                <w:lang w:val="es-GT" w:eastAsia="es-GT"/>
              </w:rPr>
              <w:t>3.7</w:t>
            </w:r>
          </w:p>
        </w:tc>
        <w:tc>
          <w:tcPr>
            <w:tcW w:w="891" w:type="dxa"/>
            <w:tcBorders>
              <w:top w:val="nil"/>
              <w:left w:val="nil"/>
              <w:bottom w:val="nil"/>
              <w:right w:val="nil"/>
            </w:tcBorders>
            <w:vAlign w:val="center"/>
          </w:tcPr>
          <w:p w14:paraId="6F79B8B6"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sz w:val="18"/>
                <w:szCs w:val="18"/>
                <w:lang w:val="es-GT" w:eastAsia="es-GT"/>
              </w:rPr>
              <w:t>3.5</w:t>
            </w:r>
          </w:p>
        </w:tc>
        <w:tc>
          <w:tcPr>
            <w:tcW w:w="891" w:type="dxa"/>
            <w:tcBorders>
              <w:top w:val="nil"/>
              <w:left w:val="nil"/>
              <w:bottom w:val="nil"/>
              <w:right w:val="single" w:sz="4" w:space="0" w:color="auto"/>
            </w:tcBorders>
            <w:shd w:val="clear" w:color="000000" w:fill="FDE9D9"/>
            <w:noWrap/>
            <w:vAlign w:val="center"/>
            <w:hideMark/>
          </w:tcPr>
          <w:p w14:paraId="2BB0097E"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color w:val="244062"/>
                <w:sz w:val="18"/>
                <w:szCs w:val="18"/>
                <w:lang w:val="es-GT" w:eastAsia="es-GT"/>
              </w:rPr>
              <w:t>3.8</w:t>
            </w:r>
          </w:p>
        </w:tc>
      </w:tr>
      <w:tr w:rsidR="007038F0" w:rsidRPr="00844EAB" w14:paraId="6859C398" w14:textId="77777777" w:rsidTr="007038F0">
        <w:trPr>
          <w:trHeight w:val="300"/>
          <w:jc w:val="center"/>
        </w:trPr>
        <w:tc>
          <w:tcPr>
            <w:tcW w:w="3745" w:type="dxa"/>
            <w:tcBorders>
              <w:top w:val="nil"/>
              <w:left w:val="single" w:sz="4" w:space="0" w:color="auto"/>
              <w:bottom w:val="single" w:sz="4" w:space="0" w:color="auto"/>
              <w:right w:val="single" w:sz="4" w:space="0" w:color="auto"/>
            </w:tcBorders>
            <w:shd w:val="clear" w:color="auto" w:fill="auto"/>
            <w:noWrap/>
            <w:vAlign w:val="center"/>
            <w:hideMark/>
          </w:tcPr>
          <w:p w14:paraId="2238C786" w14:textId="77777777" w:rsidR="007038F0" w:rsidRPr="00844EAB" w:rsidRDefault="007038F0" w:rsidP="007038F0">
            <w:pPr>
              <w:widowControl/>
              <w:rPr>
                <w:rFonts w:ascii="Times" w:hAnsi="Times" w:cs="Times"/>
                <w:sz w:val="18"/>
                <w:szCs w:val="18"/>
                <w:lang w:val="es-GT" w:eastAsia="es-GT"/>
              </w:rPr>
            </w:pPr>
            <w:r w:rsidRPr="00844EAB">
              <w:rPr>
                <w:rFonts w:ascii="Times" w:hAnsi="Times" w:cs="Times"/>
                <w:sz w:val="18"/>
                <w:szCs w:val="18"/>
                <w:lang w:val="es-GT" w:eastAsia="es-GT"/>
              </w:rPr>
              <w:t xml:space="preserve">   África al sur del Sahara</w:t>
            </w:r>
          </w:p>
        </w:tc>
        <w:tc>
          <w:tcPr>
            <w:tcW w:w="891" w:type="dxa"/>
            <w:tcBorders>
              <w:top w:val="nil"/>
              <w:left w:val="nil"/>
              <w:bottom w:val="single" w:sz="4" w:space="0" w:color="auto"/>
              <w:right w:val="nil"/>
            </w:tcBorders>
            <w:shd w:val="clear" w:color="auto" w:fill="auto"/>
            <w:noWrap/>
            <w:vAlign w:val="center"/>
            <w:hideMark/>
          </w:tcPr>
          <w:p w14:paraId="774B34B8" w14:textId="77777777" w:rsidR="007038F0" w:rsidRPr="00844EAB" w:rsidRDefault="007038F0" w:rsidP="007038F0">
            <w:pPr>
              <w:widowControl/>
              <w:jc w:val="center"/>
              <w:rPr>
                <w:rFonts w:ascii="Times" w:hAnsi="Times" w:cs="Times"/>
                <w:sz w:val="18"/>
                <w:szCs w:val="18"/>
                <w:lang w:val="es-GT" w:eastAsia="es-GT"/>
              </w:rPr>
            </w:pPr>
            <w:r w:rsidRPr="00844EAB">
              <w:rPr>
                <w:rFonts w:ascii="Times" w:hAnsi="Times" w:cs="Times"/>
                <w:sz w:val="18"/>
                <w:szCs w:val="18"/>
                <w:lang w:val="es-GT" w:eastAsia="es-GT"/>
              </w:rPr>
              <w:t>2.8</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1B327D45" w14:textId="596DC270" w:rsidR="007038F0" w:rsidRPr="00135EFE" w:rsidRDefault="000C7FAD" w:rsidP="007038F0">
            <w:pPr>
              <w:widowControl/>
              <w:jc w:val="center"/>
              <w:rPr>
                <w:rFonts w:ascii="Times" w:hAnsi="Times" w:cs="Times"/>
                <w:sz w:val="18"/>
                <w:szCs w:val="18"/>
                <w:lang w:val="es-GT" w:eastAsia="es-GT"/>
              </w:rPr>
            </w:pPr>
            <w:r>
              <w:rPr>
                <w:rFonts w:ascii="Times" w:hAnsi="Times" w:cs="Times"/>
                <w:sz w:val="18"/>
                <w:szCs w:val="18"/>
                <w:lang w:val="es-GT" w:eastAsia="es-GT"/>
              </w:rPr>
              <w:t>3.4</w:t>
            </w:r>
          </w:p>
        </w:tc>
        <w:tc>
          <w:tcPr>
            <w:tcW w:w="891" w:type="dxa"/>
            <w:tcBorders>
              <w:top w:val="nil"/>
              <w:left w:val="nil"/>
              <w:bottom w:val="single" w:sz="4" w:space="0" w:color="auto"/>
              <w:right w:val="nil"/>
            </w:tcBorders>
            <w:vAlign w:val="center"/>
          </w:tcPr>
          <w:p w14:paraId="7AFC6E72" w14:textId="77777777" w:rsidR="007038F0" w:rsidRPr="00844EAB" w:rsidRDefault="007038F0" w:rsidP="007038F0">
            <w:pPr>
              <w:widowControl/>
              <w:jc w:val="center"/>
              <w:rPr>
                <w:rFonts w:ascii="Times" w:hAnsi="Times" w:cs="Times"/>
                <w:color w:val="244062"/>
                <w:sz w:val="18"/>
                <w:szCs w:val="18"/>
                <w:lang w:val="es-GT" w:eastAsia="es-GT"/>
              </w:rPr>
            </w:pPr>
            <w:r w:rsidRPr="00844EAB">
              <w:rPr>
                <w:rFonts w:ascii="Times" w:hAnsi="Times" w:cs="Times"/>
                <w:sz w:val="18"/>
                <w:szCs w:val="18"/>
                <w:lang w:val="es-GT" w:eastAsia="es-GT"/>
              </w:rPr>
              <w:t>3.3</w:t>
            </w:r>
          </w:p>
        </w:tc>
        <w:tc>
          <w:tcPr>
            <w:tcW w:w="891" w:type="dxa"/>
            <w:tcBorders>
              <w:top w:val="nil"/>
              <w:left w:val="nil"/>
              <w:bottom w:val="single" w:sz="4" w:space="0" w:color="auto"/>
              <w:right w:val="single" w:sz="4" w:space="0" w:color="auto"/>
            </w:tcBorders>
            <w:shd w:val="clear" w:color="000000" w:fill="FDE9D9"/>
            <w:noWrap/>
            <w:vAlign w:val="center"/>
            <w:hideMark/>
          </w:tcPr>
          <w:p w14:paraId="4125F5F6" w14:textId="4BDB2C4D" w:rsidR="007038F0" w:rsidRPr="00844EAB" w:rsidRDefault="000C7FAD" w:rsidP="007038F0">
            <w:pPr>
              <w:widowControl/>
              <w:jc w:val="center"/>
              <w:rPr>
                <w:rFonts w:ascii="Times" w:hAnsi="Times" w:cs="Times"/>
                <w:color w:val="244062"/>
                <w:sz w:val="18"/>
                <w:szCs w:val="18"/>
                <w:lang w:val="es-GT" w:eastAsia="es-GT"/>
              </w:rPr>
            </w:pPr>
            <w:r>
              <w:rPr>
                <w:rFonts w:ascii="Times" w:hAnsi="Times" w:cs="Times"/>
                <w:color w:val="244062"/>
                <w:sz w:val="18"/>
                <w:szCs w:val="18"/>
                <w:lang w:val="es-GT" w:eastAsia="es-GT"/>
              </w:rPr>
              <w:t>4.1</w:t>
            </w:r>
          </w:p>
        </w:tc>
      </w:tr>
    </w:tbl>
    <w:p w14:paraId="56B18744" w14:textId="7780B848" w:rsidR="007038F0" w:rsidRPr="00844EAB" w:rsidRDefault="007038F0" w:rsidP="007038F0">
      <w:pPr>
        <w:ind w:left="567"/>
        <w:jc w:val="both"/>
        <w:rPr>
          <w:sz w:val="16"/>
          <w:szCs w:val="24"/>
          <w:lang w:eastAsia="en-US"/>
        </w:rPr>
      </w:pPr>
      <w:r w:rsidRPr="00844EAB">
        <w:rPr>
          <w:sz w:val="16"/>
          <w:szCs w:val="24"/>
          <w:lang w:eastAsia="en-US"/>
        </w:rPr>
        <w:tab/>
      </w:r>
      <w:r w:rsidRPr="00844EAB">
        <w:rPr>
          <w:sz w:val="16"/>
          <w:szCs w:val="24"/>
          <w:lang w:eastAsia="en-US"/>
        </w:rPr>
        <w:tab/>
        <w:t xml:space="preserve">Fuente: Fondo Monetario Internacional, WEO </w:t>
      </w:r>
      <w:r w:rsidR="000C7FAD">
        <w:rPr>
          <w:sz w:val="16"/>
          <w:szCs w:val="24"/>
          <w:lang w:eastAsia="en-US"/>
        </w:rPr>
        <w:t>julio</w:t>
      </w:r>
      <w:r w:rsidRPr="00844EAB">
        <w:rPr>
          <w:sz w:val="16"/>
          <w:szCs w:val="24"/>
          <w:lang w:eastAsia="en-US"/>
        </w:rPr>
        <w:t xml:space="preserve"> 2021 y Banco Mundial, junio 2021.</w:t>
      </w:r>
    </w:p>
    <w:p w14:paraId="739F2EDD" w14:textId="77777777" w:rsidR="007038F0" w:rsidRDefault="007038F0" w:rsidP="007038F0">
      <w:pPr>
        <w:jc w:val="both"/>
        <w:rPr>
          <w:sz w:val="24"/>
          <w:szCs w:val="24"/>
          <w:lang w:eastAsia="en-US"/>
        </w:rPr>
      </w:pPr>
    </w:p>
    <w:p w14:paraId="0F0C4F30" w14:textId="77777777" w:rsidR="007F47C0" w:rsidRDefault="007F47C0" w:rsidP="007F47C0">
      <w:pPr>
        <w:ind w:left="567"/>
        <w:jc w:val="both"/>
        <w:rPr>
          <w:sz w:val="24"/>
          <w:szCs w:val="24"/>
          <w:lang w:eastAsia="en-US"/>
        </w:rPr>
      </w:pPr>
      <w:r w:rsidRPr="00272A4B">
        <w:rPr>
          <w:sz w:val="24"/>
          <w:szCs w:val="24"/>
          <w:lang w:eastAsia="en-US"/>
        </w:rPr>
        <w:t>Las bases de estas proyecciones son factores difíciles de predecir, así como lo son la intensidad y eficacia de las medidas sociales y económicas que no han sido homogéneas en los países, los cambios en los patrones de gasto, las repercusiones negativas en las condiciones de los mercados financieros, la fuerte disminución de precios en las materias primas, e incluso el progreso en el desarrollo de las vacunas y de terapias para la emergencia de salud.</w:t>
      </w:r>
      <w:r w:rsidRPr="00173597">
        <w:rPr>
          <w:sz w:val="24"/>
          <w:szCs w:val="24"/>
          <w:lang w:eastAsia="en-US"/>
        </w:rPr>
        <w:t xml:space="preserve"> </w:t>
      </w:r>
    </w:p>
    <w:p w14:paraId="0D5B9FC0" w14:textId="77777777" w:rsidR="007F47C0" w:rsidRDefault="007F47C0" w:rsidP="00924BA7">
      <w:pPr>
        <w:ind w:left="567"/>
        <w:jc w:val="both"/>
        <w:rPr>
          <w:sz w:val="24"/>
          <w:szCs w:val="24"/>
          <w:lang w:eastAsia="en-US"/>
        </w:rPr>
      </w:pPr>
    </w:p>
    <w:p w14:paraId="30475316" w14:textId="487360F6" w:rsidR="00924BA7" w:rsidRDefault="00924BA7" w:rsidP="00924BA7">
      <w:pPr>
        <w:ind w:left="567"/>
        <w:jc w:val="both"/>
        <w:rPr>
          <w:sz w:val="24"/>
          <w:szCs w:val="24"/>
          <w:lang w:eastAsia="en-US"/>
        </w:rPr>
      </w:pPr>
      <w:r w:rsidRPr="00173597">
        <w:rPr>
          <w:sz w:val="24"/>
          <w:szCs w:val="24"/>
          <w:lang w:eastAsia="en-US"/>
        </w:rPr>
        <w:t xml:space="preserve">En las economías de mercados emergentes y en desarrollo, los datos sobre la contratación pública </w:t>
      </w:r>
      <w:r w:rsidRPr="00173597">
        <w:rPr>
          <w:sz w:val="24"/>
          <w:szCs w:val="24"/>
          <w:lang w:eastAsia="en-US"/>
        </w:rPr>
        <w:lastRenderedPageBreak/>
        <w:t xml:space="preserve">de vacunas hacen pensar que no habrá una protección efectiva para la mayor parte de la población en 2021. Es posible que en 2021 se hagan necesarios confinamientos y medidas de protección con más frecuencia que en las economías avanzadas, lo cual incrementa la probabilidad de efectos de cicatrización del producto potencial de estos países a mediano plazo. Se esperan diferencias considerables entre China y otros países, donde las eficaces medidas de contención, la contundente respuesta en materia de inversión pública y la liquidez de respaldo del banco central han facilitado una fuerte recuperación. </w:t>
      </w:r>
    </w:p>
    <w:p w14:paraId="2E42D7D0" w14:textId="1605EED3" w:rsidR="007F47C0" w:rsidRDefault="007F47C0" w:rsidP="00924BA7">
      <w:pPr>
        <w:ind w:left="567"/>
        <w:jc w:val="both"/>
        <w:rPr>
          <w:sz w:val="24"/>
          <w:szCs w:val="24"/>
          <w:lang w:eastAsia="en-US"/>
        </w:rPr>
      </w:pPr>
    </w:p>
    <w:p w14:paraId="4FCCFBB6" w14:textId="7886B474" w:rsidR="00924BA7" w:rsidRDefault="00924BA7" w:rsidP="007F47C0">
      <w:pPr>
        <w:ind w:left="567"/>
        <w:jc w:val="both"/>
        <w:rPr>
          <w:sz w:val="24"/>
          <w:szCs w:val="24"/>
          <w:lang w:eastAsia="en-US"/>
        </w:rPr>
      </w:pPr>
      <w:r w:rsidRPr="00173597">
        <w:rPr>
          <w:sz w:val="24"/>
          <w:szCs w:val="24"/>
          <w:lang w:eastAsia="en-US"/>
        </w:rPr>
        <w:t xml:space="preserve">En América Latina y el Caribe en 2021 se espera una recuperación tímida y a distintas velocidades, gracias al repunte de la manufactura mundial en el segundo semestre de 2020, el crecimiento superó las expectativas en algunos países exportadores grandes de la región, como Argentina, Brasil y Perú, con lo cual el pronóstico para 2021 asciende a </w:t>
      </w:r>
      <w:r w:rsidR="000C7FAD">
        <w:rPr>
          <w:sz w:val="24"/>
          <w:szCs w:val="24"/>
          <w:lang w:eastAsia="en-US"/>
        </w:rPr>
        <w:t>5</w:t>
      </w:r>
      <w:r w:rsidRPr="00173597">
        <w:rPr>
          <w:sz w:val="24"/>
          <w:szCs w:val="24"/>
          <w:lang w:eastAsia="en-US"/>
        </w:rPr>
        <w:t>.</w:t>
      </w:r>
      <w:r w:rsidR="000C7FAD">
        <w:rPr>
          <w:sz w:val="24"/>
          <w:szCs w:val="24"/>
          <w:lang w:eastAsia="en-US"/>
        </w:rPr>
        <w:t>8</w:t>
      </w:r>
      <w:r w:rsidRPr="00173597">
        <w:rPr>
          <w:sz w:val="24"/>
          <w:szCs w:val="24"/>
          <w:lang w:eastAsia="en-US"/>
        </w:rPr>
        <w:t>%. No obstante, las perspectivas a más largo plazo siguen dependiendo de la trayectoria de la pandemia. Con algunas excepciones, como, por ejemplo, Chile, Costa Rica y México, en la mayor parte de los países no se han garantizado suficientes vacunas para toda la población. Además, las proyecciones para 2021 de las economías caribeñas dependientes del turismo han sido revisadas a la baja en 1.5 puntos porcentuales, a 2.4%.</w:t>
      </w:r>
    </w:p>
    <w:p w14:paraId="71F3C7DD" w14:textId="77777777" w:rsidR="00924BA7" w:rsidRDefault="00924BA7" w:rsidP="007038F0">
      <w:pPr>
        <w:pStyle w:val="Sinespaciado"/>
        <w:ind w:left="567" w:right="49"/>
        <w:jc w:val="both"/>
        <w:rPr>
          <w:rFonts w:ascii="Times New Roman" w:hAnsi="Times New Roman"/>
          <w:sz w:val="24"/>
          <w:szCs w:val="24"/>
          <w:lang w:val="es-ES_tradnl"/>
        </w:rPr>
      </w:pPr>
    </w:p>
    <w:p w14:paraId="3CD5DB75" w14:textId="5962439D" w:rsidR="007038F0" w:rsidRDefault="007038F0" w:rsidP="007038F0">
      <w:pPr>
        <w:pStyle w:val="Sinespaciado"/>
        <w:ind w:left="567" w:right="49"/>
        <w:jc w:val="both"/>
        <w:rPr>
          <w:rFonts w:ascii="Times New Roman" w:hAnsi="Times New Roman"/>
          <w:sz w:val="24"/>
          <w:szCs w:val="24"/>
          <w:lang w:val="es-ES_tradnl"/>
        </w:rPr>
      </w:pPr>
      <w:r w:rsidRPr="007038F0">
        <w:rPr>
          <w:rFonts w:ascii="Times New Roman" w:hAnsi="Times New Roman"/>
          <w:sz w:val="24"/>
          <w:szCs w:val="24"/>
          <w:lang w:val="es-ES_tradnl"/>
        </w:rPr>
        <w:t>Las proyecciones para 2022 ubican el crecimiento económico mundial entre 4.0% y 4.</w:t>
      </w:r>
      <w:r w:rsidR="000C7FAD">
        <w:rPr>
          <w:rFonts w:ascii="Times New Roman" w:hAnsi="Times New Roman"/>
          <w:sz w:val="24"/>
          <w:szCs w:val="24"/>
          <w:lang w:val="es-ES_tradnl"/>
        </w:rPr>
        <w:t>9</w:t>
      </w:r>
      <w:r w:rsidRPr="007038F0">
        <w:rPr>
          <w:rFonts w:ascii="Times New Roman" w:hAnsi="Times New Roman"/>
          <w:sz w:val="24"/>
          <w:szCs w:val="24"/>
          <w:lang w:val="es-ES_tradnl"/>
        </w:rPr>
        <w:t>%, la mayoría de los organismos internacionales coinciden en que será por efecto del respaldo fiscal adicional instituido por algunas economías grandes y la recuperación prevista para el segundo semestre del 2021 gracias a la vacunación. Más allá de 2022, el crecimiento mundial se moderaría a 3.3% en el mediano plazo, y solamente se empañarían las perspectivas por el daño persistente a la oferta potencial tanto en las economías avanzadas como en las de mercados emergentes y la desaceleración del crecimiento de la fuerza laboral debido al envejecimiento de la población. El FMI proyecta que los niveles del PIB se mantendrán muy por debajo de la trayectoria de la tendencia previa a la pandemia hasta 2024 inclusive en la mayoría de los países.</w:t>
      </w:r>
    </w:p>
    <w:p w14:paraId="7350E50D" w14:textId="77777777" w:rsidR="00246A61" w:rsidRPr="007038F0" w:rsidRDefault="00246A61" w:rsidP="00246A61">
      <w:pPr>
        <w:ind w:right="49"/>
        <w:jc w:val="both"/>
        <w:rPr>
          <w:b/>
          <w:bCs/>
          <w:color w:val="FF0000"/>
          <w:sz w:val="24"/>
          <w:szCs w:val="24"/>
          <w:lang w:val="es-MX"/>
        </w:rPr>
      </w:pPr>
    </w:p>
    <w:p w14:paraId="017023DB" w14:textId="77777777" w:rsidR="00246A61" w:rsidRPr="007038F0" w:rsidRDefault="00246A61" w:rsidP="00246A61">
      <w:pPr>
        <w:pStyle w:val="Ttulo1"/>
        <w:widowControl/>
        <w:numPr>
          <w:ilvl w:val="1"/>
          <w:numId w:val="5"/>
        </w:numPr>
        <w:ind w:left="993" w:right="49"/>
        <w:jc w:val="left"/>
        <w:rPr>
          <w:b w:val="0"/>
          <w:color w:val="1F3864" w:themeColor="accent1" w:themeShade="80"/>
          <w:sz w:val="24"/>
          <w:szCs w:val="24"/>
        </w:rPr>
      </w:pPr>
      <w:bookmarkStart w:id="5" w:name="_Toc83302155"/>
      <w:r w:rsidRPr="007038F0">
        <w:rPr>
          <w:color w:val="1F3864" w:themeColor="accent1" w:themeShade="80"/>
          <w:sz w:val="24"/>
          <w:szCs w:val="24"/>
        </w:rPr>
        <w:t>Volatilidad en los precios de las materias primas</w:t>
      </w:r>
      <w:bookmarkEnd w:id="5"/>
      <w:r w:rsidRPr="007038F0">
        <w:rPr>
          <w:color w:val="1F3864" w:themeColor="accent1" w:themeShade="80"/>
          <w:sz w:val="24"/>
          <w:szCs w:val="24"/>
        </w:rPr>
        <w:t xml:space="preserve"> </w:t>
      </w:r>
    </w:p>
    <w:p w14:paraId="0B06A646" w14:textId="77777777" w:rsidR="00491FAA" w:rsidRDefault="00491FAA" w:rsidP="00924BA7">
      <w:pPr>
        <w:ind w:right="49"/>
        <w:jc w:val="both"/>
        <w:rPr>
          <w:sz w:val="24"/>
          <w:szCs w:val="24"/>
        </w:rPr>
      </w:pPr>
    </w:p>
    <w:p w14:paraId="19259370" w14:textId="77777777" w:rsidR="00491FAA" w:rsidRDefault="00491FAA" w:rsidP="00491FAA">
      <w:pPr>
        <w:ind w:left="567" w:right="49"/>
        <w:jc w:val="both"/>
        <w:rPr>
          <w:sz w:val="24"/>
          <w:szCs w:val="24"/>
        </w:rPr>
      </w:pPr>
      <w:r>
        <w:rPr>
          <w:sz w:val="24"/>
          <w:szCs w:val="24"/>
        </w:rPr>
        <w:t>Al</w:t>
      </w:r>
      <w:r w:rsidRPr="00C3300D">
        <w:rPr>
          <w:sz w:val="24"/>
          <w:szCs w:val="24"/>
        </w:rPr>
        <w:t xml:space="preserve"> primer trimestre de 2021 parece positivo para los precios de las materias primas, ya que continúan su recuperación, impulsados por la recuperación económica mundial y la mejora de las perspectivas de crecimiento, según el Banco Mundial. Sin embargo, esto depende en gran medida de los avances en la contención de la pandemia del COVID-19, así como de las medidas de apoyo político en las economías avanzadas y de las decisiones de producción en los principales productores de materias primas.</w:t>
      </w:r>
    </w:p>
    <w:p w14:paraId="5195F884" w14:textId="77777777" w:rsidR="00246A61" w:rsidRPr="00491FAA" w:rsidRDefault="00246A61" w:rsidP="00246A61">
      <w:pPr>
        <w:ind w:left="567" w:right="49"/>
        <w:jc w:val="both"/>
        <w:rPr>
          <w:color w:val="FF0000"/>
          <w:sz w:val="24"/>
          <w:szCs w:val="24"/>
        </w:rPr>
      </w:pPr>
    </w:p>
    <w:p w14:paraId="016BCF13" w14:textId="77777777" w:rsidR="00491FAA" w:rsidRPr="00491FAA" w:rsidRDefault="00814706" w:rsidP="00491FAA">
      <w:pPr>
        <w:pStyle w:val="Epgrafe"/>
        <w:keepNext/>
        <w:rPr>
          <w:bCs/>
          <w:color w:val="auto"/>
          <w:sz w:val="24"/>
        </w:rPr>
      </w:pPr>
      <w:r>
        <w:rPr>
          <w:bCs/>
          <w:color w:val="auto"/>
          <w:sz w:val="24"/>
        </w:rPr>
        <w:t xml:space="preserve">Gráfica 3.  </w:t>
      </w:r>
      <w:r w:rsidR="00491FAA" w:rsidRPr="00491FAA">
        <w:rPr>
          <w:bCs/>
          <w:color w:val="auto"/>
          <w:sz w:val="24"/>
        </w:rPr>
        <w:t>Comportamiento de los índices de precios de materias primas</w:t>
      </w:r>
    </w:p>
    <w:p w14:paraId="1FF3CDB1" w14:textId="77777777" w:rsidR="00491FAA" w:rsidRDefault="00491FAA" w:rsidP="00491FAA">
      <w:pPr>
        <w:ind w:left="567" w:right="49"/>
        <w:jc w:val="both"/>
        <w:rPr>
          <w:color w:val="FF0000"/>
          <w:sz w:val="24"/>
          <w:szCs w:val="24"/>
        </w:rPr>
      </w:pPr>
      <w:r>
        <w:rPr>
          <w:noProof/>
          <w:lang w:val="es-GT" w:eastAsia="es-GT"/>
        </w:rPr>
        <w:drawing>
          <wp:anchor distT="0" distB="0" distL="114300" distR="114300" simplePos="0" relativeHeight="251701248" behindDoc="0" locked="0" layoutInCell="1" allowOverlap="1" wp14:anchorId="7D9A0370" wp14:editId="6007BC84">
            <wp:simplePos x="0" y="0"/>
            <wp:positionH relativeFrom="column">
              <wp:posOffset>782320</wp:posOffset>
            </wp:positionH>
            <wp:positionV relativeFrom="paragraph">
              <wp:posOffset>43815</wp:posOffset>
            </wp:positionV>
            <wp:extent cx="5001370" cy="1800000"/>
            <wp:effectExtent l="0" t="0" r="8890" b="0"/>
            <wp:wrapNone/>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726C535" w14:textId="77777777" w:rsidR="00491FAA" w:rsidRPr="001A24AB" w:rsidRDefault="00491FAA" w:rsidP="00491FAA">
      <w:pPr>
        <w:ind w:right="49"/>
        <w:jc w:val="both"/>
        <w:rPr>
          <w:color w:val="FF0000"/>
          <w:sz w:val="24"/>
          <w:szCs w:val="24"/>
        </w:rPr>
      </w:pPr>
      <w:r>
        <w:rPr>
          <w:noProof/>
          <w:color w:val="FF0000"/>
          <w:sz w:val="24"/>
          <w:szCs w:val="24"/>
          <w:lang w:val="es-GT" w:eastAsia="es-GT"/>
        </w:rPr>
        <mc:AlternateContent>
          <mc:Choice Requires="wps">
            <w:drawing>
              <wp:anchor distT="0" distB="0" distL="114300" distR="114300" simplePos="0" relativeHeight="251707392" behindDoc="0" locked="0" layoutInCell="1" allowOverlap="1" wp14:anchorId="6E66EFEC" wp14:editId="23D7FE6E">
                <wp:simplePos x="0" y="0"/>
                <wp:positionH relativeFrom="column">
                  <wp:posOffset>5152263</wp:posOffset>
                </wp:positionH>
                <wp:positionV relativeFrom="paragraph">
                  <wp:posOffset>16561</wp:posOffset>
                </wp:positionV>
                <wp:extent cx="0" cy="1719072"/>
                <wp:effectExtent l="0" t="0" r="19050" b="14605"/>
                <wp:wrapNone/>
                <wp:docPr id="226" name="Conector recto 226"/>
                <wp:cNvGraphicFramePr/>
                <a:graphic xmlns:a="http://schemas.openxmlformats.org/drawingml/2006/main">
                  <a:graphicData uri="http://schemas.microsoft.com/office/word/2010/wordprocessingShape">
                    <wps:wsp>
                      <wps:cNvCnPr/>
                      <wps:spPr>
                        <a:xfrm flipV="1">
                          <a:off x="0" y="0"/>
                          <a:ext cx="0" cy="1719072"/>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0D3B029" id="Conector recto 226"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05.7pt,1.3pt" to="405.7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" strokecolor="#aeaaaa [2414]"/>
            </w:pict>
          </mc:Fallback>
        </mc:AlternateContent>
      </w:r>
      <w:r>
        <w:rPr>
          <w:noProof/>
          <w:color w:val="FF0000"/>
          <w:sz w:val="24"/>
          <w:szCs w:val="24"/>
          <w:lang w:val="es-GT" w:eastAsia="es-GT"/>
        </w:rPr>
        <mc:AlternateContent>
          <mc:Choice Requires="wps">
            <w:drawing>
              <wp:anchor distT="0" distB="0" distL="114300" distR="114300" simplePos="0" relativeHeight="251706368" behindDoc="0" locked="0" layoutInCell="1" allowOverlap="1" wp14:anchorId="25B5F174" wp14:editId="304879B5">
                <wp:simplePos x="0" y="0"/>
                <wp:positionH relativeFrom="column">
                  <wp:posOffset>4523689</wp:posOffset>
                </wp:positionH>
                <wp:positionV relativeFrom="paragraph">
                  <wp:posOffset>16561</wp:posOffset>
                </wp:positionV>
                <wp:extent cx="0" cy="1719072"/>
                <wp:effectExtent l="0" t="0" r="19050" b="14605"/>
                <wp:wrapNone/>
                <wp:docPr id="227" name="Conector recto 227"/>
                <wp:cNvGraphicFramePr/>
                <a:graphic xmlns:a="http://schemas.openxmlformats.org/drawingml/2006/main">
                  <a:graphicData uri="http://schemas.microsoft.com/office/word/2010/wordprocessingShape">
                    <wps:wsp>
                      <wps:cNvCnPr/>
                      <wps:spPr>
                        <a:xfrm flipV="1">
                          <a:off x="0" y="0"/>
                          <a:ext cx="0" cy="1719072"/>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BFE5824" id="Conector recto 227"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356.2pt,1.3pt" to="356.2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" strokecolor="#aeaaaa [2414]"/>
            </w:pict>
          </mc:Fallback>
        </mc:AlternateContent>
      </w:r>
      <w:r>
        <w:rPr>
          <w:noProof/>
          <w:color w:val="FF0000"/>
          <w:sz w:val="24"/>
          <w:szCs w:val="24"/>
          <w:lang w:val="es-GT" w:eastAsia="es-GT"/>
        </w:rPr>
        <mc:AlternateContent>
          <mc:Choice Requires="wps">
            <w:drawing>
              <wp:anchor distT="0" distB="0" distL="114300" distR="114300" simplePos="0" relativeHeight="251705344" behindDoc="0" locked="0" layoutInCell="1" allowOverlap="1" wp14:anchorId="2DBD2D9E" wp14:editId="6771F3FC">
                <wp:simplePos x="0" y="0"/>
                <wp:positionH relativeFrom="column">
                  <wp:posOffset>3850233</wp:posOffset>
                </wp:positionH>
                <wp:positionV relativeFrom="paragraph">
                  <wp:posOffset>16561</wp:posOffset>
                </wp:positionV>
                <wp:extent cx="0" cy="1719072"/>
                <wp:effectExtent l="0" t="0" r="19050" b="14605"/>
                <wp:wrapNone/>
                <wp:docPr id="75" name="Conector recto 75"/>
                <wp:cNvGraphicFramePr/>
                <a:graphic xmlns:a="http://schemas.openxmlformats.org/drawingml/2006/main">
                  <a:graphicData uri="http://schemas.microsoft.com/office/word/2010/wordprocessingShape">
                    <wps:wsp>
                      <wps:cNvCnPr/>
                      <wps:spPr>
                        <a:xfrm flipV="1">
                          <a:off x="0" y="0"/>
                          <a:ext cx="0" cy="1719072"/>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0375AE33" id="Conector recto 75"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03.15pt,1.3pt" to="303.15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" strokecolor="#aeaaaa [2414]"/>
            </w:pict>
          </mc:Fallback>
        </mc:AlternateContent>
      </w:r>
      <w:r>
        <w:rPr>
          <w:noProof/>
          <w:color w:val="FF0000"/>
          <w:sz w:val="24"/>
          <w:szCs w:val="24"/>
          <w:lang w:val="es-GT" w:eastAsia="es-GT"/>
        </w:rPr>
        <mc:AlternateContent>
          <mc:Choice Requires="wps">
            <w:drawing>
              <wp:anchor distT="0" distB="0" distL="114300" distR="114300" simplePos="0" relativeHeight="251704320" behindDoc="0" locked="0" layoutInCell="1" allowOverlap="1" wp14:anchorId="098B1CD2" wp14:editId="19AA0595">
                <wp:simplePos x="0" y="0"/>
                <wp:positionH relativeFrom="column">
                  <wp:posOffset>3199358</wp:posOffset>
                </wp:positionH>
                <wp:positionV relativeFrom="paragraph">
                  <wp:posOffset>16561</wp:posOffset>
                </wp:positionV>
                <wp:extent cx="0" cy="1719072"/>
                <wp:effectExtent l="0" t="0" r="19050" b="14605"/>
                <wp:wrapNone/>
                <wp:docPr id="228" name="Conector recto 228"/>
                <wp:cNvGraphicFramePr/>
                <a:graphic xmlns:a="http://schemas.openxmlformats.org/drawingml/2006/main">
                  <a:graphicData uri="http://schemas.microsoft.com/office/word/2010/wordprocessingShape">
                    <wps:wsp>
                      <wps:cNvCnPr/>
                      <wps:spPr>
                        <a:xfrm flipV="1">
                          <a:off x="0" y="0"/>
                          <a:ext cx="0" cy="1719072"/>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7E4DFB95" id="Conector recto 228"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51.9pt,1.3pt" to="251.9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" strokecolor="#aeaaaa [2414]"/>
            </w:pict>
          </mc:Fallback>
        </mc:AlternateContent>
      </w:r>
      <w:r>
        <w:rPr>
          <w:noProof/>
          <w:color w:val="FF0000"/>
          <w:sz w:val="24"/>
          <w:szCs w:val="24"/>
          <w:lang w:val="es-GT" w:eastAsia="es-GT"/>
        </w:rPr>
        <mc:AlternateContent>
          <mc:Choice Requires="wps">
            <w:drawing>
              <wp:anchor distT="0" distB="0" distL="114300" distR="114300" simplePos="0" relativeHeight="251703296" behindDoc="0" locked="0" layoutInCell="1" allowOverlap="1" wp14:anchorId="1D4659D8" wp14:editId="2AA4E259">
                <wp:simplePos x="0" y="0"/>
                <wp:positionH relativeFrom="column">
                  <wp:posOffset>2548154</wp:posOffset>
                </wp:positionH>
                <wp:positionV relativeFrom="paragraph">
                  <wp:posOffset>16561</wp:posOffset>
                </wp:positionV>
                <wp:extent cx="0" cy="1719072"/>
                <wp:effectExtent l="0" t="0" r="19050" b="14605"/>
                <wp:wrapNone/>
                <wp:docPr id="229" name="Conector recto 229"/>
                <wp:cNvGraphicFramePr/>
                <a:graphic xmlns:a="http://schemas.openxmlformats.org/drawingml/2006/main">
                  <a:graphicData uri="http://schemas.microsoft.com/office/word/2010/wordprocessingShape">
                    <wps:wsp>
                      <wps:cNvCnPr/>
                      <wps:spPr>
                        <a:xfrm flipV="1">
                          <a:off x="0" y="0"/>
                          <a:ext cx="0" cy="1719072"/>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830895E" id="Conector recto 229"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200.65pt,1.3pt" to="200.65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" strokecolor="#aeaaaa [2414]"/>
            </w:pict>
          </mc:Fallback>
        </mc:AlternateContent>
      </w:r>
      <w:r>
        <w:rPr>
          <w:noProof/>
          <w:color w:val="FF0000"/>
          <w:sz w:val="24"/>
          <w:szCs w:val="24"/>
          <w:lang w:val="es-GT" w:eastAsia="es-GT"/>
        </w:rPr>
        <mc:AlternateContent>
          <mc:Choice Requires="wps">
            <w:drawing>
              <wp:anchor distT="0" distB="0" distL="114300" distR="114300" simplePos="0" relativeHeight="251702272" behindDoc="0" locked="0" layoutInCell="1" allowOverlap="1" wp14:anchorId="016B3C89" wp14:editId="128C332C">
                <wp:simplePos x="0" y="0"/>
                <wp:positionH relativeFrom="column">
                  <wp:posOffset>1906067</wp:posOffset>
                </wp:positionH>
                <wp:positionV relativeFrom="paragraph">
                  <wp:posOffset>17831</wp:posOffset>
                </wp:positionV>
                <wp:extent cx="0" cy="1719072"/>
                <wp:effectExtent l="0" t="0" r="19050" b="14605"/>
                <wp:wrapNone/>
                <wp:docPr id="72" name="Conector recto 72"/>
                <wp:cNvGraphicFramePr/>
                <a:graphic xmlns:a="http://schemas.openxmlformats.org/drawingml/2006/main">
                  <a:graphicData uri="http://schemas.microsoft.com/office/word/2010/wordprocessingShape">
                    <wps:wsp>
                      <wps:cNvCnPr/>
                      <wps:spPr>
                        <a:xfrm flipV="1">
                          <a:off x="0" y="0"/>
                          <a:ext cx="0" cy="1719072"/>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78A5069" id="Conector recto 72"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50.1pt,1.4pt" to="150.1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" strokecolor="#aeaaaa [2414]"/>
            </w:pict>
          </mc:Fallback>
        </mc:AlternateContent>
      </w:r>
    </w:p>
    <w:p w14:paraId="556879A7" w14:textId="77777777" w:rsidR="00491FAA" w:rsidRDefault="00491FAA" w:rsidP="00491FAA">
      <w:pPr>
        <w:ind w:left="567" w:right="49"/>
        <w:jc w:val="both"/>
        <w:rPr>
          <w:color w:val="FF0000"/>
          <w:sz w:val="24"/>
          <w:szCs w:val="24"/>
          <w:lang w:val="es-MX"/>
        </w:rPr>
      </w:pPr>
    </w:p>
    <w:p w14:paraId="240FD356" w14:textId="77777777" w:rsidR="00491FAA" w:rsidRDefault="00491FAA" w:rsidP="00491FAA">
      <w:pPr>
        <w:ind w:left="567" w:right="49"/>
        <w:jc w:val="both"/>
        <w:rPr>
          <w:color w:val="FF0000"/>
          <w:sz w:val="24"/>
          <w:szCs w:val="24"/>
          <w:lang w:val="es-MX"/>
        </w:rPr>
      </w:pPr>
    </w:p>
    <w:p w14:paraId="0E2B51A7" w14:textId="77777777" w:rsidR="00491FAA" w:rsidRDefault="00491FAA" w:rsidP="00491FAA">
      <w:pPr>
        <w:ind w:left="567" w:right="49"/>
        <w:jc w:val="both"/>
        <w:rPr>
          <w:color w:val="FF0000"/>
          <w:sz w:val="24"/>
          <w:szCs w:val="24"/>
          <w:lang w:val="es-MX"/>
        </w:rPr>
      </w:pPr>
    </w:p>
    <w:p w14:paraId="2EE82B1E" w14:textId="77777777" w:rsidR="00491FAA" w:rsidRDefault="00491FAA" w:rsidP="00491FAA">
      <w:pPr>
        <w:ind w:left="567" w:right="49"/>
        <w:jc w:val="both"/>
        <w:rPr>
          <w:color w:val="FF0000"/>
          <w:sz w:val="24"/>
          <w:szCs w:val="24"/>
          <w:lang w:val="es-MX"/>
        </w:rPr>
      </w:pPr>
    </w:p>
    <w:p w14:paraId="1BCAE143" w14:textId="77777777" w:rsidR="00491FAA" w:rsidRDefault="00491FAA" w:rsidP="00491FAA">
      <w:pPr>
        <w:ind w:left="567" w:right="49"/>
        <w:jc w:val="both"/>
        <w:rPr>
          <w:color w:val="FF0000"/>
          <w:sz w:val="24"/>
          <w:szCs w:val="24"/>
          <w:lang w:val="es-MX"/>
        </w:rPr>
      </w:pPr>
    </w:p>
    <w:p w14:paraId="51308621" w14:textId="77777777" w:rsidR="00491FAA" w:rsidRDefault="00491FAA" w:rsidP="00491FAA">
      <w:pPr>
        <w:ind w:left="567" w:right="49"/>
        <w:jc w:val="both"/>
        <w:rPr>
          <w:color w:val="FF0000"/>
          <w:sz w:val="24"/>
          <w:szCs w:val="24"/>
          <w:lang w:val="es-MX"/>
        </w:rPr>
      </w:pPr>
    </w:p>
    <w:p w14:paraId="4D968212" w14:textId="77777777" w:rsidR="00491FAA" w:rsidRDefault="00491FAA" w:rsidP="00491FAA">
      <w:pPr>
        <w:ind w:left="567" w:right="49"/>
        <w:jc w:val="both"/>
        <w:rPr>
          <w:color w:val="FF0000"/>
          <w:sz w:val="24"/>
          <w:szCs w:val="24"/>
          <w:lang w:val="es-MX"/>
        </w:rPr>
      </w:pPr>
    </w:p>
    <w:p w14:paraId="2208BD77" w14:textId="77777777" w:rsidR="00491FAA" w:rsidRDefault="00491FAA" w:rsidP="00491FAA">
      <w:pPr>
        <w:ind w:left="567" w:right="49"/>
        <w:jc w:val="both"/>
        <w:rPr>
          <w:color w:val="FF0000"/>
          <w:sz w:val="24"/>
          <w:szCs w:val="24"/>
          <w:lang w:val="es-MX"/>
        </w:rPr>
      </w:pPr>
    </w:p>
    <w:p w14:paraId="712B2DFA" w14:textId="77777777" w:rsidR="00491FAA" w:rsidRDefault="00491FAA" w:rsidP="00924BA7">
      <w:pPr>
        <w:ind w:right="49"/>
        <w:jc w:val="both"/>
        <w:rPr>
          <w:sz w:val="16"/>
          <w:szCs w:val="24"/>
          <w:lang w:val="es-MX"/>
        </w:rPr>
      </w:pPr>
    </w:p>
    <w:p w14:paraId="208FBEF1" w14:textId="77777777" w:rsidR="00491FAA" w:rsidRDefault="00491FAA" w:rsidP="00491FAA">
      <w:pPr>
        <w:ind w:left="852" w:right="49" w:firstLine="564"/>
        <w:jc w:val="both"/>
        <w:rPr>
          <w:sz w:val="16"/>
          <w:szCs w:val="24"/>
          <w:lang w:val="es-MX"/>
        </w:rPr>
      </w:pPr>
      <w:r w:rsidRPr="006D14D5">
        <w:rPr>
          <w:sz w:val="16"/>
          <w:szCs w:val="24"/>
          <w:lang w:val="es-MX"/>
        </w:rPr>
        <w:t>Fuente: Banco Mundial.</w:t>
      </w:r>
    </w:p>
    <w:p w14:paraId="459CE56A" w14:textId="77777777" w:rsidR="00491FAA" w:rsidRDefault="00491FAA" w:rsidP="00491FAA">
      <w:pPr>
        <w:ind w:left="567" w:right="49"/>
        <w:jc w:val="both"/>
        <w:rPr>
          <w:sz w:val="24"/>
          <w:szCs w:val="24"/>
        </w:rPr>
      </w:pPr>
    </w:p>
    <w:p w14:paraId="2F19E063" w14:textId="77777777" w:rsidR="00491FAA" w:rsidRPr="00381F8B" w:rsidRDefault="00491FAA" w:rsidP="00491FAA">
      <w:pPr>
        <w:ind w:left="567" w:right="49"/>
        <w:jc w:val="both"/>
        <w:rPr>
          <w:sz w:val="24"/>
          <w:szCs w:val="24"/>
        </w:rPr>
      </w:pPr>
      <w:r w:rsidRPr="00381F8B">
        <w:rPr>
          <w:sz w:val="24"/>
          <w:szCs w:val="24"/>
        </w:rPr>
        <w:t xml:space="preserve">Para el cierre del año 2021 el Banco Mundial pronosticó en abril que el índice de precios de los commodities de energía aumentaría en 36.1% principalmente por la recuperación de los precios en los mercados de carbón, gas natural y del barril de petróleo. Posteriormente, el crecimiento de los commodities de energía se encontraría con un crecimiento de 6.1% para 2022 y se mantendría alrededor del 1.4% de 2023 a 2025. En el caso particular del barril de petróleo WTI los pronósticos de corto plazo en julio de la Administración de Información de Energía (EIA por </w:t>
      </w:r>
      <w:r w:rsidR="00E837FB" w:rsidRPr="00381F8B">
        <w:rPr>
          <w:sz w:val="24"/>
          <w:szCs w:val="24"/>
        </w:rPr>
        <w:t>sus siglas</w:t>
      </w:r>
      <w:r w:rsidRPr="00381F8B">
        <w:rPr>
          <w:sz w:val="24"/>
          <w:szCs w:val="24"/>
        </w:rPr>
        <w:t xml:space="preserve"> en inglés) prevé que el precio promedio del año se encuentre alrededor de USD$65.9 con un crecimiento de 68.1% con respecto al 2020 y que para el 2022 el precio se encuentre en USD$62.97.</w:t>
      </w:r>
    </w:p>
    <w:p w14:paraId="0EC1F761" w14:textId="77777777" w:rsidR="00491FAA" w:rsidRPr="00381F8B" w:rsidRDefault="00491FAA" w:rsidP="00491FAA">
      <w:pPr>
        <w:ind w:left="567" w:right="49"/>
        <w:jc w:val="both"/>
        <w:rPr>
          <w:sz w:val="24"/>
          <w:szCs w:val="24"/>
        </w:rPr>
      </w:pPr>
    </w:p>
    <w:p w14:paraId="423C0DAB" w14:textId="77777777" w:rsidR="00491FAA" w:rsidRDefault="00491FAA" w:rsidP="00491FAA">
      <w:pPr>
        <w:ind w:left="567" w:right="49"/>
        <w:jc w:val="both"/>
        <w:rPr>
          <w:sz w:val="24"/>
          <w:szCs w:val="24"/>
        </w:rPr>
      </w:pPr>
      <w:r w:rsidRPr="00381F8B">
        <w:rPr>
          <w:sz w:val="24"/>
          <w:szCs w:val="24"/>
        </w:rPr>
        <w:t>En lo que corresponde con el índice de precios de commodities de agricultura el Banco Mundial espera que este aumente 13.5% en 2021 y posteriormente que su crecimiento se encuentre en 1.0% de 2022-2026. Asimismo, se pronostica que los metales y minerales tengan una recuperación de 27.3% en 2021, después una disminución de 9.9% en 2022 cuando la demanda de China se estabilice y surja nueva oferta, para 2025 se espera que la tasa de crecimiento se encuentre en 1.0%. Los metales preciosos tendrán un crecimiento aproximado de 0.1% en 2021 dado que estos aumentaron 26.6% en 2020 por ser activos de reserva de valor, en 2022 se proyecta que estos disminuyan 6.8% al recuperarse la confianza de los inversionistas.</w:t>
      </w:r>
    </w:p>
    <w:p w14:paraId="14E53343" w14:textId="77777777" w:rsidR="00246A61" w:rsidRPr="00491FAA" w:rsidRDefault="00246A61" w:rsidP="00246A61">
      <w:pPr>
        <w:ind w:left="567" w:right="49"/>
        <w:jc w:val="both"/>
        <w:rPr>
          <w:color w:val="FF0000"/>
          <w:sz w:val="24"/>
          <w:szCs w:val="24"/>
        </w:rPr>
      </w:pPr>
    </w:p>
    <w:p w14:paraId="37EC5886" w14:textId="77777777" w:rsidR="00246A61" w:rsidRPr="00C56714" w:rsidRDefault="00246A61" w:rsidP="00491FAA">
      <w:pPr>
        <w:pStyle w:val="Ttulo1"/>
        <w:widowControl/>
        <w:numPr>
          <w:ilvl w:val="1"/>
          <w:numId w:val="5"/>
        </w:numPr>
        <w:ind w:left="993" w:right="49"/>
        <w:jc w:val="left"/>
        <w:rPr>
          <w:b w:val="0"/>
          <w:color w:val="1F3864" w:themeColor="accent1" w:themeShade="80"/>
          <w:sz w:val="24"/>
          <w:szCs w:val="24"/>
        </w:rPr>
      </w:pPr>
      <w:bookmarkStart w:id="6" w:name="_Toc83302156"/>
      <w:r w:rsidRPr="00C56714">
        <w:rPr>
          <w:color w:val="1F3864" w:themeColor="accent1" w:themeShade="80"/>
          <w:sz w:val="24"/>
          <w:szCs w:val="24"/>
        </w:rPr>
        <w:t>Alta volatilidad en los mercados financieros</w:t>
      </w:r>
      <w:bookmarkEnd w:id="6"/>
    </w:p>
    <w:p w14:paraId="010CD597" w14:textId="77777777" w:rsidR="00246A61" w:rsidRPr="00DE1D8D" w:rsidRDefault="00246A61" w:rsidP="00246A61">
      <w:pPr>
        <w:ind w:left="567" w:right="49"/>
        <w:jc w:val="both"/>
        <w:rPr>
          <w:b/>
          <w:bCs/>
          <w:color w:val="FF0000"/>
          <w:sz w:val="24"/>
          <w:szCs w:val="24"/>
        </w:rPr>
      </w:pPr>
    </w:p>
    <w:p w14:paraId="646AAB37" w14:textId="77777777" w:rsidR="00246A61" w:rsidRPr="00DE1D8D" w:rsidRDefault="00C56714" w:rsidP="00246A61">
      <w:pPr>
        <w:ind w:left="567" w:right="49"/>
        <w:jc w:val="both"/>
        <w:rPr>
          <w:color w:val="FF0000"/>
          <w:sz w:val="24"/>
          <w:szCs w:val="24"/>
        </w:rPr>
      </w:pPr>
      <w:r w:rsidRPr="00B1260C">
        <w:rPr>
          <w:sz w:val="24"/>
          <w:szCs w:val="24"/>
          <w:lang w:val="es-MX"/>
        </w:rPr>
        <w:t xml:space="preserve">El sentimiento del mercado financiero se ha deteriorado desde el inicio de la pandemia, las fluctuaciones de los precios, tasas de rentabilidad y la tasa de interés de los activos financieros continúan hasta el primer trimestre de 2021.  El índice VIX que mide la volatilidad del </w:t>
      </w:r>
      <w:r w:rsidRPr="00B1260C">
        <w:rPr>
          <w:sz w:val="24"/>
          <w:szCs w:val="24"/>
        </w:rPr>
        <w:t xml:space="preserve">índice de Standard &amp; Poor´s 500 (S&amp;P 500) y permite a los inversionistas hacer un seguimiento del nivel de volatilidad del mercado general de acciones de Estados Unidos, </w:t>
      </w:r>
      <w:r w:rsidRPr="00B1260C">
        <w:rPr>
          <w:sz w:val="24"/>
          <w:szCs w:val="24"/>
          <w:lang w:val="es-MX"/>
        </w:rPr>
        <w:t xml:space="preserve">se volvió casi tan elevado como la Gran Recesión </w:t>
      </w:r>
      <w:r>
        <w:rPr>
          <w:sz w:val="24"/>
          <w:szCs w:val="24"/>
          <w:lang w:val="es-MX"/>
        </w:rPr>
        <w:t xml:space="preserve">del 2008 </w:t>
      </w:r>
      <w:r w:rsidRPr="00B1260C">
        <w:rPr>
          <w:sz w:val="24"/>
          <w:szCs w:val="24"/>
          <w:lang w:val="es-MX"/>
        </w:rPr>
        <w:t>con el inicio del COVID</w:t>
      </w:r>
      <w:r w:rsidR="002F14DE">
        <w:rPr>
          <w:sz w:val="24"/>
          <w:szCs w:val="24"/>
          <w:lang w:val="es-MX"/>
        </w:rPr>
        <w:t>-19</w:t>
      </w:r>
      <w:r w:rsidRPr="00B1260C">
        <w:rPr>
          <w:sz w:val="24"/>
          <w:szCs w:val="24"/>
          <w:lang w:val="es-MX"/>
        </w:rPr>
        <w:t>; el VIX ahora está rebotando y manteniéndose en el nivel crítico que a menudo conduce a una recesión o al menos varios años de amplia volatilidad del mercado.</w:t>
      </w:r>
    </w:p>
    <w:p w14:paraId="6B374102" w14:textId="77777777" w:rsidR="00C56714" w:rsidRDefault="00C56714" w:rsidP="00246A61">
      <w:pPr>
        <w:ind w:left="567" w:right="49"/>
        <w:jc w:val="both"/>
        <w:rPr>
          <w:color w:val="FF0000"/>
          <w:sz w:val="24"/>
          <w:szCs w:val="24"/>
          <w:lang w:val="es-MX"/>
        </w:rPr>
      </w:pPr>
    </w:p>
    <w:p w14:paraId="41C5E1D6" w14:textId="77777777" w:rsidR="00C56714" w:rsidRPr="0094562F" w:rsidRDefault="00814706" w:rsidP="00C56714">
      <w:pPr>
        <w:ind w:left="567" w:right="49"/>
        <w:jc w:val="center"/>
        <w:rPr>
          <w:b/>
          <w:sz w:val="24"/>
          <w:szCs w:val="24"/>
          <w:lang w:val="es-MX"/>
        </w:rPr>
      </w:pPr>
      <w:r>
        <w:rPr>
          <w:b/>
          <w:sz w:val="24"/>
          <w:szCs w:val="24"/>
          <w:lang w:val="es-MX"/>
        </w:rPr>
        <w:t xml:space="preserve">Gráfica 4.  </w:t>
      </w:r>
      <w:r w:rsidR="00C56714" w:rsidRPr="0094562F">
        <w:rPr>
          <w:b/>
          <w:sz w:val="24"/>
          <w:szCs w:val="24"/>
          <w:lang w:val="es-MX"/>
        </w:rPr>
        <w:t>Índice VIX 2005 - 2021</w:t>
      </w:r>
    </w:p>
    <w:p w14:paraId="5F75AF2C" w14:textId="77777777" w:rsidR="00246A61" w:rsidRDefault="00C56714" w:rsidP="00246A61">
      <w:pPr>
        <w:ind w:left="567" w:right="49"/>
        <w:jc w:val="both"/>
        <w:rPr>
          <w:color w:val="FF0000"/>
          <w:sz w:val="24"/>
          <w:szCs w:val="24"/>
          <w:lang w:val="es-MX"/>
        </w:rPr>
      </w:pPr>
      <w:r>
        <w:rPr>
          <w:noProof/>
          <w:lang w:val="es-GT" w:eastAsia="es-GT"/>
        </w:rPr>
        <w:drawing>
          <wp:anchor distT="0" distB="0" distL="114300" distR="114300" simplePos="0" relativeHeight="251709440" behindDoc="0" locked="0" layoutInCell="1" allowOverlap="1" wp14:anchorId="6ECDEB90" wp14:editId="1F76A1BE">
            <wp:simplePos x="0" y="0"/>
            <wp:positionH relativeFrom="column">
              <wp:posOffset>880110</wp:posOffset>
            </wp:positionH>
            <wp:positionV relativeFrom="paragraph">
              <wp:posOffset>41275</wp:posOffset>
            </wp:positionV>
            <wp:extent cx="5184140" cy="1819275"/>
            <wp:effectExtent l="0" t="0" r="0" b="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40CE226C" w14:textId="77777777" w:rsidR="00C56714" w:rsidRDefault="00C56714" w:rsidP="00246A61">
      <w:pPr>
        <w:ind w:left="567" w:right="49"/>
        <w:jc w:val="both"/>
        <w:rPr>
          <w:color w:val="FF0000"/>
          <w:sz w:val="24"/>
          <w:szCs w:val="24"/>
          <w:lang w:val="es-MX"/>
        </w:rPr>
      </w:pPr>
    </w:p>
    <w:p w14:paraId="3F0B513E" w14:textId="77777777" w:rsidR="00C56714" w:rsidRDefault="00C56714" w:rsidP="00246A61">
      <w:pPr>
        <w:ind w:left="567" w:right="49"/>
        <w:jc w:val="both"/>
        <w:rPr>
          <w:color w:val="FF0000"/>
          <w:sz w:val="24"/>
          <w:szCs w:val="24"/>
          <w:lang w:val="es-MX"/>
        </w:rPr>
      </w:pPr>
    </w:p>
    <w:p w14:paraId="3038805B" w14:textId="77777777" w:rsidR="00C56714" w:rsidRDefault="00C56714" w:rsidP="00246A61">
      <w:pPr>
        <w:ind w:left="567" w:right="49"/>
        <w:jc w:val="both"/>
        <w:rPr>
          <w:color w:val="FF0000"/>
          <w:sz w:val="24"/>
          <w:szCs w:val="24"/>
          <w:lang w:val="es-MX"/>
        </w:rPr>
      </w:pPr>
    </w:p>
    <w:p w14:paraId="02A0EBD1" w14:textId="77777777" w:rsidR="00C56714" w:rsidRDefault="00C56714" w:rsidP="00246A61">
      <w:pPr>
        <w:ind w:left="567" w:right="49"/>
        <w:jc w:val="both"/>
        <w:rPr>
          <w:color w:val="FF0000"/>
          <w:sz w:val="24"/>
          <w:szCs w:val="24"/>
          <w:lang w:val="es-MX"/>
        </w:rPr>
      </w:pPr>
    </w:p>
    <w:p w14:paraId="728372B6" w14:textId="77777777" w:rsidR="00C56714" w:rsidRDefault="00C56714" w:rsidP="00246A61">
      <w:pPr>
        <w:ind w:left="567" w:right="49"/>
        <w:jc w:val="both"/>
        <w:rPr>
          <w:color w:val="FF0000"/>
          <w:sz w:val="24"/>
          <w:szCs w:val="24"/>
          <w:lang w:val="es-MX"/>
        </w:rPr>
      </w:pPr>
    </w:p>
    <w:p w14:paraId="37D49C64" w14:textId="77777777" w:rsidR="00C56714" w:rsidRDefault="00C56714" w:rsidP="00246A61">
      <w:pPr>
        <w:ind w:left="567" w:right="49"/>
        <w:jc w:val="both"/>
        <w:rPr>
          <w:color w:val="FF0000"/>
          <w:sz w:val="24"/>
          <w:szCs w:val="24"/>
          <w:lang w:val="es-MX"/>
        </w:rPr>
      </w:pPr>
    </w:p>
    <w:p w14:paraId="728084DD" w14:textId="77777777" w:rsidR="00C56714" w:rsidRDefault="00C56714" w:rsidP="00246A61">
      <w:pPr>
        <w:ind w:left="567" w:right="49"/>
        <w:jc w:val="both"/>
        <w:rPr>
          <w:color w:val="FF0000"/>
          <w:sz w:val="24"/>
          <w:szCs w:val="24"/>
          <w:lang w:val="es-MX"/>
        </w:rPr>
      </w:pPr>
    </w:p>
    <w:p w14:paraId="4775F8A3" w14:textId="77777777" w:rsidR="00C56714" w:rsidRDefault="00C56714" w:rsidP="00246A61">
      <w:pPr>
        <w:ind w:left="567" w:right="49"/>
        <w:jc w:val="both"/>
        <w:rPr>
          <w:color w:val="FF0000"/>
          <w:sz w:val="24"/>
          <w:szCs w:val="24"/>
          <w:lang w:val="es-MX"/>
        </w:rPr>
      </w:pPr>
    </w:p>
    <w:p w14:paraId="13D063DA" w14:textId="77777777" w:rsidR="00C56714" w:rsidRDefault="00C56714" w:rsidP="00246A61">
      <w:pPr>
        <w:ind w:left="567" w:right="49"/>
        <w:jc w:val="both"/>
        <w:rPr>
          <w:color w:val="FF0000"/>
          <w:sz w:val="24"/>
          <w:szCs w:val="24"/>
          <w:lang w:val="es-MX"/>
        </w:rPr>
      </w:pPr>
    </w:p>
    <w:p w14:paraId="3C93657B" w14:textId="77777777" w:rsidR="004A1975" w:rsidRDefault="004A1975" w:rsidP="004A1975">
      <w:pPr>
        <w:pStyle w:val="NormalWeb"/>
        <w:shd w:val="clear" w:color="auto" w:fill="FFFFFF"/>
        <w:spacing w:before="0" w:beforeAutospacing="0" w:after="0" w:afterAutospacing="0"/>
        <w:jc w:val="both"/>
        <w:textAlignment w:val="baseline"/>
        <w:rPr>
          <w:color w:val="FF0000"/>
          <w:lang w:val="es-MX" w:eastAsia="es-ES"/>
        </w:rPr>
      </w:pPr>
    </w:p>
    <w:p w14:paraId="7DA8FDDD" w14:textId="77777777" w:rsidR="00C56714" w:rsidRPr="0094562F" w:rsidRDefault="00C56714" w:rsidP="004A1975">
      <w:pPr>
        <w:pStyle w:val="NormalWeb"/>
        <w:shd w:val="clear" w:color="auto" w:fill="FFFFFF"/>
        <w:spacing w:before="0" w:beforeAutospacing="0" w:after="0" w:afterAutospacing="0"/>
        <w:ind w:left="708" w:firstLine="708"/>
        <w:jc w:val="both"/>
        <w:textAlignment w:val="baseline"/>
        <w:rPr>
          <w:sz w:val="16"/>
          <w:lang w:val="es-MX" w:eastAsia="es-ES"/>
        </w:rPr>
      </w:pPr>
      <w:r w:rsidRPr="0094562F">
        <w:rPr>
          <w:sz w:val="16"/>
          <w:lang w:val="es-MX" w:eastAsia="es-ES"/>
        </w:rPr>
        <w:lastRenderedPageBreak/>
        <w:t>Fuente: Bloomberg.</w:t>
      </w:r>
    </w:p>
    <w:p w14:paraId="572013D9" w14:textId="77777777" w:rsidR="00A614CD" w:rsidRDefault="00A614CD" w:rsidP="00A614CD">
      <w:pPr>
        <w:pStyle w:val="NormalWeb"/>
        <w:shd w:val="clear" w:color="auto" w:fill="FFFFFF"/>
        <w:spacing w:before="0" w:beforeAutospacing="0" w:after="0" w:afterAutospacing="0"/>
        <w:ind w:left="567"/>
        <w:jc w:val="both"/>
        <w:textAlignment w:val="baseline"/>
        <w:rPr>
          <w:lang w:val="es-MX" w:eastAsia="es-ES"/>
        </w:rPr>
      </w:pPr>
    </w:p>
    <w:p w14:paraId="04A662BF" w14:textId="098F0BEB" w:rsidR="00C56714" w:rsidRDefault="00A614CD" w:rsidP="00A614CD">
      <w:pPr>
        <w:pStyle w:val="NormalWeb"/>
        <w:shd w:val="clear" w:color="auto" w:fill="FFFFFF"/>
        <w:spacing w:before="0" w:beforeAutospacing="0" w:after="0" w:afterAutospacing="0"/>
        <w:ind w:left="567"/>
        <w:jc w:val="both"/>
        <w:textAlignment w:val="baseline"/>
        <w:rPr>
          <w:lang w:val="es-MX" w:eastAsia="es-ES"/>
        </w:rPr>
      </w:pPr>
      <w:r w:rsidRPr="00B417FC">
        <w:rPr>
          <w:lang w:val="es-MX" w:eastAsia="es-ES"/>
        </w:rPr>
        <w:t xml:space="preserve">Viendo el comportamiento del índice VIX para los últimos cinco años, es fácil notar cómo el 2020 fue un año que no sólo mostró unos niveles récord de volatilidad del mercado durante marzo, sino que lo ubicó permanentemente en una nueva región por encima de 20 puntos. Estos niveles de nerviosismo en los mercados confirman que el año anterior fue definitivamente uno atípico en muchos niveles.   Por supuesto, el avance y velocidad de la vacunación continuará siendo un elemento importante en los mercados al seguir siendo una fuente de incertidumbre sobre la recuperación económica mundial. Los altos niveles de déficit fiscales serán elementos claves que presionarán los mercados de deuda pública y en el caso de los emergentes también seguramente a sus tasas de cambio. </w:t>
      </w:r>
    </w:p>
    <w:p w14:paraId="4FC8E833" w14:textId="7D177060" w:rsidR="00FF46C7" w:rsidRDefault="00FF46C7" w:rsidP="00A614CD">
      <w:pPr>
        <w:pStyle w:val="NormalWeb"/>
        <w:shd w:val="clear" w:color="auto" w:fill="FFFFFF"/>
        <w:spacing w:before="0" w:beforeAutospacing="0" w:after="0" w:afterAutospacing="0"/>
        <w:ind w:left="567"/>
        <w:jc w:val="both"/>
        <w:textAlignment w:val="baseline"/>
        <w:rPr>
          <w:lang w:val="es-MX" w:eastAsia="es-ES"/>
        </w:rPr>
      </w:pPr>
    </w:p>
    <w:p w14:paraId="37DDBA80" w14:textId="77777777" w:rsidR="00246A61" w:rsidRPr="004A1975" w:rsidRDefault="00246A61" w:rsidP="00246A61">
      <w:pPr>
        <w:pStyle w:val="Ttulo1"/>
        <w:widowControl/>
        <w:numPr>
          <w:ilvl w:val="0"/>
          <w:numId w:val="5"/>
        </w:numPr>
        <w:ind w:left="567" w:right="49"/>
        <w:jc w:val="left"/>
        <w:rPr>
          <w:b w:val="0"/>
          <w:color w:val="1F3864" w:themeColor="accent1" w:themeShade="80"/>
          <w:sz w:val="28"/>
          <w:szCs w:val="24"/>
        </w:rPr>
      </w:pPr>
      <w:bookmarkStart w:id="7" w:name="_Toc83302157"/>
      <w:bookmarkStart w:id="8" w:name="_Toc16519883"/>
      <w:r w:rsidRPr="004A1975">
        <w:rPr>
          <w:color w:val="1F3864" w:themeColor="accent1" w:themeShade="80"/>
          <w:sz w:val="28"/>
          <w:szCs w:val="24"/>
        </w:rPr>
        <w:t>Riesgos en la economía doméstica</w:t>
      </w:r>
      <w:bookmarkEnd w:id="7"/>
    </w:p>
    <w:p w14:paraId="504886B5" w14:textId="77777777" w:rsidR="00246A61" w:rsidRPr="00A614CD" w:rsidRDefault="00246A61" w:rsidP="00246A61">
      <w:pPr>
        <w:rPr>
          <w:color w:val="1F3864" w:themeColor="accent1" w:themeShade="80"/>
        </w:rPr>
      </w:pPr>
    </w:p>
    <w:p w14:paraId="0964AF2A" w14:textId="77777777" w:rsidR="00246A61" w:rsidRPr="00A614CD" w:rsidRDefault="00246A61" w:rsidP="00246A61">
      <w:pPr>
        <w:pStyle w:val="Ttulo1"/>
        <w:widowControl/>
        <w:numPr>
          <w:ilvl w:val="1"/>
          <w:numId w:val="5"/>
        </w:numPr>
        <w:ind w:left="993" w:right="49"/>
        <w:jc w:val="left"/>
        <w:rPr>
          <w:b w:val="0"/>
          <w:color w:val="1F3864" w:themeColor="accent1" w:themeShade="80"/>
          <w:sz w:val="24"/>
          <w:szCs w:val="24"/>
        </w:rPr>
      </w:pPr>
      <w:bookmarkStart w:id="9" w:name="_Toc83302158"/>
      <w:r w:rsidRPr="00A614CD">
        <w:rPr>
          <w:color w:val="1F3864" w:themeColor="accent1" w:themeShade="80"/>
          <w:sz w:val="24"/>
          <w:szCs w:val="24"/>
        </w:rPr>
        <w:t>Desviaciones de los pronósticos macroeconómicos</w:t>
      </w:r>
      <w:bookmarkEnd w:id="8"/>
      <w:bookmarkEnd w:id="9"/>
    </w:p>
    <w:p w14:paraId="76A096D3" w14:textId="77777777" w:rsidR="00246A61" w:rsidRPr="00DE1D8D" w:rsidRDefault="00246A61" w:rsidP="00246A61">
      <w:pPr>
        <w:pStyle w:val="Sinespaciado"/>
        <w:ind w:left="567" w:right="49"/>
        <w:jc w:val="both"/>
        <w:rPr>
          <w:rFonts w:ascii="Times New Roman" w:hAnsi="Times New Roman"/>
          <w:color w:val="FF0000"/>
          <w:sz w:val="24"/>
          <w:szCs w:val="24"/>
        </w:rPr>
      </w:pPr>
    </w:p>
    <w:p w14:paraId="09C7222E" w14:textId="77777777" w:rsidR="00A614CD" w:rsidRPr="00FE76BD" w:rsidRDefault="00A614CD" w:rsidP="00A614CD">
      <w:pPr>
        <w:pStyle w:val="Sinespaciado"/>
        <w:ind w:left="567" w:right="49"/>
        <w:jc w:val="both"/>
        <w:rPr>
          <w:rFonts w:ascii="Times New Roman" w:hAnsi="Times New Roman"/>
          <w:sz w:val="24"/>
          <w:szCs w:val="24"/>
        </w:rPr>
      </w:pPr>
      <w:r>
        <w:rPr>
          <w:rFonts w:ascii="Times New Roman" w:hAnsi="Times New Roman"/>
          <w:sz w:val="24"/>
          <w:szCs w:val="24"/>
        </w:rPr>
        <w:t xml:space="preserve">Monitorear el comportamiento de las variables macroeconómicas más relevantes es fundamental para evaluar </w:t>
      </w:r>
      <w:r w:rsidRPr="00FE76BD">
        <w:rPr>
          <w:rFonts w:ascii="Times New Roman" w:hAnsi="Times New Roman"/>
          <w:sz w:val="24"/>
          <w:szCs w:val="24"/>
        </w:rPr>
        <w:t xml:space="preserve">la volatilidad de estas variables para las estimaciones fiscales principalmente la recaudación tributaria y el análisis de sostenibilidad de deuda. </w:t>
      </w:r>
    </w:p>
    <w:p w14:paraId="3776E633" w14:textId="77777777" w:rsidR="00A614CD" w:rsidRDefault="00A614CD" w:rsidP="00A614CD">
      <w:pPr>
        <w:ind w:right="49"/>
        <w:jc w:val="both"/>
        <w:rPr>
          <w:sz w:val="24"/>
          <w:szCs w:val="24"/>
          <w:lang w:val="es-MX"/>
        </w:rPr>
      </w:pPr>
    </w:p>
    <w:p w14:paraId="68D3F60E" w14:textId="11108D9C" w:rsidR="00A614CD" w:rsidRDefault="00A614CD" w:rsidP="00924BA7">
      <w:pPr>
        <w:ind w:left="567" w:right="49"/>
        <w:jc w:val="both"/>
        <w:rPr>
          <w:sz w:val="24"/>
          <w:szCs w:val="24"/>
          <w:lang w:val="es-MX"/>
        </w:rPr>
      </w:pPr>
      <w:r>
        <w:rPr>
          <w:sz w:val="24"/>
          <w:szCs w:val="24"/>
          <w:lang w:val="es-MX"/>
        </w:rPr>
        <w:t xml:space="preserve">Las proyecciones del Banco de Guatemala para el 2020 indicaban en enero que la economía crecería 3.6%, la desviación fue de 5.1 puntos porcentuales respecto a la caída de 1.5% que registró al final del año, sin embargo, es importante señalar que, a lo largo del año se hicieron revisiones a las variables macroeconómicas derivado de las expectativas que generaba la llegada del COVID-19 a Guatemala y las restricciones que se implementaron; de esa cuenta, se observó que la proyección cambiaba drásticamente en mayo ya que según el BANGUAT la economía caería 0.5% por lo que la desviación fue de 1 punto porcentual derivado a que la estimación era ya más acorde a los acontecimientos que se daban por la pandemia, en julio se observa un escenario más pesimista en donde se indicó que la economía caería a 2.5% por lo que la desviación varió a -1.0 punto porcentual, hasta que en octubre dicha </w:t>
      </w:r>
      <w:r w:rsidR="00730E3D">
        <w:rPr>
          <w:sz w:val="24"/>
          <w:szCs w:val="24"/>
          <w:lang w:val="es-MX"/>
        </w:rPr>
        <w:t xml:space="preserve">no hubo </w:t>
      </w:r>
      <w:r>
        <w:rPr>
          <w:sz w:val="24"/>
          <w:szCs w:val="24"/>
          <w:lang w:val="es-MX"/>
        </w:rPr>
        <w:t>desviación derivado a que lo registrado en 2020 coincidió con la proyección de -1.5% de la economía en dicha fecha.</w:t>
      </w:r>
    </w:p>
    <w:p w14:paraId="12E7D2E1" w14:textId="0B5F3E1D" w:rsidR="00924BA7" w:rsidRPr="00924BA7" w:rsidRDefault="00924BA7" w:rsidP="00924BA7">
      <w:pPr>
        <w:ind w:left="567" w:right="49"/>
        <w:jc w:val="both"/>
        <w:rPr>
          <w:sz w:val="24"/>
          <w:szCs w:val="24"/>
          <w:lang w:val="es-MX"/>
        </w:rPr>
      </w:pPr>
    </w:p>
    <w:tbl>
      <w:tblPr>
        <w:tblStyle w:val="Tablaconcuadrcula"/>
        <w:tblW w:w="10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077"/>
        <w:gridCol w:w="5557"/>
      </w:tblGrid>
      <w:tr w:rsidR="00A614CD" w:rsidRPr="00DE1D8D" w14:paraId="10BC7DB7" w14:textId="77777777" w:rsidTr="00924BA7">
        <w:trPr>
          <w:trHeight w:val="4042"/>
          <w:jc w:val="center"/>
        </w:trPr>
        <w:tc>
          <w:tcPr>
            <w:tcW w:w="5077" w:type="dxa"/>
          </w:tcPr>
          <w:p w14:paraId="1D0B9A6A" w14:textId="77777777" w:rsidR="00A614CD" w:rsidRPr="00FE76BD" w:rsidRDefault="00814706" w:rsidP="00A614CD">
            <w:pPr>
              <w:pStyle w:val="Epgrafe"/>
              <w:keepNext/>
              <w:ind w:left="567" w:right="49"/>
              <w:rPr>
                <w:color w:val="auto"/>
                <w:sz w:val="24"/>
                <w:szCs w:val="24"/>
              </w:rPr>
            </w:pPr>
            <w:r>
              <w:rPr>
                <w:color w:val="auto"/>
                <w:sz w:val="24"/>
                <w:szCs w:val="24"/>
              </w:rPr>
              <w:lastRenderedPageBreak/>
              <w:t xml:space="preserve">Gráfica 5.  </w:t>
            </w:r>
            <w:r w:rsidR="00A614CD" w:rsidRPr="00FE76BD">
              <w:rPr>
                <w:color w:val="auto"/>
                <w:sz w:val="24"/>
                <w:szCs w:val="24"/>
              </w:rPr>
              <w:t xml:space="preserve">PIB real </w:t>
            </w:r>
          </w:p>
          <w:p w14:paraId="612F965E" w14:textId="77777777" w:rsidR="00A614CD" w:rsidRPr="00FE76BD" w:rsidRDefault="00A614CD" w:rsidP="00A614CD">
            <w:pPr>
              <w:pStyle w:val="Epgrafe"/>
              <w:keepNext/>
              <w:ind w:left="567" w:right="49"/>
              <w:rPr>
                <w:color w:val="auto"/>
                <w:sz w:val="24"/>
                <w:szCs w:val="24"/>
              </w:rPr>
            </w:pPr>
            <w:r w:rsidRPr="00FE76BD">
              <w:rPr>
                <w:b w:val="0"/>
                <w:bCs/>
                <w:color w:val="auto"/>
                <w:sz w:val="24"/>
                <w:szCs w:val="24"/>
              </w:rPr>
              <w:t>Desviación de las proyecciones respecto al observado de 20</w:t>
            </w:r>
            <w:r>
              <w:rPr>
                <w:b w:val="0"/>
                <w:bCs/>
                <w:color w:val="auto"/>
                <w:sz w:val="24"/>
                <w:szCs w:val="24"/>
              </w:rPr>
              <w:t>20</w:t>
            </w:r>
          </w:p>
          <w:p w14:paraId="79A88763" w14:textId="77777777" w:rsidR="00A614CD" w:rsidRDefault="00A614CD" w:rsidP="00A614CD">
            <w:pPr>
              <w:ind w:left="567" w:right="49"/>
              <w:jc w:val="both"/>
              <w:rPr>
                <w:noProof/>
                <w:lang w:val="es-GT" w:eastAsia="es-GT"/>
              </w:rPr>
            </w:pPr>
            <w:r>
              <w:rPr>
                <w:noProof/>
                <w:lang w:val="es-GT" w:eastAsia="es-GT"/>
              </w:rPr>
              <w:drawing>
                <wp:inline distT="0" distB="0" distL="0" distR="0" wp14:anchorId="6F4A250C" wp14:editId="48984EBD">
                  <wp:extent cx="2738120" cy="1695450"/>
                  <wp:effectExtent l="0" t="0" r="5080" b="0"/>
                  <wp:docPr id="77" name="Gráfico 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FB98F5F-7AD0-4ED5-ABA5-A78B6D651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5EC8BD" w14:textId="77777777" w:rsidR="00A614CD" w:rsidRPr="00DE1D8D" w:rsidRDefault="004A1975" w:rsidP="00A614CD">
            <w:pPr>
              <w:ind w:left="567" w:right="49"/>
              <w:jc w:val="both"/>
              <w:rPr>
                <w:color w:val="FF0000"/>
                <w:sz w:val="24"/>
                <w:szCs w:val="24"/>
                <w:lang w:val="es-MX"/>
              </w:rPr>
            </w:pPr>
            <w:r w:rsidRPr="00FE76BD">
              <w:rPr>
                <w:noProof/>
                <w:sz w:val="24"/>
                <w:szCs w:val="24"/>
                <w:lang w:val="es-GT" w:eastAsia="es-GT"/>
              </w:rPr>
              <mc:AlternateContent>
                <mc:Choice Requires="wps">
                  <w:drawing>
                    <wp:anchor distT="0" distB="0" distL="114300" distR="114300" simplePos="0" relativeHeight="251711488" behindDoc="0" locked="0" layoutInCell="1" allowOverlap="1" wp14:anchorId="59AEE1F1" wp14:editId="0A9CE037">
                      <wp:simplePos x="0" y="0"/>
                      <wp:positionH relativeFrom="column">
                        <wp:posOffset>515620</wp:posOffset>
                      </wp:positionH>
                      <wp:positionV relativeFrom="paragraph">
                        <wp:posOffset>21590</wp:posOffset>
                      </wp:positionV>
                      <wp:extent cx="3816350" cy="214630"/>
                      <wp:effectExtent l="0" t="0" r="0" b="0"/>
                      <wp:wrapNone/>
                      <wp:docPr id="71" name="Text Box 14"/>
                      <wp:cNvGraphicFramePr/>
                      <a:graphic xmlns:a="http://schemas.openxmlformats.org/drawingml/2006/main">
                        <a:graphicData uri="http://schemas.microsoft.com/office/word/2010/wordprocessingShape">
                          <wps:wsp>
                            <wps:cNvSpPr txBox="1"/>
                            <wps:spPr>
                              <a:xfrm>
                                <a:off x="0" y="0"/>
                                <a:ext cx="3816350" cy="214630"/>
                              </a:xfrm>
                              <a:prstGeom prst="rect">
                                <a:avLst/>
                              </a:prstGeom>
                              <a:solidFill>
                                <a:schemeClr val="lt1"/>
                              </a:solidFill>
                              <a:ln w="6350">
                                <a:noFill/>
                              </a:ln>
                            </wps:spPr>
                            <wps:txbx>
                              <w:txbxContent>
                                <w:p w14:paraId="466C943F" w14:textId="1C459A57" w:rsidR="005C20BF" w:rsidRPr="00A614CD" w:rsidRDefault="005C20BF" w:rsidP="00BC0D90">
                                  <w:pPr>
                                    <w:rPr>
                                      <w:bCs/>
                                      <w:sz w:val="11"/>
                                      <w:szCs w:val="11"/>
                                    </w:rPr>
                                  </w:pPr>
                                  <w:r w:rsidRPr="00A614CD">
                                    <w:rPr>
                                      <w:bCs/>
                                      <w:sz w:val="16"/>
                                      <w:szCs w:val="11"/>
                                    </w:rPr>
                                    <w:t xml:space="preserve">Fuente: </w:t>
                                  </w:r>
                                  <w:r>
                                    <w:rPr>
                                      <w:bCs/>
                                      <w:sz w:val="16"/>
                                      <w:szCs w:val="11"/>
                                    </w:rPr>
                                    <w:t>Ministerio de Finanzas Públicas</w:t>
                                  </w:r>
                                  <w:r w:rsidRPr="00A614CD">
                                    <w:rPr>
                                      <w:bCs/>
                                      <w:sz w:val="16"/>
                                      <w:szCs w:val="11"/>
                                    </w:rPr>
                                    <w:t xml:space="preserve"> con información de BANGUAT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59AEE1F1" id="Text Box 14" o:spid="_x0000_s1028" type="#_x0000_t202" style="position:absolute;left:0;text-align:left;margin-left:40.6pt;margin-top:1.7pt;width:300.5pt;height:1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" fillcolor="white [3201]" stroked="f" strokeweight=".5pt">
                      <v:textbox>
                        <w:txbxContent>
                          <w:p w14:paraId="466C943F" w14:textId="1C459A57" w:rsidR="005C20BF" w:rsidRPr="00A614CD" w:rsidRDefault="005C20BF" w:rsidP="00BC0D90">
                            <w:pPr>
                              <w:rPr>
                                <w:bCs/>
                                <w:sz w:val="11"/>
                                <w:szCs w:val="11"/>
                              </w:rPr>
                            </w:pPr>
                            <w:r w:rsidRPr="00A614CD">
                              <w:rPr>
                                <w:bCs/>
                                <w:sz w:val="16"/>
                                <w:szCs w:val="11"/>
                              </w:rPr>
                              <w:t xml:space="preserve">Fuente: </w:t>
                            </w:r>
                            <w:r>
                              <w:rPr>
                                <w:bCs/>
                                <w:sz w:val="16"/>
                                <w:szCs w:val="11"/>
                              </w:rPr>
                              <w:t>Ministerio de Finanzas Públicas</w:t>
                            </w:r>
                            <w:r w:rsidRPr="00A614CD">
                              <w:rPr>
                                <w:bCs/>
                                <w:sz w:val="16"/>
                                <w:szCs w:val="11"/>
                              </w:rPr>
                              <w:t xml:space="preserve"> con información de BANGUAT </w:t>
                            </w:r>
                          </w:p>
                        </w:txbxContent>
                      </v:textbox>
                    </v:shape>
                  </w:pict>
                </mc:Fallback>
              </mc:AlternateContent>
            </w:r>
          </w:p>
        </w:tc>
        <w:tc>
          <w:tcPr>
            <w:tcW w:w="5557" w:type="dxa"/>
          </w:tcPr>
          <w:p w14:paraId="3C47EA87" w14:textId="77777777" w:rsidR="00A614CD" w:rsidRPr="00FE76BD" w:rsidRDefault="00814706" w:rsidP="00A614CD">
            <w:pPr>
              <w:pStyle w:val="Epgrafe"/>
              <w:keepNext/>
              <w:ind w:left="567" w:right="49"/>
              <w:rPr>
                <w:color w:val="auto"/>
                <w:sz w:val="24"/>
                <w:szCs w:val="24"/>
              </w:rPr>
            </w:pPr>
            <w:r>
              <w:rPr>
                <w:color w:val="auto"/>
                <w:sz w:val="24"/>
                <w:szCs w:val="24"/>
              </w:rPr>
              <w:t xml:space="preserve">Gráfica 6.  </w:t>
            </w:r>
            <w:r w:rsidR="00A614CD" w:rsidRPr="00FE76BD">
              <w:rPr>
                <w:color w:val="auto"/>
                <w:sz w:val="24"/>
                <w:szCs w:val="24"/>
              </w:rPr>
              <w:t>PIB nominal</w:t>
            </w:r>
          </w:p>
          <w:p w14:paraId="2DFD1E27" w14:textId="77777777" w:rsidR="00A614CD" w:rsidRPr="00FE76BD" w:rsidRDefault="00A614CD" w:rsidP="00A614CD">
            <w:pPr>
              <w:pStyle w:val="Epgrafe"/>
              <w:keepNext/>
              <w:ind w:left="567" w:right="49"/>
              <w:rPr>
                <w:color w:val="auto"/>
                <w:sz w:val="24"/>
                <w:szCs w:val="24"/>
              </w:rPr>
            </w:pPr>
            <w:r w:rsidRPr="00FE76BD">
              <w:rPr>
                <w:b w:val="0"/>
                <w:bCs/>
                <w:color w:val="auto"/>
                <w:sz w:val="24"/>
                <w:szCs w:val="24"/>
              </w:rPr>
              <w:t>Desviación de las proyecciones respecto al observado de 20</w:t>
            </w:r>
            <w:r>
              <w:rPr>
                <w:b w:val="0"/>
                <w:bCs/>
                <w:color w:val="auto"/>
                <w:sz w:val="24"/>
                <w:szCs w:val="24"/>
              </w:rPr>
              <w:t>20</w:t>
            </w:r>
          </w:p>
          <w:p w14:paraId="627A813A" w14:textId="77777777" w:rsidR="00A614CD" w:rsidRPr="00DE1D8D" w:rsidRDefault="00A614CD" w:rsidP="00A614CD">
            <w:pPr>
              <w:pStyle w:val="Epgrafe"/>
              <w:keepNext/>
              <w:ind w:left="567" w:right="49"/>
              <w:jc w:val="both"/>
              <w:rPr>
                <w:color w:val="FF0000"/>
                <w:sz w:val="24"/>
                <w:szCs w:val="24"/>
              </w:rPr>
            </w:pPr>
            <w:r>
              <w:rPr>
                <w:noProof/>
                <w:lang w:val="es-GT" w:eastAsia="es-GT"/>
              </w:rPr>
              <w:drawing>
                <wp:inline distT="0" distB="0" distL="0" distR="0" wp14:anchorId="25239BB4" wp14:editId="3F524A6A">
                  <wp:extent cx="3041650" cy="1695450"/>
                  <wp:effectExtent l="0" t="0" r="6350" b="0"/>
                  <wp:docPr id="78" name="Gráfico 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68A1F2C-D5E1-4D6C-8A05-07F6F961E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7877900D" w14:textId="1DDE4553" w:rsidR="00924BA7" w:rsidRDefault="00924BA7" w:rsidP="00924BA7">
      <w:pPr>
        <w:ind w:left="567" w:right="49"/>
        <w:jc w:val="both"/>
        <w:rPr>
          <w:sz w:val="24"/>
          <w:szCs w:val="24"/>
          <w:lang w:val="es-MX"/>
        </w:rPr>
      </w:pPr>
      <w:r>
        <w:rPr>
          <w:sz w:val="24"/>
          <w:szCs w:val="24"/>
          <w:lang w:val="es-MX"/>
        </w:rPr>
        <w:t>El PIB Nominal también sufrió desviaciones fuertes en el año atípico 2020, dado a que en enero se estimaba un crecimiento de 6.2% sin embargo este se desvió 4.9 puntos porcentuales del resultado al final del año, con más información sobre el comportamiento de la economía en época de pandemia, el Banco Central pronosticó en mayo un crecimiento de 1.8%, todavía con una desviación de 0.5 puntos porcentuales con el del fin del año, en julio y octubre tuvo pronósticos de caída de 0.5% y de crecimiento de 0.5%, respectivamente, por lo que sus desviaciones fueron de -1.8 y -0.8 puntos porcentuales respecto al 1.3% de crecimiento de PIB Nominal al final del año.</w:t>
      </w:r>
    </w:p>
    <w:p w14:paraId="47CDCB4A" w14:textId="5FDE9143" w:rsidR="00924BA7" w:rsidRPr="0016044A" w:rsidRDefault="00924BA7" w:rsidP="00924BA7">
      <w:pPr>
        <w:ind w:left="567" w:right="49"/>
        <w:jc w:val="both"/>
        <w:rPr>
          <w:sz w:val="24"/>
          <w:szCs w:val="24"/>
          <w:lang w:val="es-MX"/>
        </w:rPr>
      </w:pPr>
      <w:r w:rsidRPr="0016044A">
        <w:rPr>
          <w:sz w:val="24"/>
          <w:szCs w:val="24"/>
          <w:lang w:val="es-MX"/>
        </w:rPr>
        <w:t>La contracción de la actividad económica de 1.5% en el 2020, en donde se vio afectada la demanda interna fundamentalmente la caída en la inversión y el consumo privado, así como la demanda externa de bienes y servicios; en lo que respecta al PIB por el enfoque de la producción el 70% del total del PIB está representada por 8 de las 18 actividades económicas</w:t>
      </w:r>
      <w:r>
        <w:rPr>
          <w:sz w:val="24"/>
          <w:szCs w:val="24"/>
          <w:lang w:val="es-MX"/>
        </w:rPr>
        <w:t>.</w:t>
      </w:r>
    </w:p>
    <w:p w14:paraId="3CFCB3C5" w14:textId="3714D366" w:rsidR="00924BA7" w:rsidRDefault="00924BA7" w:rsidP="00924BA7">
      <w:pPr>
        <w:ind w:left="567" w:right="49"/>
        <w:jc w:val="both"/>
        <w:rPr>
          <w:color w:val="FF0000"/>
          <w:sz w:val="16"/>
          <w:szCs w:val="24"/>
        </w:rPr>
      </w:pPr>
    </w:p>
    <w:tbl>
      <w:tblPr>
        <w:tblW w:w="8789" w:type="dxa"/>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4C6E7" w:themeFill="accent1" w:themeFillTint="66"/>
        <w:tblLayout w:type="fixed"/>
        <w:tblLook w:val="04A0" w:firstRow="1" w:lastRow="0" w:firstColumn="1" w:lastColumn="0" w:noHBand="0" w:noVBand="1"/>
      </w:tblPr>
      <w:tblGrid>
        <w:gridCol w:w="8789"/>
      </w:tblGrid>
      <w:tr w:rsidR="001566FA" w:rsidRPr="00394005" w14:paraId="2494B38D" w14:textId="77777777" w:rsidTr="001566FA">
        <w:tc>
          <w:tcPr>
            <w:tcW w:w="8789" w:type="dxa"/>
            <w:shd w:val="clear" w:color="auto" w:fill="B4C6E7" w:themeFill="accent1" w:themeFillTint="66"/>
          </w:tcPr>
          <w:p w14:paraId="2EF003AE" w14:textId="0049F050" w:rsidR="001566FA" w:rsidRPr="00272A4B" w:rsidRDefault="00272A4B" w:rsidP="00AA3AFE">
            <w:pPr>
              <w:jc w:val="center"/>
              <w:rPr>
                <w:b/>
                <w:bCs/>
              </w:rPr>
            </w:pPr>
            <w:r w:rsidRPr="00272A4B">
              <w:rPr>
                <w:b/>
                <w:bCs/>
              </w:rPr>
              <w:t>Recuadro 1</w:t>
            </w:r>
            <w:r w:rsidR="001566FA" w:rsidRPr="00272A4B">
              <w:rPr>
                <w:b/>
                <w:bCs/>
              </w:rPr>
              <w:t>. Escenario medio de crecimiento económico bajo incertidumbre</w:t>
            </w:r>
          </w:p>
          <w:p w14:paraId="48C9FBA8" w14:textId="77777777" w:rsidR="001566FA" w:rsidRPr="00272A4B" w:rsidRDefault="001566FA" w:rsidP="00AA3AFE">
            <w:pPr>
              <w:jc w:val="center"/>
              <w:rPr>
                <w:b/>
                <w:bCs/>
              </w:rPr>
            </w:pPr>
          </w:p>
          <w:p w14:paraId="07C846E2" w14:textId="77777777" w:rsidR="001566FA" w:rsidRPr="00272A4B" w:rsidRDefault="001566FA" w:rsidP="00AA3AFE">
            <w:pPr>
              <w:jc w:val="both"/>
            </w:pPr>
            <w:r w:rsidRPr="00272A4B">
              <w:t>Según las perspectivas económicas al segundo trimestre del 2021 y después de la contracción observada en el PIB en 2020 por las medidas sanitarias para detener la propagación del COVID-19 en el mundo, el Banco de Guatemala estima que el proceso de recuperación económica que inició en los últimos trimestres del 2020 continué y se consolide en 2021 dada la mejora de las proyecciones de los principales socios comerciales, así como la mejora de las condiciones económicas internas. El escenario medio de la estimación del crecimiento económico se ubica en 5.0% para 2021, posteriormente se espera que el impulso continúe durante 2022 y que el crecimiento este en 4.5% para dicho año, y que se encuentre alrededor 3.7% del 2023 al 2026.</w:t>
            </w:r>
          </w:p>
          <w:p w14:paraId="3345AA36" w14:textId="77777777" w:rsidR="001566FA" w:rsidRPr="00272A4B" w:rsidRDefault="001566FA" w:rsidP="00AA3AFE">
            <w:pPr>
              <w:jc w:val="both"/>
            </w:pPr>
          </w:p>
          <w:p w14:paraId="169D6126" w14:textId="77777777" w:rsidR="001566FA" w:rsidRPr="00272A4B" w:rsidRDefault="001566FA" w:rsidP="00AA3AFE">
            <w:pPr>
              <w:jc w:val="both"/>
            </w:pPr>
            <w:r w:rsidRPr="00272A4B">
              <w:t>Sin embargo, la propagación del COVID-19 en el 2020 se ha caracterizado por generar una extrema  incertidumbre en las proyecciones de las variables económicas de corto y mediano plazo, debido  a que las interacciones de los factores han sido muy difíciles de predecir, como lo es la trayectoria de la pandemia, la intensidad y eficacias de los esfuerzos de contención de cada país, las perturbaciones causadas en la oferta, la  volatilidad en los precios de las materias primas, variaciones en los patrones de gasto e inversión, entre otros. Por lo tanto, es importante considerar posibles factores de riesgo que puedan afectar las proyecciones económicas del 2021-2026, por ejemplo, se encuentra el surgimiento de variantes de COVID-19 que han mostrado un nivel de transmisibilidad y signos de mayor letalidad (</w:t>
            </w:r>
            <w:r w:rsidRPr="00272A4B">
              <w:rPr>
                <w:lang w:val="es-MX"/>
              </w:rPr>
              <w:t>Alfa, Beta, Gamma y Delta</w:t>
            </w:r>
            <w:r w:rsidRPr="00272A4B">
              <w:t>), las cuales podrían llevar a los gobiernos a intensificar las medidas de contención.</w:t>
            </w:r>
          </w:p>
          <w:p w14:paraId="2EA49EFC" w14:textId="77777777" w:rsidR="001566FA" w:rsidRPr="00272A4B" w:rsidRDefault="001566FA" w:rsidP="00AA3AFE">
            <w:pPr>
              <w:jc w:val="both"/>
            </w:pPr>
          </w:p>
          <w:p w14:paraId="0884EC38" w14:textId="4CDA11DB" w:rsidR="001566FA" w:rsidRPr="00272A4B" w:rsidRDefault="001566FA" w:rsidP="00AA3AFE">
            <w:pPr>
              <w:jc w:val="both"/>
              <w:rPr>
                <w:rFonts w:eastAsiaTheme="minorEastAsia"/>
              </w:rPr>
            </w:pPr>
            <w:r w:rsidRPr="00272A4B">
              <w:t xml:space="preserve">Para medir los factores múltiples que pueden afectar las trayectorias del crecimiento económico se consideró como base una metodología trabajada con la asistencia técnica del Fondo Monetario </w:t>
            </w:r>
            <w:r w:rsidRPr="00272A4B">
              <w:lastRenderedPageBreak/>
              <w:t xml:space="preserve">Internacional para la elaboración de Fan Charts y siguiendo de cerca el trabajo de  </w:t>
            </w:r>
            <w:sdt>
              <w:sdtPr>
                <w:id w:val="-1767686222"/>
                <w:citation/>
              </w:sdtPr>
              <w:sdtEndPr/>
              <w:sdtContent>
                <w:r w:rsidRPr="00272A4B">
                  <w:fldChar w:fldCharType="begin"/>
                </w:r>
                <w:r w:rsidRPr="00272A4B">
                  <w:instrText xml:space="preserve"> CITATION Jul07 \l 4106 </w:instrText>
                </w:r>
                <w:r w:rsidRPr="00272A4B">
                  <w:fldChar w:fldCharType="separate"/>
                </w:r>
                <w:r w:rsidRPr="00272A4B">
                  <w:rPr>
                    <w:noProof/>
                  </w:rPr>
                  <w:t>(Julio, 2007)</w:t>
                </w:r>
                <w:r w:rsidRPr="00272A4B">
                  <w:fldChar w:fldCharType="end"/>
                </w:r>
              </w:sdtContent>
            </w:sdt>
            <w:r w:rsidRPr="00272A4B">
              <w:t>. El procedimiento consiste en tomar como base para cada periodo de pronósticos una distribución normal en partes como se muestra en la expresión (</w:t>
            </w:r>
            <w:r w:rsidRPr="00272A4B">
              <w:rPr>
                <w:color w:val="000000" w:themeColor="text1"/>
              </w:rPr>
              <w:t>1),</w:t>
            </w:r>
            <w:r w:rsidRPr="00272A4B">
              <w:rPr>
                <w:color w:val="FF0000"/>
              </w:rPr>
              <w:t xml:space="preserve"> </w:t>
            </w:r>
            <w:r w:rsidRPr="00272A4B">
              <w:t xml:space="preserve">de la cual </w:t>
            </w:r>
            <m:oMath>
              <m:r>
                <m:rPr>
                  <m:sty m:val="p"/>
                </m:rPr>
                <w:rPr>
                  <w:rFonts w:ascii="Cambria Math" w:hAnsi="Cambria Math"/>
                </w:rPr>
                <m:t>μ</m:t>
              </m:r>
            </m:oMath>
            <w:r w:rsidRPr="00272A4B">
              <w:rPr>
                <w:rFonts w:eastAsiaTheme="minorEastAsia"/>
              </w:rPr>
              <w:t xml:space="preserve"> es la moda, </w:t>
            </w:r>
            <m:oMath>
              <m:sSub>
                <m:sSubPr>
                  <m:ctrlPr>
                    <w:rPr>
                      <w:rFonts w:ascii="Cambria Math" w:eastAsiaTheme="minorEastAsia" w:hAnsi="Cambria Math"/>
                      <w:i/>
                    </w:rPr>
                  </m:ctrlPr>
                </m:sSubPr>
                <m:e>
                  <m:r>
                    <m:rPr>
                      <m:sty m:val="p"/>
                    </m:rPr>
                    <w:rPr>
                      <w:rFonts w:ascii="Cambria Math" w:eastAsiaTheme="minorEastAsia" w:hAnsi="Cambria Math"/>
                    </w:rPr>
                    <m:t>σ</m:t>
                  </m:r>
                  <m:ctrlPr>
                    <w:rPr>
                      <w:rFonts w:ascii="Cambria Math" w:eastAsiaTheme="minorEastAsia" w:hAnsi="Cambria Math"/>
                    </w:rPr>
                  </m:ctrlPr>
                </m:e>
                <m:sub>
                  <m:r>
                    <w:rPr>
                      <w:rFonts w:ascii="Cambria Math" w:eastAsiaTheme="minorEastAsia" w:hAnsi="Cambria Math"/>
                    </w:rPr>
                    <m:t>1</m:t>
                  </m:r>
                </m:sub>
              </m:sSub>
            </m:oMath>
            <w:r w:rsidRPr="00272A4B">
              <w:rPr>
                <w:rFonts w:eastAsiaTheme="minorEastAsia"/>
              </w:rPr>
              <w:t xml:space="preserve"> es la deviación estándar izquierda, </w:t>
            </w:r>
            <m:oMath>
              <m:sSub>
                <m:sSubPr>
                  <m:ctrlPr>
                    <w:rPr>
                      <w:rFonts w:ascii="Cambria Math" w:eastAsiaTheme="minorEastAsia" w:hAnsi="Cambria Math"/>
                      <w:i/>
                    </w:rPr>
                  </m:ctrlPr>
                </m:sSubPr>
                <m:e>
                  <m:r>
                    <m:rPr>
                      <m:sty m:val="p"/>
                    </m:rPr>
                    <w:rPr>
                      <w:rFonts w:ascii="Cambria Math" w:eastAsiaTheme="minorEastAsia" w:hAnsi="Cambria Math"/>
                    </w:rPr>
                    <m:t>σ</m:t>
                  </m:r>
                  <m:ctrlPr>
                    <w:rPr>
                      <w:rFonts w:ascii="Cambria Math" w:eastAsiaTheme="minorEastAsia" w:hAnsi="Cambria Math"/>
                    </w:rPr>
                  </m:ctrlPr>
                </m:e>
                <m:sub>
                  <m:r>
                    <w:rPr>
                      <w:rFonts w:ascii="Cambria Math" w:eastAsiaTheme="minorEastAsia" w:hAnsi="Cambria Math"/>
                    </w:rPr>
                    <m:t>2</m:t>
                  </m:r>
                </m:sub>
              </m:sSub>
            </m:oMath>
            <w:r w:rsidRPr="00272A4B">
              <w:rPr>
                <w:rFonts w:eastAsiaTheme="minorEastAsia"/>
              </w:rPr>
              <w:t xml:space="preserve"> es la desviación estándar derecha,  </w:t>
            </w:r>
            <m:oMath>
              <m:r>
                <w:rPr>
                  <w:rFonts w:ascii="Cambria Math" w:eastAsiaTheme="minorEastAsia" w:hAnsi="Cambria Math"/>
                </w:rPr>
                <m:t>x</m:t>
              </m:r>
            </m:oMath>
            <w:r w:rsidRPr="00272A4B">
              <w:rPr>
                <w:rFonts w:eastAsiaTheme="minorEastAsia"/>
              </w:rPr>
              <w:t xml:space="preserve"> son los posibles valores del crecimiento económico que se pueden encontrar de </w:t>
            </w:r>
            <m:oMath>
              <m:r>
                <w:rPr>
                  <w:rFonts w:ascii="Cambria Math" w:eastAsiaTheme="minorEastAsia" w:hAnsi="Cambria Math"/>
                </w:rPr>
                <m:t>-∞≤x≤∞</m:t>
              </m:r>
            </m:oMath>
            <w:r w:rsidRPr="00272A4B">
              <w:rPr>
                <w:rFonts w:eastAsiaTheme="minorEastAsia"/>
              </w:rPr>
              <w:t xml:space="preserve"> y </w:t>
            </w:r>
            <m:oMath>
              <m:r>
                <w:rPr>
                  <w:rFonts w:ascii="Cambria Math" w:eastAsiaTheme="minorEastAsia" w:hAnsi="Cambria Math"/>
                </w:rPr>
                <m:t>C=</m:t>
              </m:r>
              <m:rad>
                <m:radPr>
                  <m:degHide m:val="1"/>
                  <m:ctrlPr>
                    <w:rPr>
                      <w:rFonts w:ascii="Cambria Math" w:eastAsiaTheme="minorEastAsia" w:hAnsi="Cambria Math"/>
                      <w:i/>
                    </w:rPr>
                  </m:ctrlPr>
                </m:radPr>
                <m:deg/>
                <m:e>
                  <m:r>
                    <w:rPr>
                      <w:rFonts w:ascii="Cambria Math" w:eastAsiaTheme="minorEastAsia" w:hAnsi="Cambria Math"/>
                    </w:rPr>
                    <m:t>2/π</m:t>
                  </m:r>
                </m:e>
              </m:rad>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2</m:t>
                          </m:r>
                        </m:sub>
                      </m:sSub>
                    </m:e>
                  </m:d>
                </m:e>
                <m:sup>
                  <m:r>
                    <w:rPr>
                      <w:rFonts w:ascii="Cambria Math" w:eastAsiaTheme="minorEastAsia" w:hAnsi="Cambria Math"/>
                    </w:rPr>
                    <m:t>-1</m:t>
                  </m:r>
                </m:sup>
              </m:sSup>
            </m:oMath>
            <w:r w:rsidRPr="00272A4B">
              <w:rPr>
                <w:rFonts w:eastAsiaTheme="minorEastAsia"/>
              </w:rPr>
              <w:t xml:space="preserve"> es un valor que garantiza que la expresión sea una función de probabilidades.</w:t>
            </w:r>
          </w:p>
          <w:tbl>
            <w:tblPr>
              <w:tblStyle w:val="Tablaconcuadrcula"/>
              <w:tblpPr w:leftFromText="141" w:rightFromText="141" w:vertAnchor="page" w:horzAnchor="margin" w:tblpY="6601"/>
              <w:tblOverlap w:val="never"/>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7"/>
              <w:gridCol w:w="869"/>
              <w:gridCol w:w="869"/>
            </w:tblGrid>
            <w:tr w:rsidR="001566FA" w:rsidRPr="00272A4B" w14:paraId="4C31E4B4" w14:textId="15189EFB" w:rsidTr="001566FA">
              <w:trPr>
                <w:trHeight w:val="1156"/>
              </w:trPr>
              <w:tc>
                <w:tcPr>
                  <w:tcW w:w="7337" w:type="dxa"/>
                </w:tcPr>
                <w:p w14:paraId="1A944B03" w14:textId="77777777" w:rsidR="001566FA" w:rsidRPr="00272A4B" w:rsidRDefault="001566FA" w:rsidP="001566FA">
                  <w:pPr>
                    <w:jc w:val="both"/>
                    <w:rPr>
                      <w:rFonts w:eastAsiaTheme="minorEastAsia"/>
                    </w:rPr>
                  </w:pPr>
                  <m:oMathPara>
                    <m:oMath>
                      <m:r>
                        <w:rPr>
                          <w:rFonts w:ascii="Cambria Math" w:eastAsiaTheme="minorEastAsia" w:hAnsi="Cambria Math"/>
                          <w:lang w:val="en-US"/>
                        </w:rPr>
                        <m:t>fx</m:t>
                      </m:r>
                      <m:d>
                        <m:dPr>
                          <m:ctrlPr>
                            <w:rPr>
                              <w:rFonts w:ascii="Cambria Math" w:eastAsiaTheme="minorEastAsia" w:hAnsi="Cambria Math"/>
                              <w:i/>
                            </w:rPr>
                          </m:ctrlPr>
                        </m:dPr>
                        <m:e>
                          <m:r>
                            <w:rPr>
                              <w:rFonts w:ascii="Cambria Math" w:eastAsiaTheme="minorEastAsia" w:hAnsi="Cambria Math"/>
                            </w:rPr>
                            <m:t>x;</m:t>
                          </m:r>
                          <m:r>
                            <m:rPr>
                              <m:sty m:val="p"/>
                            </m:rPr>
                            <w:rPr>
                              <w:rFonts w:ascii="Cambria Math" w:eastAsiaTheme="minorEastAsia" w:hAnsi="Cambria Math"/>
                            </w:rPr>
                            <m:t>μ</m:t>
                          </m:r>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2</m:t>
                              </m:r>
                            </m:sub>
                          </m:sSub>
                        </m:e>
                      </m:d>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C</m:t>
                              </m:r>
                              <m:sSup>
                                <m:sSupPr>
                                  <m:ctrlPr>
                                    <w:rPr>
                                      <w:rFonts w:ascii="Cambria Math" w:eastAsiaTheme="minorEastAsia" w:hAnsi="Cambria Math"/>
                                      <w:i/>
                                    </w:rPr>
                                  </m:ctrlPr>
                                </m:sSupPr>
                                <m:e>
                                  <m:r>
                                    <w:rPr>
                                      <w:rFonts w:ascii="Cambria Math" w:hAnsi="Cambria Math"/>
                                    </w:rPr>
                                    <m:t>e</m:t>
                                  </m:r>
                                </m:e>
                                <m:sup>
                                  <m:r>
                                    <w:rPr>
                                      <w:rFonts w:ascii="Cambria Math" w:eastAsiaTheme="minorEastAsia"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m:rPr>
                                              <m:sty m:val="p"/>
                                            </m:rPr>
                                            <w:rPr>
                                              <w:rFonts w:ascii="Cambria Math" w:hAnsi="Cambria Math"/>
                                            </w:rPr>
                                            <m:t>2σ</m:t>
                                          </m:r>
                                          <m:ctrlPr>
                                            <w:rPr>
                                              <w:rFonts w:ascii="Cambria Math" w:hAnsi="Cambria Math"/>
                                            </w:rPr>
                                          </m:ctrlPr>
                                        </m:e>
                                        <m:sub>
                                          <m:r>
                                            <w:rPr>
                                              <w:rFonts w:ascii="Cambria Math" w:hAnsi="Cambria Math"/>
                                            </w:rPr>
                                            <m:t>1</m:t>
                                          </m:r>
                                        </m:sub>
                                        <m:sup>
                                          <m:r>
                                            <w:rPr>
                                              <w:rFonts w:ascii="Cambria Math" w:hAnsi="Cambria Math"/>
                                            </w:rPr>
                                            <m:t>2</m:t>
                                          </m:r>
                                        </m:sup>
                                      </m:sSubSup>
                                    </m:den>
                                  </m:f>
                                  <m:sSup>
                                    <m:sSupPr>
                                      <m:ctrlPr>
                                        <w:rPr>
                                          <w:rFonts w:ascii="Cambria Math" w:hAnsi="Cambria Math"/>
                                          <w:i/>
                                        </w:rPr>
                                      </m:ctrlPr>
                                    </m:sSupPr>
                                    <m:e>
                                      <m:d>
                                        <m:dPr>
                                          <m:ctrlPr>
                                            <w:rPr>
                                              <w:rFonts w:ascii="Cambria Math" w:hAnsi="Cambria Math"/>
                                              <w:i/>
                                            </w:rPr>
                                          </m:ctrlPr>
                                        </m:dPr>
                                        <m:e>
                                          <m:r>
                                            <w:rPr>
                                              <w:rFonts w:ascii="Cambria Math" w:hAnsi="Cambria Math"/>
                                            </w:rPr>
                                            <m:t>x-</m:t>
                                          </m:r>
                                          <m:r>
                                            <m:rPr>
                                              <m:sty m:val="p"/>
                                            </m:rPr>
                                            <w:rPr>
                                              <w:rFonts w:ascii="Cambria Math" w:hAnsi="Cambria Math"/>
                                            </w:rPr>
                                            <m:t>μ</m:t>
                                          </m:r>
                                        </m:e>
                                      </m:d>
                                    </m:e>
                                    <m:sup>
                                      <m:r>
                                        <w:rPr>
                                          <w:rFonts w:ascii="Cambria Math" w:hAnsi="Cambria Math"/>
                                        </w:rPr>
                                        <m:t>2</m:t>
                                      </m:r>
                                    </m:sup>
                                  </m:sSup>
                                </m:sup>
                              </m:sSup>
                              <m:r>
                                <w:rPr>
                                  <w:rFonts w:ascii="Cambria Math" w:eastAsiaTheme="minorEastAsia" w:hAnsi="Cambria Math"/>
                                </w:rPr>
                                <m:t>,  para  x≤μ</m:t>
                              </m:r>
                            </m:e>
                            <m:e>
                              <m:r>
                                <w:rPr>
                                  <w:rFonts w:ascii="Cambria Math" w:eastAsiaTheme="minorEastAsia" w:hAnsi="Cambria Math"/>
                                </w:rPr>
                                <m:t>C</m:t>
                              </m:r>
                              <m:sSup>
                                <m:sSupPr>
                                  <m:ctrlPr>
                                    <w:rPr>
                                      <w:rFonts w:ascii="Cambria Math" w:eastAsiaTheme="minorEastAsia" w:hAnsi="Cambria Math"/>
                                      <w:i/>
                                    </w:rPr>
                                  </m:ctrlPr>
                                </m:sSupPr>
                                <m:e>
                                  <m:r>
                                    <w:rPr>
                                      <w:rFonts w:ascii="Cambria Math" w:hAnsi="Cambria Math"/>
                                    </w:rPr>
                                    <m:t>e</m:t>
                                  </m:r>
                                </m:e>
                                <m:sup>
                                  <m:r>
                                    <w:rPr>
                                      <w:rFonts w:ascii="Cambria Math" w:eastAsiaTheme="minorEastAsia"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m:rPr>
                                              <m:sty m:val="p"/>
                                            </m:rPr>
                                            <w:rPr>
                                              <w:rFonts w:ascii="Cambria Math" w:hAnsi="Cambria Math"/>
                                            </w:rPr>
                                            <m:t>2σ</m:t>
                                          </m:r>
                                          <m:ctrlPr>
                                            <w:rPr>
                                              <w:rFonts w:ascii="Cambria Math" w:hAnsi="Cambria Math"/>
                                            </w:rPr>
                                          </m:ctrlPr>
                                        </m:e>
                                        <m:sub>
                                          <m:r>
                                            <w:rPr>
                                              <w:rFonts w:ascii="Cambria Math" w:hAnsi="Cambria Math"/>
                                            </w:rPr>
                                            <m:t>2</m:t>
                                          </m:r>
                                        </m:sub>
                                        <m:sup>
                                          <m:r>
                                            <w:rPr>
                                              <w:rFonts w:ascii="Cambria Math" w:hAnsi="Cambria Math"/>
                                            </w:rPr>
                                            <m:t>2</m:t>
                                          </m:r>
                                        </m:sup>
                                      </m:sSubSup>
                                    </m:den>
                                  </m:f>
                                  <m:sSup>
                                    <m:sSupPr>
                                      <m:ctrlPr>
                                        <w:rPr>
                                          <w:rFonts w:ascii="Cambria Math" w:hAnsi="Cambria Math"/>
                                          <w:i/>
                                        </w:rPr>
                                      </m:ctrlPr>
                                    </m:sSupPr>
                                    <m:e>
                                      <m:d>
                                        <m:dPr>
                                          <m:ctrlPr>
                                            <w:rPr>
                                              <w:rFonts w:ascii="Cambria Math" w:hAnsi="Cambria Math"/>
                                              <w:i/>
                                            </w:rPr>
                                          </m:ctrlPr>
                                        </m:dPr>
                                        <m:e>
                                          <m:r>
                                            <w:rPr>
                                              <w:rFonts w:ascii="Cambria Math" w:hAnsi="Cambria Math"/>
                                            </w:rPr>
                                            <m:t>x-</m:t>
                                          </m:r>
                                          <m:r>
                                            <m:rPr>
                                              <m:sty m:val="p"/>
                                            </m:rPr>
                                            <w:rPr>
                                              <w:rFonts w:ascii="Cambria Math" w:hAnsi="Cambria Math"/>
                                            </w:rPr>
                                            <m:t>μ</m:t>
                                          </m:r>
                                        </m:e>
                                      </m:d>
                                    </m:e>
                                    <m:sup>
                                      <m:r>
                                        <w:rPr>
                                          <w:rFonts w:ascii="Cambria Math" w:hAnsi="Cambria Math"/>
                                        </w:rPr>
                                        <m:t>2</m:t>
                                      </m:r>
                                    </m:sup>
                                  </m:sSup>
                                </m:sup>
                              </m:sSup>
                              <m:r>
                                <w:rPr>
                                  <w:rFonts w:ascii="Cambria Math" w:eastAsiaTheme="minorEastAsia" w:hAnsi="Cambria Math"/>
                                </w:rPr>
                                <m:t>,  para x&gt; μ</m:t>
                              </m:r>
                            </m:e>
                          </m:eqArr>
                        </m:e>
                      </m:d>
                    </m:oMath>
                  </m:oMathPara>
                </w:p>
              </w:tc>
              <w:tc>
                <w:tcPr>
                  <w:tcW w:w="869" w:type="dxa"/>
                  <w:vAlign w:val="center"/>
                </w:tcPr>
                <w:p w14:paraId="460E8291" w14:textId="77777777" w:rsidR="001566FA" w:rsidRPr="00272A4B" w:rsidRDefault="001566FA" w:rsidP="001566FA">
                  <w:pPr>
                    <w:jc w:val="center"/>
                    <w:rPr>
                      <w:rFonts w:eastAsiaTheme="minorEastAsia"/>
                    </w:rPr>
                  </w:pPr>
                </w:p>
                <w:p w14:paraId="35B3C24D" w14:textId="77777777" w:rsidR="001566FA" w:rsidRPr="00272A4B" w:rsidRDefault="001566FA" w:rsidP="001566FA">
                  <w:pPr>
                    <w:jc w:val="center"/>
                    <w:rPr>
                      <w:rFonts w:eastAsiaTheme="minorEastAsia"/>
                    </w:rPr>
                  </w:pPr>
                  <w:r w:rsidRPr="00272A4B">
                    <w:rPr>
                      <w:rFonts w:eastAsiaTheme="minorEastAsia"/>
                    </w:rPr>
                    <w:t>(1)</w:t>
                  </w:r>
                </w:p>
              </w:tc>
              <w:tc>
                <w:tcPr>
                  <w:tcW w:w="869" w:type="dxa"/>
                </w:tcPr>
                <w:p w14:paraId="6C97B1DD" w14:textId="77777777" w:rsidR="001566FA" w:rsidRPr="00272A4B" w:rsidRDefault="001566FA" w:rsidP="001566FA">
                  <w:pPr>
                    <w:jc w:val="center"/>
                    <w:rPr>
                      <w:rFonts w:eastAsiaTheme="minorEastAsia"/>
                    </w:rPr>
                  </w:pPr>
                </w:p>
              </w:tc>
            </w:tr>
          </w:tbl>
          <w:p w14:paraId="4777B3EF" w14:textId="64EBD39A" w:rsidR="001566FA" w:rsidRPr="00272A4B" w:rsidRDefault="001566FA" w:rsidP="00AA3AFE">
            <w:pPr>
              <w:jc w:val="both"/>
              <w:rPr>
                <w:rFonts w:eastAsiaTheme="minorEastAsia"/>
              </w:rPr>
            </w:pPr>
            <w:r w:rsidRPr="00272A4B">
              <w:rPr>
                <w:rFonts w:eastAsiaTheme="minorEastAsia"/>
              </w:rPr>
              <w:t xml:space="preserve">Se puede observar que el caso particular </w:t>
            </w:r>
            <m:oMath>
              <m:sSub>
                <m:sSubPr>
                  <m:ctrlPr>
                    <w:rPr>
                      <w:rFonts w:ascii="Cambria Math" w:eastAsiaTheme="minorEastAsia" w:hAnsi="Cambria Math"/>
                      <w:i/>
                    </w:rPr>
                  </m:ctrlPr>
                </m:sSubPr>
                <m:e>
                  <m:r>
                    <m:rPr>
                      <m:sty m:val="p"/>
                    </m:rPr>
                    <w:rPr>
                      <w:rFonts w:ascii="Cambria Math" w:eastAsiaTheme="minorEastAsia" w:hAnsi="Cambria Math"/>
                    </w:rPr>
                    <m:t>σ</m:t>
                  </m:r>
                  <m:ctrlPr>
                    <w:rPr>
                      <w:rFonts w:ascii="Cambria Math" w:eastAsiaTheme="minorEastAsia" w:hAnsi="Cambria Math"/>
                    </w:rPr>
                  </m:ctrlP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2</m:t>
                  </m:r>
                </m:sub>
              </m:sSub>
            </m:oMath>
            <w:r w:rsidRPr="00272A4B">
              <w:rPr>
                <w:rFonts w:eastAsiaTheme="minorEastAsia"/>
              </w:rPr>
              <w:t xml:space="preserve"> hace que la expresión sea la de una distribución normal, además la densidad queda especificada de forma completa si se conocen los valores de </w:t>
            </w:r>
            <m:oMath>
              <m:d>
                <m:dPr>
                  <m:ctrlPr>
                    <w:rPr>
                      <w:rFonts w:ascii="Cambria Math" w:eastAsiaTheme="minorEastAsia" w:hAnsi="Cambria Math"/>
                      <w:i/>
                    </w:rPr>
                  </m:ctrlPr>
                </m:dPr>
                <m:e>
                  <m:r>
                    <m:rPr>
                      <m:sty m:val="p"/>
                    </m:rPr>
                    <w:rPr>
                      <w:rFonts w:ascii="Cambria Math" w:eastAsiaTheme="minorEastAsia" w:hAnsi="Cambria Math"/>
                    </w:rPr>
                    <m:t>μ</m:t>
                  </m:r>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2</m:t>
                      </m:r>
                    </m:sub>
                  </m:sSub>
                </m:e>
              </m:d>
            </m:oMath>
            <w:r w:rsidRPr="00272A4B">
              <w:rPr>
                <w:rFonts w:eastAsiaTheme="minorEastAsia"/>
              </w:rPr>
              <w:t xml:space="preserve">. No obstante, para determinar los valores de las desviaciones estándar se considera la varianza de la distribución del error de pronóstico y el balance de riesgo para cada periodo </w:t>
            </w:r>
            <m:oMath>
              <m:r>
                <w:rPr>
                  <w:rFonts w:ascii="Cambria Math" w:eastAsiaTheme="minorEastAsia" w:hAnsi="Cambria Math"/>
                </w:rPr>
                <m:t>P(X≤</m:t>
              </m:r>
              <m:r>
                <m:rPr>
                  <m:sty m:val="p"/>
                </m:rPr>
                <w:rPr>
                  <w:rFonts w:ascii="Cambria Math" w:eastAsiaTheme="minorEastAsia" w:hAnsi="Cambria Math"/>
                </w:rPr>
                <m:t>μ</m:t>
              </m:r>
              <m:r>
                <w:rPr>
                  <w:rFonts w:ascii="Cambria Math" w:eastAsiaTheme="minorEastAsia" w:hAnsi="Cambria Math"/>
                </w:rPr>
                <m:t>)</m:t>
              </m:r>
            </m:oMath>
            <w:r w:rsidRPr="00272A4B">
              <w:rPr>
                <w:rFonts w:eastAsiaTheme="minorEastAsia"/>
              </w:rPr>
              <w:t>, que es la probabilidad de que el crecimiento económico tome un valor menor a la moda.  Para el valor de la moda se consideró el escenario medio del crecimiento económico del Banco de Guatemala, y para los factores que se tomaron en cuenta para definir el Balance de Riesgos fueron el surgimiento de variantes del COVID-19 que no puedan ser controladas a través de las vacunas actuales y que el crecimiento de los socios comerciales sea levemente menor al previsto.</w:t>
            </w:r>
          </w:p>
          <w:p w14:paraId="46219B01" w14:textId="124449F6" w:rsidR="001566FA" w:rsidRPr="00272A4B" w:rsidRDefault="001566FA" w:rsidP="00AA3AFE">
            <w:pPr>
              <w:jc w:val="both"/>
              <w:rPr>
                <w:rFonts w:eastAsiaTheme="minorEastAsia"/>
              </w:rPr>
            </w:pPr>
          </w:p>
          <w:p w14:paraId="60D6189D" w14:textId="77777777" w:rsidR="001566FA" w:rsidRPr="00272A4B" w:rsidRDefault="001566FA" w:rsidP="00AA3AFE">
            <w:pPr>
              <w:jc w:val="both"/>
              <w:rPr>
                <w:rFonts w:eastAsiaTheme="minorEastAsia"/>
              </w:rPr>
            </w:pPr>
          </w:p>
          <w:p w14:paraId="563EC166" w14:textId="77777777" w:rsidR="001566FA" w:rsidRPr="00272A4B" w:rsidRDefault="001566FA" w:rsidP="00AA3AFE">
            <w:pPr>
              <w:jc w:val="both"/>
              <w:rPr>
                <w:rFonts w:eastAsiaTheme="minorEastAsia"/>
              </w:rPr>
            </w:pPr>
          </w:p>
          <w:tbl>
            <w:tblPr>
              <w:tblStyle w:val="Tablaconcuadrcula"/>
              <w:tblW w:w="8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30"/>
            </w:tblGrid>
            <w:tr w:rsidR="001566FA" w:rsidRPr="00272A4B" w14:paraId="2BD16A64" w14:textId="77777777" w:rsidTr="00AA3AFE">
              <w:trPr>
                <w:trHeight w:val="237"/>
              </w:trPr>
              <w:tc>
                <w:tcPr>
                  <w:tcW w:w="8530" w:type="dxa"/>
                </w:tcPr>
                <w:p w14:paraId="408E3D46" w14:textId="1CF28301" w:rsidR="001566FA" w:rsidRPr="00272A4B" w:rsidRDefault="001566FA" w:rsidP="00CC7AC6">
                  <w:pPr>
                    <w:pStyle w:val="Epgrafe"/>
                    <w:keepNext/>
                    <w:rPr>
                      <w:b w:val="0"/>
                      <w:color w:val="auto"/>
                    </w:rPr>
                  </w:pPr>
                  <w:bookmarkStart w:id="10" w:name="_Toc81573074"/>
                  <w:r w:rsidRPr="00272A4B">
                    <w:rPr>
                      <w:color w:val="auto"/>
                    </w:rPr>
                    <w:t>Gráfico</w:t>
                  </w:r>
                  <w:r w:rsidR="00CC7AC6">
                    <w:rPr>
                      <w:b w:val="0"/>
                      <w:color w:val="auto"/>
                    </w:rPr>
                    <w:t xml:space="preserve"> </w:t>
                  </w:r>
                  <w:r w:rsidR="00CC7AC6" w:rsidRPr="00CC7AC6">
                    <w:rPr>
                      <w:color w:val="auto"/>
                    </w:rPr>
                    <w:t>7</w:t>
                  </w:r>
                  <w:r w:rsidRPr="00272A4B">
                    <w:rPr>
                      <w:color w:val="auto"/>
                    </w:rPr>
                    <w:t xml:space="preserve">. </w:t>
                  </w:r>
                  <w:r w:rsidRPr="00272A4B">
                    <w:rPr>
                      <w:rFonts w:eastAsiaTheme="minorEastAsia"/>
                      <w:bCs/>
                      <w:color w:val="auto"/>
                    </w:rPr>
                    <w:t>Fanchart de la proyección del crecimiento económico</w:t>
                  </w:r>
                  <w:bookmarkEnd w:id="10"/>
                </w:p>
              </w:tc>
            </w:tr>
            <w:tr w:rsidR="001566FA" w:rsidRPr="00272A4B" w14:paraId="2D2F6BFA" w14:textId="77777777" w:rsidTr="00AA3AFE">
              <w:tblPrEx>
                <w:tblCellMar>
                  <w:left w:w="70" w:type="dxa"/>
                  <w:right w:w="70" w:type="dxa"/>
                </w:tblCellMar>
              </w:tblPrEx>
              <w:trPr>
                <w:trHeight w:val="3527"/>
              </w:trPr>
              <w:tc>
                <w:tcPr>
                  <w:tcW w:w="8530" w:type="dxa"/>
                </w:tcPr>
                <w:p w14:paraId="1BEB4E81" w14:textId="77777777" w:rsidR="001566FA" w:rsidRPr="00272A4B" w:rsidRDefault="001566FA" w:rsidP="00AA3AFE">
                  <w:pPr>
                    <w:jc w:val="center"/>
                    <w:rPr>
                      <w:rFonts w:eastAsiaTheme="minorEastAsia"/>
                    </w:rPr>
                  </w:pPr>
                  <w:r w:rsidRPr="00272A4B">
                    <w:rPr>
                      <w:noProof/>
                      <w:lang w:val="es-GT" w:eastAsia="es-GT"/>
                    </w:rPr>
                    <w:drawing>
                      <wp:inline distT="0" distB="0" distL="0" distR="0" wp14:anchorId="77B8E057" wp14:editId="52FD9355">
                        <wp:extent cx="5039995" cy="2242868"/>
                        <wp:effectExtent l="0" t="0" r="8255" b="5080"/>
                        <wp:docPr id="89" name="Gráfico 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D592E31-7675-464C-A7DF-5F3D759B3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566FA" w:rsidRPr="00272A4B" w14:paraId="44A42248" w14:textId="77777777" w:rsidTr="00AA3AFE">
              <w:trPr>
                <w:trHeight w:val="237"/>
              </w:trPr>
              <w:tc>
                <w:tcPr>
                  <w:tcW w:w="8530" w:type="dxa"/>
                </w:tcPr>
                <w:p w14:paraId="0F4E29BE" w14:textId="28F4F820" w:rsidR="001566FA" w:rsidRPr="00272A4B" w:rsidRDefault="001566FA" w:rsidP="00AA3AFE">
                  <w:pPr>
                    <w:jc w:val="both"/>
                    <w:rPr>
                      <w:rFonts w:eastAsiaTheme="minorEastAsia"/>
                    </w:rPr>
                  </w:pPr>
                  <w:r w:rsidRPr="00272A4B">
                    <w:rPr>
                      <w:rFonts w:eastAsiaTheme="minorEastAsia"/>
                      <w:sz w:val="16"/>
                    </w:rPr>
                    <w:t>Fuente</w:t>
                  </w:r>
                  <w:r w:rsidR="00EF0CE5" w:rsidRPr="00272A4B">
                    <w:rPr>
                      <w:bCs/>
                      <w:sz w:val="16"/>
                      <w:szCs w:val="11"/>
                    </w:rPr>
                    <w:t xml:space="preserve"> Ministerio de Finanzas Públicas</w:t>
                  </w:r>
                </w:p>
              </w:tc>
            </w:tr>
          </w:tbl>
          <w:p w14:paraId="67C41033" w14:textId="77777777" w:rsidR="001566FA" w:rsidRPr="00272A4B" w:rsidRDefault="001566FA" w:rsidP="00AA3AFE">
            <w:pPr>
              <w:rPr>
                <w:rFonts w:eastAsiaTheme="minorEastAsia"/>
              </w:rPr>
            </w:pPr>
          </w:p>
          <w:p w14:paraId="67AE71E1" w14:textId="77777777" w:rsidR="001566FA" w:rsidRPr="00272A4B" w:rsidRDefault="001566FA" w:rsidP="00AA3AFE">
            <w:pPr>
              <w:rPr>
                <w:rFonts w:eastAsiaTheme="minorEastAsia"/>
              </w:rPr>
            </w:pPr>
            <w:r w:rsidRPr="00272A4B">
              <w:rPr>
                <w:rFonts w:eastAsiaTheme="minorEastAsia"/>
              </w:rPr>
              <w:t xml:space="preserve">Los resultados obtenidos muestran que existe un 50% de probabilidad de que el crecimiento económico se encuentre entre 4.6% a 5.4% para 2021, para 2022 podría ubicarse entre 3.9% y 4.9% en 2022, y que para el 2026 se ubique entre 2.7% a 4.4%.  Asimismo, existe un 90% de probabilidad de que en el 2021 el crecimiento se ubique entre 4.2% a 5.8%, en el 2022 entre 3.5% y 5.3%, y que para 2026 se ubique entre </w:t>
            </w:r>
            <w:r w:rsidRPr="00272A4B">
              <w:rPr>
                <w:rFonts w:eastAsiaTheme="minorEastAsia"/>
              </w:rPr>
              <w:lastRenderedPageBreak/>
              <w:t>1.8% a 5.1%.  Se puede observar en el gráfico de que a partir del 2022 existe una mayor probabilidad de que el crecimiento sea menor al del escenario base, esto se debe a la respuesta de crecimiento económico ante los choques adversos anteriormente detallados.</w:t>
            </w:r>
          </w:p>
          <w:sdt>
            <w:sdtPr>
              <w:rPr>
                <w:b/>
                <w:bCs/>
                <w:color w:val="000000" w:themeColor="text1"/>
              </w:rPr>
              <w:id w:val="-1872136492"/>
              <w:docPartObj>
                <w:docPartGallery w:val="Bibliographies"/>
                <w:docPartUnique/>
              </w:docPartObj>
            </w:sdtPr>
            <w:sdtEndPr>
              <w:rPr>
                <w:b w:val="0"/>
                <w:bCs w:val="0"/>
                <w:color w:val="auto"/>
              </w:rPr>
            </w:sdtEndPr>
            <w:sdtContent>
              <w:p w14:paraId="2A53C085" w14:textId="77777777" w:rsidR="001566FA" w:rsidRPr="00272A4B" w:rsidRDefault="001566FA" w:rsidP="00AA3AFE">
                <w:pPr>
                  <w:rPr>
                    <w:color w:val="000000" w:themeColor="text1"/>
                    <w:lang w:val="en-US"/>
                  </w:rPr>
                </w:pPr>
                <w:r w:rsidRPr="00272A4B">
                  <w:rPr>
                    <w:color w:val="000000" w:themeColor="text1"/>
                    <w:lang w:val="en-US"/>
                  </w:rPr>
                  <w:t>Bibliografía</w:t>
                </w:r>
              </w:p>
              <w:sdt>
                <w:sdtPr>
                  <w:rPr>
                    <w:sz w:val="16"/>
                    <w:szCs w:val="16"/>
                  </w:rPr>
                  <w:id w:val="-294902786"/>
                  <w:bibliography/>
                </w:sdtPr>
                <w:sdtEndPr/>
                <w:sdtContent>
                  <w:p w14:paraId="6A0D8ADA" w14:textId="77777777" w:rsidR="001566FA" w:rsidRPr="00272A4B" w:rsidRDefault="001566FA" w:rsidP="00AA3AFE">
                    <w:r w:rsidRPr="00272A4B">
                      <w:rPr>
                        <w:sz w:val="16"/>
                        <w:szCs w:val="16"/>
                      </w:rPr>
                      <w:fldChar w:fldCharType="begin"/>
                    </w:r>
                    <w:r w:rsidRPr="00272A4B">
                      <w:rPr>
                        <w:sz w:val="16"/>
                        <w:szCs w:val="16"/>
                        <w:lang w:val="en-US"/>
                      </w:rPr>
                      <w:instrText>BIBLIOGRAPHY</w:instrText>
                    </w:r>
                    <w:r w:rsidRPr="00272A4B">
                      <w:rPr>
                        <w:sz w:val="16"/>
                        <w:szCs w:val="16"/>
                      </w:rPr>
                      <w:fldChar w:fldCharType="separate"/>
                    </w:r>
                    <w:r w:rsidRPr="00272A4B">
                      <w:rPr>
                        <w:noProof/>
                        <w:sz w:val="16"/>
                        <w:szCs w:val="16"/>
                        <w:lang w:val="en-US"/>
                      </w:rPr>
                      <w:t xml:space="preserve">Julio, J. M. (2007). The Fan Chart; The Techinal Details Of The New Implementation. </w:t>
                    </w:r>
                    <w:r w:rsidRPr="00272A4B">
                      <w:rPr>
                        <w:i/>
                        <w:iCs/>
                        <w:noProof/>
                        <w:sz w:val="16"/>
                        <w:szCs w:val="16"/>
                        <w:lang w:val="es-ES"/>
                      </w:rPr>
                      <w:t>Borradores de Economía No. 468</w:t>
                    </w:r>
                    <w:r w:rsidRPr="00272A4B">
                      <w:rPr>
                        <w:noProof/>
                        <w:sz w:val="16"/>
                        <w:szCs w:val="16"/>
                        <w:lang w:val="es-ES"/>
                      </w:rPr>
                      <w:t>.</w:t>
                    </w:r>
                    <w:r w:rsidRPr="00272A4B">
                      <w:rPr>
                        <w:sz w:val="16"/>
                        <w:szCs w:val="16"/>
                      </w:rPr>
                      <w:fldChar w:fldCharType="end"/>
                    </w:r>
                  </w:p>
                </w:sdtContent>
              </w:sdt>
            </w:sdtContent>
          </w:sdt>
        </w:tc>
      </w:tr>
    </w:tbl>
    <w:p w14:paraId="34FED2F6" w14:textId="77777777" w:rsidR="001566FA" w:rsidRDefault="001566FA" w:rsidP="00924BA7">
      <w:pPr>
        <w:ind w:left="567" w:right="49"/>
        <w:jc w:val="both"/>
        <w:rPr>
          <w:color w:val="FF0000"/>
          <w:sz w:val="16"/>
          <w:szCs w:val="24"/>
        </w:rPr>
      </w:pPr>
    </w:p>
    <w:p w14:paraId="458956E5" w14:textId="77777777" w:rsidR="00924BA7" w:rsidRDefault="00924BA7" w:rsidP="00924BA7">
      <w:pPr>
        <w:ind w:left="567" w:right="49"/>
        <w:jc w:val="both"/>
        <w:rPr>
          <w:sz w:val="24"/>
          <w:szCs w:val="24"/>
          <w:lang w:val="es-MX"/>
        </w:rPr>
      </w:pPr>
      <w:r>
        <w:rPr>
          <w:sz w:val="24"/>
          <w:szCs w:val="24"/>
          <w:lang w:val="es-MX"/>
        </w:rPr>
        <w:t>La estimación de las Exportaciones FOB por parte del Banco de Guatemala en enero 2020 era de 2.5%, menor al 3.1% del final del año, es decir -0.6 puntos porcentuales de desviación.  Sin embargo, luego del inicio de los contagios por COVID-19 en marzo de 2020 en Guatemala, se agudizaron las restricciones al comercio mundial y se pronosticó una baja a las proyecciones del crecimiento de la economía en el mundo. En mayo se pronosticó una caída del 8.0% de las exportaciones una desviación del -11.1% del resultado final del 2020.  En julio la percepción fue aún más pesimista al pronosticar una caída del 10.0% con una desviación del -13.1% con respecto a lo observado al cierre de 2020.  Asimismo, en octubre ya con muchas de las actividades principalmente de comercio exterior restablecidas se pronostica únicamente una caída del 3.0% con una desviación del resultado al final del año de -6.1%.   Para diciembre nuevamente se realiza una revisión y se espera que únicamente habrá una contracción de 1.0% en las exportaciones, mostrando con ello una desviación del resultado al final del periodo de -4.1%.</w:t>
      </w:r>
    </w:p>
    <w:p w14:paraId="4DB35FDF" w14:textId="77777777" w:rsidR="00A16D0D" w:rsidRDefault="00A16D0D" w:rsidP="00924BA7">
      <w:pPr>
        <w:ind w:right="49"/>
        <w:jc w:val="both"/>
        <w:rPr>
          <w:sz w:val="24"/>
          <w:szCs w:val="24"/>
          <w:lang w:val="es-MX"/>
        </w:rPr>
      </w:pPr>
    </w:p>
    <w:p w14:paraId="7571D21D" w14:textId="3B0A24F9" w:rsidR="00246A61" w:rsidRDefault="00A16D0D" w:rsidP="00A16D0D">
      <w:pPr>
        <w:ind w:left="567" w:right="49"/>
        <w:jc w:val="both"/>
        <w:rPr>
          <w:sz w:val="24"/>
          <w:szCs w:val="24"/>
          <w:lang w:val="es-MX"/>
        </w:rPr>
      </w:pPr>
      <w:r>
        <w:rPr>
          <w:sz w:val="24"/>
          <w:szCs w:val="24"/>
          <w:lang w:val="es-MX"/>
        </w:rPr>
        <w:t xml:space="preserve">En enero de 2020 el Banco de Guatemala pronosticó un crecimiento de 3.0% para las importaciones del 2020.  Sin embargo, estas mostraron una desviación de 11.4% derivado de la caída al final del año de 8.4%, con información del COVID-19 se pronosticó para mayo una caída de 7.0% es decir únicamente una desviación de 1.4% del resultado al final del año, en julio el pronóstico de caída fue más fuerte al indicar que este sería de 9.0%, es decir, una desviación de únicamente -0.6% del resultado al final del año, para Octubre y Diciembre los pronósticos fueron igual al de julio, es decir, caída del 9.0% por lo que tuvieron una desviación de -0.6% respecto al resultado final. </w:t>
      </w:r>
    </w:p>
    <w:p w14:paraId="2A969627" w14:textId="77777777" w:rsidR="00246A61" w:rsidRPr="00DE1D8D" w:rsidRDefault="00246A61" w:rsidP="004D12AF">
      <w:pPr>
        <w:ind w:right="49"/>
        <w:jc w:val="both"/>
        <w:rPr>
          <w:color w:val="FF0000"/>
          <w:sz w:val="24"/>
          <w:szCs w:val="24"/>
          <w:lang w:val="es-MX"/>
        </w:rPr>
      </w:pPr>
    </w:p>
    <w:tbl>
      <w:tblPr>
        <w:tblStyle w:val="Tablaconcuadrcula"/>
        <w:tblW w:w="10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5202"/>
      </w:tblGrid>
      <w:tr w:rsidR="00A16D0D" w:rsidRPr="00FE76BD" w14:paraId="3E10CDB9" w14:textId="77777777" w:rsidTr="00607EBF">
        <w:trPr>
          <w:trHeight w:val="4109"/>
          <w:jc w:val="center"/>
        </w:trPr>
        <w:tc>
          <w:tcPr>
            <w:tcW w:w="4992" w:type="dxa"/>
          </w:tcPr>
          <w:p w14:paraId="6E0B1422" w14:textId="1AD72C82" w:rsidR="00A16D0D" w:rsidRPr="00FE76BD" w:rsidRDefault="00CC7AC6" w:rsidP="00BC0D90">
            <w:pPr>
              <w:pStyle w:val="Epgrafe"/>
              <w:keepNext/>
              <w:ind w:left="567" w:right="49"/>
              <w:rPr>
                <w:color w:val="auto"/>
                <w:sz w:val="24"/>
                <w:szCs w:val="24"/>
              </w:rPr>
            </w:pPr>
            <w:r>
              <w:rPr>
                <w:color w:val="auto"/>
                <w:sz w:val="24"/>
                <w:szCs w:val="24"/>
              </w:rPr>
              <w:t>Gráfica 8</w:t>
            </w:r>
            <w:r w:rsidR="00814706">
              <w:rPr>
                <w:color w:val="auto"/>
                <w:sz w:val="24"/>
                <w:szCs w:val="24"/>
              </w:rPr>
              <w:t xml:space="preserve">.  </w:t>
            </w:r>
            <w:r w:rsidR="00A16D0D" w:rsidRPr="00FE76BD">
              <w:rPr>
                <w:color w:val="auto"/>
                <w:sz w:val="24"/>
                <w:szCs w:val="24"/>
              </w:rPr>
              <w:t>Exportaciones FOB</w:t>
            </w:r>
          </w:p>
          <w:p w14:paraId="3A103E82" w14:textId="77777777" w:rsidR="00A16D0D" w:rsidRPr="00FE76BD" w:rsidRDefault="00A16D0D" w:rsidP="00BC0D90">
            <w:pPr>
              <w:pStyle w:val="Epgrafe"/>
              <w:keepNext/>
              <w:ind w:left="567" w:right="49"/>
              <w:rPr>
                <w:color w:val="auto"/>
                <w:sz w:val="24"/>
                <w:szCs w:val="24"/>
              </w:rPr>
            </w:pPr>
            <w:r w:rsidRPr="00FE76BD">
              <w:rPr>
                <w:b w:val="0"/>
                <w:bCs/>
                <w:color w:val="auto"/>
                <w:sz w:val="24"/>
                <w:szCs w:val="24"/>
              </w:rPr>
              <w:t>Desviación de las proyecciones respecto al observado de 20</w:t>
            </w:r>
            <w:r>
              <w:rPr>
                <w:b w:val="0"/>
                <w:bCs/>
                <w:color w:val="auto"/>
                <w:sz w:val="24"/>
                <w:szCs w:val="24"/>
              </w:rPr>
              <w:t>20</w:t>
            </w:r>
          </w:p>
          <w:p w14:paraId="1C3AD945" w14:textId="77777777" w:rsidR="00A16D0D" w:rsidRPr="00FE76BD" w:rsidRDefault="00A16D0D" w:rsidP="00BC0D90">
            <w:pPr>
              <w:ind w:left="567" w:right="49"/>
              <w:jc w:val="both"/>
              <w:rPr>
                <w:sz w:val="24"/>
                <w:szCs w:val="24"/>
                <w:lang w:val="es-MX"/>
              </w:rPr>
            </w:pPr>
            <w:r w:rsidRPr="00FE76BD">
              <w:rPr>
                <w:noProof/>
                <w:sz w:val="24"/>
                <w:szCs w:val="24"/>
                <w:lang w:val="es-GT" w:eastAsia="es-GT"/>
              </w:rPr>
              <mc:AlternateContent>
                <mc:Choice Requires="wps">
                  <w:drawing>
                    <wp:anchor distT="0" distB="0" distL="114300" distR="114300" simplePos="0" relativeHeight="251713536" behindDoc="0" locked="0" layoutInCell="1" allowOverlap="1" wp14:anchorId="73C56258" wp14:editId="650A0103">
                      <wp:simplePos x="0" y="0"/>
                      <wp:positionH relativeFrom="column">
                        <wp:posOffset>394872</wp:posOffset>
                      </wp:positionH>
                      <wp:positionV relativeFrom="paragraph">
                        <wp:posOffset>1886976</wp:posOffset>
                      </wp:positionV>
                      <wp:extent cx="2828925" cy="214686"/>
                      <wp:effectExtent l="0" t="0" r="9525" b="0"/>
                      <wp:wrapNone/>
                      <wp:docPr id="15" name="Text Box 24"/>
                      <wp:cNvGraphicFramePr/>
                      <a:graphic xmlns:a="http://schemas.openxmlformats.org/drawingml/2006/main">
                        <a:graphicData uri="http://schemas.microsoft.com/office/word/2010/wordprocessingShape">
                          <wps:wsp>
                            <wps:cNvSpPr txBox="1"/>
                            <wps:spPr>
                              <a:xfrm>
                                <a:off x="0" y="0"/>
                                <a:ext cx="2828925" cy="214686"/>
                              </a:xfrm>
                              <a:prstGeom prst="rect">
                                <a:avLst/>
                              </a:prstGeom>
                              <a:solidFill>
                                <a:schemeClr val="lt1"/>
                              </a:solidFill>
                              <a:ln w="6350">
                                <a:noFill/>
                              </a:ln>
                            </wps:spPr>
                            <wps:txbx>
                              <w:txbxContent>
                                <w:p w14:paraId="21296E19" w14:textId="18FEA0B8" w:rsidR="005C20BF" w:rsidRPr="00B17C55" w:rsidRDefault="005C20BF" w:rsidP="00A16D0D">
                                  <w:pPr>
                                    <w:rPr>
                                      <w:sz w:val="16"/>
                                      <w:szCs w:val="11"/>
                                    </w:rPr>
                                  </w:pPr>
                                  <w:r>
                                    <w:rPr>
                                      <w:sz w:val="16"/>
                                      <w:szCs w:val="11"/>
                                    </w:rPr>
                                    <w:t xml:space="preserve">    </w:t>
                                  </w:r>
                                  <w:r w:rsidRPr="00B17C55">
                                    <w:rPr>
                                      <w:sz w:val="16"/>
                                      <w:szCs w:val="11"/>
                                    </w:rPr>
                                    <w:t xml:space="preserve">Fuente: </w:t>
                                  </w:r>
                                  <w:r>
                                    <w:rPr>
                                      <w:bCs/>
                                      <w:sz w:val="16"/>
                                      <w:szCs w:val="11"/>
                                    </w:rPr>
                                    <w:t>Ministerio de Finanzas Públicas</w:t>
                                  </w:r>
                                  <w:r w:rsidRPr="00A614CD">
                                    <w:rPr>
                                      <w:bCs/>
                                      <w:sz w:val="16"/>
                                      <w:szCs w:val="11"/>
                                    </w:rPr>
                                    <w:t xml:space="preserve"> </w:t>
                                  </w:r>
                                  <w:r w:rsidRPr="00B17C55">
                                    <w:rPr>
                                      <w:sz w:val="16"/>
                                      <w:szCs w:val="11"/>
                                    </w:rPr>
                                    <w:t>con información de BANGUAT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73C56258" id="Text Box 24" o:spid="_x0000_s1029" type="#_x0000_t202" style="position:absolute;left:0;text-align:left;margin-left:31.1pt;margin-top:148.6pt;width:222.75pt;height:1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" fillcolor="white [3201]" stroked="f" strokeweight=".5pt">
                      <v:textbox>
                        <w:txbxContent>
                          <w:p w14:paraId="21296E19" w14:textId="18FEA0B8" w:rsidR="005C20BF" w:rsidRPr="00B17C55" w:rsidRDefault="005C20BF" w:rsidP="00A16D0D">
                            <w:pPr>
                              <w:rPr>
                                <w:sz w:val="16"/>
                                <w:szCs w:val="11"/>
                              </w:rPr>
                            </w:pPr>
                            <w:r>
                              <w:rPr>
                                <w:sz w:val="16"/>
                                <w:szCs w:val="11"/>
                              </w:rPr>
                              <w:t xml:space="preserve">    </w:t>
                            </w:r>
                            <w:r w:rsidRPr="00B17C55">
                              <w:rPr>
                                <w:sz w:val="16"/>
                                <w:szCs w:val="11"/>
                              </w:rPr>
                              <w:t xml:space="preserve">Fuente: </w:t>
                            </w:r>
                            <w:r>
                              <w:rPr>
                                <w:bCs/>
                                <w:sz w:val="16"/>
                                <w:szCs w:val="11"/>
                              </w:rPr>
                              <w:t>Ministerio de Finanzas Públicas</w:t>
                            </w:r>
                            <w:r w:rsidRPr="00A614CD">
                              <w:rPr>
                                <w:bCs/>
                                <w:sz w:val="16"/>
                                <w:szCs w:val="11"/>
                              </w:rPr>
                              <w:t xml:space="preserve"> </w:t>
                            </w:r>
                            <w:r w:rsidRPr="00B17C55">
                              <w:rPr>
                                <w:sz w:val="16"/>
                                <w:szCs w:val="11"/>
                              </w:rPr>
                              <w:t>con información de BANGUAT</w:t>
                            </w:r>
                          </w:p>
                        </w:txbxContent>
                      </v:textbox>
                    </v:shape>
                  </w:pict>
                </mc:Fallback>
              </mc:AlternateContent>
            </w:r>
            <w:r>
              <w:rPr>
                <w:noProof/>
                <w:lang w:val="es-GT" w:eastAsia="es-GT"/>
              </w:rPr>
              <w:drawing>
                <wp:inline distT="0" distB="0" distL="0" distR="0" wp14:anchorId="1144CB9A" wp14:editId="4BD5C7D3">
                  <wp:extent cx="2638425" cy="1800000"/>
                  <wp:effectExtent l="0" t="0" r="0" b="0"/>
                  <wp:docPr id="73" name="Gráfico 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CFC6A85-087C-41B9-B45A-B3F3698E9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202" w:type="dxa"/>
          </w:tcPr>
          <w:p w14:paraId="18ADEFF4" w14:textId="0C93DC28" w:rsidR="00A16D0D" w:rsidRPr="00FE76BD" w:rsidRDefault="00CC7AC6" w:rsidP="00BC0D90">
            <w:pPr>
              <w:pStyle w:val="Epgrafe"/>
              <w:keepNext/>
              <w:ind w:left="567" w:right="49"/>
              <w:rPr>
                <w:color w:val="auto"/>
                <w:sz w:val="24"/>
                <w:szCs w:val="24"/>
              </w:rPr>
            </w:pPr>
            <w:r>
              <w:rPr>
                <w:color w:val="auto"/>
                <w:sz w:val="24"/>
                <w:szCs w:val="24"/>
              </w:rPr>
              <w:t>Gráfica 9</w:t>
            </w:r>
            <w:r w:rsidR="00814706">
              <w:rPr>
                <w:color w:val="auto"/>
                <w:sz w:val="24"/>
                <w:szCs w:val="24"/>
              </w:rPr>
              <w:t xml:space="preserve">.  </w:t>
            </w:r>
            <w:r w:rsidR="00A16D0D" w:rsidRPr="00FE76BD">
              <w:rPr>
                <w:color w:val="auto"/>
                <w:sz w:val="24"/>
                <w:szCs w:val="24"/>
              </w:rPr>
              <w:t xml:space="preserve">Importaciones </w:t>
            </w:r>
            <w:r w:rsidR="00A16D0D">
              <w:rPr>
                <w:color w:val="auto"/>
                <w:sz w:val="24"/>
                <w:szCs w:val="24"/>
              </w:rPr>
              <w:t>CIF</w:t>
            </w:r>
          </w:p>
          <w:p w14:paraId="63DB2CD8" w14:textId="77777777" w:rsidR="00A16D0D" w:rsidRPr="00FE76BD" w:rsidRDefault="00A16D0D" w:rsidP="00BC0D90">
            <w:pPr>
              <w:pStyle w:val="Epgrafe"/>
              <w:keepNext/>
              <w:ind w:left="567" w:right="49"/>
              <w:rPr>
                <w:color w:val="auto"/>
                <w:sz w:val="24"/>
                <w:szCs w:val="24"/>
              </w:rPr>
            </w:pPr>
            <w:r w:rsidRPr="00FE76BD">
              <w:rPr>
                <w:b w:val="0"/>
                <w:bCs/>
                <w:color w:val="auto"/>
                <w:sz w:val="24"/>
                <w:szCs w:val="24"/>
              </w:rPr>
              <w:t>Desviación de las proyecciones respecto al observado de 20</w:t>
            </w:r>
            <w:r>
              <w:rPr>
                <w:b w:val="0"/>
                <w:bCs/>
                <w:color w:val="auto"/>
                <w:sz w:val="24"/>
                <w:szCs w:val="24"/>
              </w:rPr>
              <w:t>20</w:t>
            </w:r>
          </w:p>
          <w:p w14:paraId="6A544610" w14:textId="77777777" w:rsidR="00A16D0D" w:rsidRPr="00B17C55" w:rsidRDefault="00A16D0D" w:rsidP="00BC0D90">
            <w:pPr>
              <w:pStyle w:val="Epgrafe"/>
              <w:keepNext/>
              <w:ind w:left="567" w:right="49"/>
              <w:jc w:val="both"/>
              <w:rPr>
                <w:color w:val="FFFFFF" w:themeColor="background1"/>
                <w:sz w:val="24"/>
                <w:szCs w:val="24"/>
              </w:rPr>
            </w:pPr>
            <w:r w:rsidRPr="00B17C55">
              <w:rPr>
                <w:noProof/>
                <w:color w:val="FFFFFF" w:themeColor="background1"/>
                <w:lang w:val="es-GT" w:eastAsia="es-GT"/>
              </w:rPr>
              <w:drawing>
                <wp:inline distT="0" distB="0" distL="0" distR="0" wp14:anchorId="178B0C40" wp14:editId="635FCD88">
                  <wp:extent cx="2771775" cy="1800000"/>
                  <wp:effectExtent l="0" t="0" r="0" b="0"/>
                  <wp:docPr id="74" name="Gráfico 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4934643-0ABF-4E51-A85C-6215E7FCA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EF110A4" w14:textId="77777777" w:rsidR="00287546" w:rsidRDefault="00287546" w:rsidP="00E64BE4">
      <w:pPr>
        <w:ind w:left="567" w:right="49"/>
        <w:jc w:val="both"/>
        <w:rPr>
          <w:sz w:val="24"/>
          <w:szCs w:val="24"/>
          <w:lang w:val="es-MX"/>
        </w:rPr>
      </w:pPr>
    </w:p>
    <w:p w14:paraId="16925404" w14:textId="586B2C5F" w:rsidR="005A1913" w:rsidRDefault="004D12AF" w:rsidP="00E64BE4">
      <w:pPr>
        <w:ind w:left="567" w:right="49"/>
        <w:jc w:val="both"/>
        <w:rPr>
          <w:sz w:val="24"/>
          <w:szCs w:val="24"/>
          <w:lang w:val="es-MX"/>
        </w:rPr>
      </w:pPr>
      <w:r>
        <w:rPr>
          <w:sz w:val="24"/>
          <w:szCs w:val="24"/>
          <w:lang w:val="es-MX"/>
        </w:rPr>
        <w:t xml:space="preserve">Los pronósticos de las variables macroeconómicas para el 2021 han sido al alza como resultado del efecto en “V” por la caída del 2020. En ese sentido, en diciembre del 2020 el Banco de Guatemala proyectó que el PIB del 2021 crecería 3.5%, dicho pronostico se mantuvo sin ninguna </w:t>
      </w:r>
      <w:r>
        <w:rPr>
          <w:sz w:val="24"/>
          <w:szCs w:val="24"/>
          <w:lang w:val="es-MX"/>
        </w:rPr>
        <w:lastRenderedPageBreak/>
        <w:t>variación en la revisión de marzo del 2021.  Además, dado el buen escenario que se vislumbraba en el ambiente, en la nueva revisión de abril este aumentó a 4.0%, es decir, varió positivamente 0.5% respecto al crecimiento anunciado</w:t>
      </w:r>
      <w:r w:rsidR="00853F23">
        <w:rPr>
          <w:sz w:val="24"/>
          <w:szCs w:val="24"/>
          <w:lang w:val="es-MX"/>
        </w:rPr>
        <w:t xml:space="preserve">, sin </w:t>
      </w:r>
      <w:r w:rsidR="005A1913">
        <w:rPr>
          <w:sz w:val="24"/>
          <w:szCs w:val="24"/>
          <w:lang w:val="es-MX"/>
        </w:rPr>
        <w:t>embargo,</w:t>
      </w:r>
      <w:r w:rsidR="00853F23">
        <w:rPr>
          <w:sz w:val="24"/>
          <w:szCs w:val="24"/>
          <w:lang w:val="es-MX"/>
        </w:rPr>
        <w:t xml:space="preserve"> en la revisión </w:t>
      </w:r>
      <w:r w:rsidR="00EF7048">
        <w:rPr>
          <w:sz w:val="24"/>
          <w:szCs w:val="24"/>
          <w:lang w:val="es-MX"/>
        </w:rPr>
        <w:t>más</w:t>
      </w:r>
      <w:r w:rsidR="00853F23">
        <w:rPr>
          <w:sz w:val="24"/>
          <w:szCs w:val="24"/>
          <w:lang w:val="es-MX"/>
        </w:rPr>
        <w:t xml:space="preserve"> reciente de julio se pronosticó que el crecimiento será de 5.0% variando positivamente 1.5 puntos porcentuales respecto al anunciado en diciembre del 2020 de 3.5%.</w:t>
      </w:r>
      <w:r w:rsidR="005A1913">
        <w:rPr>
          <w:sz w:val="24"/>
          <w:szCs w:val="24"/>
          <w:lang w:val="es-MX"/>
        </w:rPr>
        <w:t xml:space="preserve"> </w:t>
      </w:r>
      <w:r w:rsidR="00E64BE4">
        <w:rPr>
          <w:sz w:val="24"/>
          <w:szCs w:val="24"/>
          <w:lang w:val="es-MX"/>
        </w:rPr>
        <w:t>En el primer trimestre del 2021 se registra un crecimiento de 4.8% del PIB trimestral</w:t>
      </w:r>
      <w:r w:rsidR="005A1913">
        <w:rPr>
          <w:sz w:val="24"/>
          <w:szCs w:val="24"/>
          <w:lang w:val="es-MX"/>
        </w:rPr>
        <w:t>.</w:t>
      </w:r>
    </w:p>
    <w:p w14:paraId="22920E75" w14:textId="77777777" w:rsidR="00287546" w:rsidRDefault="00287546" w:rsidP="00E64BE4">
      <w:pPr>
        <w:ind w:left="567" w:right="49"/>
        <w:jc w:val="both"/>
        <w:rPr>
          <w:sz w:val="24"/>
          <w:szCs w:val="24"/>
          <w:lang w:val="es-MX"/>
        </w:rPr>
      </w:pPr>
    </w:p>
    <w:p w14:paraId="471856F8" w14:textId="37A23C29" w:rsidR="00246A61" w:rsidRDefault="005A1913" w:rsidP="00E64BE4">
      <w:pPr>
        <w:ind w:left="567" w:right="49"/>
        <w:jc w:val="both"/>
        <w:rPr>
          <w:sz w:val="24"/>
          <w:szCs w:val="24"/>
          <w:lang w:val="es-MX"/>
        </w:rPr>
      </w:pPr>
      <w:r>
        <w:rPr>
          <w:sz w:val="24"/>
          <w:szCs w:val="24"/>
          <w:lang w:val="es-MX"/>
        </w:rPr>
        <w:t>P</w:t>
      </w:r>
      <w:r w:rsidR="00E64BE4">
        <w:rPr>
          <w:sz w:val="24"/>
          <w:szCs w:val="24"/>
          <w:lang w:val="es-MX"/>
        </w:rPr>
        <w:t>ara el caso del PIB Nominal en diciembre del 2020 el Banco Central de Guatemala pronosticó un crecimiento de 6.2%, en marzo se realizó una revisión de las variables macroeconómicas y dicha variable no tuvo ninguna variación, sin embargo, en abril var</w:t>
      </w:r>
      <w:r w:rsidR="00345DED">
        <w:rPr>
          <w:sz w:val="24"/>
          <w:szCs w:val="24"/>
          <w:lang w:val="es-MX"/>
        </w:rPr>
        <w:t>ió</w:t>
      </w:r>
      <w:r w:rsidR="00E64BE4">
        <w:rPr>
          <w:sz w:val="24"/>
          <w:szCs w:val="24"/>
          <w:lang w:val="es-MX"/>
        </w:rPr>
        <w:t xml:space="preserve"> positivamente en 1 p</w:t>
      </w:r>
      <w:r w:rsidR="00345DED">
        <w:rPr>
          <w:sz w:val="24"/>
          <w:szCs w:val="24"/>
          <w:lang w:val="es-MX"/>
        </w:rPr>
        <w:t>unto porcentual</w:t>
      </w:r>
      <w:r>
        <w:rPr>
          <w:sz w:val="24"/>
          <w:szCs w:val="24"/>
          <w:lang w:val="es-MX"/>
        </w:rPr>
        <w:t xml:space="preserve"> </w:t>
      </w:r>
      <w:r w:rsidR="00345DED">
        <w:rPr>
          <w:sz w:val="24"/>
          <w:szCs w:val="24"/>
          <w:lang w:val="es-MX"/>
        </w:rPr>
        <w:t xml:space="preserve">dicho pronostico </w:t>
      </w:r>
      <w:r>
        <w:rPr>
          <w:sz w:val="24"/>
          <w:szCs w:val="24"/>
          <w:lang w:val="es-MX"/>
        </w:rPr>
        <w:t>y para julio nuevamente se revisó al alza en 2.5 p</w:t>
      </w:r>
      <w:r w:rsidR="00345DED">
        <w:rPr>
          <w:sz w:val="24"/>
          <w:szCs w:val="24"/>
          <w:lang w:val="es-MX"/>
        </w:rPr>
        <w:t>untos porcentuales</w:t>
      </w:r>
      <w:r w:rsidR="00E64BE4">
        <w:rPr>
          <w:sz w:val="24"/>
          <w:szCs w:val="24"/>
          <w:lang w:val="es-MX"/>
        </w:rPr>
        <w:t xml:space="preserve">, es decir que para el final del 2021 </w:t>
      </w:r>
      <w:r w:rsidR="00345DED">
        <w:rPr>
          <w:sz w:val="24"/>
          <w:szCs w:val="24"/>
          <w:lang w:val="es-MX"/>
        </w:rPr>
        <w:t xml:space="preserve">se pronostica </w:t>
      </w:r>
      <w:r w:rsidR="00E64BE4">
        <w:rPr>
          <w:sz w:val="24"/>
          <w:szCs w:val="24"/>
          <w:lang w:val="es-MX"/>
        </w:rPr>
        <w:t xml:space="preserve">un crecimiento de </w:t>
      </w:r>
      <w:r>
        <w:rPr>
          <w:sz w:val="24"/>
          <w:szCs w:val="24"/>
          <w:lang w:val="es-MX"/>
        </w:rPr>
        <w:t>8.</w:t>
      </w:r>
      <w:r w:rsidR="00E64BE4">
        <w:rPr>
          <w:sz w:val="24"/>
          <w:szCs w:val="24"/>
          <w:lang w:val="es-MX"/>
        </w:rPr>
        <w:t>7%.</w:t>
      </w:r>
    </w:p>
    <w:p w14:paraId="0BCD3892" w14:textId="77777777" w:rsidR="00246A61" w:rsidRDefault="00246A61" w:rsidP="00E64BE4">
      <w:pPr>
        <w:ind w:right="49"/>
        <w:jc w:val="both"/>
        <w:rPr>
          <w:color w:val="FF0000"/>
          <w:sz w:val="24"/>
          <w:szCs w:val="24"/>
          <w:lang w:val="es-MX"/>
        </w:rPr>
      </w:pPr>
    </w:p>
    <w:tbl>
      <w:tblPr>
        <w:tblStyle w:val="Tablaconcuadrcula"/>
        <w:tblpPr w:leftFromText="180" w:rightFromText="180" w:vertAnchor="text" w:horzAnchor="page" w:tblpX="1425" w:tblpY="26"/>
        <w:tblW w:w="9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5140"/>
      </w:tblGrid>
      <w:tr w:rsidR="00E64BE4" w:rsidRPr="00815063" w14:paraId="3479D548" w14:textId="77777777" w:rsidTr="00EF0CE5">
        <w:trPr>
          <w:trHeight w:val="74"/>
        </w:trPr>
        <w:tc>
          <w:tcPr>
            <w:tcW w:w="4791" w:type="dxa"/>
          </w:tcPr>
          <w:p w14:paraId="1B3D1C3F" w14:textId="60643776" w:rsidR="005A1913" w:rsidRDefault="00CC7AC6" w:rsidP="00640235">
            <w:pPr>
              <w:pStyle w:val="Epgrafe"/>
              <w:keepNext/>
              <w:ind w:right="49"/>
              <w:rPr>
                <w:color w:val="auto"/>
                <w:sz w:val="24"/>
                <w:szCs w:val="24"/>
              </w:rPr>
            </w:pPr>
            <w:r>
              <w:rPr>
                <w:color w:val="auto"/>
                <w:sz w:val="24"/>
                <w:szCs w:val="24"/>
              </w:rPr>
              <w:t>Gráfica 10</w:t>
            </w:r>
            <w:r w:rsidR="00814706">
              <w:rPr>
                <w:color w:val="auto"/>
                <w:sz w:val="24"/>
                <w:szCs w:val="24"/>
              </w:rPr>
              <w:t xml:space="preserve">.  </w:t>
            </w:r>
            <w:r w:rsidR="00E64BE4" w:rsidRPr="0016044A">
              <w:rPr>
                <w:color w:val="auto"/>
                <w:sz w:val="24"/>
                <w:szCs w:val="24"/>
              </w:rPr>
              <w:t xml:space="preserve">Pronóstico del PIB </w:t>
            </w:r>
          </w:p>
          <w:p w14:paraId="5AFFEFA9" w14:textId="09AD3594" w:rsidR="00E64BE4" w:rsidRDefault="005A1913" w:rsidP="00640235">
            <w:pPr>
              <w:pStyle w:val="Epgrafe"/>
              <w:keepNext/>
              <w:ind w:right="49"/>
              <w:rPr>
                <w:color w:val="auto"/>
                <w:sz w:val="24"/>
                <w:szCs w:val="24"/>
              </w:rPr>
            </w:pPr>
            <w:r>
              <w:rPr>
                <w:color w:val="auto"/>
                <w:sz w:val="24"/>
                <w:szCs w:val="24"/>
              </w:rPr>
              <w:t xml:space="preserve">        </w:t>
            </w:r>
            <w:r w:rsidR="00E64BE4" w:rsidRPr="0016044A">
              <w:rPr>
                <w:color w:val="auto"/>
                <w:sz w:val="24"/>
                <w:szCs w:val="24"/>
              </w:rPr>
              <w:t>real de 2021</w:t>
            </w:r>
          </w:p>
          <w:p w14:paraId="5C6C13EC" w14:textId="35D22DAD" w:rsidR="00E64BE4" w:rsidRPr="00EF0CE5" w:rsidRDefault="00853F23" w:rsidP="00EF0CE5">
            <w:r>
              <w:rPr>
                <w:noProof/>
                <w:lang w:val="es-GT" w:eastAsia="es-GT"/>
              </w:rPr>
              <w:drawing>
                <wp:inline distT="0" distB="0" distL="0" distR="0" wp14:anchorId="47C039ED" wp14:editId="4F60E0C5">
                  <wp:extent cx="2905125" cy="1958975"/>
                  <wp:effectExtent l="0" t="0" r="0" b="3175"/>
                  <wp:docPr id="1" name="Gráfico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4ED703C-19D5-4FDC-B28D-3DCAFE3C8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40" w:type="dxa"/>
          </w:tcPr>
          <w:p w14:paraId="2A07E206" w14:textId="4EED8F44" w:rsidR="005A1913" w:rsidRDefault="00345DED" w:rsidP="00640235">
            <w:pPr>
              <w:pStyle w:val="Epgrafe"/>
              <w:keepNext/>
              <w:ind w:right="49"/>
              <w:jc w:val="left"/>
              <w:rPr>
                <w:color w:val="auto"/>
                <w:sz w:val="24"/>
                <w:szCs w:val="24"/>
              </w:rPr>
            </w:pPr>
            <w:r>
              <w:rPr>
                <w:color w:val="auto"/>
                <w:sz w:val="24"/>
                <w:szCs w:val="24"/>
              </w:rPr>
              <w:t xml:space="preserve">             </w:t>
            </w:r>
            <w:r w:rsidR="00814706" w:rsidRPr="00640235">
              <w:rPr>
                <w:color w:val="auto"/>
                <w:sz w:val="24"/>
                <w:szCs w:val="24"/>
              </w:rPr>
              <w:t>Gráfica</w:t>
            </w:r>
            <w:r w:rsidR="00853F23" w:rsidRPr="00640235">
              <w:rPr>
                <w:color w:val="auto"/>
                <w:sz w:val="24"/>
                <w:szCs w:val="24"/>
              </w:rPr>
              <w:t xml:space="preserve"> </w:t>
            </w:r>
            <w:r w:rsidR="00CC7AC6">
              <w:rPr>
                <w:color w:val="auto"/>
                <w:sz w:val="24"/>
                <w:szCs w:val="24"/>
              </w:rPr>
              <w:t>11</w:t>
            </w:r>
            <w:r w:rsidR="00814706" w:rsidRPr="00640235">
              <w:rPr>
                <w:color w:val="auto"/>
                <w:sz w:val="24"/>
                <w:szCs w:val="24"/>
              </w:rPr>
              <w:t xml:space="preserve">.  </w:t>
            </w:r>
            <w:r w:rsidR="00E64BE4" w:rsidRPr="00640235">
              <w:rPr>
                <w:color w:val="auto"/>
                <w:sz w:val="24"/>
                <w:szCs w:val="24"/>
              </w:rPr>
              <w:t xml:space="preserve">Pronóstico del PIB </w:t>
            </w:r>
          </w:p>
          <w:p w14:paraId="394522B2" w14:textId="52058385" w:rsidR="00E64BE4" w:rsidRPr="00640235" w:rsidRDefault="005A1913" w:rsidP="00640235">
            <w:pPr>
              <w:pStyle w:val="Epgrafe"/>
              <w:keepNext/>
              <w:ind w:right="49"/>
              <w:jc w:val="left"/>
              <w:rPr>
                <w:color w:val="auto"/>
                <w:sz w:val="24"/>
                <w:szCs w:val="24"/>
              </w:rPr>
            </w:pPr>
            <w:r>
              <w:rPr>
                <w:color w:val="auto"/>
                <w:sz w:val="24"/>
                <w:szCs w:val="24"/>
              </w:rPr>
              <w:t xml:space="preserve">               </w:t>
            </w:r>
            <w:r w:rsidR="00345DED">
              <w:rPr>
                <w:color w:val="auto"/>
                <w:sz w:val="24"/>
                <w:szCs w:val="24"/>
              </w:rPr>
              <w:t xml:space="preserve">             </w:t>
            </w:r>
            <w:r>
              <w:rPr>
                <w:color w:val="auto"/>
                <w:sz w:val="24"/>
                <w:szCs w:val="24"/>
              </w:rPr>
              <w:t xml:space="preserve">       </w:t>
            </w:r>
            <w:r w:rsidR="00E64BE4" w:rsidRPr="00640235">
              <w:rPr>
                <w:color w:val="auto"/>
                <w:sz w:val="24"/>
                <w:szCs w:val="24"/>
              </w:rPr>
              <w:t>nominal de 2021</w:t>
            </w:r>
          </w:p>
          <w:p w14:paraId="2C50D7F6" w14:textId="487F0BF9" w:rsidR="00E64BE4" w:rsidRPr="00815063" w:rsidRDefault="00853F23" w:rsidP="00640235">
            <w:pPr>
              <w:ind w:right="49"/>
              <w:jc w:val="both"/>
              <w:rPr>
                <w:noProof/>
                <w14:textOutline w14:w="9525" w14:cap="rnd" w14:cmpd="sng" w14:algn="ctr">
                  <w14:noFill/>
                  <w14:prstDash w14:val="solid"/>
                  <w14:bevel/>
                </w14:textOutline>
              </w:rPr>
            </w:pPr>
            <w:r>
              <w:rPr>
                <w:noProof/>
                <w:lang w:val="es-GT" w:eastAsia="es-GT"/>
              </w:rPr>
              <w:drawing>
                <wp:inline distT="0" distB="0" distL="0" distR="0" wp14:anchorId="4CFB2852" wp14:editId="5A1DB60F">
                  <wp:extent cx="3095625" cy="1930400"/>
                  <wp:effectExtent l="0" t="0" r="0" b="0"/>
                  <wp:docPr id="4" name="Gráfico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C19411F-946D-451C-AE71-DFC9BB83F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EF0CE5" w:rsidRPr="00815063" w14:paraId="4DAF96F3" w14:textId="77777777" w:rsidTr="00EF0CE5">
        <w:trPr>
          <w:trHeight w:val="291"/>
        </w:trPr>
        <w:tc>
          <w:tcPr>
            <w:tcW w:w="9931" w:type="dxa"/>
            <w:gridSpan w:val="2"/>
          </w:tcPr>
          <w:p w14:paraId="017DAF02" w14:textId="6AA54B7E" w:rsidR="00EF0CE5" w:rsidRPr="000C6199" w:rsidRDefault="00EF0CE5" w:rsidP="00640235">
            <w:pPr>
              <w:ind w:right="49"/>
              <w:jc w:val="both"/>
              <w:rPr>
                <w:sz w:val="24"/>
                <w:szCs w:val="24"/>
                <w:lang w:val="es-MX"/>
                <w14:textOutline w14:w="9525" w14:cap="rnd" w14:cmpd="sng" w14:algn="ctr">
                  <w14:noFill/>
                  <w14:prstDash w14:val="solid"/>
                  <w14:bevel/>
                </w14:textOutline>
              </w:rPr>
            </w:pPr>
            <w:r w:rsidRPr="00B17C55">
              <w:rPr>
                <w:sz w:val="16"/>
                <w:szCs w:val="11"/>
              </w:rPr>
              <w:t xml:space="preserve">Fuente: </w:t>
            </w:r>
            <w:r>
              <w:rPr>
                <w:bCs/>
                <w:sz w:val="16"/>
                <w:szCs w:val="11"/>
              </w:rPr>
              <w:t xml:space="preserve"> Ministerio de Finanzas Públicas</w:t>
            </w:r>
            <w:r w:rsidRPr="00A614CD">
              <w:rPr>
                <w:bCs/>
                <w:sz w:val="16"/>
                <w:szCs w:val="11"/>
              </w:rPr>
              <w:t xml:space="preserve"> </w:t>
            </w:r>
            <w:r w:rsidRPr="00B17C55">
              <w:rPr>
                <w:sz w:val="16"/>
                <w:szCs w:val="11"/>
              </w:rPr>
              <w:t>con información de BANGUAT</w:t>
            </w:r>
          </w:p>
        </w:tc>
      </w:tr>
    </w:tbl>
    <w:p w14:paraId="643EBD18" w14:textId="77777777" w:rsidR="00E64BE4" w:rsidRPr="004A1975" w:rsidRDefault="00E64BE4" w:rsidP="00E64BE4">
      <w:pPr>
        <w:ind w:right="49"/>
        <w:jc w:val="both"/>
        <w:rPr>
          <w:color w:val="FF0000"/>
          <w:sz w:val="2"/>
          <w:szCs w:val="24"/>
          <w:lang w:val="es-MX"/>
        </w:rPr>
      </w:pPr>
    </w:p>
    <w:p w14:paraId="55E93EB3" w14:textId="6614E22D" w:rsidR="0045561C" w:rsidRDefault="0045561C" w:rsidP="0045561C">
      <w:pPr>
        <w:ind w:left="567" w:right="49"/>
        <w:jc w:val="both"/>
        <w:rPr>
          <w:sz w:val="24"/>
          <w:szCs w:val="24"/>
          <w:lang w:val="es-MX"/>
        </w:rPr>
      </w:pPr>
      <w:r>
        <w:rPr>
          <w:sz w:val="24"/>
          <w:szCs w:val="24"/>
          <w:lang w:val="es-MX"/>
        </w:rPr>
        <w:t>En el caso de las operaciones de comercio exterior, el pronóstico en diciembre del 2020 para las exportaciones al final del 2021 era de 9.</w:t>
      </w:r>
      <w:r w:rsidR="00C03E73">
        <w:rPr>
          <w:sz w:val="24"/>
          <w:szCs w:val="24"/>
          <w:lang w:val="es-MX"/>
        </w:rPr>
        <w:t>0</w:t>
      </w:r>
      <w:r>
        <w:rPr>
          <w:sz w:val="24"/>
          <w:szCs w:val="24"/>
          <w:lang w:val="es-MX"/>
        </w:rPr>
        <w:t>%, en la revisión de marzo no sufrió ninguna variación dicha variabl</w:t>
      </w:r>
      <w:r w:rsidR="00C03E73">
        <w:rPr>
          <w:sz w:val="24"/>
          <w:szCs w:val="24"/>
          <w:lang w:val="es-MX"/>
        </w:rPr>
        <w:t xml:space="preserve">e, </w:t>
      </w:r>
      <w:r w:rsidR="00345DED">
        <w:rPr>
          <w:sz w:val="24"/>
          <w:szCs w:val="24"/>
          <w:lang w:val="es-MX"/>
        </w:rPr>
        <w:t xml:space="preserve">pero en la de </w:t>
      </w:r>
      <w:r>
        <w:rPr>
          <w:sz w:val="24"/>
          <w:szCs w:val="24"/>
          <w:lang w:val="es-MX"/>
        </w:rPr>
        <w:t>abril este varío positivamente 1.</w:t>
      </w:r>
      <w:r w:rsidR="00C03E73">
        <w:rPr>
          <w:sz w:val="24"/>
          <w:szCs w:val="24"/>
          <w:lang w:val="es-MX"/>
        </w:rPr>
        <w:t>0</w:t>
      </w:r>
      <w:r>
        <w:rPr>
          <w:sz w:val="24"/>
          <w:szCs w:val="24"/>
          <w:lang w:val="es-MX"/>
        </w:rPr>
        <w:t xml:space="preserve"> puntos porcentuales por lo que se ubicó en 1</w:t>
      </w:r>
      <w:r w:rsidR="00C03E73">
        <w:rPr>
          <w:sz w:val="24"/>
          <w:szCs w:val="24"/>
          <w:lang w:val="es-MX"/>
        </w:rPr>
        <w:t>0</w:t>
      </w:r>
      <w:r>
        <w:rPr>
          <w:sz w:val="24"/>
          <w:szCs w:val="24"/>
          <w:lang w:val="es-MX"/>
        </w:rPr>
        <w:t>.0%, derivado del crecimiento del precio medio de los productos de exportación</w:t>
      </w:r>
      <w:r w:rsidR="00C03E73">
        <w:rPr>
          <w:sz w:val="24"/>
          <w:szCs w:val="24"/>
          <w:lang w:val="es-MX"/>
        </w:rPr>
        <w:t>, para julio se revisó al alza nuevamente, ubicándose en 12.0% es decir una variación de 3.0 puntos porcentuales</w:t>
      </w:r>
      <w:r w:rsidR="00DF1FAE">
        <w:rPr>
          <w:sz w:val="24"/>
          <w:szCs w:val="24"/>
          <w:lang w:val="es-MX"/>
        </w:rPr>
        <w:t>; h</w:t>
      </w:r>
      <w:r>
        <w:rPr>
          <w:sz w:val="24"/>
          <w:szCs w:val="24"/>
          <w:lang w:val="es-MX"/>
        </w:rPr>
        <w:t xml:space="preserve">asta mayo dicha variable registró una variación acumulada de </w:t>
      </w:r>
      <w:r w:rsidR="00DF1FAE">
        <w:rPr>
          <w:sz w:val="24"/>
          <w:szCs w:val="24"/>
          <w:lang w:val="es-MX"/>
        </w:rPr>
        <w:t>20.8</w:t>
      </w:r>
      <w:r>
        <w:rPr>
          <w:sz w:val="24"/>
          <w:szCs w:val="24"/>
          <w:lang w:val="es-MX"/>
        </w:rPr>
        <w:t>%</w:t>
      </w:r>
      <w:r w:rsidR="00DF1FAE">
        <w:rPr>
          <w:sz w:val="24"/>
          <w:szCs w:val="24"/>
          <w:lang w:val="es-MX"/>
        </w:rPr>
        <w:t>.</w:t>
      </w:r>
      <w:r>
        <w:rPr>
          <w:sz w:val="24"/>
          <w:szCs w:val="24"/>
          <w:lang w:val="es-MX"/>
        </w:rPr>
        <w:t xml:space="preserve"> </w:t>
      </w:r>
      <w:r w:rsidR="00DF1FAE">
        <w:rPr>
          <w:sz w:val="24"/>
          <w:szCs w:val="24"/>
          <w:lang w:val="es-MX"/>
        </w:rPr>
        <w:t>P</w:t>
      </w:r>
      <w:r>
        <w:rPr>
          <w:sz w:val="24"/>
          <w:szCs w:val="24"/>
          <w:lang w:val="es-MX"/>
        </w:rPr>
        <w:t>ara las importaciones</w:t>
      </w:r>
      <w:r w:rsidR="00DF1FAE">
        <w:rPr>
          <w:sz w:val="24"/>
          <w:szCs w:val="24"/>
          <w:lang w:val="es-MX"/>
        </w:rPr>
        <w:t xml:space="preserve"> </w:t>
      </w:r>
      <w:r>
        <w:rPr>
          <w:sz w:val="24"/>
          <w:szCs w:val="24"/>
          <w:lang w:val="es-MX"/>
        </w:rPr>
        <w:t>el Banco Central de Guatemala pronosticó en diciembre del 2020 que estas registrarían un crecimiento de 9.</w:t>
      </w:r>
      <w:r w:rsidR="00DF1FAE">
        <w:rPr>
          <w:sz w:val="24"/>
          <w:szCs w:val="24"/>
          <w:lang w:val="es-MX"/>
        </w:rPr>
        <w:t>5</w:t>
      </w:r>
      <w:r>
        <w:rPr>
          <w:sz w:val="24"/>
          <w:szCs w:val="24"/>
          <w:lang w:val="es-MX"/>
        </w:rPr>
        <w:t xml:space="preserve">% en el 2021, en la revisión de marzo las mismas no variaron, </w:t>
      </w:r>
      <w:r w:rsidR="00345DED">
        <w:rPr>
          <w:sz w:val="24"/>
          <w:szCs w:val="24"/>
          <w:lang w:val="es-MX"/>
        </w:rPr>
        <w:t xml:space="preserve">pero en </w:t>
      </w:r>
      <w:r>
        <w:rPr>
          <w:sz w:val="24"/>
          <w:szCs w:val="24"/>
          <w:lang w:val="es-MX"/>
        </w:rPr>
        <w:t>abril</w:t>
      </w:r>
      <w:r w:rsidR="00345DED">
        <w:rPr>
          <w:sz w:val="24"/>
          <w:szCs w:val="24"/>
          <w:lang w:val="es-MX"/>
        </w:rPr>
        <w:t xml:space="preserve"> si</w:t>
      </w:r>
      <w:r>
        <w:rPr>
          <w:sz w:val="24"/>
          <w:szCs w:val="24"/>
          <w:lang w:val="es-MX"/>
        </w:rPr>
        <w:t xml:space="preserve"> variaron 1</w:t>
      </w:r>
      <w:r w:rsidR="00DF1FAE">
        <w:rPr>
          <w:sz w:val="24"/>
          <w:szCs w:val="24"/>
          <w:lang w:val="es-MX"/>
        </w:rPr>
        <w:t>.5</w:t>
      </w:r>
      <w:r>
        <w:rPr>
          <w:sz w:val="24"/>
          <w:szCs w:val="24"/>
          <w:lang w:val="es-MX"/>
        </w:rPr>
        <w:t xml:space="preserve"> punto</w:t>
      </w:r>
      <w:r w:rsidR="00DF1FAE">
        <w:rPr>
          <w:sz w:val="24"/>
          <w:szCs w:val="24"/>
          <w:lang w:val="es-MX"/>
        </w:rPr>
        <w:t>s</w:t>
      </w:r>
      <w:r>
        <w:rPr>
          <w:sz w:val="24"/>
          <w:szCs w:val="24"/>
          <w:lang w:val="es-MX"/>
        </w:rPr>
        <w:t xml:space="preserve"> porcentual</w:t>
      </w:r>
      <w:r w:rsidR="00DF1FAE">
        <w:rPr>
          <w:sz w:val="24"/>
          <w:szCs w:val="24"/>
          <w:lang w:val="es-MX"/>
        </w:rPr>
        <w:t>es</w:t>
      </w:r>
      <w:r>
        <w:rPr>
          <w:sz w:val="24"/>
          <w:szCs w:val="24"/>
          <w:lang w:val="es-MX"/>
        </w:rPr>
        <w:t xml:space="preserve"> por lo que se ubicó en 1</w:t>
      </w:r>
      <w:r w:rsidR="00DF1FAE">
        <w:rPr>
          <w:sz w:val="24"/>
          <w:szCs w:val="24"/>
          <w:lang w:val="es-MX"/>
        </w:rPr>
        <w:t>1</w:t>
      </w:r>
      <w:r>
        <w:rPr>
          <w:sz w:val="24"/>
          <w:szCs w:val="24"/>
          <w:lang w:val="es-MX"/>
        </w:rPr>
        <w:t xml:space="preserve">.0%, derivado principalmente a una recuperación del precio de los combustibles y lubricantes, </w:t>
      </w:r>
      <w:r w:rsidR="00DF1FAE">
        <w:rPr>
          <w:sz w:val="24"/>
          <w:szCs w:val="24"/>
          <w:lang w:val="es-MX"/>
        </w:rPr>
        <w:t>en julio nuevamente fue revisado al alza pronosticando</w:t>
      </w:r>
      <w:r w:rsidR="00730E3D">
        <w:rPr>
          <w:sz w:val="24"/>
          <w:szCs w:val="24"/>
          <w:lang w:val="es-MX"/>
        </w:rPr>
        <w:t xml:space="preserve"> un crecimiento de </w:t>
      </w:r>
      <w:r w:rsidR="00DF1FAE">
        <w:rPr>
          <w:sz w:val="24"/>
          <w:szCs w:val="24"/>
          <w:lang w:val="es-MX"/>
        </w:rPr>
        <w:t>20.0% para el final del 2021.</w:t>
      </w:r>
    </w:p>
    <w:p w14:paraId="701731F7" w14:textId="31703E97" w:rsidR="00246A61" w:rsidRDefault="00246A61" w:rsidP="00246A61">
      <w:pPr>
        <w:ind w:left="567" w:right="49"/>
        <w:jc w:val="both"/>
        <w:rPr>
          <w:color w:val="FF0000"/>
          <w:sz w:val="24"/>
          <w:szCs w:val="24"/>
          <w:lang w:val="es-MX"/>
        </w:rPr>
      </w:pPr>
    </w:p>
    <w:p w14:paraId="2BEAFFE4" w14:textId="77777777" w:rsidR="004D12AF" w:rsidRDefault="004D12AF" w:rsidP="004D12AF">
      <w:pPr>
        <w:ind w:left="567" w:right="49"/>
        <w:jc w:val="both"/>
        <w:rPr>
          <w:sz w:val="24"/>
          <w:szCs w:val="24"/>
          <w:lang w:val="es-MX"/>
        </w:rPr>
      </w:pPr>
      <w:r>
        <w:rPr>
          <w:sz w:val="24"/>
          <w:szCs w:val="24"/>
          <w:lang w:val="es-MX"/>
        </w:rPr>
        <w:t xml:space="preserve">Se pronostica que todas las actividades económicas tendrán variaciones positivas en el 2021; las </w:t>
      </w:r>
    </w:p>
    <w:p w14:paraId="55713B9D" w14:textId="7207C9A7" w:rsidR="00345DED" w:rsidRDefault="004D12AF" w:rsidP="00287546">
      <w:pPr>
        <w:ind w:left="567" w:right="49"/>
        <w:jc w:val="both"/>
        <w:rPr>
          <w:sz w:val="24"/>
          <w:szCs w:val="24"/>
          <w:lang w:val="es-MX"/>
        </w:rPr>
      </w:pPr>
      <w:r>
        <w:rPr>
          <w:sz w:val="24"/>
          <w:szCs w:val="24"/>
          <w:lang w:val="es-MX"/>
        </w:rPr>
        <w:t>actividades más representativas en términos de aporte al PIB: Comercio y reparación de vehículos, Industrias manufactureras y la agricultura crecerían 3.</w:t>
      </w:r>
      <w:r w:rsidR="00345DED">
        <w:rPr>
          <w:sz w:val="24"/>
          <w:szCs w:val="24"/>
          <w:lang w:val="es-MX"/>
        </w:rPr>
        <w:t>7</w:t>
      </w:r>
      <w:r>
        <w:rPr>
          <w:sz w:val="24"/>
          <w:szCs w:val="24"/>
          <w:lang w:val="es-MX"/>
        </w:rPr>
        <w:t>%, 3.</w:t>
      </w:r>
      <w:r w:rsidR="00345DED">
        <w:rPr>
          <w:sz w:val="24"/>
          <w:szCs w:val="24"/>
          <w:lang w:val="es-MX"/>
        </w:rPr>
        <w:t>9</w:t>
      </w:r>
      <w:r>
        <w:rPr>
          <w:sz w:val="24"/>
          <w:szCs w:val="24"/>
          <w:lang w:val="es-MX"/>
        </w:rPr>
        <w:t>% y 2.</w:t>
      </w:r>
      <w:r w:rsidR="00345DED">
        <w:rPr>
          <w:sz w:val="24"/>
          <w:szCs w:val="24"/>
          <w:lang w:val="es-MX"/>
        </w:rPr>
        <w:t>4</w:t>
      </w:r>
      <w:r>
        <w:rPr>
          <w:sz w:val="24"/>
          <w:szCs w:val="24"/>
          <w:lang w:val="es-MX"/>
        </w:rPr>
        <w:t xml:space="preserve">%, respectivamente; además las actividades que tuvieron fuertes caídas en el 2020 como las Actividades de alojamiento, Construcción y Transporte y almacenamiento crecerán </w:t>
      </w:r>
      <w:r w:rsidR="00345DED">
        <w:rPr>
          <w:sz w:val="24"/>
          <w:szCs w:val="24"/>
          <w:lang w:val="es-MX"/>
        </w:rPr>
        <w:t>7.8</w:t>
      </w:r>
      <w:r>
        <w:rPr>
          <w:sz w:val="24"/>
          <w:szCs w:val="24"/>
          <w:lang w:val="es-MX"/>
        </w:rPr>
        <w:t>%, 7.</w:t>
      </w:r>
      <w:r w:rsidR="00345DED">
        <w:rPr>
          <w:sz w:val="24"/>
          <w:szCs w:val="24"/>
          <w:lang w:val="es-MX"/>
        </w:rPr>
        <w:t>6</w:t>
      </w:r>
      <w:r>
        <w:rPr>
          <w:sz w:val="24"/>
          <w:szCs w:val="24"/>
          <w:lang w:val="es-MX"/>
        </w:rPr>
        <w:t>% y 6</w:t>
      </w:r>
      <w:r w:rsidR="00345DED">
        <w:rPr>
          <w:sz w:val="24"/>
          <w:szCs w:val="24"/>
          <w:lang w:val="es-MX"/>
        </w:rPr>
        <w:t>.0</w:t>
      </w:r>
      <w:r>
        <w:rPr>
          <w:sz w:val="24"/>
          <w:szCs w:val="24"/>
          <w:lang w:val="es-MX"/>
        </w:rPr>
        <w:t xml:space="preserve">%, respectivamente; otro grupo de actividades que tienen fuerte representación en el PIB son Actividades inmobiliarias, Enseñanza, Administración pública y Actividades financieras </w:t>
      </w:r>
      <w:r>
        <w:rPr>
          <w:sz w:val="24"/>
          <w:szCs w:val="24"/>
          <w:lang w:val="es-MX"/>
        </w:rPr>
        <w:lastRenderedPageBreak/>
        <w:t xml:space="preserve">crecerán con 3.9%, </w:t>
      </w:r>
      <w:r w:rsidR="00345DED">
        <w:rPr>
          <w:sz w:val="24"/>
          <w:szCs w:val="24"/>
          <w:lang w:val="es-MX"/>
        </w:rPr>
        <w:t>3.1</w:t>
      </w:r>
      <w:r>
        <w:rPr>
          <w:sz w:val="24"/>
          <w:szCs w:val="24"/>
          <w:lang w:val="es-MX"/>
        </w:rPr>
        <w:t xml:space="preserve">%, </w:t>
      </w:r>
      <w:r w:rsidR="00345DED">
        <w:rPr>
          <w:sz w:val="24"/>
          <w:szCs w:val="24"/>
          <w:lang w:val="es-MX"/>
        </w:rPr>
        <w:t>1.8</w:t>
      </w:r>
      <w:r>
        <w:rPr>
          <w:sz w:val="24"/>
          <w:szCs w:val="24"/>
          <w:lang w:val="es-MX"/>
        </w:rPr>
        <w:t xml:space="preserve">% y </w:t>
      </w:r>
      <w:r w:rsidR="00345DED">
        <w:rPr>
          <w:sz w:val="24"/>
          <w:szCs w:val="24"/>
          <w:lang w:val="es-MX"/>
        </w:rPr>
        <w:t>4.8</w:t>
      </w:r>
      <w:r>
        <w:rPr>
          <w:sz w:val="24"/>
          <w:szCs w:val="24"/>
          <w:lang w:val="es-MX"/>
        </w:rPr>
        <w:t>% respectivamente; con las actividades incluidas se cubre alrededor del 75% del PIB, sin embargo es importante hace notar también que las Actividades Profesionales, Electricidad, Salud e Información crecerán 3.</w:t>
      </w:r>
      <w:r w:rsidR="00345DED">
        <w:rPr>
          <w:sz w:val="24"/>
          <w:szCs w:val="24"/>
          <w:lang w:val="es-MX"/>
        </w:rPr>
        <w:t>6</w:t>
      </w:r>
      <w:r>
        <w:rPr>
          <w:sz w:val="24"/>
          <w:szCs w:val="24"/>
          <w:lang w:val="es-MX"/>
        </w:rPr>
        <w:t>%, 3.</w:t>
      </w:r>
      <w:r w:rsidR="00345DED">
        <w:rPr>
          <w:sz w:val="24"/>
          <w:szCs w:val="24"/>
          <w:lang w:val="es-MX"/>
        </w:rPr>
        <w:t>8</w:t>
      </w:r>
      <w:r>
        <w:rPr>
          <w:sz w:val="24"/>
          <w:szCs w:val="24"/>
          <w:lang w:val="es-MX"/>
        </w:rPr>
        <w:t xml:space="preserve">%, </w:t>
      </w:r>
      <w:r w:rsidR="00345DED">
        <w:rPr>
          <w:sz w:val="24"/>
          <w:szCs w:val="24"/>
          <w:lang w:val="es-MX"/>
        </w:rPr>
        <w:t>3.9</w:t>
      </w:r>
      <w:r>
        <w:rPr>
          <w:sz w:val="24"/>
          <w:szCs w:val="24"/>
          <w:lang w:val="es-MX"/>
        </w:rPr>
        <w:t xml:space="preserve">% y </w:t>
      </w:r>
      <w:r w:rsidR="00345DED">
        <w:rPr>
          <w:sz w:val="24"/>
          <w:szCs w:val="24"/>
          <w:lang w:val="es-MX"/>
        </w:rPr>
        <w:t>3.0</w:t>
      </w:r>
      <w:r>
        <w:rPr>
          <w:sz w:val="24"/>
          <w:szCs w:val="24"/>
          <w:lang w:val="es-MX"/>
        </w:rPr>
        <w:t>%.</w:t>
      </w:r>
    </w:p>
    <w:p w14:paraId="2FCFF984" w14:textId="77777777" w:rsidR="007F47C0" w:rsidRPr="004D12AF" w:rsidRDefault="007F47C0" w:rsidP="00287546">
      <w:pPr>
        <w:ind w:left="567" w:right="49"/>
        <w:jc w:val="both"/>
        <w:rPr>
          <w:sz w:val="24"/>
          <w:szCs w:val="24"/>
          <w:lang w:val="es-MX"/>
        </w:rPr>
      </w:pPr>
    </w:p>
    <w:tbl>
      <w:tblPr>
        <w:tblStyle w:val="Tablaconcuadrcula"/>
        <w:tblW w:w="984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896"/>
      </w:tblGrid>
      <w:tr w:rsidR="0045561C" w:rsidRPr="00573D75" w14:paraId="3EE2920F" w14:textId="77777777" w:rsidTr="00640235">
        <w:trPr>
          <w:trHeight w:val="209"/>
        </w:trPr>
        <w:tc>
          <w:tcPr>
            <w:tcW w:w="4945" w:type="dxa"/>
          </w:tcPr>
          <w:p w14:paraId="44E4C1DF" w14:textId="6E9C178F" w:rsidR="0045561C" w:rsidRPr="00FE76BD" w:rsidRDefault="00CC7AC6" w:rsidP="00BC0D90">
            <w:pPr>
              <w:pStyle w:val="Epgrafe"/>
              <w:keepNext/>
              <w:ind w:left="567" w:right="49"/>
              <w:rPr>
                <w:color w:val="auto"/>
                <w:sz w:val="24"/>
                <w:szCs w:val="24"/>
              </w:rPr>
            </w:pPr>
            <w:r>
              <w:rPr>
                <w:color w:val="auto"/>
                <w:sz w:val="24"/>
                <w:szCs w:val="24"/>
              </w:rPr>
              <w:t>Gráfica 12</w:t>
            </w:r>
            <w:r w:rsidR="00814706">
              <w:rPr>
                <w:color w:val="auto"/>
                <w:sz w:val="24"/>
                <w:szCs w:val="24"/>
              </w:rPr>
              <w:t xml:space="preserve">.  </w:t>
            </w:r>
            <w:r w:rsidR="0045561C" w:rsidRPr="00FE76BD">
              <w:rPr>
                <w:color w:val="auto"/>
                <w:sz w:val="24"/>
                <w:szCs w:val="24"/>
              </w:rPr>
              <w:t xml:space="preserve">Pronóstico de exportaciones </w:t>
            </w:r>
            <w:r w:rsidR="0045561C">
              <w:rPr>
                <w:color w:val="auto"/>
                <w:sz w:val="24"/>
                <w:szCs w:val="24"/>
              </w:rPr>
              <w:t>de</w:t>
            </w:r>
            <w:r w:rsidR="0045561C" w:rsidRPr="00FE76BD">
              <w:rPr>
                <w:color w:val="auto"/>
                <w:sz w:val="24"/>
                <w:szCs w:val="24"/>
              </w:rPr>
              <w:t xml:space="preserve"> 202</w:t>
            </w:r>
            <w:r w:rsidR="0045561C">
              <w:rPr>
                <w:color w:val="auto"/>
                <w:sz w:val="24"/>
                <w:szCs w:val="24"/>
              </w:rPr>
              <w:t>1</w:t>
            </w:r>
          </w:p>
          <w:p w14:paraId="16EE6CA5" w14:textId="1ADF1EDD" w:rsidR="0045561C" w:rsidRDefault="00640235" w:rsidP="00BC0D90">
            <w:pPr>
              <w:ind w:right="49"/>
              <w:jc w:val="both"/>
              <w:rPr>
                <w:noProof/>
              </w:rPr>
            </w:pPr>
            <w:r>
              <w:rPr>
                <w:noProof/>
                <w:lang w:val="es-GT" w:eastAsia="es-GT"/>
              </w:rPr>
              <w:drawing>
                <wp:inline distT="0" distB="0" distL="0" distR="0" wp14:anchorId="7CAFBAC1" wp14:editId="366361B3">
                  <wp:extent cx="2967990" cy="1909445"/>
                  <wp:effectExtent l="0" t="0" r="3810" b="0"/>
                  <wp:docPr id="6" name="Gráfico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28AA586-BD03-4D62-BE17-4EDFB7EA1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96" w:type="dxa"/>
          </w:tcPr>
          <w:p w14:paraId="53CAA73E" w14:textId="22EAA49F" w:rsidR="0045561C" w:rsidRPr="00FE76BD" w:rsidRDefault="00CC7AC6" w:rsidP="00BC0D90">
            <w:pPr>
              <w:pStyle w:val="Epgrafe"/>
              <w:keepNext/>
              <w:ind w:left="567" w:right="49"/>
              <w:rPr>
                <w:color w:val="auto"/>
                <w:sz w:val="24"/>
                <w:szCs w:val="24"/>
              </w:rPr>
            </w:pPr>
            <w:r>
              <w:rPr>
                <w:color w:val="auto"/>
                <w:sz w:val="24"/>
                <w:szCs w:val="24"/>
              </w:rPr>
              <w:t>Gráfica 13</w:t>
            </w:r>
            <w:r w:rsidR="00814706">
              <w:rPr>
                <w:color w:val="auto"/>
                <w:sz w:val="24"/>
                <w:szCs w:val="24"/>
              </w:rPr>
              <w:t xml:space="preserve">.  </w:t>
            </w:r>
            <w:r w:rsidR="0045561C" w:rsidRPr="00FE76BD">
              <w:rPr>
                <w:color w:val="auto"/>
                <w:sz w:val="24"/>
                <w:szCs w:val="24"/>
              </w:rPr>
              <w:t xml:space="preserve">Pronóstico de importaciones </w:t>
            </w:r>
            <w:r w:rsidR="0045561C">
              <w:rPr>
                <w:color w:val="auto"/>
                <w:sz w:val="24"/>
                <w:szCs w:val="24"/>
              </w:rPr>
              <w:t>d</w:t>
            </w:r>
            <w:r w:rsidR="0045561C" w:rsidRPr="00FE76BD">
              <w:rPr>
                <w:color w:val="auto"/>
                <w:sz w:val="24"/>
                <w:szCs w:val="24"/>
              </w:rPr>
              <w:t>e 202</w:t>
            </w:r>
            <w:r w:rsidR="0045561C">
              <w:rPr>
                <w:color w:val="auto"/>
                <w:sz w:val="24"/>
                <w:szCs w:val="24"/>
              </w:rPr>
              <w:t>1</w:t>
            </w:r>
          </w:p>
          <w:p w14:paraId="207EE34C" w14:textId="6FE5DF51" w:rsidR="0045561C" w:rsidRDefault="00640235" w:rsidP="00BC0D90">
            <w:pPr>
              <w:jc w:val="center"/>
              <w:rPr>
                <w:noProof/>
              </w:rPr>
            </w:pPr>
            <w:r>
              <w:rPr>
                <w:noProof/>
                <w:lang w:val="es-GT" w:eastAsia="es-GT"/>
              </w:rPr>
              <w:drawing>
                <wp:inline distT="0" distB="0" distL="0" distR="0" wp14:anchorId="60B5226E" wp14:editId="401E35E2">
                  <wp:extent cx="2971800" cy="1909763"/>
                  <wp:effectExtent l="0" t="0" r="0" b="0"/>
                  <wp:docPr id="10" name="Gráfico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48E2224-95E7-460D-8323-F42708971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45561C" w:rsidRPr="00573D75" w14:paraId="6289CCC6" w14:textId="77777777" w:rsidTr="00640235">
        <w:trPr>
          <w:trHeight w:val="223"/>
        </w:trPr>
        <w:tc>
          <w:tcPr>
            <w:tcW w:w="4945" w:type="dxa"/>
          </w:tcPr>
          <w:p w14:paraId="150A0CD0" w14:textId="77777777" w:rsidR="0045561C" w:rsidRDefault="0045561C" w:rsidP="00BC0D90">
            <w:pPr>
              <w:ind w:right="49"/>
              <w:jc w:val="both"/>
              <w:rPr>
                <w:noProof/>
              </w:rPr>
            </w:pPr>
          </w:p>
        </w:tc>
        <w:tc>
          <w:tcPr>
            <w:tcW w:w="4896" w:type="dxa"/>
          </w:tcPr>
          <w:p w14:paraId="3D9A465A" w14:textId="77777777" w:rsidR="0045561C" w:rsidRDefault="0045561C" w:rsidP="00BC0D90">
            <w:pPr>
              <w:jc w:val="center"/>
              <w:rPr>
                <w:noProof/>
              </w:rPr>
            </w:pPr>
          </w:p>
        </w:tc>
      </w:tr>
    </w:tbl>
    <w:p w14:paraId="5B81BF37" w14:textId="21C92EC0" w:rsidR="0045561C" w:rsidRPr="0045561C" w:rsidRDefault="0045561C" w:rsidP="0045561C">
      <w:pPr>
        <w:ind w:firstLine="567"/>
        <w:rPr>
          <w:bCs/>
          <w:sz w:val="16"/>
          <w:szCs w:val="11"/>
        </w:rPr>
      </w:pPr>
      <w:r w:rsidRPr="0045561C">
        <w:rPr>
          <w:bCs/>
          <w:sz w:val="16"/>
          <w:szCs w:val="11"/>
        </w:rPr>
        <w:t xml:space="preserve">Fuente: </w:t>
      </w:r>
      <w:r w:rsidR="00EF0CE5" w:rsidRPr="00B17C55">
        <w:rPr>
          <w:sz w:val="16"/>
          <w:szCs w:val="11"/>
        </w:rPr>
        <w:t xml:space="preserve">Fuente: </w:t>
      </w:r>
      <w:r w:rsidR="00EF0CE5">
        <w:rPr>
          <w:bCs/>
          <w:sz w:val="16"/>
          <w:szCs w:val="11"/>
        </w:rPr>
        <w:t xml:space="preserve"> Ministerio de Finanzas Públicas</w:t>
      </w:r>
      <w:r w:rsidR="00EF0CE5" w:rsidRPr="00A614CD">
        <w:rPr>
          <w:bCs/>
          <w:sz w:val="16"/>
          <w:szCs w:val="11"/>
        </w:rPr>
        <w:t xml:space="preserve"> </w:t>
      </w:r>
      <w:r w:rsidR="00EF0CE5" w:rsidRPr="00B17C55">
        <w:rPr>
          <w:sz w:val="16"/>
          <w:szCs w:val="11"/>
        </w:rPr>
        <w:t>con información de BANGUAT</w:t>
      </w:r>
    </w:p>
    <w:p w14:paraId="1B91816A" w14:textId="77777777" w:rsidR="0045561C" w:rsidRPr="0045561C" w:rsidRDefault="0045561C" w:rsidP="0045561C">
      <w:pPr>
        <w:ind w:left="567" w:right="49"/>
        <w:jc w:val="both"/>
        <w:rPr>
          <w:bCs/>
          <w:lang w:val="es-MX"/>
        </w:rPr>
      </w:pPr>
      <w:r w:rsidRPr="0045561C">
        <w:rPr>
          <w:bCs/>
          <w:sz w:val="16"/>
          <w:szCs w:val="11"/>
        </w:rPr>
        <w:t>Nota: La desviación es con respecto al pronóstico de diciembre de 2020</w:t>
      </w:r>
    </w:p>
    <w:p w14:paraId="691FE12F" w14:textId="77777777" w:rsidR="001B7C67" w:rsidRDefault="001B7C67" w:rsidP="004D12AF">
      <w:pPr>
        <w:ind w:right="49"/>
        <w:jc w:val="both"/>
        <w:rPr>
          <w:sz w:val="24"/>
          <w:szCs w:val="24"/>
          <w:lang w:val="es-MX"/>
        </w:rPr>
      </w:pPr>
    </w:p>
    <w:p w14:paraId="051B30B5" w14:textId="6CCB5D6D" w:rsidR="00246A61" w:rsidRDefault="001B7C67" w:rsidP="00924BA7">
      <w:pPr>
        <w:ind w:left="567" w:right="49"/>
        <w:jc w:val="both"/>
        <w:rPr>
          <w:sz w:val="24"/>
          <w:szCs w:val="24"/>
          <w:lang w:val="es-MX"/>
        </w:rPr>
      </w:pPr>
      <w:r>
        <w:rPr>
          <w:sz w:val="24"/>
          <w:szCs w:val="24"/>
          <w:lang w:val="es-MX"/>
        </w:rPr>
        <w:t xml:space="preserve">El comportamiento de la inflación en el inicio del 2020 cayó a niveles por debajo del rango indicado por el Banco de Guatemala 4.0% +/- 1.0% eso fue a consecuencia de la fuerte caída del precio del petróleo WTI y se mantuvo debajo de dicho nivel durante todo el primer semestre del año, posteriormente se recuperó dicho nivel hasta ubicarse en 4.8% en el final del año, es decir, dentro del rango indicado, en donde los rubros que más impacto tuvieron fueron </w:t>
      </w:r>
      <w:r w:rsidR="006A2C3E">
        <w:rPr>
          <w:sz w:val="24"/>
          <w:szCs w:val="24"/>
          <w:lang w:val="es-MX"/>
        </w:rPr>
        <w:t>el</w:t>
      </w:r>
      <w:r>
        <w:rPr>
          <w:sz w:val="24"/>
          <w:szCs w:val="24"/>
          <w:lang w:val="es-MX"/>
        </w:rPr>
        <w:t xml:space="preserve"> transporte, bebidas y alimentos, y los de menos impacto fueron los bienes y servicios diversos, así como la vivienda, agua y electricidad. Dado que se prevé que los precios de las materias primas que tienen un impacto relevante en la inflación en Guatemala se incrementen durante 2021, la Encuesta de Expectativas Económicas al Panel de Analistas Privado de enero del 2021 anticipa una inflación al final del 2021 de 4.76%. </w:t>
      </w:r>
      <w:r w:rsidR="00730E3D">
        <w:rPr>
          <w:sz w:val="24"/>
          <w:szCs w:val="24"/>
          <w:lang w:val="es-MX"/>
        </w:rPr>
        <w:t>Sin emba</w:t>
      </w:r>
      <w:r w:rsidR="00272A4B">
        <w:rPr>
          <w:sz w:val="24"/>
          <w:szCs w:val="24"/>
          <w:lang w:val="es-MX"/>
        </w:rPr>
        <w:t>rgo, el Banco de Guatemala prono</w:t>
      </w:r>
      <w:r w:rsidR="00730E3D">
        <w:rPr>
          <w:sz w:val="24"/>
          <w:szCs w:val="24"/>
          <w:lang w:val="es-MX"/>
        </w:rPr>
        <w:t>stica que la inflación a final del 2021 se encuentre alrededor de 4.0%.</w:t>
      </w:r>
    </w:p>
    <w:p w14:paraId="3DFC1516" w14:textId="0AC1C928" w:rsidR="009C5191" w:rsidRPr="00CC7AC6" w:rsidRDefault="009C5191" w:rsidP="00924BA7">
      <w:pPr>
        <w:ind w:left="567" w:right="49"/>
        <w:jc w:val="both"/>
        <w:rPr>
          <w:sz w:val="24"/>
          <w:szCs w:val="24"/>
          <w:lang w:val="es-MX"/>
        </w:rPr>
      </w:pPr>
    </w:p>
    <w:p w14:paraId="3436BDB9" w14:textId="77777777" w:rsidR="009C5191" w:rsidRPr="00CC7AC6" w:rsidRDefault="009C5191" w:rsidP="009C5191">
      <w:pPr>
        <w:ind w:left="567" w:right="49"/>
        <w:jc w:val="both"/>
        <w:rPr>
          <w:sz w:val="24"/>
          <w:szCs w:val="24"/>
        </w:rPr>
      </w:pPr>
      <w:r w:rsidRPr="00CC7AC6">
        <w:rPr>
          <w:sz w:val="24"/>
          <w:szCs w:val="24"/>
          <w:lang w:val="es-MX"/>
        </w:rPr>
        <w:t xml:space="preserve">Dado que se prevé que los precios de las materias primas que tienen un impacto relevante en la inflación en Guatemala se incrementen durante 2021, la Encuesta de Expectativas Económicas al Panel de Analistas Privado de enero del 2021 anticipa una inflación al final del 2021 de 4.76%. Sin embargo, en enero del 2021 dicho indicador se ubicó en 5.3%, por arriba del nivel de meta máximo del 5.0%, manteniéndose arriba de dicho nivel hasta mayo, pero en junio retornó a 3.9%, es decir, muy cercano al promedio de 3.8% de los últimos dos años.  En opinión del panel de analistas, los principales factores que podrían explicar el pronóstico de inflación para diciembre del 2021 son: el comportamiento de los precios de los combustibles, la trayectoria del precio internacional del petróleo, los precios de las materias primas, el desempeño de la política fiscal, las condiciones climáticas, la estacionalidad de los productos agrícolas y el desempeño de la política monetaria. En el entorno externo se anticipan presiones inflacionarias, aunque moderadas, dado que los excesos de capacidad productiva se reducirían de manera gradual y conforme avance el proceso de recuperación el cual aún continua con incertidumbre derivado principalmente de la proliferación de nuevas cepas de COVID-19 así como la capacidad de </w:t>
      </w:r>
      <w:r w:rsidRPr="00CC7AC6">
        <w:rPr>
          <w:sz w:val="24"/>
          <w:szCs w:val="24"/>
          <w:lang w:val="es-MX"/>
        </w:rPr>
        <w:lastRenderedPageBreak/>
        <w:t>vacunar a la mayoría de la población.</w:t>
      </w:r>
    </w:p>
    <w:p w14:paraId="474EC70B" w14:textId="77777777" w:rsidR="009C5191" w:rsidRPr="00F931C0" w:rsidRDefault="009C5191" w:rsidP="00924BA7">
      <w:pPr>
        <w:ind w:left="567" w:right="49"/>
        <w:jc w:val="both"/>
        <w:rPr>
          <w:sz w:val="12"/>
          <w:szCs w:val="24"/>
          <w:lang w:val="es-MX"/>
        </w:rPr>
      </w:pPr>
    </w:p>
    <w:tbl>
      <w:tblPr>
        <w:tblStyle w:val="Tablaconcuadrcula"/>
        <w:tblW w:w="99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974"/>
      </w:tblGrid>
      <w:tr w:rsidR="00DE1D8D" w:rsidRPr="00DE1D8D" w14:paraId="70714093" w14:textId="77777777" w:rsidTr="00924BA7">
        <w:trPr>
          <w:trHeight w:val="3949"/>
          <w:jc w:val="center"/>
        </w:trPr>
        <w:tc>
          <w:tcPr>
            <w:tcW w:w="9974" w:type="dxa"/>
          </w:tcPr>
          <w:p w14:paraId="7F28470C" w14:textId="77777777" w:rsidR="004A1975" w:rsidRPr="00CC7AC6" w:rsidRDefault="004A1975" w:rsidP="00927441">
            <w:pPr>
              <w:ind w:right="49"/>
              <w:rPr>
                <w:color w:val="FF0000"/>
                <w:sz w:val="14"/>
                <w:szCs w:val="24"/>
              </w:rPr>
            </w:pPr>
          </w:p>
          <w:p w14:paraId="473A9982" w14:textId="37AA01CD" w:rsidR="00246A61" w:rsidRPr="001B7C67" w:rsidRDefault="00814706" w:rsidP="00BA4D6D">
            <w:pPr>
              <w:pStyle w:val="Sinespaciado"/>
              <w:ind w:left="567" w:right="49"/>
              <w:jc w:val="center"/>
              <w:rPr>
                <w:rFonts w:ascii="Times New Roman" w:hAnsi="Times New Roman"/>
                <w:bCs/>
                <w:sz w:val="24"/>
                <w:szCs w:val="24"/>
              </w:rPr>
            </w:pPr>
            <w:r>
              <w:rPr>
                <w:rFonts w:ascii="Times New Roman" w:hAnsi="Times New Roman"/>
                <w:b/>
                <w:bCs/>
                <w:sz w:val="24"/>
                <w:szCs w:val="24"/>
              </w:rPr>
              <w:t>Gráfic</w:t>
            </w:r>
            <w:r w:rsidR="00CC7AC6">
              <w:rPr>
                <w:rFonts w:ascii="Times New Roman" w:hAnsi="Times New Roman"/>
                <w:b/>
                <w:bCs/>
                <w:sz w:val="24"/>
                <w:szCs w:val="24"/>
              </w:rPr>
              <w:t>a 14</w:t>
            </w:r>
            <w:r>
              <w:rPr>
                <w:rFonts w:ascii="Times New Roman" w:hAnsi="Times New Roman"/>
                <w:b/>
                <w:bCs/>
                <w:sz w:val="24"/>
                <w:szCs w:val="24"/>
              </w:rPr>
              <w:t xml:space="preserve">.  </w:t>
            </w:r>
            <w:r w:rsidR="001B7C67" w:rsidRPr="001B7C67">
              <w:rPr>
                <w:rFonts w:ascii="Times New Roman" w:hAnsi="Times New Roman"/>
                <w:b/>
                <w:bCs/>
                <w:sz w:val="24"/>
                <w:szCs w:val="24"/>
              </w:rPr>
              <w:t>Inflación 2019-2021</w:t>
            </w:r>
          </w:p>
          <w:p w14:paraId="2E1FFDB3" w14:textId="77777777" w:rsidR="00246A61" w:rsidRPr="001B7C67" w:rsidRDefault="00246A61" w:rsidP="001B7C67">
            <w:pPr>
              <w:pStyle w:val="Sinespaciado"/>
              <w:ind w:left="567" w:right="49"/>
              <w:jc w:val="center"/>
              <w:rPr>
                <w:rFonts w:ascii="Times New Roman" w:hAnsi="Times New Roman"/>
                <w:color w:val="FF0000"/>
                <w:sz w:val="24"/>
                <w:szCs w:val="24"/>
              </w:rPr>
            </w:pPr>
            <w:r w:rsidRPr="001B7C67">
              <w:rPr>
                <w:rFonts w:ascii="Times New Roman" w:hAnsi="Times New Roman"/>
                <w:szCs w:val="24"/>
              </w:rPr>
              <w:t>Porcentajes</w:t>
            </w:r>
            <w:r w:rsidR="001B7C67">
              <w:rPr>
                <w:noProof/>
                <w:lang w:val="es-GT"/>
              </w:rPr>
              <w:drawing>
                <wp:inline distT="0" distB="0" distL="0" distR="0" wp14:anchorId="5DDCA5FD" wp14:editId="44D02DBC">
                  <wp:extent cx="5812790" cy="1926077"/>
                  <wp:effectExtent l="0" t="0" r="0" b="0"/>
                  <wp:docPr id="19" name="Gráfico 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B42072C-9CC5-4C12-BCA5-407BE7FE3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547DF7" w14:textId="7BFC541F" w:rsidR="00246A61" w:rsidRPr="00DE1D8D" w:rsidRDefault="001B7C67" w:rsidP="00BA4D6D">
            <w:pPr>
              <w:ind w:left="567" w:right="49"/>
              <w:rPr>
                <w:color w:val="FF0000"/>
                <w:sz w:val="24"/>
                <w:szCs w:val="24"/>
              </w:rPr>
            </w:pPr>
            <w:r>
              <w:rPr>
                <w:sz w:val="16"/>
                <w:szCs w:val="24"/>
              </w:rPr>
              <w:t xml:space="preserve">              </w:t>
            </w:r>
            <w:r w:rsidR="00246A61" w:rsidRPr="001B7C67">
              <w:rPr>
                <w:sz w:val="16"/>
                <w:szCs w:val="24"/>
              </w:rPr>
              <w:t xml:space="preserve">Fuente: </w:t>
            </w:r>
            <w:r w:rsidR="00EF0CE5">
              <w:rPr>
                <w:bCs/>
                <w:sz w:val="16"/>
                <w:szCs w:val="11"/>
              </w:rPr>
              <w:t>Ministerio de Finanzas Públicas</w:t>
            </w:r>
            <w:r w:rsidR="00EF0CE5" w:rsidRPr="00A614CD">
              <w:rPr>
                <w:bCs/>
                <w:sz w:val="16"/>
                <w:szCs w:val="11"/>
              </w:rPr>
              <w:t xml:space="preserve"> </w:t>
            </w:r>
            <w:r w:rsidR="00246A61" w:rsidRPr="001B7C67">
              <w:rPr>
                <w:sz w:val="16"/>
                <w:szCs w:val="24"/>
              </w:rPr>
              <w:t>con información de BANGUAT</w:t>
            </w:r>
          </w:p>
        </w:tc>
      </w:tr>
    </w:tbl>
    <w:p w14:paraId="20B01B56" w14:textId="77777777" w:rsidR="00287546" w:rsidRDefault="00287546" w:rsidP="001B7C67">
      <w:pPr>
        <w:ind w:left="567" w:right="49"/>
        <w:jc w:val="both"/>
        <w:rPr>
          <w:sz w:val="24"/>
          <w:szCs w:val="24"/>
          <w:lang w:val="es-MX"/>
        </w:rPr>
      </w:pPr>
    </w:p>
    <w:p w14:paraId="4ACBA867" w14:textId="27772416" w:rsidR="001B7C67" w:rsidRDefault="001B7C67" w:rsidP="001B7C67">
      <w:pPr>
        <w:ind w:left="567" w:right="49"/>
        <w:jc w:val="both"/>
        <w:rPr>
          <w:sz w:val="24"/>
          <w:szCs w:val="24"/>
          <w:lang w:val="es-MX"/>
        </w:rPr>
      </w:pPr>
      <w:r>
        <w:rPr>
          <w:sz w:val="24"/>
          <w:szCs w:val="24"/>
          <w:lang w:val="es-MX"/>
        </w:rPr>
        <w:t>En el caso del tipo de cambio de referencia de 2020 se vio afectado además de su estabilidad, por la incertidumbre por la pandemia del COVID-19 ya que este aumentó hasta llegar a Q7.9 x US$1.00 después de la noticia de los primeros casos de contagio en marzo en Guatemala, posteriormente entre abril y agosto este se cotizó alrededor de Q.7.7 x US$1.00, cerrando alrededor de 7.8 x Q.1.00 entre noviembre y diciembre del 2020. En el 2021 el comportamiento ha sido con poca volatilidad registrando una leve disminución manteniéndose cercano alrededor de Q7.7 x US$1.00, durante casi todo el primer semestre del 2021, aunque</w:t>
      </w:r>
      <w:r w:rsidR="006A2C3E">
        <w:rPr>
          <w:sz w:val="24"/>
          <w:szCs w:val="24"/>
          <w:lang w:val="es-MX"/>
        </w:rPr>
        <w:t xml:space="preserve"> en el mes de junio tendió levemen</w:t>
      </w:r>
      <w:r>
        <w:rPr>
          <w:sz w:val="24"/>
          <w:szCs w:val="24"/>
          <w:lang w:val="es-MX"/>
        </w:rPr>
        <w:t xml:space="preserve">te al alza al alcanzar Q7.74 x US$1.00 en promedio, dicha variación se debe a factores estacionales. </w:t>
      </w:r>
    </w:p>
    <w:p w14:paraId="51AC1702" w14:textId="77777777" w:rsidR="00924BA7" w:rsidRDefault="00924BA7" w:rsidP="001B7C67">
      <w:pPr>
        <w:ind w:left="567" w:right="49"/>
        <w:jc w:val="both"/>
        <w:rPr>
          <w:sz w:val="24"/>
          <w:szCs w:val="24"/>
          <w:lang w:val="es-MX"/>
        </w:rPr>
      </w:pPr>
    </w:p>
    <w:p w14:paraId="78D031BF" w14:textId="2697287F" w:rsidR="00287546" w:rsidRDefault="001B7C67" w:rsidP="004A1975">
      <w:pPr>
        <w:ind w:left="567" w:right="49"/>
        <w:jc w:val="both"/>
        <w:rPr>
          <w:sz w:val="24"/>
          <w:szCs w:val="24"/>
          <w:lang w:val="es-MX"/>
        </w:rPr>
      </w:pPr>
      <w:r>
        <w:rPr>
          <w:sz w:val="24"/>
          <w:szCs w:val="24"/>
          <w:lang w:val="es-MX"/>
        </w:rPr>
        <w:t>Por su parte, la tasa de interés activa y pasiva ha tenido un comportamiento con tendencia a la baja, aunque la tasa pasiva ha tenido una tendencia de caída más pronunciada al pasar de 5.08% en junio del 2019 a 4.15% a junio del 2021, es decir, una variación de 93 puntos básicos en 2 años. En el caso de la tasa de interés activa, paso de 12.75% en junio del 2019 a 12.24% en 2021, es decir, una variación de 51 puntos b</w:t>
      </w:r>
      <w:r w:rsidRPr="00CC7AC6">
        <w:rPr>
          <w:sz w:val="24"/>
          <w:szCs w:val="24"/>
          <w:lang w:val="es-MX"/>
        </w:rPr>
        <w:t>ásicos; el resultado es un spread en crecimiento pasando de 7.71% en promedio en el primer semestre del 2019 a 8.06% en promedio en el primer semestre del 2021, es decir 35 puntos básicos de crecimiento.</w:t>
      </w:r>
      <w:r w:rsidR="009C5191" w:rsidRPr="00CC7AC6">
        <w:rPr>
          <w:sz w:val="24"/>
          <w:szCs w:val="24"/>
          <w:lang w:val="es-MX"/>
        </w:rPr>
        <w:t xml:space="preserve"> Esta disminución se atribuye principalmente al aumento de la liquidez en el sistema financiera que tuvo su auge en 2020 derivado de las medidas en materia de política monetaria que se implementaron en dicho año.  En 2021 a pesar de que se ha normalizado el nivel de liquidez, sigue siendo relativamente alto, además la inflación se ha mantenido moderada lo que ha propiciado una leve disminución en el precio del dinero.</w:t>
      </w:r>
      <w:r w:rsidR="009C5191" w:rsidRPr="00DE1D8D">
        <w:rPr>
          <w:color w:val="FF0000"/>
          <w:sz w:val="24"/>
          <w:szCs w:val="24"/>
          <w:lang w:val="es-MX"/>
        </w:rPr>
        <w:tab/>
      </w:r>
    </w:p>
    <w:p w14:paraId="02085BFA" w14:textId="173574D8" w:rsidR="001B7C67" w:rsidRPr="004A1975" w:rsidRDefault="00246A61" w:rsidP="004A1975">
      <w:pPr>
        <w:ind w:left="567" w:right="49"/>
        <w:jc w:val="both"/>
        <w:rPr>
          <w:sz w:val="24"/>
          <w:szCs w:val="24"/>
          <w:lang w:val="es-MX"/>
        </w:rPr>
      </w:pPr>
      <w:r w:rsidRPr="00DE1D8D">
        <w:rPr>
          <w:color w:val="FF0000"/>
          <w:sz w:val="24"/>
          <w:szCs w:val="24"/>
          <w:lang w:val="es-MX"/>
        </w:rPr>
        <w:tab/>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947"/>
      </w:tblGrid>
      <w:tr w:rsidR="001B7C67" w14:paraId="48D945E3" w14:textId="77777777" w:rsidTr="00E47A7B">
        <w:trPr>
          <w:trHeight w:val="247"/>
        </w:trPr>
        <w:tc>
          <w:tcPr>
            <w:tcW w:w="4569" w:type="dxa"/>
          </w:tcPr>
          <w:p w14:paraId="15BD3028" w14:textId="0DD98ABE" w:rsidR="001B7C67" w:rsidRDefault="00E47A7B" w:rsidP="00BC0D90">
            <w:pPr>
              <w:ind w:right="49"/>
              <w:jc w:val="both"/>
              <w:rPr>
                <w:sz w:val="24"/>
                <w:szCs w:val="24"/>
                <w:lang w:val="es-MX"/>
              </w:rPr>
            </w:pPr>
            <w:r>
              <w:rPr>
                <w:noProof/>
                <w:lang w:val="es-GT" w:eastAsia="es-GT"/>
              </w:rPr>
              <w:lastRenderedPageBreak/>
              <w:drawing>
                <wp:inline distT="0" distB="0" distL="0" distR="0" wp14:anchorId="6DAC5A7C" wp14:editId="35E3EB67">
                  <wp:extent cx="2857500" cy="2160000"/>
                  <wp:effectExtent l="0" t="0" r="0" b="0"/>
                  <wp:docPr id="14" name="Gráfico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A20234F-5ADC-406D-9945-9BD43E0E3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36" w:type="dxa"/>
          </w:tcPr>
          <w:p w14:paraId="15ED3A10" w14:textId="76897600" w:rsidR="001B7C67" w:rsidRDefault="00E47A7B" w:rsidP="00BC0D90">
            <w:pPr>
              <w:ind w:right="49"/>
              <w:jc w:val="both"/>
              <w:rPr>
                <w:sz w:val="24"/>
                <w:szCs w:val="24"/>
                <w:lang w:val="es-MX"/>
              </w:rPr>
            </w:pPr>
            <w:r>
              <w:rPr>
                <w:noProof/>
                <w:lang w:val="es-GT" w:eastAsia="es-GT"/>
              </w:rPr>
              <w:drawing>
                <wp:inline distT="0" distB="0" distL="0" distR="0" wp14:anchorId="1280D91C" wp14:editId="3E151219">
                  <wp:extent cx="3034665" cy="2160000"/>
                  <wp:effectExtent l="0" t="0" r="0" b="0"/>
                  <wp:docPr id="233" name="Gráfico 2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3C11FDF-8BB8-46CA-91FC-8C20E0814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956141B" w14:textId="5A98550C" w:rsidR="001B7C67" w:rsidRPr="001B7C67" w:rsidRDefault="001B7C67" w:rsidP="001B7C67">
      <w:pPr>
        <w:ind w:left="567" w:right="49"/>
        <w:jc w:val="both"/>
        <w:rPr>
          <w:sz w:val="16"/>
          <w:lang w:val="es-MX"/>
        </w:rPr>
      </w:pPr>
      <w:r w:rsidRPr="001B7C67">
        <w:rPr>
          <w:sz w:val="16"/>
          <w:lang w:val="es-MX"/>
        </w:rPr>
        <w:t xml:space="preserve">Fuente: </w:t>
      </w:r>
      <w:r w:rsidR="00EF0CE5">
        <w:rPr>
          <w:bCs/>
          <w:sz w:val="16"/>
          <w:szCs w:val="11"/>
        </w:rPr>
        <w:t>Ministerio de Finanzas Públicas</w:t>
      </w:r>
      <w:r w:rsidR="00EF0CE5" w:rsidRPr="00A614CD">
        <w:rPr>
          <w:bCs/>
          <w:sz w:val="16"/>
          <w:szCs w:val="11"/>
        </w:rPr>
        <w:t xml:space="preserve"> </w:t>
      </w:r>
      <w:r w:rsidRPr="001B7C67">
        <w:rPr>
          <w:sz w:val="16"/>
          <w:lang w:val="es-MX"/>
        </w:rPr>
        <w:t>con información del Banco de Guatemala</w:t>
      </w:r>
      <w:r>
        <w:rPr>
          <w:sz w:val="16"/>
          <w:lang w:val="es-MX"/>
        </w:rPr>
        <w:t>.</w:t>
      </w:r>
    </w:p>
    <w:p w14:paraId="664E284C" w14:textId="77777777" w:rsidR="001B7C67" w:rsidRDefault="001B7C67" w:rsidP="00246A61">
      <w:pPr>
        <w:ind w:left="567" w:right="49"/>
        <w:jc w:val="both"/>
        <w:rPr>
          <w:color w:val="FF0000"/>
          <w:sz w:val="24"/>
          <w:szCs w:val="24"/>
          <w:lang w:val="es-MX"/>
        </w:rPr>
      </w:pPr>
    </w:p>
    <w:p w14:paraId="5F6CD94E" w14:textId="77777777" w:rsidR="001B7C67" w:rsidRDefault="001B7C67" w:rsidP="001B7C67">
      <w:pPr>
        <w:ind w:left="567"/>
        <w:jc w:val="both"/>
        <w:rPr>
          <w:sz w:val="24"/>
          <w:szCs w:val="24"/>
        </w:rPr>
      </w:pPr>
      <w:r w:rsidRPr="001B7C67">
        <w:rPr>
          <w:sz w:val="24"/>
          <w:szCs w:val="24"/>
        </w:rPr>
        <w:t>Considerando las perspectivas de la economía mundial, así como el comportamiento y evolución de la economía nacional, es importante reflexionar sobre la exposición de algunos riesgos macroeconómicos que se vislumbran en el corto y mediano plazo que pueden permear a la economía guatemalteca y al sector fiscal en particular, destacando entre otras las siguientes:</w:t>
      </w:r>
    </w:p>
    <w:p w14:paraId="6DD95C2D" w14:textId="77777777" w:rsidR="001B7C67" w:rsidRDefault="001B7C67" w:rsidP="001B7C67">
      <w:pPr>
        <w:ind w:left="567"/>
        <w:jc w:val="both"/>
        <w:rPr>
          <w:sz w:val="24"/>
          <w:szCs w:val="24"/>
        </w:rPr>
      </w:pPr>
    </w:p>
    <w:p w14:paraId="46B21831" w14:textId="77777777" w:rsidR="001B7C67" w:rsidRPr="001B7C67" w:rsidRDefault="001B7C67" w:rsidP="001B7C67">
      <w:pPr>
        <w:ind w:left="567"/>
        <w:jc w:val="both"/>
        <w:rPr>
          <w:sz w:val="24"/>
          <w:szCs w:val="24"/>
        </w:rPr>
      </w:pPr>
      <w:r w:rsidRPr="001B7C67">
        <w:rPr>
          <w:sz w:val="24"/>
          <w:szCs w:val="24"/>
        </w:rPr>
        <w:t xml:space="preserve">Riesgo Externos </w:t>
      </w:r>
    </w:p>
    <w:p w14:paraId="3956F4BB" w14:textId="77777777" w:rsidR="001B7C67" w:rsidRPr="001B7C67" w:rsidRDefault="001B7C67" w:rsidP="001B7C67">
      <w:pPr>
        <w:rPr>
          <w:b/>
          <w:bCs/>
          <w:sz w:val="24"/>
          <w:szCs w:val="24"/>
        </w:rPr>
      </w:pPr>
    </w:p>
    <w:p w14:paraId="57F7771C" w14:textId="77777777" w:rsidR="001B7C67" w:rsidRPr="001B7C67" w:rsidRDefault="001B7C67" w:rsidP="00555124">
      <w:pPr>
        <w:pStyle w:val="Prrafodelista"/>
        <w:widowControl/>
        <w:numPr>
          <w:ilvl w:val="0"/>
          <w:numId w:val="8"/>
        </w:numPr>
        <w:spacing w:after="160" w:line="259" w:lineRule="auto"/>
        <w:ind w:left="993"/>
        <w:jc w:val="both"/>
        <w:rPr>
          <w:sz w:val="24"/>
          <w:szCs w:val="24"/>
        </w:rPr>
      </w:pPr>
      <w:r w:rsidRPr="001B7C67">
        <w:rPr>
          <w:b/>
          <w:bCs/>
          <w:sz w:val="24"/>
          <w:szCs w:val="24"/>
        </w:rPr>
        <w:t>Cambio inesperado en la pandemia de Covid-19.</w:t>
      </w:r>
      <w:r w:rsidRPr="001B7C67">
        <w:rPr>
          <w:sz w:val="24"/>
          <w:szCs w:val="24"/>
        </w:rPr>
        <w:t xml:space="preserve"> La enfermedad se hace más difícil de erradicar (p. ej., debido a nuevas cepas de</w:t>
      </w:r>
      <w:r w:rsidR="004D3CC8">
        <w:rPr>
          <w:sz w:val="24"/>
          <w:szCs w:val="24"/>
        </w:rPr>
        <w:t>l</w:t>
      </w:r>
      <w:r w:rsidRPr="001B7C67">
        <w:rPr>
          <w:sz w:val="24"/>
          <w:szCs w:val="24"/>
        </w:rPr>
        <w:t xml:space="preserve"> virus, eficacia corta de las vacunas, o la falta de voluntad generalizada para tomarlas), lo que requiere costosos esfuerzos de contención y provocando comportamientos persistentes, cambios que hacen inviables muchas actividades.</w:t>
      </w:r>
    </w:p>
    <w:p w14:paraId="4BA14A75" w14:textId="77777777" w:rsidR="001B7C67" w:rsidRPr="001B7C67" w:rsidRDefault="001B7C67" w:rsidP="00555124">
      <w:pPr>
        <w:pStyle w:val="Prrafodelista"/>
        <w:widowControl/>
        <w:numPr>
          <w:ilvl w:val="0"/>
          <w:numId w:val="8"/>
        </w:numPr>
        <w:spacing w:after="160" w:line="259" w:lineRule="auto"/>
        <w:ind w:left="993"/>
        <w:jc w:val="both"/>
        <w:rPr>
          <w:sz w:val="24"/>
          <w:szCs w:val="24"/>
        </w:rPr>
      </w:pPr>
      <w:r w:rsidRPr="001B7C67">
        <w:rPr>
          <w:b/>
          <w:bCs/>
          <w:sz w:val="24"/>
          <w:szCs w:val="24"/>
        </w:rPr>
        <w:t>Tensiones geopolíticas y riesgos de seguridad intensificados.</w:t>
      </w:r>
      <w:r w:rsidRPr="001B7C67">
        <w:rPr>
          <w:sz w:val="24"/>
          <w:szCs w:val="24"/>
        </w:rPr>
        <w:t xml:space="preserve"> Tensiones (geo) políticas en países / regiones seleccionadas (por ejemplo, Medio Este) causan trastornos económicos / políticos, migración desordenada, mayor volatilidad en los precios de las materias primas (si se interrumpe la oferta), y menor confianza.</w:t>
      </w:r>
    </w:p>
    <w:p w14:paraId="05B249D1" w14:textId="77777777" w:rsidR="001B7C67" w:rsidRPr="001B7C67" w:rsidRDefault="001B7C67" w:rsidP="00555124">
      <w:pPr>
        <w:pStyle w:val="Prrafodelista"/>
        <w:widowControl/>
        <w:numPr>
          <w:ilvl w:val="0"/>
          <w:numId w:val="8"/>
        </w:numPr>
        <w:spacing w:after="160" w:line="259" w:lineRule="auto"/>
        <w:ind w:left="993"/>
        <w:jc w:val="both"/>
        <w:rPr>
          <w:sz w:val="24"/>
          <w:szCs w:val="24"/>
        </w:rPr>
      </w:pPr>
      <w:r w:rsidRPr="001B7C67">
        <w:rPr>
          <w:b/>
          <w:bCs/>
          <w:sz w:val="24"/>
          <w:szCs w:val="24"/>
        </w:rPr>
        <w:t>Coordinar estrechamente con las autoridades regionales en materia sanitaria.</w:t>
      </w:r>
      <w:r w:rsidR="004D3CC8">
        <w:rPr>
          <w:sz w:val="24"/>
          <w:szCs w:val="24"/>
        </w:rPr>
        <w:t xml:space="preserve"> P</w:t>
      </w:r>
      <w:r w:rsidRPr="001B7C67">
        <w:rPr>
          <w:sz w:val="24"/>
          <w:szCs w:val="24"/>
        </w:rPr>
        <w:t xml:space="preserve">rotocolos para evitar interrupciones de los flujos comerciales; y continuar mejorando las capacidades de rastreo de COVID-19, incluso entre los trabajadores migrantes, para contener </w:t>
      </w:r>
      <w:r w:rsidR="004D3CC8">
        <w:rPr>
          <w:sz w:val="24"/>
          <w:szCs w:val="24"/>
        </w:rPr>
        <w:t xml:space="preserve">la </w:t>
      </w:r>
      <w:r w:rsidRPr="001B7C67">
        <w:rPr>
          <w:sz w:val="24"/>
          <w:szCs w:val="24"/>
        </w:rPr>
        <w:t>transmisión comunitaria.</w:t>
      </w:r>
    </w:p>
    <w:p w14:paraId="23C68C34" w14:textId="77777777" w:rsidR="001B7C67" w:rsidRPr="001B7C67" w:rsidRDefault="001B7C67" w:rsidP="00555124">
      <w:pPr>
        <w:pStyle w:val="Prrafodelista"/>
        <w:widowControl/>
        <w:numPr>
          <w:ilvl w:val="0"/>
          <w:numId w:val="8"/>
        </w:numPr>
        <w:spacing w:after="160" w:line="259" w:lineRule="auto"/>
        <w:ind w:left="993"/>
        <w:jc w:val="both"/>
        <w:rPr>
          <w:sz w:val="24"/>
          <w:szCs w:val="24"/>
        </w:rPr>
      </w:pPr>
      <w:r w:rsidRPr="001B7C67">
        <w:rPr>
          <w:b/>
          <w:bCs/>
          <w:sz w:val="24"/>
          <w:szCs w:val="24"/>
        </w:rPr>
        <w:t>Aumento de las primas de riesgo globales expone vulnerabilidades.</w:t>
      </w:r>
      <w:r w:rsidRPr="001B7C67">
        <w:rPr>
          <w:sz w:val="24"/>
          <w:szCs w:val="24"/>
        </w:rPr>
        <w:t xml:space="preserve"> Una reevaluación de los fundamentos del mercado desencadena un evento de riesgo generalizado. Las primas de riesgo más altas generan financiamiento</w:t>
      </w:r>
      <w:r w:rsidR="004D3CC8">
        <w:rPr>
          <w:sz w:val="24"/>
          <w:szCs w:val="24"/>
        </w:rPr>
        <w:t xml:space="preserve"> costoso</w:t>
      </w:r>
      <w:r w:rsidRPr="001B7C67">
        <w:rPr>
          <w:sz w:val="24"/>
          <w:szCs w:val="24"/>
        </w:rPr>
        <w:t>, dificultades para las empresas apalancadas y los hogares, y una ola de quiebras erosionan las reservas de capital de los bancos. Dificultades de financiación se extiende a los gobiernos generando aumento de deuda pública excesiva, y problemas de impago.</w:t>
      </w:r>
    </w:p>
    <w:p w14:paraId="12FD5FFD" w14:textId="77777777" w:rsidR="001B7C67" w:rsidRPr="001B7C67" w:rsidRDefault="001B7C67" w:rsidP="001B7C67">
      <w:pPr>
        <w:ind w:left="567"/>
        <w:jc w:val="both"/>
        <w:rPr>
          <w:sz w:val="24"/>
          <w:szCs w:val="24"/>
        </w:rPr>
      </w:pPr>
      <w:r w:rsidRPr="001B7C67">
        <w:rPr>
          <w:sz w:val="24"/>
          <w:szCs w:val="24"/>
        </w:rPr>
        <w:t>Riesgos Internos</w:t>
      </w:r>
    </w:p>
    <w:p w14:paraId="1D583020" w14:textId="77777777" w:rsidR="001B7C67" w:rsidRPr="001B7C67" w:rsidRDefault="001B7C67" w:rsidP="001B7C67">
      <w:pPr>
        <w:jc w:val="both"/>
        <w:rPr>
          <w:sz w:val="24"/>
          <w:szCs w:val="24"/>
        </w:rPr>
      </w:pPr>
    </w:p>
    <w:p w14:paraId="5B3AEC7A" w14:textId="77777777" w:rsidR="001B7C67" w:rsidRPr="001B7C67" w:rsidRDefault="001B7C67" w:rsidP="00555124">
      <w:pPr>
        <w:pStyle w:val="Prrafodelista"/>
        <w:widowControl/>
        <w:numPr>
          <w:ilvl w:val="0"/>
          <w:numId w:val="7"/>
        </w:numPr>
        <w:spacing w:after="160" w:line="259" w:lineRule="auto"/>
        <w:ind w:left="993"/>
        <w:jc w:val="both"/>
        <w:rPr>
          <w:sz w:val="24"/>
          <w:szCs w:val="24"/>
        </w:rPr>
      </w:pPr>
      <w:r w:rsidRPr="001B7C67">
        <w:rPr>
          <w:b/>
          <w:bCs/>
          <w:sz w:val="24"/>
          <w:szCs w:val="24"/>
        </w:rPr>
        <w:t>Mayor frecuencia y gravedad de los desastres naturales</w:t>
      </w:r>
      <w:r w:rsidRPr="001B7C67">
        <w:rPr>
          <w:sz w:val="24"/>
          <w:szCs w:val="24"/>
        </w:rPr>
        <w:t xml:space="preserve">. Los desastres naturales relacionados tienen un gran impacto en las perspectivas de crecimiento y erosionan los </w:t>
      </w:r>
      <w:r w:rsidRPr="001B7C67">
        <w:rPr>
          <w:sz w:val="24"/>
          <w:szCs w:val="24"/>
        </w:rPr>
        <w:lastRenderedPageBreak/>
        <w:t>amortiguadores fiscales, así como los costos de reconstrucción desplazan a los escasos recursos para salud, educación y gasto social.</w:t>
      </w:r>
    </w:p>
    <w:p w14:paraId="7E8EEEA4" w14:textId="77777777" w:rsidR="001B7C67" w:rsidRPr="001B7C67" w:rsidRDefault="001B7C67" w:rsidP="00555124">
      <w:pPr>
        <w:pStyle w:val="Prrafodelista"/>
        <w:widowControl/>
        <w:numPr>
          <w:ilvl w:val="0"/>
          <w:numId w:val="7"/>
        </w:numPr>
        <w:spacing w:after="160" w:line="259" w:lineRule="auto"/>
        <w:ind w:left="993"/>
        <w:jc w:val="both"/>
        <w:rPr>
          <w:sz w:val="24"/>
          <w:szCs w:val="24"/>
        </w:rPr>
      </w:pPr>
      <w:r w:rsidRPr="001B7C67">
        <w:rPr>
          <w:b/>
          <w:bCs/>
          <w:sz w:val="24"/>
          <w:szCs w:val="24"/>
        </w:rPr>
        <w:t>Complementar los instrumentos de retención de riesgos con la transferencia de riesgos.</w:t>
      </w:r>
      <w:r w:rsidR="004D3CC8">
        <w:rPr>
          <w:sz w:val="24"/>
          <w:szCs w:val="24"/>
        </w:rPr>
        <w:t xml:space="preserve"> I</w:t>
      </w:r>
      <w:r w:rsidRPr="001B7C67">
        <w:rPr>
          <w:sz w:val="24"/>
          <w:szCs w:val="24"/>
        </w:rPr>
        <w:t>nstrumentos para ampliar la capacidad de respuesta para preservar la resiliencia fiscal. Priorizar inversiones para resiliencia de la infraestructura.</w:t>
      </w:r>
    </w:p>
    <w:p w14:paraId="4C66001D" w14:textId="77777777" w:rsidR="001B7C67" w:rsidRDefault="001B7C67" w:rsidP="00555124">
      <w:pPr>
        <w:pStyle w:val="Prrafodelista"/>
        <w:widowControl/>
        <w:numPr>
          <w:ilvl w:val="0"/>
          <w:numId w:val="7"/>
        </w:numPr>
        <w:spacing w:after="160" w:line="259" w:lineRule="auto"/>
        <w:ind w:left="993"/>
        <w:jc w:val="both"/>
        <w:rPr>
          <w:sz w:val="24"/>
          <w:szCs w:val="24"/>
        </w:rPr>
      </w:pPr>
      <w:r w:rsidRPr="001B7C67">
        <w:rPr>
          <w:b/>
          <w:bCs/>
          <w:sz w:val="24"/>
          <w:szCs w:val="24"/>
        </w:rPr>
        <w:t>Descontento social e inestabilidad política.</w:t>
      </w:r>
      <w:r w:rsidRPr="001B7C67">
        <w:rPr>
          <w:sz w:val="24"/>
          <w:szCs w:val="24"/>
        </w:rPr>
        <w:t xml:space="preserve"> Aumentos persistentes en la pobreza y la desnutrición podrían desencadenar el descontento social. Creciente inestabilidad política debilita la eficacia y la confianza de las políticas.</w:t>
      </w:r>
    </w:p>
    <w:p w14:paraId="001F402A" w14:textId="77777777" w:rsidR="001B7C67" w:rsidRPr="001B7C67" w:rsidRDefault="001B7C67" w:rsidP="00555124">
      <w:pPr>
        <w:pStyle w:val="Prrafodelista"/>
        <w:widowControl/>
        <w:numPr>
          <w:ilvl w:val="0"/>
          <w:numId w:val="7"/>
        </w:numPr>
        <w:ind w:left="993"/>
        <w:jc w:val="both"/>
        <w:rPr>
          <w:sz w:val="24"/>
          <w:szCs w:val="24"/>
        </w:rPr>
      </w:pPr>
      <w:r w:rsidRPr="001B7C67">
        <w:rPr>
          <w:b/>
          <w:bCs/>
          <w:sz w:val="24"/>
          <w:szCs w:val="24"/>
        </w:rPr>
        <w:t>Deterioro de la calidad de la cartera de crédito.</w:t>
      </w:r>
      <w:r w:rsidRPr="001B7C67">
        <w:rPr>
          <w:sz w:val="24"/>
          <w:szCs w:val="24"/>
        </w:rPr>
        <w:t xml:space="preserve"> Las medidas de indulgencia podrían presionar la calidad de los act</w:t>
      </w:r>
      <w:r w:rsidR="004D3CC8">
        <w:rPr>
          <w:sz w:val="24"/>
          <w:szCs w:val="24"/>
        </w:rPr>
        <w:t>ivos y el capital de los bancos,</w:t>
      </w:r>
      <w:r w:rsidRPr="001B7C67">
        <w:rPr>
          <w:sz w:val="24"/>
          <w:szCs w:val="24"/>
        </w:rPr>
        <w:t xml:space="preserve"> requisito de aprovisionamiento, recortando el financiamiento para la recuperación.</w:t>
      </w:r>
    </w:p>
    <w:p w14:paraId="49ED46C0" w14:textId="77777777" w:rsidR="001B7C67" w:rsidRPr="001B7C67" w:rsidRDefault="001B7C67" w:rsidP="00246A61">
      <w:pPr>
        <w:ind w:left="567" w:right="49"/>
        <w:jc w:val="both"/>
        <w:rPr>
          <w:color w:val="FF0000"/>
          <w:sz w:val="24"/>
          <w:szCs w:val="24"/>
        </w:rPr>
      </w:pPr>
    </w:p>
    <w:p w14:paraId="2EC01622" w14:textId="77777777" w:rsidR="00246A61" w:rsidRPr="001B7C67" w:rsidRDefault="00246A61" w:rsidP="00246A61">
      <w:pPr>
        <w:pStyle w:val="Ttulo1"/>
        <w:widowControl/>
        <w:numPr>
          <w:ilvl w:val="1"/>
          <w:numId w:val="5"/>
        </w:numPr>
        <w:ind w:left="993" w:right="49"/>
        <w:jc w:val="left"/>
        <w:rPr>
          <w:b w:val="0"/>
          <w:color w:val="1F3864" w:themeColor="accent1" w:themeShade="80"/>
          <w:sz w:val="24"/>
          <w:szCs w:val="24"/>
        </w:rPr>
      </w:pPr>
      <w:bookmarkStart w:id="11" w:name="_Toc16519884"/>
      <w:bookmarkStart w:id="12" w:name="_Toc83302159"/>
      <w:r w:rsidRPr="001B7C67">
        <w:rPr>
          <w:color w:val="1F3864" w:themeColor="accent1" w:themeShade="80"/>
          <w:sz w:val="24"/>
          <w:szCs w:val="24"/>
        </w:rPr>
        <w:t>Desviaciones de los pronósticos fiscales</w:t>
      </w:r>
      <w:bookmarkEnd w:id="11"/>
      <w:bookmarkEnd w:id="12"/>
    </w:p>
    <w:p w14:paraId="1A1DEB2C" w14:textId="77777777" w:rsidR="00246A61" w:rsidRPr="00DE1D8D" w:rsidRDefault="00246A61" w:rsidP="00246A61">
      <w:pPr>
        <w:pStyle w:val="Sinespaciado"/>
        <w:ind w:left="567" w:right="49"/>
        <w:jc w:val="both"/>
        <w:outlineLvl w:val="0"/>
        <w:rPr>
          <w:rFonts w:ascii="Times New Roman" w:hAnsi="Times New Roman"/>
          <w:b/>
          <w:color w:val="FF0000"/>
          <w:sz w:val="24"/>
          <w:szCs w:val="24"/>
          <w:lang w:val="es-MX"/>
        </w:rPr>
      </w:pPr>
    </w:p>
    <w:p w14:paraId="08D3C224" w14:textId="669BC688" w:rsidR="001B7C67" w:rsidRPr="00CC7AC6" w:rsidRDefault="001B7C67" w:rsidP="001B7C67">
      <w:pPr>
        <w:pStyle w:val="Sinespaciado"/>
        <w:ind w:left="567" w:right="49"/>
        <w:jc w:val="both"/>
        <w:rPr>
          <w:rFonts w:ascii="Times New Roman" w:hAnsi="Times New Roman"/>
          <w:sz w:val="24"/>
          <w:szCs w:val="24"/>
          <w:lang w:val="es-MX"/>
        </w:rPr>
      </w:pPr>
      <w:r w:rsidRPr="00FE76BD">
        <w:rPr>
          <w:rFonts w:ascii="Times New Roman" w:hAnsi="Times New Roman"/>
          <w:sz w:val="24"/>
          <w:szCs w:val="24"/>
          <w:lang w:val="es-MX"/>
        </w:rPr>
        <w:t xml:space="preserve">Las variables fiscales también han mostrado desviaciones entre lo observado y lo que se programa inicialmente en el presupuesto, estas desviaciones son originadas por factores exógenos como la actividad económica nacional e internacional, decisiones de política y el comportamiento de los </w:t>
      </w:r>
      <w:r w:rsidRPr="00CC7AC6">
        <w:rPr>
          <w:rFonts w:ascii="Times New Roman" w:hAnsi="Times New Roman"/>
          <w:sz w:val="24"/>
          <w:szCs w:val="24"/>
          <w:lang w:val="es-MX"/>
        </w:rPr>
        <w:t>agentes (entidades públicas, contribuyentes de impuestos, entidades internacionales, entre otros).</w:t>
      </w:r>
    </w:p>
    <w:p w14:paraId="011C4FC3" w14:textId="362CA516" w:rsidR="009C5191" w:rsidRPr="00CC7AC6" w:rsidRDefault="009C5191" w:rsidP="001B7C67">
      <w:pPr>
        <w:pStyle w:val="Sinespaciado"/>
        <w:ind w:left="567" w:right="49"/>
        <w:jc w:val="both"/>
        <w:rPr>
          <w:rFonts w:ascii="Times New Roman" w:hAnsi="Times New Roman"/>
          <w:sz w:val="24"/>
          <w:szCs w:val="24"/>
          <w:lang w:val="es-MX"/>
        </w:rPr>
      </w:pPr>
    </w:p>
    <w:p w14:paraId="112CFDCF" w14:textId="0DAC51BA" w:rsidR="009C5191" w:rsidRPr="00CC7AC6" w:rsidRDefault="009C5191" w:rsidP="00CC7AC6">
      <w:pPr>
        <w:pStyle w:val="Sinespaciado"/>
        <w:ind w:left="567" w:right="49"/>
        <w:jc w:val="both"/>
        <w:rPr>
          <w:rFonts w:ascii="Times New Roman" w:hAnsi="Times New Roman"/>
          <w:bCs/>
          <w:sz w:val="24"/>
          <w:szCs w:val="24"/>
          <w:lang w:val="es-MX"/>
        </w:rPr>
      </w:pPr>
      <w:r w:rsidRPr="00CC7AC6">
        <w:rPr>
          <w:rFonts w:ascii="Times New Roman" w:hAnsi="Times New Roman"/>
          <w:bCs/>
          <w:sz w:val="24"/>
          <w:szCs w:val="24"/>
          <w:lang w:val="es-MX"/>
        </w:rPr>
        <w:t>En el 2018 los ingresos fiscales observados fueron de 11.3% con respecto al PIB, sin mostrar desviación con respecto al presupuesto vigente. A pesar, de que los ingresos no tributarios y transferencias presentaron una ejecución del 85.5% con respecto a lo presupuestado, los ingresos tributarios observados fueron de 10.7% del PIB, 0.2 puntos porcentuales por encima de lo presupuestado. La mejora de la recaudación tributaria se debió a políticas de control implementadas por la SAT basadas en los procesos de gestión de riesgo e inteligencia aduanera para combatir la defraudación y contrabando aduaneros. Por otro lado, en el 2018 el gasto total ejecutado fue de 13.2% del PIB con una desviación negativa de 0.6 puntos porcentuales, es importante enfatizar que el presupuesto del ejercicio fiscal 2018 no fue aprobado lo que condujo a la autoridad fiscal a realizar una serie de acciones para reorientar el presupuesto del ejercicio fiscal del 2017 que no era funcional para los objetivos del 2018, dado que la programación no estaba acorde a las necesidades institucionales y con el financiamiento necesario para su ejecución, además, de las rigideces que contenía el presupuesto vigente.  Derivado de lo anterior, el déficit fiscal observado se ubicó en 1.9% del PIB, 0.5 puntos porcentuales menor al presupuestado, explicado principalmente a que la ejecución presupuestaria del gasto fue de 95.9%.</w:t>
      </w:r>
    </w:p>
    <w:p w14:paraId="6BF5758C" w14:textId="77777777" w:rsidR="009C5191" w:rsidRPr="009C5191" w:rsidRDefault="009C5191" w:rsidP="009C5191">
      <w:pPr>
        <w:ind w:left="567" w:right="49"/>
        <w:jc w:val="both"/>
        <w:rPr>
          <w:color w:val="FF0000"/>
          <w:sz w:val="18"/>
          <w:szCs w:val="24"/>
          <w:highlight w:val="yellow"/>
          <w:lang w:val="es-MX"/>
        </w:rPr>
      </w:pPr>
    </w:p>
    <w:p w14:paraId="42AB66C8" w14:textId="2319CF95" w:rsidR="009C5191" w:rsidRPr="00CC7AC6" w:rsidRDefault="00CC7AC6" w:rsidP="009C5191">
      <w:pPr>
        <w:ind w:left="567" w:right="49"/>
        <w:jc w:val="center"/>
        <w:rPr>
          <w:color w:val="FF0000"/>
          <w:sz w:val="24"/>
          <w:szCs w:val="24"/>
          <w:lang w:val="es-MX"/>
        </w:rPr>
      </w:pPr>
      <w:r>
        <w:rPr>
          <w:b/>
          <w:sz w:val="24"/>
          <w:szCs w:val="24"/>
          <w:lang w:val="es-MX"/>
        </w:rPr>
        <w:t>Gráfica 17</w:t>
      </w:r>
      <w:r w:rsidR="009C5191" w:rsidRPr="00CC7AC6">
        <w:rPr>
          <w:b/>
          <w:sz w:val="24"/>
          <w:szCs w:val="24"/>
          <w:lang w:val="es-MX"/>
        </w:rPr>
        <w:t>.  Desviaciones fiscales con respecto al PIB en 2018</w:t>
      </w:r>
    </w:p>
    <w:p w14:paraId="4492E84A" w14:textId="4673AEA3" w:rsidR="009C5191" w:rsidRPr="00CC7AC6" w:rsidRDefault="009C5191" w:rsidP="009C5191">
      <w:pPr>
        <w:ind w:left="567" w:right="49"/>
        <w:jc w:val="center"/>
        <w:rPr>
          <w:color w:val="FF0000"/>
          <w:sz w:val="24"/>
          <w:szCs w:val="24"/>
          <w:lang w:val="es-MX"/>
        </w:rPr>
      </w:pPr>
      <w:r w:rsidRPr="00CC7AC6">
        <w:rPr>
          <w:noProof/>
          <w:lang w:val="es-GT" w:eastAsia="es-GT"/>
        </w:rPr>
        <w:lastRenderedPageBreak/>
        <w:drawing>
          <wp:inline distT="0" distB="0" distL="0" distR="0" wp14:anchorId="5EFF7BDA" wp14:editId="5CC707DC">
            <wp:extent cx="5741035" cy="1585609"/>
            <wp:effectExtent l="0" t="0" r="0" b="0"/>
            <wp:docPr id="234" name="Gráfico 2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08A2E96-D9B2-4C6B-B4FA-8FB3A26EC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E62C5C" w14:textId="21B9866E" w:rsidR="009C5191" w:rsidRPr="00515F4D" w:rsidRDefault="009C5191" w:rsidP="009C5191">
      <w:pPr>
        <w:ind w:left="567" w:right="49"/>
        <w:jc w:val="both"/>
        <w:rPr>
          <w:color w:val="FF0000"/>
          <w:szCs w:val="24"/>
          <w:lang w:val="es-MX"/>
        </w:rPr>
      </w:pPr>
      <w:r w:rsidRPr="00CC7AC6">
        <w:rPr>
          <w:bCs/>
          <w:sz w:val="16"/>
          <w:lang w:val="es-MX"/>
        </w:rPr>
        <w:t xml:space="preserve">                    Fuente: </w:t>
      </w:r>
      <w:r w:rsidR="00EF0CE5" w:rsidRPr="00CC7AC6">
        <w:rPr>
          <w:bCs/>
          <w:sz w:val="16"/>
          <w:szCs w:val="11"/>
        </w:rPr>
        <w:t>Ministerio de Finanzas Públicas</w:t>
      </w:r>
    </w:p>
    <w:p w14:paraId="63409837" w14:textId="77777777" w:rsidR="009C5191" w:rsidRPr="00DE1D8D" w:rsidRDefault="009C5191" w:rsidP="009C5191">
      <w:pPr>
        <w:pStyle w:val="Sinespaciado"/>
        <w:ind w:right="49"/>
        <w:jc w:val="both"/>
        <w:rPr>
          <w:rFonts w:ascii="Times New Roman" w:hAnsi="Times New Roman"/>
          <w:color w:val="FF0000"/>
          <w:sz w:val="24"/>
          <w:szCs w:val="24"/>
        </w:rPr>
      </w:pPr>
    </w:p>
    <w:p w14:paraId="4701CBA3" w14:textId="77777777" w:rsidR="00246A61" w:rsidRPr="009C5191" w:rsidRDefault="001B7C67" w:rsidP="009C5191">
      <w:pPr>
        <w:ind w:left="567" w:right="49"/>
        <w:jc w:val="both"/>
        <w:rPr>
          <w:sz w:val="24"/>
          <w:szCs w:val="24"/>
          <w:lang w:val="es-MX"/>
        </w:rPr>
      </w:pPr>
      <w:r w:rsidRPr="009C5191">
        <w:rPr>
          <w:sz w:val="24"/>
          <w:szCs w:val="24"/>
          <w:lang w:val="es-MX"/>
        </w:rPr>
        <w:t>En 2019 los ingresos fiscales tuvieron un crecimiento interanual de 6.8%, sin embargo, los ingresos fiscales observados se ubicaron en 11.2% del PIB con una desviación negativa de 0.4 puntos porcentuales del PIB. De la misma forma los ingresos tributarios presentaron una desviación negativa de 0.2 puntos porcentuales del PIB, a pesar de que la brecha fue negativa de Q1,434.1 millones, el impuesto que explicar la mayor parte de la brecha fue el IVA que se ubicó Q1,249.9 millones por debajo de lo presupuestado, asimismo, es importante indicar que en este año el impuesto sobre la renta tuvo una desviación positiva de 0.14 puntos porcentuales del PIB. En este año la SAT puso en marc</w:t>
      </w:r>
      <w:r w:rsidR="004D3CC8" w:rsidRPr="009C5191">
        <w:rPr>
          <w:sz w:val="24"/>
          <w:szCs w:val="24"/>
          <w:lang w:val="es-MX"/>
        </w:rPr>
        <w:t>h</w:t>
      </w:r>
      <w:r w:rsidRPr="009C5191">
        <w:rPr>
          <w:sz w:val="24"/>
          <w:szCs w:val="24"/>
          <w:lang w:val="es-MX"/>
        </w:rPr>
        <w:t xml:space="preserve">a la implementación del modelo y normas para la factura electrónica en línea (FEL), el programa de Modernización Integral Aduanera (MIAD), el Fortalecimiento de la Gestión Integral de Riesgos y la modernización del Registro Tributario Unificado (RTU), entre otros. </w:t>
      </w:r>
    </w:p>
    <w:p w14:paraId="6631DDE4" w14:textId="77777777" w:rsidR="00246A61" w:rsidRPr="00DE1D8D" w:rsidRDefault="00246A61" w:rsidP="00515F4D">
      <w:pPr>
        <w:pStyle w:val="Sinespaciado"/>
        <w:ind w:right="49"/>
        <w:jc w:val="both"/>
        <w:rPr>
          <w:rFonts w:ascii="Times New Roman" w:hAnsi="Times New Roman"/>
          <w:color w:val="FF0000"/>
          <w:sz w:val="24"/>
          <w:szCs w:val="24"/>
        </w:rPr>
      </w:pPr>
    </w:p>
    <w:p w14:paraId="221A5816" w14:textId="77777777" w:rsidR="00515F4D" w:rsidRDefault="00515F4D" w:rsidP="00515F4D">
      <w:pPr>
        <w:ind w:left="567" w:right="49"/>
        <w:jc w:val="both"/>
        <w:rPr>
          <w:sz w:val="24"/>
          <w:szCs w:val="24"/>
          <w:lang w:val="es-MX"/>
        </w:rPr>
      </w:pPr>
      <w:r w:rsidRPr="00FE76BD">
        <w:rPr>
          <w:sz w:val="24"/>
          <w:szCs w:val="24"/>
          <w:lang w:val="es-MX"/>
        </w:rPr>
        <w:t>Para 2019 la ejecución presupuestaria del gasto tuvo una brecha negativa de -0.9 puntos porcentuales con respecto al PIB, uno de los factores principales, fue el aumento en la asignación de gasto, derivado de la aprobación del presupuesto para 2019 por parte del Congreso de la República.  Sin embargo, esto facilitó el trabajo de las entidades con relación a que el presupuesto estaba acorde a las necesidades institucionales y las actividades contaban con la fuente de financiamiento debidamente identificada desde el principio para asegurar su ejecución.</w:t>
      </w:r>
      <w:r>
        <w:rPr>
          <w:sz w:val="24"/>
          <w:szCs w:val="24"/>
          <w:lang w:val="es-MX"/>
        </w:rPr>
        <w:t xml:space="preserve"> </w:t>
      </w:r>
      <w:r w:rsidRPr="00FE76BD">
        <w:rPr>
          <w:sz w:val="24"/>
          <w:szCs w:val="24"/>
          <w:lang w:val="es-MX"/>
        </w:rPr>
        <w:t xml:space="preserve">Otro elemento relevante de la ejecución de 2019 es en relación con la conclusión del proceso de asimilación de los nuevos sistemas de control de la Contraloría General de Cuentas y la aplicación de las nuevas normas de contrataciones del Estado, esto en años anteriores había propiciado una rigidez en la ejecución del gasto, misma que se empezó a desvanecer a partir </w:t>
      </w:r>
      <w:r>
        <w:rPr>
          <w:sz w:val="24"/>
          <w:szCs w:val="24"/>
          <w:lang w:val="es-MX"/>
        </w:rPr>
        <w:t>de</w:t>
      </w:r>
      <w:r w:rsidRPr="00FE76BD">
        <w:rPr>
          <w:sz w:val="24"/>
          <w:szCs w:val="24"/>
          <w:lang w:val="es-MX"/>
        </w:rPr>
        <w:t xml:space="preserve"> 2018.</w:t>
      </w:r>
      <w:r w:rsidRPr="00A24911">
        <w:rPr>
          <w:sz w:val="24"/>
          <w:szCs w:val="24"/>
          <w:lang w:val="es-MX"/>
        </w:rPr>
        <w:t xml:space="preserve"> La desviación del déficit del 2019 fue también negativa por 0.5 puntos porcentuales del PIB, esto se debe a que este año estuvo marcado por un entorno macroeconómico favorable, aunque con una carga tributaria mayor, siendo de 1</w:t>
      </w:r>
      <w:r>
        <w:rPr>
          <w:sz w:val="24"/>
          <w:szCs w:val="24"/>
          <w:lang w:val="es-MX"/>
        </w:rPr>
        <w:t>0.5</w:t>
      </w:r>
      <w:r w:rsidRPr="00A24911">
        <w:rPr>
          <w:sz w:val="24"/>
          <w:szCs w:val="24"/>
          <w:lang w:val="es-MX"/>
        </w:rPr>
        <w:t xml:space="preserve">% del PIB, en este año se tuvo un mayor dinamismo de la ejecución de gasto público, por lo cual el déficit fiscal </w:t>
      </w:r>
      <w:r>
        <w:rPr>
          <w:sz w:val="24"/>
          <w:szCs w:val="24"/>
          <w:lang w:val="es-MX"/>
        </w:rPr>
        <w:t>se ubicó en</w:t>
      </w:r>
      <w:r w:rsidRPr="00A24911">
        <w:rPr>
          <w:sz w:val="24"/>
          <w:szCs w:val="24"/>
          <w:lang w:val="es-MX"/>
        </w:rPr>
        <w:t xml:space="preserve"> 2.2% del PIB.</w:t>
      </w:r>
    </w:p>
    <w:p w14:paraId="67B1F8D1" w14:textId="77777777" w:rsidR="00515F4D" w:rsidRDefault="00515F4D" w:rsidP="00515F4D">
      <w:pPr>
        <w:ind w:left="567" w:right="49"/>
        <w:jc w:val="both"/>
        <w:rPr>
          <w:sz w:val="24"/>
          <w:szCs w:val="24"/>
          <w:lang w:val="es-MX"/>
        </w:rPr>
      </w:pPr>
    </w:p>
    <w:p w14:paraId="457FC44F" w14:textId="5BB146B2" w:rsidR="00515F4D" w:rsidRDefault="00515F4D" w:rsidP="00924BA7">
      <w:pPr>
        <w:pStyle w:val="Sinespaciado"/>
        <w:ind w:left="567" w:right="49"/>
        <w:jc w:val="both"/>
        <w:rPr>
          <w:rFonts w:ascii="Times New Roman" w:hAnsi="Times New Roman"/>
          <w:bCs/>
          <w:sz w:val="24"/>
          <w:szCs w:val="24"/>
          <w:lang w:val="es-MX"/>
        </w:rPr>
      </w:pPr>
      <w:r>
        <w:rPr>
          <w:rFonts w:ascii="Times New Roman" w:hAnsi="Times New Roman"/>
          <w:bCs/>
          <w:sz w:val="24"/>
          <w:szCs w:val="24"/>
          <w:lang w:val="es-MX"/>
        </w:rPr>
        <w:t xml:space="preserve">En el 2020 los ingresos fiscales observados representaron 10.7% del PIB con una desviación negativa de 0.8 puntos porcentuales con respecto a la estimación prevista para dicho año, esto se debe principalmente a la desviación negativa con respecto al PIB de los ingresos tributarios de 0.6 puntos porcentuales. En este año la recaudación tributaria observada se ubicó en </w:t>
      </w:r>
      <w:r w:rsidR="004D3CC8">
        <w:rPr>
          <w:rFonts w:ascii="Times New Roman" w:hAnsi="Times New Roman"/>
          <w:bCs/>
          <w:sz w:val="24"/>
          <w:szCs w:val="24"/>
          <w:lang w:val="es-MX"/>
        </w:rPr>
        <w:t>Q</w:t>
      </w:r>
      <w:r>
        <w:rPr>
          <w:rFonts w:ascii="Times New Roman" w:hAnsi="Times New Roman"/>
          <w:bCs/>
          <w:sz w:val="24"/>
          <w:szCs w:val="24"/>
          <w:lang w:val="es-MX"/>
        </w:rPr>
        <w:t xml:space="preserve">60,279.4 millones, presentando una brecha negativa de Q3,748.3 millones, debido al deterioro de las condiciones económicas a partir de marzo, entre las cuales estuvo la desaceleración de la economía nacional y de la economía mundial, a la disminución de la demanda interna y externa </w:t>
      </w:r>
      <w:r>
        <w:rPr>
          <w:rFonts w:ascii="Times New Roman" w:hAnsi="Times New Roman"/>
          <w:bCs/>
          <w:sz w:val="24"/>
          <w:szCs w:val="24"/>
          <w:lang w:val="es-MX"/>
        </w:rPr>
        <w:lastRenderedPageBreak/>
        <w:t xml:space="preserve">por las medidas de confinamiento en la mayoría de los países, a la caída del precio del barril de petróleo, entre otros. Lo que condujo a que las expectativas económicas y de proyección de ingresos </w:t>
      </w:r>
      <w:r w:rsidR="004D3CC8">
        <w:rPr>
          <w:rFonts w:ascii="Times New Roman" w:hAnsi="Times New Roman"/>
          <w:bCs/>
          <w:sz w:val="24"/>
          <w:szCs w:val="24"/>
          <w:lang w:val="es-MX"/>
        </w:rPr>
        <w:t>en abril fuera</w:t>
      </w:r>
      <w:r>
        <w:rPr>
          <w:rFonts w:ascii="Times New Roman" w:hAnsi="Times New Roman"/>
          <w:bCs/>
          <w:sz w:val="24"/>
          <w:szCs w:val="24"/>
          <w:lang w:val="es-MX"/>
        </w:rPr>
        <w:t xml:space="preserve"> bastante pesimista en donde la </w:t>
      </w:r>
      <w:r w:rsidR="004D3CC8">
        <w:rPr>
          <w:rFonts w:ascii="Times New Roman" w:hAnsi="Times New Roman"/>
          <w:bCs/>
          <w:sz w:val="24"/>
          <w:szCs w:val="24"/>
          <w:lang w:val="es-MX"/>
        </w:rPr>
        <w:t>carga tributaria se preveía en 9.6</w:t>
      </w:r>
      <w:r>
        <w:rPr>
          <w:rFonts w:ascii="Times New Roman" w:hAnsi="Times New Roman"/>
          <w:bCs/>
          <w:sz w:val="24"/>
          <w:szCs w:val="24"/>
          <w:lang w:val="es-MX"/>
        </w:rPr>
        <w:t>%. Sin embargo, en los últimos tres meses del ejercicio fiscal 2020 la movilidad empezó a recuperarse gradualmente, el relajamiento de las restricciones y la apertura gradual del transporte público incidió en una recuperación en el último trimestre del IVA doméstico y del IVA asociado al comercio exterior, de tal manera, que la carga tributaria se ubicó en 10.1% con respecto al PIB para el final del año 2020.</w:t>
      </w:r>
    </w:p>
    <w:p w14:paraId="2AF0C80D" w14:textId="77777777" w:rsidR="00924BA7" w:rsidRDefault="00924BA7" w:rsidP="00924BA7">
      <w:pPr>
        <w:pStyle w:val="Sinespaciado"/>
        <w:ind w:right="49"/>
        <w:jc w:val="both"/>
        <w:rPr>
          <w:rFonts w:ascii="Times New Roman" w:hAnsi="Times New Roman"/>
          <w:bCs/>
          <w:sz w:val="24"/>
          <w:szCs w:val="24"/>
          <w:lang w:val="es-MX"/>
        </w:rPr>
      </w:pPr>
    </w:p>
    <w:tbl>
      <w:tblPr>
        <w:tblStyle w:val="Tablaconcuadrcula"/>
        <w:tblW w:w="924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622"/>
      </w:tblGrid>
      <w:tr w:rsidR="00924BA7" w14:paraId="35DF1DA6" w14:textId="77777777" w:rsidTr="00924BA7">
        <w:trPr>
          <w:trHeight w:val="487"/>
        </w:trPr>
        <w:tc>
          <w:tcPr>
            <w:tcW w:w="4623" w:type="dxa"/>
          </w:tcPr>
          <w:p w14:paraId="4C583991" w14:textId="3DD05BEB" w:rsidR="00924BA7" w:rsidRDefault="00CC7AC6" w:rsidP="00924BA7">
            <w:pPr>
              <w:pStyle w:val="Sinespaciado"/>
              <w:ind w:left="567" w:right="49"/>
              <w:jc w:val="center"/>
              <w:rPr>
                <w:rFonts w:ascii="Times New Roman" w:hAnsi="Times New Roman"/>
                <w:bCs/>
                <w:sz w:val="24"/>
                <w:szCs w:val="24"/>
                <w:lang w:val="es-MX"/>
              </w:rPr>
            </w:pPr>
            <w:r>
              <w:rPr>
                <w:rFonts w:ascii="Times New Roman" w:hAnsi="Times New Roman"/>
                <w:b/>
                <w:sz w:val="24"/>
                <w:szCs w:val="24"/>
                <w:lang w:val="es-MX"/>
              </w:rPr>
              <w:t>Gráfica 18</w:t>
            </w:r>
            <w:r w:rsidR="00924BA7">
              <w:rPr>
                <w:rFonts w:ascii="Times New Roman" w:hAnsi="Times New Roman"/>
                <w:b/>
                <w:sz w:val="24"/>
                <w:szCs w:val="24"/>
                <w:lang w:val="es-MX"/>
              </w:rPr>
              <w:t xml:space="preserve">.  </w:t>
            </w:r>
            <w:r w:rsidR="00924BA7" w:rsidRPr="0035399C">
              <w:rPr>
                <w:rFonts w:ascii="Times New Roman" w:hAnsi="Times New Roman"/>
                <w:b/>
                <w:sz w:val="24"/>
                <w:szCs w:val="24"/>
                <w:lang w:val="es-MX"/>
              </w:rPr>
              <w:t xml:space="preserve">Desviaciones fiscales con respecto al PIB en </w:t>
            </w:r>
            <w:r w:rsidR="00924BA7">
              <w:rPr>
                <w:rFonts w:ascii="Times New Roman" w:hAnsi="Times New Roman"/>
                <w:b/>
                <w:sz w:val="24"/>
                <w:szCs w:val="24"/>
                <w:lang w:val="es-MX"/>
              </w:rPr>
              <w:t>2019</w:t>
            </w:r>
          </w:p>
        </w:tc>
        <w:tc>
          <w:tcPr>
            <w:tcW w:w="4622" w:type="dxa"/>
          </w:tcPr>
          <w:p w14:paraId="6FA55C9E" w14:textId="56326452" w:rsidR="00924BA7" w:rsidRDefault="00CC7AC6" w:rsidP="00924BA7">
            <w:pPr>
              <w:pStyle w:val="Sinespaciado"/>
              <w:ind w:left="567" w:right="49"/>
              <w:jc w:val="center"/>
              <w:rPr>
                <w:rFonts w:ascii="Times New Roman" w:hAnsi="Times New Roman"/>
                <w:bCs/>
                <w:sz w:val="24"/>
                <w:szCs w:val="24"/>
                <w:lang w:val="es-MX"/>
              </w:rPr>
            </w:pPr>
            <w:r>
              <w:rPr>
                <w:rFonts w:ascii="Times New Roman" w:hAnsi="Times New Roman"/>
                <w:b/>
                <w:sz w:val="24"/>
                <w:szCs w:val="24"/>
                <w:lang w:val="es-MX"/>
              </w:rPr>
              <w:t>Gráfica 19</w:t>
            </w:r>
            <w:r w:rsidR="00924BA7">
              <w:rPr>
                <w:rFonts w:ascii="Times New Roman" w:hAnsi="Times New Roman"/>
                <w:b/>
                <w:sz w:val="24"/>
                <w:szCs w:val="24"/>
                <w:lang w:val="es-MX"/>
              </w:rPr>
              <w:t xml:space="preserve">.   </w:t>
            </w:r>
            <w:r w:rsidR="00924BA7" w:rsidRPr="0035399C">
              <w:rPr>
                <w:rFonts w:ascii="Times New Roman" w:hAnsi="Times New Roman"/>
                <w:b/>
                <w:sz w:val="24"/>
                <w:szCs w:val="24"/>
                <w:lang w:val="es-MX"/>
              </w:rPr>
              <w:t xml:space="preserve">Desviaciones fiscales con respecto al PIB en </w:t>
            </w:r>
            <w:r w:rsidR="00924BA7">
              <w:rPr>
                <w:rFonts w:ascii="Times New Roman" w:hAnsi="Times New Roman"/>
                <w:b/>
                <w:sz w:val="24"/>
                <w:szCs w:val="24"/>
                <w:lang w:val="es-MX"/>
              </w:rPr>
              <w:t>2020</w:t>
            </w:r>
          </w:p>
        </w:tc>
      </w:tr>
      <w:tr w:rsidR="00924BA7" w14:paraId="21D66073" w14:textId="77777777" w:rsidTr="00924BA7">
        <w:trPr>
          <w:trHeight w:val="2498"/>
        </w:trPr>
        <w:tc>
          <w:tcPr>
            <w:tcW w:w="4623" w:type="dxa"/>
          </w:tcPr>
          <w:p w14:paraId="4B8133B5" w14:textId="6B9FA3E2" w:rsidR="00924BA7" w:rsidRDefault="00924BA7" w:rsidP="00924BA7">
            <w:pPr>
              <w:pStyle w:val="Sinespaciado"/>
              <w:ind w:right="49"/>
              <w:jc w:val="center"/>
              <w:rPr>
                <w:rFonts w:ascii="Times New Roman" w:hAnsi="Times New Roman"/>
                <w:bCs/>
                <w:sz w:val="24"/>
                <w:szCs w:val="24"/>
                <w:lang w:val="es-MX"/>
              </w:rPr>
            </w:pPr>
            <w:r>
              <w:rPr>
                <w:noProof/>
                <w:lang w:val="es-GT"/>
              </w:rPr>
              <w:drawing>
                <wp:inline distT="0" distB="0" distL="0" distR="0" wp14:anchorId="665F0D36" wp14:editId="62FF610F">
                  <wp:extent cx="2520000" cy="1800000"/>
                  <wp:effectExtent l="0" t="0" r="0" b="0"/>
                  <wp:docPr id="3" name="Gráfico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81A584D-CEC5-4CCF-9E12-96C8CC242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622" w:type="dxa"/>
          </w:tcPr>
          <w:p w14:paraId="36A98EC1" w14:textId="73F5D925" w:rsidR="00924BA7" w:rsidRDefault="00924BA7" w:rsidP="00924BA7">
            <w:pPr>
              <w:pStyle w:val="Sinespaciado"/>
              <w:ind w:right="49"/>
              <w:jc w:val="center"/>
              <w:rPr>
                <w:rFonts w:ascii="Times New Roman" w:hAnsi="Times New Roman"/>
                <w:bCs/>
                <w:sz w:val="24"/>
                <w:szCs w:val="24"/>
                <w:lang w:val="es-MX"/>
              </w:rPr>
            </w:pPr>
            <w:r>
              <w:rPr>
                <w:noProof/>
                <w:lang w:val="es-GT"/>
              </w:rPr>
              <w:drawing>
                <wp:inline distT="0" distB="0" distL="0" distR="0" wp14:anchorId="399844EC" wp14:editId="7A3B5756">
                  <wp:extent cx="2520000" cy="1800000"/>
                  <wp:effectExtent l="0" t="0" r="0" b="0"/>
                  <wp:docPr id="235" name="Gráfico 2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F279E1F-83DF-4E4D-A170-23BB63C64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924BA7" w14:paraId="77327387" w14:textId="77777777" w:rsidTr="00924BA7">
        <w:trPr>
          <w:trHeight w:val="282"/>
        </w:trPr>
        <w:tc>
          <w:tcPr>
            <w:tcW w:w="4623" w:type="dxa"/>
          </w:tcPr>
          <w:p w14:paraId="0196AF18" w14:textId="3A9C9192" w:rsidR="00924BA7" w:rsidRPr="00EF0CE5" w:rsidRDefault="00924BA7" w:rsidP="00924BA7">
            <w:pPr>
              <w:pStyle w:val="Sinespaciado"/>
              <w:ind w:right="49"/>
              <w:jc w:val="both"/>
              <w:rPr>
                <w:rFonts w:ascii="Times New Roman" w:hAnsi="Times New Roman"/>
                <w:bCs/>
                <w:sz w:val="24"/>
                <w:szCs w:val="24"/>
                <w:lang w:val="es-MX"/>
              </w:rPr>
            </w:pPr>
            <w:r w:rsidRPr="00EF0CE5">
              <w:rPr>
                <w:rFonts w:ascii="Times New Roman" w:hAnsi="Times New Roman"/>
                <w:bCs/>
                <w:sz w:val="16"/>
                <w:lang w:val="es-MX"/>
              </w:rPr>
              <w:t xml:space="preserve"> Fuente: </w:t>
            </w:r>
            <w:r w:rsidR="00EF0CE5" w:rsidRPr="00EF0CE5">
              <w:rPr>
                <w:rFonts w:ascii="Times New Roman" w:hAnsi="Times New Roman"/>
                <w:bCs/>
                <w:sz w:val="16"/>
                <w:szCs w:val="11"/>
              </w:rPr>
              <w:t>Ministerio de Finanzas Públicas</w:t>
            </w:r>
          </w:p>
          <w:p w14:paraId="383EE98E" w14:textId="77777777" w:rsidR="00924BA7" w:rsidRDefault="00924BA7" w:rsidP="00515F4D">
            <w:pPr>
              <w:pStyle w:val="Sinespaciado"/>
              <w:ind w:right="49"/>
              <w:jc w:val="both"/>
              <w:rPr>
                <w:rFonts w:ascii="Times New Roman" w:hAnsi="Times New Roman"/>
                <w:bCs/>
                <w:sz w:val="24"/>
                <w:szCs w:val="24"/>
                <w:lang w:val="es-MX"/>
              </w:rPr>
            </w:pPr>
          </w:p>
        </w:tc>
        <w:tc>
          <w:tcPr>
            <w:tcW w:w="4622" w:type="dxa"/>
          </w:tcPr>
          <w:p w14:paraId="6092B4E4" w14:textId="77777777" w:rsidR="00924BA7" w:rsidRDefault="00924BA7" w:rsidP="00515F4D">
            <w:pPr>
              <w:pStyle w:val="Sinespaciado"/>
              <w:ind w:right="49"/>
              <w:jc w:val="both"/>
              <w:rPr>
                <w:rFonts w:ascii="Times New Roman" w:hAnsi="Times New Roman"/>
                <w:bCs/>
                <w:sz w:val="24"/>
                <w:szCs w:val="24"/>
                <w:lang w:val="es-MX"/>
              </w:rPr>
            </w:pPr>
          </w:p>
        </w:tc>
      </w:tr>
    </w:tbl>
    <w:p w14:paraId="10E0A834" w14:textId="77777777" w:rsidR="00924BA7" w:rsidRDefault="00924BA7" w:rsidP="00924BA7">
      <w:pPr>
        <w:pStyle w:val="Sinespaciado"/>
        <w:ind w:right="49"/>
        <w:jc w:val="both"/>
        <w:rPr>
          <w:rFonts w:ascii="Times New Roman" w:hAnsi="Times New Roman"/>
          <w:bCs/>
          <w:sz w:val="24"/>
          <w:szCs w:val="24"/>
          <w:lang w:val="es-MX"/>
        </w:rPr>
      </w:pPr>
    </w:p>
    <w:p w14:paraId="0201AADF" w14:textId="18A87016" w:rsidR="00515F4D" w:rsidRDefault="00515F4D" w:rsidP="00515F4D">
      <w:pPr>
        <w:pStyle w:val="Sinespaciado"/>
        <w:ind w:left="567" w:right="49"/>
        <w:jc w:val="both"/>
        <w:rPr>
          <w:rFonts w:ascii="Times New Roman" w:hAnsi="Times New Roman"/>
          <w:bCs/>
          <w:sz w:val="24"/>
          <w:szCs w:val="24"/>
          <w:lang w:val="es-MX"/>
        </w:rPr>
      </w:pPr>
      <w:r>
        <w:rPr>
          <w:rFonts w:ascii="Times New Roman" w:hAnsi="Times New Roman"/>
          <w:bCs/>
          <w:sz w:val="24"/>
          <w:szCs w:val="24"/>
          <w:lang w:val="es-MX"/>
        </w:rPr>
        <w:t xml:space="preserve">En el 2020 el Proyecto de Presupuesto General de Ingresos y Egresos del Estado no fue aprobado, por lo que el monto inicial del presupuesto de gasto fue de Q87,715.1 millones. El no tener un presupuesto aprobado afectó el arranque de la nueva administración dado que la programación no </w:t>
      </w:r>
      <w:r w:rsidR="004D3CC8">
        <w:rPr>
          <w:rFonts w:ascii="Times New Roman" w:hAnsi="Times New Roman"/>
          <w:bCs/>
          <w:sz w:val="24"/>
          <w:szCs w:val="24"/>
          <w:lang w:val="es-MX"/>
        </w:rPr>
        <w:t>se encontraba</w:t>
      </w:r>
      <w:r>
        <w:rPr>
          <w:rFonts w:ascii="Times New Roman" w:hAnsi="Times New Roman"/>
          <w:bCs/>
          <w:sz w:val="24"/>
          <w:szCs w:val="24"/>
          <w:lang w:val="es-MX"/>
        </w:rPr>
        <w:t xml:space="preserve"> acorde a las prioridades de </w:t>
      </w:r>
      <w:r w:rsidR="004D3CC8">
        <w:rPr>
          <w:rFonts w:ascii="Times New Roman" w:hAnsi="Times New Roman"/>
          <w:bCs/>
          <w:sz w:val="24"/>
          <w:szCs w:val="24"/>
          <w:lang w:val="es-MX"/>
        </w:rPr>
        <w:t>la</w:t>
      </w:r>
      <w:r>
        <w:rPr>
          <w:rFonts w:ascii="Times New Roman" w:hAnsi="Times New Roman"/>
          <w:bCs/>
          <w:sz w:val="24"/>
          <w:szCs w:val="24"/>
          <w:lang w:val="es-MX"/>
        </w:rPr>
        <w:t xml:space="preserve"> agenda política. Posteriormente la coyuntura derivada de</w:t>
      </w:r>
      <w:r w:rsidR="004D3CC8">
        <w:rPr>
          <w:rFonts w:ascii="Times New Roman" w:hAnsi="Times New Roman"/>
          <w:bCs/>
          <w:sz w:val="24"/>
          <w:szCs w:val="24"/>
          <w:lang w:val="es-MX"/>
        </w:rPr>
        <w:t xml:space="preserve"> </w:t>
      </w:r>
      <w:r>
        <w:rPr>
          <w:rFonts w:ascii="Times New Roman" w:hAnsi="Times New Roman"/>
          <w:bCs/>
          <w:sz w:val="24"/>
          <w:szCs w:val="24"/>
          <w:lang w:val="es-MX"/>
        </w:rPr>
        <w:t>l</w:t>
      </w:r>
      <w:r w:rsidR="004D3CC8">
        <w:rPr>
          <w:rFonts w:ascii="Times New Roman" w:hAnsi="Times New Roman"/>
          <w:bCs/>
          <w:sz w:val="24"/>
          <w:szCs w:val="24"/>
          <w:lang w:val="es-MX"/>
        </w:rPr>
        <w:t>a dinámica del</w:t>
      </w:r>
      <w:r>
        <w:rPr>
          <w:rFonts w:ascii="Times New Roman" w:hAnsi="Times New Roman"/>
          <w:bCs/>
          <w:sz w:val="24"/>
          <w:szCs w:val="24"/>
          <w:lang w:val="es-MX"/>
        </w:rPr>
        <w:t xml:space="preserve"> COVID</w:t>
      </w:r>
      <w:r w:rsidR="004D3CC8">
        <w:rPr>
          <w:rFonts w:ascii="Times New Roman" w:hAnsi="Times New Roman"/>
          <w:bCs/>
          <w:sz w:val="24"/>
          <w:szCs w:val="24"/>
          <w:lang w:val="es-MX"/>
        </w:rPr>
        <w:t>-19</w:t>
      </w:r>
      <w:r>
        <w:rPr>
          <w:rFonts w:ascii="Times New Roman" w:hAnsi="Times New Roman"/>
          <w:bCs/>
          <w:sz w:val="24"/>
          <w:szCs w:val="24"/>
          <w:lang w:val="es-MX"/>
        </w:rPr>
        <w:t xml:space="preserve"> el Congreso de la República aprobó ampliaciones presupuestarias de Q20,045.7 millones lo que ubicó al presupuesto vigente de 2020 en </w:t>
      </w:r>
      <w:r w:rsidR="004D3CC8">
        <w:rPr>
          <w:rFonts w:ascii="Times New Roman" w:hAnsi="Times New Roman"/>
          <w:bCs/>
          <w:sz w:val="24"/>
          <w:szCs w:val="24"/>
          <w:lang w:val="es-MX"/>
        </w:rPr>
        <w:t>Q</w:t>
      </w:r>
      <w:r>
        <w:rPr>
          <w:rFonts w:ascii="Times New Roman" w:hAnsi="Times New Roman"/>
          <w:bCs/>
          <w:sz w:val="24"/>
          <w:szCs w:val="24"/>
          <w:lang w:val="es-MX"/>
        </w:rPr>
        <w:t>107,760.7 millones, de lo cual Q14,599.1 millones, fueron destinados a programas sociales y económicos del COVID</w:t>
      </w:r>
      <w:r w:rsidR="004D3CC8">
        <w:rPr>
          <w:rFonts w:ascii="Times New Roman" w:hAnsi="Times New Roman"/>
          <w:bCs/>
          <w:sz w:val="24"/>
          <w:szCs w:val="24"/>
          <w:lang w:val="es-MX"/>
        </w:rPr>
        <w:t>-19</w:t>
      </w:r>
      <w:r>
        <w:rPr>
          <w:rFonts w:ascii="Times New Roman" w:hAnsi="Times New Roman"/>
          <w:bCs/>
          <w:sz w:val="24"/>
          <w:szCs w:val="24"/>
          <w:lang w:val="es-MX"/>
        </w:rPr>
        <w:t>, de los cuales destacaron el Bono Familia por Q6,000 millones, el Fondo de Protección de Empleo de Q2,000 millones, el Fondo de Crédito Capital de Trabajo por Q2,730 millones, entre otros programas, los cuales tuvieron un nivel de ejecución de 92.6%. La ejecución del gasto público total se ubicó en 89.79% (sin incluir amortizaciones) por lo que el gasto total se ubicó en 15.6% del PIB con una desviación negativa de 1.8 puntos porcentuales. Derivado de lo anterior, el déficit fiscal observado fue de 4.9% del PIB, menor al presupuestado en 1.0 punto porcentual. El incremento en el nivel déficit en 2020 fue de carácter temporal debido a la política fiscal expansiva para mitigar los efectos económicos negativos derivados del COVID-19.</w:t>
      </w:r>
    </w:p>
    <w:p w14:paraId="0FB71D0F" w14:textId="77777777" w:rsidR="00927441" w:rsidRDefault="00927441" w:rsidP="00924BA7">
      <w:pPr>
        <w:pStyle w:val="Sinespaciado"/>
        <w:ind w:right="49"/>
        <w:jc w:val="both"/>
        <w:rPr>
          <w:rFonts w:ascii="Times New Roman" w:hAnsi="Times New Roman"/>
          <w:bCs/>
          <w:sz w:val="24"/>
          <w:szCs w:val="24"/>
          <w:lang w:val="es-MX"/>
        </w:rPr>
      </w:pPr>
    </w:p>
    <w:p w14:paraId="7EE27A6C" w14:textId="77777777" w:rsidR="00515F4D" w:rsidRDefault="00515F4D" w:rsidP="00515F4D">
      <w:pPr>
        <w:pStyle w:val="Sinespaciado"/>
        <w:ind w:left="567" w:right="49"/>
        <w:jc w:val="both"/>
        <w:rPr>
          <w:rFonts w:ascii="Times New Roman" w:hAnsi="Times New Roman"/>
          <w:bCs/>
          <w:sz w:val="24"/>
          <w:szCs w:val="24"/>
          <w:lang w:val="es-MX"/>
        </w:rPr>
      </w:pPr>
      <w:r w:rsidRPr="00381F8B">
        <w:rPr>
          <w:rFonts w:ascii="Times New Roman" w:hAnsi="Times New Roman"/>
          <w:bCs/>
          <w:sz w:val="24"/>
          <w:szCs w:val="24"/>
          <w:lang w:val="es-MX"/>
        </w:rPr>
        <w:t xml:space="preserve">En general se puede observar que en los años de 2016 – 2018, las desviaciones de las proyecciones fiscales disminuyeron gradualmente y hasta en 2019 se mantuvieron en niveles relativamente moderados, menores en un punto porcentual del PIB. Sin embargo, en 2020 la desviación del gasto con respecto a lo presupuestado fue mayor derivado en parte de la falta de aprobación del presupuesto para dicho año y a la coyuntura generada por el impacto económico </w:t>
      </w:r>
      <w:r w:rsidRPr="00381F8B">
        <w:rPr>
          <w:rFonts w:ascii="Times New Roman" w:hAnsi="Times New Roman"/>
          <w:bCs/>
          <w:sz w:val="24"/>
          <w:szCs w:val="24"/>
          <w:lang w:val="es-MX"/>
        </w:rPr>
        <w:lastRenderedPageBreak/>
        <w:t xml:space="preserve">de la </w:t>
      </w:r>
      <w:r w:rsidR="004D3CC8">
        <w:rPr>
          <w:rFonts w:ascii="Times New Roman" w:hAnsi="Times New Roman"/>
          <w:bCs/>
          <w:sz w:val="24"/>
          <w:szCs w:val="24"/>
          <w:lang w:val="es-MX"/>
        </w:rPr>
        <w:t>p</w:t>
      </w:r>
      <w:r w:rsidRPr="00381F8B">
        <w:rPr>
          <w:rFonts w:ascii="Times New Roman" w:hAnsi="Times New Roman"/>
          <w:bCs/>
          <w:sz w:val="24"/>
          <w:szCs w:val="24"/>
          <w:lang w:val="es-MX"/>
        </w:rPr>
        <w:t>andemia del COVID-19, dado que el ejecutivo tuvo que realizar una serie de ampliaciones p</w:t>
      </w:r>
      <w:r w:rsidR="004D3CC8">
        <w:rPr>
          <w:rFonts w:ascii="Times New Roman" w:hAnsi="Times New Roman"/>
          <w:bCs/>
          <w:sz w:val="24"/>
          <w:szCs w:val="24"/>
          <w:lang w:val="es-MX"/>
        </w:rPr>
        <w:t>resupuestarias para atender la p</w:t>
      </w:r>
      <w:r w:rsidRPr="00381F8B">
        <w:rPr>
          <w:rFonts w:ascii="Times New Roman" w:hAnsi="Times New Roman"/>
          <w:bCs/>
          <w:sz w:val="24"/>
          <w:szCs w:val="24"/>
          <w:lang w:val="es-MX"/>
        </w:rPr>
        <w:t>andemia. Sin embargo, las expectativas superaron la capacidad real de ejecución de las instituciones y la reducción importante de los ingresos fiscales derivado del choque económico provocó una reducción del gasto público recurrente,</w:t>
      </w:r>
      <w:r>
        <w:rPr>
          <w:rFonts w:ascii="Times New Roman" w:hAnsi="Times New Roman"/>
          <w:bCs/>
          <w:sz w:val="24"/>
          <w:szCs w:val="24"/>
          <w:lang w:val="es-MX"/>
        </w:rPr>
        <w:t xml:space="preserve"> aunque no en la misma</w:t>
      </w:r>
      <w:r w:rsidRPr="00381F8B">
        <w:rPr>
          <w:rFonts w:ascii="Times New Roman" w:hAnsi="Times New Roman"/>
          <w:bCs/>
          <w:sz w:val="24"/>
          <w:szCs w:val="24"/>
          <w:lang w:val="es-MX"/>
        </w:rPr>
        <w:t xml:space="preserve"> proporción, lo que al final se tradujo en un aumento en la desviación del déficit fiscal para dicho año. </w:t>
      </w:r>
    </w:p>
    <w:p w14:paraId="517F875B" w14:textId="77777777" w:rsidR="00515F4D" w:rsidRDefault="00515F4D" w:rsidP="00515F4D">
      <w:pPr>
        <w:pStyle w:val="Sinespaciado"/>
        <w:ind w:left="567" w:right="49"/>
        <w:jc w:val="both"/>
        <w:rPr>
          <w:rFonts w:ascii="Times New Roman" w:hAnsi="Times New Roman"/>
          <w:bCs/>
          <w:sz w:val="24"/>
          <w:szCs w:val="24"/>
          <w:lang w:val="es-MX"/>
        </w:rPr>
      </w:pPr>
    </w:p>
    <w:p w14:paraId="24788D4B" w14:textId="77777777" w:rsidR="00515F4D" w:rsidRDefault="00515F4D" w:rsidP="00515F4D">
      <w:pPr>
        <w:pStyle w:val="Sinespaciado"/>
        <w:ind w:left="567" w:right="49"/>
        <w:jc w:val="both"/>
        <w:rPr>
          <w:rFonts w:ascii="Times New Roman" w:hAnsi="Times New Roman"/>
          <w:bCs/>
          <w:sz w:val="24"/>
          <w:szCs w:val="24"/>
          <w:lang w:val="es-MX"/>
        </w:rPr>
      </w:pPr>
      <w:r>
        <w:rPr>
          <w:rFonts w:ascii="Times New Roman" w:hAnsi="Times New Roman"/>
          <w:bCs/>
          <w:sz w:val="24"/>
          <w:szCs w:val="24"/>
          <w:lang w:val="es-MX"/>
        </w:rPr>
        <w:t>En el 2021 en lo respecta a los ingresos tributarios, estos registraban en abril una brecha positiva en la recaudación de Q2,710.9 millones respecto a</w:t>
      </w:r>
      <w:r w:rsidR="004D3CC8">
        <w:rPr>
          <w:rFonts w:ascii="Times New Roman" w:hAnsi="Times New Roman"/>
          <w:bCs/>
          <w:sz w:val="24"/>
          <w:szCs w:val="24"/>
          <w:lang w:val="es-MX"/>
        </w:rPr>
        <w:t xml:space="preserve"> </w:t>
      </w:r>
      <w:r>
        <w:rPr>
          <w:rFonts w:ascii="Times New Roman" w:hAnsi="Times New Roman"/>
          <w:bCs/>
          <w:sz w:val="24"/>
          <w:szCs w:val="24"/>
          <w:lang w:val="es-MX"/>
        </w:rPr>
        <w:t>lo programado. Entre los aspectos que permitieron superar la meta a la SAT fue el aumento de percepción de riesgo de los contribuyentes debido de un mayor control en los principales puertos y carreteras, y en el cobro judicial. Asimismo, en consideración de los escenarios macroeconómicos del 2021 se estima que la recaudación tributaria podría alcanzar un monto de Q66,665.9 millones, lo cual representaría un grado de ejecución con respecto al presupuesto vigente de 104.1% y un crecimiento de 10.6% con relación a la recaudación observada en 2020.</w:t>
      </w:r>
    </w:p>
    <w:p w14:paraId="3FD14AEA" w14:textId="77777777" w:rsidR="00515F4D" w:rsidRDefault="00515F4D" w:rsidP="00515F4D">
      <w:pPr>
        <w:pStyle w:val="Sinespaciado"/>
        <w:ind w:left="567" w:right="49"/>
        <w:jc w:val="both"/>
        <w:rPr>
          <w:rFonts w:ascii="Times New Roman" w:hAnsi="Times New Roman"/>
          <w:bCs/>
          <w:sz w:val="24"/>
          <w:szCs w:val="24"/>
          <w:lang w:val="es-MX"/>
        </w:rPr>
      </w:pPr>
    </w:p>
    <w:p w14:paraId="5B33D696" w14:textId="77777777" w:rsidR="00515F4D" w:rsidRDefault="00515F4D" w:rsidP="00515F4D">
      <w:pPr>
        <w:pStyle w:val="Sinespaciado"/>
        <w:ind w:left="567" w:right="49"/>
        <w:jc w:val="both"/>
        <w:rPr>
          <w:rFonts w:ascii="Times New Roman" w:hAnsi="Times New Roman"/>
          <w:bCs/>
          <w:sz w:val="24"/>
          <w:szCs w:val="24"/>
          <w:lang w:val="es-MX"/>
        </w:rPr>
      </w:pPr>
      <w:r>
        <w:rPr>
          <w:rFonts w:ascii="Times New Roman" w:hAnsi="Times New Roman"/>
          <w:bCs/>
          <w:sz w:val="24"/>
          <w:szCs w:val="24"/>
          <w:lang w:val="es-MX"/>
        </w:rPr>
        <w:t>Por parte de la ejecución del gasto, al no aprobarse el presupuesto del ejercicio fiscal de 2021, el presupuesto vigente asciende a Q107,521.5 millones. No obstante, el organismo ejecutivo comunicó que el gasto máximo en el que se incurrirá en el 2021 es de Q94,354.0 millones, tomando en consideración la readecuación presupuestaria dado que el presupuesto vigente se encuentra desfinanciado principalmente por los Q11,000 millones que fueron aprobados en 2020 para ser colocados en bonos de Tesoro y adquiridos por el Banco de Guatemala, financiamiento que fue  aprobado en base al artículo 133 de la Constitución de la República debido a la catástrofe o desastre público ocasionado por la pandemia COVID-19. Asimismo, el gasto público a abril mostraba un crecimiento interanual de 10.8% y derivado de las estimaciones de cierre para diciembre se prevé que el gasto público este alrededor de 14.0% del PIB lo cual representaría un nivel de ejecución presupuestaria de 98.4% con respecto al presupuesto ajustado por el ejecutivo. Derivado de lo anterior, la estimación del déficit fiscal se ubicaría en 3.0% del PIB, un nivel inferior en 1.9 puntos porcentuales al observado en 2020.</w:t>
      </w:r>
    </w:p>
    <w:p w14:paraId="6EBC21B0" w14:textId="77777777" w:rsidR="00515F4D" w:rsidRDefault="00515F4D" w:rsidP="00515F4D">
      <w:pPr>
        <w:pStyle w:val="Sinespaciado"/>
        <w:ind w:left="567" w:right="49"/>
        <w:jc w:val="both"/>
        <w:rPr>
          <w:rFonts w:ascii="Times New Roman" w:hAnsi="Times New Roman"/>
          <w:bCs/>
          <w:sz w:val="24"/>
          <w:szCs w:val="24"/>
          <w:lang w:val="es-MX"/>
        </w:rPr>
      </w:pPr>
    </w:p>
    <w:p w14:paraId="42655E0A" w14:textId="03D09CD3" w:rsidR="00515F4D" w:rsidRDefault="00CC7AC6" w:rsidP="00515F4D">
      <w:pPr>
        <w:pStyle w:val="Sinespaciado"/>
        <w:ind w:left="567" w:right="49"/>
        <w:jc w:val="center"/>
        <w:rPr>
          <w:rFonts w:ascii="Times New Roman" w:hAnsi="Times New Roman"/>
          <w:bCs/>
          <w:sz w:val="24"/>
          <w:szCs w:val="24"/>
          <w:lang w:val="es-MX"/>
        </w:rPr>
      </w:pPr>
      <w:r>
        <w:rPr>
          <w:rFonts w:ascii="Times New Roman" w:hAnsi="Times New Roman"/>
          <w:b/>
          <w:sz w:val="24"/>
          <w:szCs w:val="24"/>
          <w:lang w:val="es-MX"/>
        </w:rPr>
        <w:t>Gráfica 20</w:t>
      </w:r>
      <w:r w:rsidR="00814706">
        <w:rPr>
          <w:rFonts w:ascii="Times New Roman" w:hAnsi="Times New Roman"/>
          <w:b/>
          <w:sz w:val="24"/>
          <w:szCs w:val="24"/>
          <w:lang w:val="es-MX"/>
        </w:rPr>
        <w:t xml:space="preserve">.  </w:t>
      </w:r>
      <w:r w:rsidR="00515F4D" w:rsidRPr="0035399C">
        <w:rPr>
          <w:rFonts w:ascii="Times New Roman" w:hAnsi="Times New Roman"/>
          <w:b/>
          <w:sz w:val="24"/>
          <w:szCs w:val="24"/>
          <w:lang w:val="es-MX"/>
        </w:rPr>
        <w:t xml:space="preserve">Desviaciones fiscales con respecto al PIB </w:t>
      </w:r>
      <w:r w:rsidR="00515F4D">
        <w:rPr>
          <w:rFonts w:ascii="Times New Roman" w:hAnsi="Times New Roman"/>
          <w:b/>
          <w:sz w:val="24"/>
          <w:szCs w:val="24"/>
          <w:lang w:val="es-MX"/>
        </w:rPr>
        <w:t>2018-2020</w:t>
      </w:r>
    </w:p>
    <w:p w14:paraId="45D57E46" w14:textId="77777777" w:rsidR="00515F4D" w:rsidRDefault="00515F4D" w:rsidP="00515F4D">
      <w:pPr>
        <w:pStyle w:val="Sinespaciado"/>
        <w:ind w:left="567" w:right="49"/>
        <w:jc w:val="center"/>
        <w:rPr>
          <w:rFonts w:ascii="Times New Roman" w:hAnsi="Times New Roman"/>
          <w:bCs/>
          <w:sz w:val="24"/>
          <w:szCs w:val="24"/>
          <w:lang w:val="es-MX"/>
        </w:rPr>
      </w:pPr>
      <w:r>
        <w:rPr>
          <w:noProof/>
          <w:lang w:val="es-GT" w:eastAsia="es-GT"/>
        </w:rPr>
        <w:drawing>
          <wp:inline distT="0" distB="0" distL="0" distR="0" wp14:anchorId="7905D766" wp14:editId="5FE768B1">
            <wp:extent cx="5341620" cy="1916264"/>
            <wp:effectExtent l="0" t="0" r="0" b="8255"/>
            <wp:docPr id="236" name="Gráfico 2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D2AE356-E453-49BC-BE06-63881EC0B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5A18B3" w14:textId="1C1FD4AD" w:rsidR="00515F4D" w:rsidRDefault="00515F4D" w:rsidP="00515F4D">
      <w:pPr>
        <w:pStyle w:val="Sinespaciado"/>
        <w:ind w:left="567" w:right="49"/>
        <w:jc w:val="both"/>
        <w:rPr>
          <w:rFonts w:ascii="Times New Roman" w:hAnsi="Times New Roman"/>
          <w:bCs/>
          <w:sz w:val="24"/>
          <w:szCs w:val="24"/>
          <w:lang w:val="es-MX"/>
        </w:rPr>
      </w:pPr>
      <w:r>
        <w:rPr>
          <w:rFonts w:ascii="Times New Roman" w:hAnsi="Times New Roman"/>
          <w:bCs/>
          <w:sz w:val="16"/>
          <w:lang w:val="es-MX"/>
        </w:rPr>
        <w:t xml:space="preserve">           </w:t>
      </w:r>
      <w:r w:rsidRPr="00515F4D">
        <w:rPr>
          <w:rFonts w:ascii="Times New Roman" w:hAnsi="Times New Roman"/>
          <w:bCs/>
          <w:sz w:val="16"/>
          <w:lang w:val="es-MX"/>
        </w:rPr>
        <w:t xml:space="preserve">Fuente: </w:t>
      </w:r>
      <w:r w:rsidR="00EF0CE5" w:rsidRPr="00EF0CE5">
        <w:rPr>
          <w:rFonts w:ascii="Times New Roman" w:hAnsi="Times New Roman"/>
          <w:bCs/>
          <w:sz w:val="16"/>
          <w:szCs w:val="11"/>
        </w:rPr>
        <w:t>Ministerio de Finanzas Públicas</w:t>
      </w:r>
    </w:p>
    <w:p w14:paraId="5D7259A0" w14:textId="77777777" w:rsidR="00927441" w:rsidRDefault="00927441" w:rsidP="00515F4D">
      <w:pPr>
        <w:pStyle w:val="Sinespaciado"/>
        <w:ind w:left="567" w:right="49"/>
        <w:jc w:val="both"/>
        <w:rPr>
          <w:rFonts w:ascii="Times New Roman" w:hAnsi="Times New Roman"/>
          <w:bCs/>
          <w:sz w:val="24"/>
          <w:szCs w:val="24"/>
          <w:lang w:val="es-MX"/>
        </w:rPr>
      </w:pPr>
    </w:p>
    <w:p w14:paraId="06E53DB9" w14:textId="77777777" w:rsidR="00515F4D" w:rsidRPr="0091652B" w:rsidRDefault="00515F4D" w:rsidP="00515F4D">
      <w:pPr>
        <w:pStyle w:val="Sinespaciado"/>
        <w:ind w:left="567" w:right="49"/>
        <w:jc w:val="both"/>
        <w:rPr>
          <w:rFonts w:ascii="Times New Roman" w:hAnsi="Times New Roman"/>
          <w:bCs/>
          <w:sz w:val="24"/>
          <w:szCs w:val="24"/>
          <w:lang w:val="es-MX"/>
        </w:rPr>
      </w:pPr>
      <w:r w:rsidRPr="0091652B">
        <w:rPr>
          <w:rFonts w:ascii="Times New Roman" w:hAnsi="Times New Roman"/>
          <w:bCs/>
          <w:sz w:val="24"/>
          <w:szCs w:val="24"/>
          <w:lang w:val="es-MX"/>
        </w:rPr>
        <w:t xml:space="preserve">Las desviaciones de las variables macroeconómicas afectan la trayectoria de las variables fiscales, como es el caso de la recaudación tributaria la cual es sensible ante variaciones en el crecimiento económico, la inflación y las importaciones. Por lo que la materialización de riesgos </w:t>
      </w:r>
      <w:r w:rsidRPr="0091652B">
        <w:rPr>
          <w:rFonts w:ascii="Times New Roman" w:hAnsi="Times New Roman"/>
          <w:bCs/>
          <w:sz w:val="24"/>
          <w:szCs w:val="24"/>
          <w:lang w:val="es-MX"/>
        </w:rPr>
        <w:lastRenderedPageBreak/>
        <w:t xml:space="preserve">en las variables macroeconómicas afecta de forma directa el desempeño y diseño de la política fiscal, lo que podría ocasionar una reorientación del gasto público que puede incidir en el impacto real de las políticas públicas, o la inyección de más recursos para atender una emergencia determinada como fue la política fiscal expansiva de 2020 para contrarrestar los efectos del COVID-19 en la salud de los ciudadanos y en la economía del país. </w:t>
      </w:r>
    </w:p>
    <w:p w14:paraId="237D9995" w14:textId="77777777" w:rsidR="00515F4D" w:rsidRPr="0091652B" w:rsidRDefault="00515F4D" w:rsidP="00515F4D">
      <w:pPr>
        <w:pStyle w:val="Sinespaciado"/>
        <w:ind w:left="567" w:right="49"/>
        <w:jc w:val="both"/>
        <w:rPr>
          <w:rFonts w:ascii="Times New Roman" w:hAnsi="Times New Roman"/>
          <w:bCs/>
          <w:sz w:val="24"/>
          <w:szCs w:val="24"/>
          <w:lang w:val="es-MX"/>
        </w:rPr>
      </w:pPr>
    </w:p>
    <w:p w14:paraId="2479A586" w14:textId="77777777" w:rsidR="00515F4D" w:rsidRPr="0091652B" w:rsidRDefault="00515F4D" w:rsidP="00515F4D">
      <w:pPr>
        <w:pStyle w:val="Sinespaciado"/>
        <w:ind w:left="567" w:right="49"/>
        <w:jc w:val="both"/>
        <w:rPr>
          <w:rFonts w:ascii="Times New Roman" w:hAnsi="Times New Roman"/>
          <w:bCs/>
          <w:sz w:val="24"/>
          <w:szCs w:val="24"/>
          <w:lang w:val="es-MX"/>
        </w:rPr>
      </w:pPr>
      <w:r w:rsidRPr="0091652B">
        <w:rPr>
          <w:rFonts w:ascii="Times New Roman" w:hAnsi="Times New Roman"/>
          <w:bCs/>
          <w:sz w:val="24"/>
          <w:szCs w:val="24"/>
          <w:lang w:val="es-MX"/>
        </w:rPr>
        <w:t>Entre los riesgos que podrían afectar la consolidación fiscal de los próximos años se encuentran que las nuevas variantes del COVID-19 sean difíciles de erradicar y esto conlleve nuevamente al confinamiento y que se deban de realizar programas de gasto para impulsar la economía. Asimismo, el surgimiento de desastres naturales que pongan como prioridad la restauración de la infraestructura y de programas para apoyar las necesidades de los afectados. La disminución de los precios de las materias primas que afecten de forma negativa la recaudación tributaria, como lo es el precio de los derivados del petróleo.</w:t>
      </w:r>
    </w:p>
    <w:p w14:paraId="69CFC897" w14:textId="77777777" w:rsidR="00515F4D" w:rsidRPr="0091652B" w:rsidRDefault="00515F4D" w:rsidP="00515F4D">
      <w:pPr>
        <w:pStyle w:val="Sinespaciado"/>
        <w:ind w:left="567" w:right="49"/>
        <w:jc w:val="both"/>
        <w:rPr>
          <w:rFonts w:ascii="Times New Roman" w:hAnsi="Times New Roman"/>
          <w:bCs/>
          <w:sz w:val="24"/>
          <w:szCs w:val="24"/>
          <w:lang w:val="es-MX"/>
        </w:rPr>
      </w:pPr>
    </w:p>
    <w:p w14:paraId="634F2A8F" w14:textId="77777777" w:rsidR="00515F4D" w:rsidRDefault="00515F4D" w:rsidP="004A1975">
      <w:pPr>
        <w:pStyle w:val="Sinespaciado"/>
        <w:ind w:left="567" w:right="49"/>
        <w:jc w:val="both"/>
        <w:rPr>
          <w:rFonts w:ascii="Times New Roman" w:hAnsi="Times New Roman"/>
          <w:bCs/>
          <w:sz w:val="24"/>
          <w:szCs w:val="24"/>
          <w:lang w:val="es-MX"/>
        </w:rPr>
      </w:pPr>
      <w:r w:rsidRPr="0091652B">
        <w:rPr>
          <w:rFonts w:ascii="Times New Roman" w:hAnsi="Times New Roman"/>
          <w:bCs/>
          <w:sz w:val="24"/>
          <w:szCs w:val="24"/>
          <w:lang w:val="es-MX"/>
        </w:rPr>
        <w:t>Asimismo, otro riesgo en la política fiscal es la no aprobación el presupuesto, lo cual llevaría a dificultades en la ejecución presupuestaria del año 2022, mientras se reacomoda el presupuesto anterior, lo que a su vez afectaría el cumplimiento de objetivos de las políticas públicas en el mediano plazo. Por otro lado, el descontento social y la inestabilidad política podrían afectar la eficiencia de la ejecución presupuestaria en el futuro.</w:t>
      </w:r>
    </w:p>
    <w:p w14:paraId="6F20AAC1" w14:textId="77777777" w:rsidR="00927441" w:rsidRDefault="00927441" w:rsidP="004A1975">
      <w:pPr>
        <w:pStyle w:val="Sinespaciado"/>
        <w:ind w:left="567" w:right="49"/>
        <w:jc w:val="both"/>
        <w:rPr>
          <w:rFonts w:ascii="Times New Roman" w:hAnsi="Times New Roman"/>
          <w:bCs/>
          <w:sz w:val="24"/>
          <w:szCs w:val="24"/>
          <w:lang w:val="es-MX"/>
        </w:rPr>
      </w:pPr>
    </w:p>
    <w:p w14:paraId="5343A327" w14:textId="77777777" w:rsidR="00246A61" w:rsidRPr="00DE1D8D" w:rsidRDefault="00246A61" w:rsidP="00515F4D">
      <w:pPr>
        <w:pStyle w:val="Ttulo1"/>
        <w:widowControl/>
        <w:numPr>
          <w:ilvl w:val="0"/>
          <w:numId w:val="5"/>
        </w:numPr>
        <w:ind w:left="567" w:right="49"/>
        <w:jc w:val="left"/>
        <w:rPr>
          <w:b w:val="0"/>
          <w:color w:val="FF0000"/>
          <w:sz w:val="24"/>
          <w:szCs w:val="24"/>
        </w:rPr>
      </w:pPr>
      <w:bookmarkStart w:id="13" w:name="_Toc16519886"/>
      <w:bookmarkStart w:id="14" w:name="_Toc83302160"/>
      <w:r w:rsidRPr="00B56DC6">
        <w:rPr>
          <w:color w:val="1F3864" w:themeColor="accent1" w:themeShade="80"/>
          <w:sz w:val="24"/>
          <w:szCs w:val="24"/>
        </w:rPr>
        <w:t>Riesgos Fiscales de la Deuda Pública</w:t>
      </w:r>
      <w:bookmarkEnd w:id="13"/>
      <w:bookmarkEnd w:id="14"/>
    </w:p>
    <w:p w14:paraId="64D6DE84" w14:textId="77777777" w:rsidR="00246A61" w:rsidRPr="00DE1D8D" w:rsidRDefault="00246A61" w:rsidP="00246A61">
      <w:pPr>
        <w:pStyle w:val="Sinespaciado"/>
        <w:ind w:left="567" w:right="49"/>
        <w:jc w:val="both"/>
        <w:rPr>
          <w:rFonts w:ascii="Times New Roman" w:hAnsi="Times New Roman"/>
          <w:color w:val="FF0000"/>
          <w:sz w:val="24"/>
          <w:szCs w:val="24"/>
          <w:lang w:val="es-MX"/>
        </w:rPr>
      </w:pPr>
    </w:p>
    <w:p w14:paraId="22235582" w14:textId="77777777" w:rsidR="00B56DC6" w:rsidRDefault="00B56DC6" w:rsidP="00B56DC6">
      <w:pPr>
        <w:pStyle w:val="Sinespaciado"/>
        <w:ind w:left="567" w:right="49"/>
        <w:jc w:val="both"/>
        <w:rPr>
          <w:rFonts w:ascii="Times New Roman" w:hAnsi="Times New Roman"/>
          <w:sz w:val="24"/>
          <w:szCs w:val="24"/>
          <w:lang w:val="es-MX"/>
        </w:rPr>
      </w:pPr>
      <w:r w:rsidRPr="00CE62C3">
        <w:rPr>
          <w:rFonts w:ascii="Times New Roman" w:hAnsi="Times New Roman"/>
          <w:sz w:val="24"/>
          <w:szCs w:val="24"/>
          <w:lang w:val="es-MX"/>
        </w:rPr>
        <w:t xml:space="preserve">Guatemala es </w:t>
      </w:r>
      <w:r>
        <w:rPr>
          <w:rFonts w:ascii="Times New Roman" w:hAnsi="Times New Roman"/>
          <w:sz w:val="24"/>
          <w:szCs w:val="24"/>
          <w:lang w:val="es-MX"/>
        </w:rPr>
        <w:t xml:space="preserve">un país que ha mantenido una estabilidad macroeconómica resultado de un manejo prudente de su política fiscal, lo cual se refleja en la resiliencia que ha mostrado el país ante choques exógenos como el de la crisis financiera internacional del 2009 y el más reciente provocado por la pandemia del COVID-19 en 2020; al comparar los indicadores de la deuda con sus pares centroamericanos se observan que Guatemala muestra mejores niveles derivado de la disciplina fiscal que se traduce en déficit moderados con algunas excepciones en épocas de crisis aunque los mismos se controlan rápidamente ya que los gastos que se originan son de carácter transitorio para atender la emergencia y propiciar un impulso fiscal expansionista para estimular la economía. </w:t>
      </w:r>
      <w:r w:rsidRPr="00CE62C3">
        <w:rPr>
          <w:rFonts w:ascii="Times New Roman" w:hAnsi="Times New Roman"/>
          <w:sz w:val="24"/>
          <w:szCs w:val="24"/>
          <w:lang w:val="es-MX"/>
        </w:rPr>
        <w:t>Esto ha propiciado que la deuda pública del país sea baja y estable y</w:t>
      </w:r>
      <w:r>
        <w:rPr>
          <w:rFonts w:ascii="Times New Roman" w:hAnsi="Times New Roman"/>
          <w:sz w:val="24"/>
          <w:szCs w:val="24"/>
          <w:lang w:val="es-MX"/>
        </w:rPr>
        <w:t xml:space="preserve"> se mantenga</w:t>
      </w:r>
      <w:r w:rsidRPr="00CE62C3">
        <w:rPr>
          <w:rFonts w:ascii="Times New Roman" w:hAnsi="Times New Roman"/>
          <w:sz w:val="24"/>
          <w:szCs w:val="24"/>
          <w:lang w:val="es-MX"/>
        </w:rPr>
        <w:t xml:space="preserve"> sostenible. Además, el manejo adecuado del endeudamiento ha permitido extender los plazos de colocación de deuda en el mercado interno y en años recientes también en el mercado externo, ya que se han hecho tres colocaciones con plazo de 30 años, reduciendo significativamente el costo financiero de la deuda (tasa de interés).  </w:t>
      </w:r>
    </w:p>
    <w:p w14:paraId="409410C0" w14:textId="77777777" w:rsidR="00B56DC6" w:rsidRDefault="00B56DC6" w:rsidP="00B56DC6">
      <w:pPr>
        <w:pStyle w:val="Sinespaciado"/>
        <w:ind w:left="567" w:right="49"/>
        <w:jc w:val="both"/>
        <w:rPr>
          <w:rFonts w:ascii="Times New Roman" w:hAnsi="Times New Roman"/>
          <w:sz w:val="24"/>
          <w:szCs w:val="24"/>
          <w:lang w:val="es-MX"/>
        </w:rPr>
      </w:pPr>
    </w:p>
    <w:p w14:paraId="0B537C41" w14:textId="77777777" w:rsidR="00B56DC6" w:rsidRPr="00CE62C3" w:rsidRDefault="00B56DC6" w:rsidP="00B56DC6">
      <w:pPr>
        <w:ind w:left="567" w:right="49"/>
        <w:jc w:val="both"/>
        <w:rPr>
          <w:sz w:val="24"/>
          <w:szCs w:val="24"/>
          <w:lang w:val="es-MX"/>
        </w:rPr>
      </w:pPr>
      <w:r>
        <w:rPr>
          <w:sz w:val="24"/>
          <w:szCs w:val="24"/>
          <w:lang w:val="es-MX"/>
        </w:rPr>
        <w:t xml:space="preserve">Asimismo, la otra variable que es importante en el tema del endeudamiento es el tipo de cambio, </w:t>
      </w:r>
      <w:r w:rsidR="004D3CC8">
        <w:rPr>
          <w:sz w:val="24"/>
          <w:szCs w:val="24"/>
          <w:lang w:val="es-MX"/>
        </w:rPr>
        <w:t xml:space="preserve">en </w:t>
      </w:r>
      <w:r>
        <w:rPr>
          <w:sz w:val="24"/>
          <w:szCs w:val="24"/>
          <w:lang w:val="es-MX"/>
        </w:rPr>
        <w:t>Guatemala ha tenido un comportamiento bastante estable</w:t>
      </w:r>
      <w:r w:rsidRPr="00CE62C3">
        <w:rPr>
          <w:sz w:val="24"/>
          <w:szCs w:val="24"/>
          <w:lang w:val="es-MX"/>
        </w:rPr>
        <w:t xml:space="preserve">, con </w:t>
      </w:r>
      <w:r>
        <w:rPr>
          <w:sz w:val="24"/>
          <w:szCs w:val="24"/>
          <w:lang w:val="es-MX"/>
        </w:rPr>
        <w:t>algunos periodos leves de variaciones bruscas derivado de algunos shocks externos. Sin embargo, estos han recuperado su estabilidad de manera rápida</w:t>
      </w:r>
      <w:r w:rsidRPr="00CE62C3">
        <w:rPr>
          <w:sz w:val="24"/>
          <w:szCs w:val="24"/>
          <w:lang w:val="es-MX"/>
        </w:rPr>
        <w:t>. Es por ello que las perturbaciones transitorias en la parte fiscal y las que se dan en otros sectores de la economía no han incidido negativamente en el nivel de la deuda pública ni de manera importante en su trayectoria de corto, mediano y largo plazo</w:t>
      </w:r>
      <w:r>
        <w:rPr>
          <w:sz w:val="24"/>
          <w:szCs w:val="24"/>
          <w:lang w:val="es-MX"/>
        </w:rPr>
        <w:t>s</w:t>
      </w:r>
      <w:r w:rsidRPr="00CE62C3">
        <w:rPr>
          <w:sz w:val="24"/>
          <w:szCs w:val="24"/>
          <w:lang w:val="es-MX"/>
        </w:rPr>
        <w:t>.</w:t>
      </w:r>
    </w:p>
    <w:p w14:paraId="1CD28FAC" w14:textId="39B10C22" w:rsidR="00246A61" w:rsidRDefault="00246A61" w:rsidP="00B56DC6">
      <w:pPr>
        <w:pStyle w:val="Sinespaciado"/>
        <w:ind w:left="567" w:right="49"/>
        <w:jc w:val="both"/>
        <w:rPr>
          <w:color w:val="FF0000"/>
          <w:sz w:val="24"/>
          <w:szCs w:val="24"/>
          <w:lang w:val="es-MX"/>
        </w:rPr>
      </w:pPr>
    </w:p>
    <w:p w14:paraId="0F74EA36" w14:textId="77777777" w:rsidR="009C5191" w:rsidRPr="00DE1D8D" w:rsidRDefault="009C5191" w:rsidP="009C5191">
      <w:pPr>
        <w:pStyle w:val="Sinespaciado"/>
        <w:ind w:left="567" w:right="49"/>
        <w:jc w:val="both"/>
        <w:rPr>
          <w:color w:val="FF0000"/>
          <w:sz w:val="24"/>
          <w:szCs w:val="24"/>
          <w:lang w:val="es-MX"/>
        </w:rPr>
      </w:pPr>
    </w:p>
    <w:p w14:paraId="10C109BB" w14:textId="77777777" w:rsidR="009C5191" w:rsidRPr="00CC7AC6" w:rsidRDefault="009C5191" w:rsidP="009C5191">
      <w:pPr>
        <w:ind w:left="567" w:right="49"/>
        <w:jc w:val="both"/>
        <w:rPr>
          <w:color w:val="FF0000"/>
          <w:sz w:val="24"/>
          <w:szCs w:val="24"/>
          <w:lang w:val="es-MX"/>
        </w:rPr>
      </w:pPr>
    </w:p>
    <w:tbl>
      <w:tblPr>
        <w:tblW w:w="9326"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4C6E7" w:themeFill="accent1" w:themeFillTint="66"/>
        <w:tblLayout w:type="fixed"/>
        <w:tblLook w:val="04A0" w:firstRow="1" w:lastRow="0" w:firstColumn="1" w:lastColumn="0" w:noHBand="0" w:noVBand="1"/>
      </w:tblPr>
      <w:tblGrid>
        <w:gridCol w:w="9326"/>
      </w:tblGrid>
      <w:tr w:rsidR="009C5191" w:rsidRPr="00DE1D8D" w14:paraId="3AC3C4F6" w14:textId="77777777" w:rsidTr="00AA3AFE">
        <w:tc>
          <w:tcPr>
            <w:tcW w:w="9326" w:type="dxa"/>
            <w:shd w:val="clear" w:color="auto" w:fill="DEEAF6" w:themeFill="accent5" w:themeFillTint="33"/>
          </w:tcPr>
          <w:p w14:paraId="2A846D20" w14:textId="77777777" w:rsidR="00CC7AC6" w:rsidRPr="00CC7AC6" w:rsidRDefault="00CC7AC6" w:rsidP="00CC7AC6">
            <w:pPr>
              <w:pStyle w:val="Epgrafe"/>
              <w:keepNext/>
              <w:ind w:left="567" w:right="49"/>
              <w:rPr>
                <w:color w:val="auto"/>
                <w:sz w:val="24"/>
                <w:szCs w:val="24"/>
              </w:rPr>
            </w:pPr>
            <w:r w:rsidRPr="00CC7AC6">
              <w:rPr>
                <w:color w:val="auto"/>
                <w:sz w:val="24"/>
                <w:szCs w:val="24"/>
              </w:rPr>
              <w:lastRenderedPageBreak/>
              <w:t>Recuadro 2.  Guatemala un país de ingreso medio alto</w:t>
            </w:r>
          </w:p>
          <w:p w14:paraId="2D7FA412" w14:textId="28EA23C1" w:rsidR="00CC7AC6" w:rsidRPr="00CC7AC6" w:rsidRDefault="00CC7AC6" w:rsidP="00B51A48">
            <w:pPr>
              <w:pStyle w:val="Sinespaciado"/>
              <w:shd w:val="clear" w:color="auto" w:fill="DEEAF6" w:themeFill="accent5" w:themeFillTint="33"/>
              <w:rPr>
                <w:rFonts w:ascii="Times New Roman" w:hAnsi="Times New Roman"/>
                <w:b/>
                <w:color w:val="FF0000"/>
                <w:sz w:val="14"/>
                <w:szCs w:val="20"/>
              </w:rPr>
            </w:pPr>
          </w:p>
          <w:p w14:paraId="6805A322" w14:textId="77777777" w:rsidR="009C5191" w:rsidRPr="00CC7AC6" w:rsidRDefault="009C5191" w:rsidP="00AA3AFE">
            <w:pPr>
              <w:jc w:val="both"/>
            </w:pPr>
            <w:r w:rsidRPr="00CC7AC6">
              <w:t>El Banco Mundial clasifica las economías de los países según el nivel de ingresos para cada año, esta clasificación la realiza en cuatro categorías que son: alto, mediano alto, mediano bajo y bajo. Estas categorías son actualizadas el 1 de julio de cada año (última actualización disponible 2021) y son con base al ingreso nacional bruto per cápita en dólares estadounidenses, para lo cual usan los tipos de cambio del método del Atlas, metodología que suaviza las fluctuaciones del tipo de cambio mediante el uso de un factor de conversión ajustado al precio de media móvil de tres años.</w:t>
            </w:r>
          </w:p>
          <w:p w14:paraId="3B502E36" w14:textId="77777777" w:rsidR="009C5191" w:rsidRPr="00CC7AC6" w:rsidRDefault="009C5191" w:rsidP="00AA3AFE">
            <w:pPr>
              <w:jc w:val="both"/>
            </w:pPr>
          </w:p>
          <w:tbl>
            <w:tblPr>
              <w:tblStyle w:val="Tablaconcuadrcula"/>
              <w:tblW w:w="9079" w:type="dxa"/>
              <w:jc w:val="center"/>
              <w:tblLayout w:type="fixed"/>
              <w:tblLook w:val="04A0" w:firstRow="1" w:lastRow="0" w:firstColumn="1" w:lastColumn="0" w:noHBand="0" w:noVBand="1"/>
            </w:tblPr>
            <w:tblGrid>
              <w:gridCol w:w="9079"/>
            </w:tblGrid>
            <w:tr w:rsidR="009C5191" w:rsidRPr="00CC7AC6" w14:paraId="49056AF5" w14:textId="77777777" w:rsidTr="00AA3AFE">
              <w:trPr>
                <w:trHeight w:val="1978"/>
                <w:jc w:val="center"/>
              </w:trPr>
              <w:tc>
                <w:tcPr>
                  <w:tcW w:w="9079" w:type="dxa"/>
                  <w:tcBorders>
                    <w:top w:val="nil"/>
                    <w:left w:val="nil"/>
                    <w:bottom w:val="nil"/>
                    <w:right w:val="nil"/>
                  </w:tcBorders>
                </w:tcPr>
                <w:p w14:paraId="0E09A5D0" w14:textId="4DF1DD15" w:rsidR="009C5191" w:rsidRPr="00CC7AC6" w:rsidRDefault="00CC7AC6" w:rsidP="00AA3AFE">
                  <w:pPr>
                    <w:pStyle w:val="Epgrafe"/>
                    <w:keepNext/>
                    <w:ind w:left="567" w:right="49"/>
                    <w:rPr>
                      <w:color w:val="auto"/>
                    </w:rPr>
                  </w:pPr>
                  <w:r>
                    <w:rPr>
                      <w:color w:val="auto"/>
                    </w:rPr>
                    <w:t>Tabla 3</w:t>
                  </w:r>
                  <w:r w:rsidR="009C5191" w:rsidRPr="00CC7AC6">
                    <w:rPr>
                      <w:color w:val="auto"/>
                    </w:rPr>
                    <w:t xml:space="preserve">. Categorías de ingresos para los países  </w:t>
                  </w:r>
                </w:p>
                <w:tbl>
                  <w:tblPr>
                    <w:tblW w:w="6340" w:type="dxa"/>
                    <w:jc w:val="center"/>
                    <w:tblLayout w:type="fixed"/>
                    <w:tblCellMar>
                      <w:left w:w="70" w:type="dxa"/>
                      <w:right w:w="70" w:type="dxa"/>
                    </w:tblCellMar>
                    <w:tblLook w:val="04A0" w:firstRow="1" w:lastRow="0" w:firstColumn="1" w:lastColumn="0" w:noHBand="0" w:noVBand="1"/>
                  </w:tblPr>
                  <w:tblGrid>
                    <w:gridCol w:w="2300"/>
                    <w:gridCol w:w="1960"/>
                    <w:gridCol w:w="2080"/>
                  </w:tblGrid>
                  <w:tr w:rsidR="009C5191" w:rsidRPr="00CC7AC6" w14:paraId="07E3961A" w14:textId="77777777" w:rsidTr="00AA3AFE">
                    <w:trPr>
                      <w:trHeight w:val="300"/>
                      <w:jc w:val="center"/>
                    </w:trPr>
                    <w:tc>
                      <w:tcPr>
                        <w:tcW w:w="2300" w:type="dxa"/>
                        <w:tcBorders>
                          <w:top w:val="single" w:sz="8" w:space="0" w:color="auto"/>
                          <w:left w:val="single" w:sz="8" w:space="0" w:color="auto"/>
                          <w:bottom w:val="single" w:sz="8" w:space="0" w:color="auto"/>
                          <w:right w:val="nil"/>
                        </w:tcBorders>
                        <w:shd w:val="clear" w:color="000000" w:fill="D9E1F2"/>
                        <w:noWrap/>
                        <w:vAlign w:val="center"/>
                        <w:hideMark/>
                      </w:tcPr>
                      <w:p w14:paraId="232AC806" w14:textId="77777777" w:rsidR="009C5191" w:rsidRPr="00CC7AC6" w:rsidRDefault="009C5191" w:rsidP="00AA3AFE">
                        <w:pPr>
                          <w:widowControl/>
                          <w:jc w:val="center"/>
                          <w:rPr>
                            <w:rFonts w:ascii="Times" w:hAnsi="Times" w:cs="Times"/>
                            <w:b/>
                            <w:bCs/>
                            <w:color w:val="000000"/>
                            <w:sz w:val="18"/>
                            <w:szCs w:val="18"/>
                            <w:lang w:val="es-GT" w:eastAsia="es-GT"/>
                          </w:rPr>
                        </w:pPr>
                        <w:r w:rsidRPr="00CC7AC6">
                          <w:rPr>
                            <w:rFonts w:ascii="Times" w:hAnsi="Times" w:cs="Times"/>
                            <w:b/>
                            <w:bCs/>
                            <w:color w:val="000000"/>
                            <w:sz w:val="18"/>
                            <w:szCs w:val="18"/>
                            <w:lang w:eastAsia="es-GT"/>
                          </w:rPr>
                          <w:t>Umbral</w:t>
                        </w:r>
                      </w:p>
                    </w:tc>
                    <w:tc>
                      <w:tcPr>
                        <w:tcW w:w="1960"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3B484F25" w14:textId="77777777" w:rsidR="009C5191" w:rsidRPr="00CC7AC6" w:rsidRDefault="009C5191" w:rsidP="00AA3AFE">
                        <w:pPr>
                          <w:widowControl/>
                          <w:jc w:val="center"/>
                          <w:rPr>
                            <w:rFonts w:ascii="Times" w:hAnsi="Times" w:cs="Times"/>
                            <w:b/>
                            <w:bCs/>
                            <w:color w:val="000000"/>
                            <w:sz w:val="18"/>
                            <w:szCs w:val="18"/>
                            <w:lang w:val="es-GT" w:eastAsia="es-GT"/>
                          </w:rPr>
                        </w:pPr>
                        <w:r w:rsidRPr="00CC7AC6">
                          <w:rPr>
                            <w:rFonts w:ascii="Times" w:hAnsi="Times" w:cs="Times"/>
                            <w:b/>
                            <w:bCs/>
                            <w:color w:val="000000"/>
                            <w:sz w:val="18"/>
                            <w:szCs w:val="18"/>
                            <w:lang w:eastAsia="es-GT"/>
                          </w:rPr>
                          <w:t>Julio 2021/USD (nuevo)</w:t>
                        </w:r>
                      </w:p>
                    </w:tc>
                    <w:tc>
                      <w:tcPr>
                        <w:tcW w:w="2080" w:type="dxa"/>
                        <w:tcBorders>
                          <w:top w:val="single" w:sz="8" w:space="0" w:color="auto"/>
                          <w:left w:val="nil"/>
                          <w:bottom w:val="single" w:sz="8" w:space="0" w:color="auto"/>
                          <w:right w:val="single" w:sz="8" w:space="0" w:color="auto"/>
                        </w:tcBorders>
                        <w:shd w:val="clear" w:color="000000" w:fill="D9E1F2"/>
                        <w:noWrap/>
                        <w:vAlign w:val="center"/>
                        <w:hideMark/>
                      </w:tcPr>
                      <w:p w14:paraId="6011046C" w14:textId="77777777" w:rsidR="009C5191" w:rsidRPr="00CC7AC6" w:rsidRDefault="009C5191" w:rsidP="00AA3AFE">
                        <w:pPr>
                          <w:widowControl/>
                          <w:jc w:val="center"/>
                          <w:rPr>
                            <w:rFonts w:ascii="Times" w:hAnsi="Times" w:cs="Times"/>
                            <w:b/>
                            <w:bCs/>
                            <w:color w:val="000000"/>
                            <w:sz w:val="18"/>
                            <w:szCs w:val="18"/>
                            <w:lang w:val="es-GT" w:eastAsia="es-GT"/>
                          </w:rPr>
                        </w:pPr>
                        <w:r w:rsidRPr="00CC7AC6">
                          <w:rPr>
                            <w:rFonts w:ascii="Times" w:hAnsi="Times" w:cs="Times"/>
                            <w:b/>
                            <w:bCs/>
                            <w:color w:val="000000"/>
                            <w:sz w:val="18"/>
                            <w:szCs w:val="18"/>
                            <w:lang w:eastAsia="es-GT"/>
                          </w:rPr>
                          <w:t>Julio 2020/USD (antiguo)</w:t>
                        </w:r>
                      </w:p>
                    </w:tc>
                  </w:tr>
                  <w:tr w:rsidR="009C5191" w:rsidRPr="00CC7AC6" w14:paraId="32190D75" w14:textId="77777777" w:rsidTr="00AA3AFE">
                    <w:trPr>
                      <w:trHeight w:val="288"/>
                      <w:jc w:val="center"/>
                    </w:trPr>
                    <w:tc>
                      <w:tcPr>
                        <w:tcW w:w="2300" w:type="dxa"/>
                        <w:tcBorders>
                          <w:top w:val="nil"/>
                          <w:left w:val="single" w:sz="8" w:space="0" w:color="auto"/>
                          <w:bottom w:val="nil"/>
                          <w:right w:val="nil"/>
                        </w:tcBorders>
                        <w:shd w:val="clear" w:color="000000" w:fill="FFFFFF"/>
                        <w:noWrap/>
                        <w:vAlign w:val="center"/>
                        <w:hideMark/>
                      </w:tcPr>
                      <w:p w14:paraId="41022861" w14:textId="77777777" w:rsidR="009C5191" w:rsidRPr="00CC7AC6" w:rsidRDefault="009C5191" w:rsidP="00AA3AFE">
                        <w:pPr>
                          <w:widowControl/>
                          <w:rPr>
                            <w:rFonts w:ascii="Times" w:hAnsi="Times" w:cs="Times"/>
                            <w:color w:val="000000"/>
                            <w:sz w:val="18"/>
                            <w:szCs w:val="18"/>
                            <w:lang w:val="es-GT" w:eastAsia="es-GT"/>
                          </w:rPr>
                        </w:pPr>
                        <w:r w:rsidRPr="00CC7AC6">
                          <w:rPr>
                            <w:rFonts w:ascii="Times" w:hAnsi="Times" w:cs="Times"/>
                            <w:color w:val="000000"/>
                            <w:sz w:val="18"/>
                            <w:szCs w:val="18"/>
                            <w:lang w:eastAsia="es-GT"/>
                          </w:rPr>
                          <w:t>País de ingreso bajo</w:t>
                        </w:r>
                      </w:p>
                    </w:tc>
                    <w:tc>
                      <w:tcPr>
                        <w:tcW w:w="1960" w:type="dxa"/>
                        <w:tcBorders>
                          <w:top w:val="nil"/>
                          <w:left w:val="single" w:sz="8" w:space="0" w:color="auto"/>
                          <w:bottom w:val="nil"/>
                          <w:right w:val="single" w:sz="8" w:space="0" w:color="auto"/>
                        </w:tcBorders>
                        <w:shd w:val="clear" w:color="000000" w:fill="FFFFFF"/>
                        <w:noWrap/>
                        <w:vAlign w:val="center"/>
                        <w:hideMark/>
                      </w:tcPr>
                      <w:p w14:paraId="0AD3EF47" w14:textId="77777777" w:rsidR="009C5191" w:rsidRPr="00CC7AC6" w:rsidRDefault="009C5191" w:rsidP="00AA3AFE">
                        <w:pPr>
                          <w:widowControl/>
                          <w:jc w:val="center"/>
                          <w:rPr>
                            <w:rFonts w:ascii="Times" w:hAnsi="Times" w:cs="Times"/>
                            <w:color w:val="000000"/>
                            <w:sz w:val="18"/>
                            <w:szCs w:val="18"/>
                            <w:lang w:val="es-GT" w:eastAsia="es-GT"/>
                          </w:rPr>
                        </w:pPr>
                        <w:r w:rsidRPr="00CC7AC6">
                          <w:rPr>
                            <w:rFonts w:ascii="Times" w:hAnsi="Times" w:cs="Times"/>
                            <w:color w:val="000000"/>
                            <w:sz w:val="18"/>
                            <w:szCs w:val="18"/>
                            <w:lang w:eastAsia="es-GT"/>
                          </w:rPr>
                          <w:t xml:space="preserve">menor que 1,046 </w:t>
                        </w:r>
                      </w:p>
                    </w:tc>
                    <w:tc>
                      <w:tcPr>
                        <w:tcW w:w="2080" w:type="dxa"/>
                        <w:tcBorders>
                          <w:top w:val="nil"/>
                          <w:left w:val="nil"/>
                          <w:bottom w:val="nil"/>
                          <w:right w:val="single" w:sz="8" w:space="0" w:color="auto"/>
                        </w:tcBorders>
                        <w:shd w:val="clear" w:color="000000" w:fill="FFFFFF"/>
                        <w:noWrap/>
                        <w:vAlign w:val="center"/>
                        <w:hideMark/>
                      </w:tcPr>
                      <w:p w14:paraId="7F8F28B1" w14:textId="77777777" w:rsidR="009C5191" w:rsidRPr="00CC7AC6" w:rsidRDefault="009C5191" w:rsidP="00AA3AFE">
                        <w:pPr>
                          <w:widowControl/>
                          <w:jc w:val="center"/>
                          <w:rPr>
                            <w:rFonts w:ascii="Times" w:hAnsi="Times" w:cs="Times"/>
                            <w:color w:val="000000"/>
                            <w:sz w:val="18"/>
                            <w:szCs w:val="18"/>
                            <w:lang w:val="es-GT" w:eastAsia="es-GT"/>
                          </w:rPr>
                        </w:pPr>
                        <w:r w:rsidRPr="00CC7AC6">
                          <w:rPr>
                            <w:rFonts w:ascii="Times" w:hAnsi="Times" w:cs="Times"/>
                            <w:color w:val="000000"/>
                            <w:sz w:val="18"/>
                            <w:szCs w:val="18"/>
                            <w:lang w:eastAsia="es-GT"/>
                          </w:rPr>
                          <w:t xml:space="preserve">menor que 1,036 </w:t>
                        </w:r>
                      </w:p>
                    </w:tc>
                  </w:tr>
                  <w:tr w:rsidR="009C5191" w:rsidRPr="00CC7AC6" w14:paraId="6ABF9620" w14:textId="77777777" w:rsidTr="00AA3AFE">
                    <w:trPr>
                      <w:trHeight w:val="288"/>
                      <w:jc w:val="center"/>
                    </w:trPr>
                    <w:tc>
                      <w:tcPr>
                        <w:tcW w:w="2300" w:type="dxa"/>
                        <w:tcBorders>
                          <w:top w:val="nil"/>
                          <w:left w:val="single" w:sz="8" w:space="0" w:color="auto"/>
                          <w:bottom w:val="nil"/>
                          <w:right w:val="nil"/>
                        </w:tcBorders>
                        <w:shd w:val="clear" w:color="000000" w:fill="FFFFFF"/>
                        <w:noWrap/>
                        <w:vAlign w:val="center"/>
                        <w:hideMark/>
                      </w:tcPr>
                      <w:p w14:paraId="0625FE6D" w14:textId="77777777" w:rsidR="009C5191" w:rsidRPr="00CC7AC6" w:rsidRDefault="009C5191" w:rsidP="00AA3AFE">
                        <w:pPr>
                          <w:widowControl/>
                          <w:rPr>
                            <w:rFonts w:ascii="Times" w:hAnsi="Times" w:cs="Times"/>
                            <w:color w:val="000000"/>
                            <w:sz w:val="18"/>
                            <w:szCs w:val="18"/>
                            <w:lang w:val="es-GT" w:eastAsia="es-GT"/>
                          </w:rPr>
                        </w:pPr>
                        <w:r w:rsidRPr="00CC7AC6">
                          <w:rPr>
                            <w:rFonts w:ascii="Times" w:hAnsi="Times" w:cs="Times"/>
                            <w:color w:val="000000"/>
                            <w:sz w:val="18"/>
                            <w:szCs w:val="18"/>
                            <w:lang w:eastAsia="es-GT"/>
                          </w:rPr>
                          <w:t>País de ingreso mediano bajo</w:t>
                        </w:r>
                      </w:p>
                    </w:tc>
                    <w:tc>
                      <w:tcPr>
                        <w:tcW w:w="1960" w:type="dxa"/>
                        <w:tcBorders>
                          <w:top w:val="nil"/>
                          <w:left w:val="single" w:sz="8" w:space="0" w:color="auto"/>
                          <w:bottom w:val="nil"/>
                          <w:right w:val="single" w:sz="8" w:space="0" w:color="auto"/>
                        </w:tcBorders>
                        <w:shd w:val="clear" w:color="000000" w:fill="FFFFFF"/>
                        <w:noWrap/>
                        <w:vAlign w:val="center"/>
                        <w:hideMark/>
                      </w:tcPr>
                      <w:p w14:paraId="7A9E428F" w14:textId="77777777" w:rsidR="009C5191" w:rsidRPr="00CC7AC6" w:rsidRDefault="009C5191" w:rsidP="00AA3AFE">
                        <w:pPr>
                          <w:widowControl/>
                          <w:jc w:val="center"/>
                          <w:rPr>
                            <w:rFonts w:ascii="Times" w:hAnsi="Times" w:cs="Times"/>
                            <w:color w:val="000000"/>
                            <w:sz w:val="18"/>
                            <w:szCs w:val="18"/>
                            <w:lang w:val="es-GT" w:eastAsia="es-GT"/>
                          </w:rPr>
                        </w:pPr>
                        <w:r w:rsidRPr="00CC7AC6">
                          <w:rPr>
                            <w:rFonts w:ascii="Times" w:hAnsi="Times" w:cs="Times"/>
                            <w:color w:val="000000"/>
                            <w:sz w:val="18"/>
                            <w:szCs w:val="18"/>
                            <w:lang w:eastAsia="es-GT"/>
                          </w:rPr>
                          <w:t>entre 1,046 y 4,095</w:t>
                        </w:r>
                      </w:p>
                    </w:tc>
                    <w:tc>
                      <w:tcPr>
                        <w:tcW w:w="2080" w:type="dxa"/>
                        <w:tcBorders>
                          <w:top w:val="nil"/>
                          <w:left w:val="nil"/>
                          <w:bottom w:val="nil"/>
                          <w:right w:val="single" w:sz="8" w:space="0" w:color="auto"/>
                        </w:tcBorders>
                        <w:shd w:val="clear" w:color="000000" w:fill="FFFFFF"/>
                        <w:noWrap/>
                        <w:vAlign w:val="center"/>
                        <w:hideMark/>
                      </w:tcPr>
                      <w:p w14:paraId="246C532C" w14:textId="77777777" w:rsidR="009C5191" w:rsidRPr="00CC7AC6" w:rsidRDefault="009C5191" w:rsidP="00AA3AFE">
                        <w:pPr>
                          <w:widowControl/>
                          <w:jc w:val="center"/>
                          <w:rPr>
                            <w:rFonts w:ascii="Times" w:hAnsi="Times" w:cs="Times"/>
                            <w:color w:val="000000"/>
                            <w:sz w:val="18"/>
                            <w:szCs w:val="18"/>
                            <w:lang w:val="es-GT" w:eastAsia="es-GT"/>
                          </w:rPr>
                        </w:pPr>
                        <w:r w:rsidRPr="00CC7AC6">
                          <w:rPr>
                            <w:rFonts w:ascii="Times" w:hAnsi="Times" w:cs="Times"/>
                            <w:color w:val="000000"/>
                            <w:sz w:val="18"/>
                            <w:szCs w:val="18"/>
                            <w:lang w:eastAsia="es-GT"/>
                          </w:rPr>
                          <w:t>entre 1,036 y 4,045</w:t>
                        </w:r>
                      </w:p>
                    </w:tc>
                  </w:tr>
                  <w:tr w:rsidR="009C5191" w:rsidRPr="00CC7AC6" w14:paraId="3A7EAEAD" w14:textId="77777777" w:rsidTr="00AA3AFE">
                    <w:trPr>
                      <w:trHeight w:val="288"/>
                      <w:jc w:val="center"/>
                    </w:trPr>
                    <w:tc>
                      <w:tcPr>
                        <w:tcW w:w="2300" w:type="dxa"/>
                        <w:tcBorders>
                          <w:top w:val="nil"/>
                          <w:left w:val="single" w:sz="8" w:space="0" w:color="auto"/>
                          <w:bottom w:val="nil"/>
                          <w:right w:val="nil"/>
                        </w:tcBorders>
                        <w:shd w:val="clear" w:color="000000" w:fill="FFFFFF"/>
                        <w:noWrap/>
                        <w:vAlign w:val="center"/>
                        <w:hideMark/>
                      </w:tcPr>
                      <w:p w14:paraId="52EF2CFB" w14:textId="77777777" w:rsidR="009C5191" w:rsidRPr="00CC7AC6" w:rsidRDefault="009C5191" w:rsidP="00AA3AFE">
                        <w:pPr>
                          <w:widowControl/>
                          <w:rPr>
                            <w:rFonts w:ascii="Times" w:hAnsi="Times" w:cs="Times"/>
                            <w:color w:val="000000"/>
                            <w:sz w:val="18"/>
                            <w:szCs w:val="18"/>
                            <w:lang w:val="es-GT" w:eastAsia="es-GT"/>
                          </w:rPr>
                        </w:pPr>
                        <w:r w:rsidRPr="00CC7AC6">
                          <w:rPr>
                            <w:rFonts w:ascii="Times" w:hAnsi="Times" w:cs="Times"/>
                            <w:color w:val="000000"/>
                            <w:sz w:val="18"/>
                            <w:szCs w:val="18"/>
                            <w:lang w:eastAsia="es-GT"/>
                          </w:rPr>
                          <w:t>País de ingreso mediano alto</w:t>
                        </w:r>
                      </w:p>
                    </w:tc>
                    <w:tc>
                      <w:tcPr>
                        <w:tcW w:w="1960" w:type="dxa"/>
                        <w:tcBorders>
                          <w:top w:val="nil"/>
                          <w:left w:val="single" w:sz="8" w:space="0" w:color="auto"/>
                          <w:bottom w:val="nil"/>
                          <w:right w:val="single" w:sz="8" w:space="0" w:color="auto"/>
                        </w:tcBorders>
                        <w:shd w:val="clear" w:color="000000" w:fill="FFFFFF"/>
                        <w:noWrap/>
                        <w:vAlign w:val="center"/>
                        <w:hideMark/>
                      </w:tcPr>
                      <w:p w14:paraId="3C9D6D7A" w14:textId="77777777" w:rsidR="009C5191" w:rsidRPr="00CC7AC6" w:rsidRDefault="009C5191" w:rsidP="00AA3AFE">
                        <w:pPr>
                          <w:widowControl/>
                          <w:jc w:val="center"/>
                          <w:rPr>
                            <w:rFonts w:ascii="Times" w:hAnsi="Times" w:cs="Times"/>
                            <w:color w:val="000000"/>
                            <w:sz w:val="18"/>
                            <w:szCs w:val="18"/>
                            <w:lang w:val="es-GT" w:eastAsia="es-GT"/>
                          </w:rPr>
                        </w:pPr>
                        <w:r w:rsidRPr="00CC7AC6">
                          <w:rPr>
                            <w:rFonts w:ascii="Times" w:hAnsi="Times" w:cs="Times"/>
                            <w:color w:val="000000"/>
                            <w:sz w:val="18"/>
                            <w:szCs w:val="18"/>
                            <w:lang w:eastAsia="es-GT"/>
                          </w:rPr>
                          <w:t>entre 4,096 y 12,695</w:t>
                        </w:r>
                      </w:p>
                    </w:tc>
                    <w:tc>
                      <w:tcPr>
                        <w:tcW w:w="2080" w:type="dxa"/>
                        <w:tcBorders>
                          <w:top w:val="nil"/>
                          <w:left w:val="nil"/>
                          <w:bottom w:val="nil"/>
                          <w:right w:val="single" w:sz="8" w:space="0" w:color="auto"/>
                        </w:tcBorders>
                        <w:shd w:val="clear" w:color="000000" w:fill="FFFFFF"/>
                        <w:noWrap/>
                        <w:vAlign w:val="center"/>
                        <w:hideMark/>
                      </w:tcPr>
                      <w:p w14:paraId="7E7DC86B" w14:textId="77777777" w:rsidR="009C5191" w:rsidRPr="00CC7AC6" w:rsidRDefault="009C5191" w:rsidP="00AA3AFE">
                        <w:pPr>
                          <w:widowControl/>
                          <w:jc w:val="center"/>
                          <w:rPr>
                            <w:rFonts w:ascii="Times" w:hAnsi="Times" w:cs="Times"/>
                            <w:color w:val="000000"/>
                            <w:sz w:val="18"/>
                            <w:szCs w:val="18"/>
                            <w:lang w:val="es-GT" w:eastAsia="es-GT"/>
                          </w:rPr>
                        </w:pPr>
                        <w:r w:rsidRPr="00CC7AC6">
                          <w:rPr>
                            <w:rFonts w:ascii="Times" w:hAnsi="Times" w:cs="Times"/>
                            <w:color w:val="000000"/>
                            <w:sz w:val="18"/>
                            <w:szCs w:val="18"/>
                            <w:lang w:eastAsia="es-GT"/>
                          </w:rPr>
                          <w:t>entre 4,046 y 12,535</w:t>
                        </w:r>
                      </w:p>
                    </w:tc>
                  </w:tr>
                  <w:tr w:rsidR="009C5191" w:rsidRPr="00CC7AC6" w14:paraId="7E12E8AD" w14:textId="77777777" w:rsidTr="00AA3AFE">
                    <w:trPr>
                      <w:trHeight w:val="300"/>
                      <w:jc w:val="center"/>
                    </w:trPr>
                    <w:tc>
                      <w:tcPr>
                        <w:tcW w:w="2300" w:type="dxa"/>
                        <w:tcBorders>
                          <w:top w:val="nil"/>
                          <w:left w:val="single" w:sz="8" w:space="0" w:color="auto"/>
                          <w:bottom w:val="single" w:sz="8" w:space="0" w:color="auto"/>
                          <w:right w:val="nil"/>
                        </w:tcBorders>
                        <w:shd w:val="clear" w:color="000000" w:fill="FFFFFF"/>
                        <w:noWrap/>
                        <w:vAlign w:val="center"/>
                        <w:hideMark/>
                      </w:tcPr>
                      <w:p w14:paraId="28FFFBCA" w14:textId="77777777" w:rsidR="009C5191" w:rsidRPr="00CC7AC6" w:rsidRDefault="009C5191" w:rsidP="00AA3AFE">
                        <w:pPr>
                          <w:widowControl/>
                          <w:rPr>
                            <w:rFonts w:ascii="Times" w:hAnsi="Times" w:cs="Times"/>
                            <w:color w:val="000000"/>
                            <w:sz w:val="18"/>
                            <w:szCs w:val="18"/>
                            <w:lang w:val="es-GT" w:eastAsia="es-GT"/>
                          </w:rPr>
                        </w:pPr>
                        <w:r w:rsidRPr="00CC7AC6">
                          <w:rPr>
                            <w:rFonts w:ascii="Times" w:hAnsi="Times" w:cs="Times"/>
                            <w:color w:val="000000"/>
                            <w:sz w:val="18"/>
                            <w:szCs w:val="18"/>
                            <w:lang w:eastAsia="es-GT"/>
                          </w:rPr>
                          <w:t>País de ingreso alto</w:t>
                        </w:r>
                      </w:p>
                    </w:tc>
                    <w:tc>
                      <w:tcPr>
                        <w:tcW w:w="1960" w:type="dxa"/>
                        <w:tcBorders>
                          <w:top w:val="nil"/>
                          <w:left w:val="single" w:sz="8" w:space="0" w:color="auto"/>
                          <w:bottom w:val="single" w:sz="8" w:space="0" w:color="auto"/>
                          <w:right w:val="single" w:sz="8" w:space="0" w:color="auto"/>
                        </w:tcBorders>
                        <w:shd w:val="clear" w:color="000000" w:fill="FFFFFF"/>
                        <w:noWrap/>
                        <w:vAlign w:val="center"/>
                        <w:hideMark/>
                      </w:tcPr>
                      <w:p w14:paraId="7F6B3F28" w14:textId="77777777" w:rsidR="009C5191" w:rsidRPr="00CC7AC6" w:rsidRDefault="009C5191" w:rsidP="00AA3AFE">
                        <w:pPr>
                          <w:widowControl/>
                          <w:jc w:val="center"/>
                          <w:rPr>
                            <w:rFonts w:ascii="Times" w:hAnsi="Times" w:cs="Times"/>
                            <w:color w:val="000000"/>
                            <w:sz w:val="18"/>
                            <w:szCs w:val="18"/>
                            <w:lang w:val="es-GT" w:eastAsia="es-GT"/>
                          </w:rPr>
                        </w:pPr>
                        <w:r w:rsidRPr="00CC7AC6">
                          <w:rPr>
                            <w:rFonts w:ascii="Times" w:hAnsi="Times" w:cs="Times"/>
                            <w:color w:val="000000"/>
                            <w:sz w:val="18"/>
                            <w:szCs w:val="18"/>
                            <w:lang w:eastAsia="es-GT"/>
                          </w:rPr>
                          <w:t>más de 12,695</w:t>
                        </w:r>
                      </w:p>
                    </w:tc>
                    <w:tc>
                      <w:tcPr>
                        <w:tcW w:w="2080" w:type="dxa"/>
                        <w:tcBorders>
                          <w:top w:val="nil"/>
                          <w:left w:val="nil"/>
                          <w:bottom w:val="single" w:sz="8" w:space="0" w:color="auto"/>
                          <w:right w:val="single" w:sz="8" w:space="0" w:color="auto"/>
                        </w:tcBorders>
                        <w:shd w:val="clear" w:color="000000" w:fill="FFFFFF"/>
                        <w:noWrap/>
                        <w:vAlign w:val="center"/>
                        <w:hideMark/>
                      </w:tcPr>
                      <w:p w14:paraId="5062EC5F" w14:textId="77777777" w:rsidR="009C5191" w:rsidRPr="00CC7AC6" w:rsidRDefault="009C5191" w:rsidP="00AA3AFE">
                        <w:pPr>
                          <w:widowControl/>
                          <w:jc w:val="center"/>
                          <w:rPr>
                            <w:rFonts w:ascii="Times" w:hAnsi="Times" w:cs="Times"/>
                            <w:color w:val="000000"/>
                            <w:sz w:val="18"/>
                            <w:szCs w:val="18"/>
                            <w:lang w:val="es-GT" w:eastAsia="es-GT"/>
                          </w:rPr>
                        </w:pPr>
                        <w:r w:rsidRPr="00CC7AC6">
                          <w:rPr>
                            <w:rFonts w:ascii="Times" w:hAnsi="Times" w:cs="Times"/>
                            <w:color w:val="000000"/>
                            <w:sz w:val="18"/>
                            <w:szCs w:val="18"/>
                            <w:lang w:eastAsia="es-GT"/>
                          </w:rPr>
                          <w:t>más de 12,535</w:t>
                        </w:r>
                      </w:p>
                    </w:tc>
                  </w:tr>
                </w:tbl>
                <w:p w14:paraId="367531D4" w14:textId="77777777" w:rsidR="009C5191" w:rsidRPr="00CC7AC6" w:rsidRDefault="009C5191" w:rsidP="00AA3AFE">
                  <w:pPr>
                    <w:jc w:val="both"/>
                    <w:rPr>
                      <w:sz w:val="18"/>
                      <w:szCs w:val="18"/>
                    </w:rPr>
                  </w:pPr>
                  <w:r w:rsidRPr="00CC7AC6">
                    <w:rPr>
                      <w:sz w:val="14"/>
                      <w:szCs w:val="14"/>
                    </w:rPr>
                    <w:t xml:space="preserve">                                   </w:t>
                  </w:r>
                  <w:r w:rsidRPr="00CC7AC6">
                    <w:rPr>
                      <w:sz w:val="16"/>
                      <w:szCs w:val="14"/>
                    </w:rPr>
                    <w:t>Fuente: Elaboración DAPF con información del Banco Mundial</w:t>
                  </w:r>
                </w:p>
              </w:tc>
            </w:tr>
          </w:tbl>
          <w:p w14:paraId="6FE503C8" w14:textId="77777777" w:rsidR="009C5191" w:rsidRPr="00CC7AC6" w:rsidRDefault="009C5191" w:rsidP="00AA3AFE">
            <w:pPr>
              <w:tabs>
                <w:tab w:val="left" w:pos="3165"/>
              </w:tabs>
              <w:jc w:val="both"/>
              <w:rPr>
                <w:sz w:val="18"/>
                <w:szCs w:val="6"/>
              </w:rPr>
            </w:pPr>
          </w:p>
          <w:p w14:paraId="3FCEF423" w14:textId="77777777" w:rsidR="009C5191" w:rsidRPr="00CC7AC6" w:rsidRDefault="009C5191" w:rsidP="00AA3AFE">
            <w:pPr>
              <w:tabs>
                <w:tab w:val="left" w:pos="3165"/>
              </w:tabs>
              <w:jc w:val="both"/>
            </w:pPr>
            <w:r w:rsidRPr="00CC7AC6">
              <w:t>Los factores que influyen en el ingreso nacional bruto per cápita son el crecimiento demográfico, el crecimiento económico, la inflación y los tipos de cambio. Para que los umbrales de ingreso se mantengan fijos en términos reales se ajustan a la inflación por medio de un deflactor que considera los deflactores del PIB de China, Japón, el Reino Unido y Estados Unidos. Para el caso de los umbrales actualizados al 1 de julio de 2021, se aumentó US$10   el umbral de ingresos bajo con respecto los umbrales del 2020, en el caso de los ingresos medianos bajos el límite del umbral superior aumentó en US$50 y el límite superior del lumbral superior de los ingresos medianos altos aumentó en US$160.</w:t>
            </w:r>
          </w:p>
          <w:p w14:paraId="0178AC86" w14:textId="77777777" w:rsidR="009C5191" w:rsidRPr="00CC7AC6" w:rsidRDefault="009C5191" w:rsidP="00AA3AFE">
            <w:pPr>
              <w:tabs>
                <w:tab w:val="left" w:pos="3165"/>
              </w:tabs>
              <w:jc w:val="both"/>
            </w:pPr>
          </w:p>
          <w:tbl>
            <w:tblPr>
              <w:tblStyle w:val="Tablaconcuadrcula"/>
              <w:tblW w:w="9120" w:type="dxa"/>
              <w:tblLayout w:type="fixed"/>
              <w:tblCellMar>
                <w:left w:w="70" w:type="dxa"/>
                <w:right w:w="70" w:type="dxa"/>
              </w:tblCellMar>
              <w:tblLook w:val="04A0" w:firstRow="1" w:lastRow="0" w:firstColumn="1" w:lastColumn="0" w:noHBand="0" w:noVBand="1"/>
            </w:tblPr>
            <w:tblGrid>
              <w:gridCol w:w="9120"/>
            </w:tblGrid>
            <w:tr w:rsidR="009C5191" w:rsidRPr="00CC7AC6" w14:paraId="07C893C7" w14:textId="77777777" w:rsidTr="00AA3AFE">
              <w:trPr>
                <w:trHeight w:val="3430"/>
              </w:trPr>
              <w:tc>
                <w:tcPr>
                  <w:tcW w:w="9120" w:type="dxa"/>
                  <w:tcBorders>
                    <w:top w:val="nil"/>
                    <w:left w:val="nil"/>
                    <w:bottom w:val="nil"/>
                    <w:right w:val="nil"/>
                  </w:tcBorders>
                </w:tcPr>
                <w:p w14:paraId="0D7F40F0" w14:textId="77777777" w:rsidR="009C5191" w:rsidRPr="00CC7AC6" w:rsidRDefault="009C5191" w:rsidP="00AA3AFE">
                  <w:pPr>
                    <w:pStyle w:val="Epgrafe"/>
                    <w:keepNext/>
                    <w:ind w:left="567" w:right="49"/>
                    <w:rPr>
                      <w:color w:val="auto"/>
                    </w:rPr>
                  </w:pPr>
                  <w:r w:rsidRPr="00CC7AC6">
                    <w:rPr>
                      <w:color w:val="auto"/>
                      <w:sz w:val="22"/>
                      <w:szCs w:val="22"/>
                    </w:rPr>
                    <w:t xml:space="preserve">          </w:t>
                  </w:r>
                  <w:r w:rsidRPr="00CC7AC6">
                    <w:rPr>
                      <w:color w:val="auto"/>
                    </w:rPr>
                    <w:t>Gráfico 21. INB bruto per cápita según metodología Atlas para 2020*</w:t>
                  </w:r>
                </w:p>
                <w:p w14:paraId="65EAE9C3" w14:textId="77777777" w:rsidR="009C5191" w:rsidRPr="00CC7AC6" w:rsidRDefault="009C5191" w:rsidP="00AA3AFE">
                  <w:pPr>
                    <w:tabs>
                      <w:tab w:val="left" w:pos="1582"/>
                    </w:tabs>
                    <w:jc w:val="center"/>
                    <w:rPr>
                      <w:noProof/>
                    </w:rPr>
                  </w:pPr>
                  <w:r w:rsidRPr="00CC7AC6">
                    <w:rPr>
                      <w:noProof/>
                      <w:lang w:val="es-GT" w:eastAsia="es-GT"/>
                    </w:rPr>
                    <w:drawing>
                      <wp:inline distT="0" distB="0" distL="0" distR="0" wp14:anchorId="1F111256" wp14:editId="782FB971">
                        <wp:extent cx="4904014" cy="1823357"/>
                        <wp:effectExtent l="0" t="0" r="0" b="5715"/>
                        <wp:docPr id="237" name="Gráfico 2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9BB1440-E959-4E21-98F1-2EE404EB5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16DA7D" w14:textId="2E382007" w:rsidR="009C5191" w:rsidRPr="00CC7AC6" w:rsidRDefault="009C5191" w:rsidP="00AA3AFE">
                  <w:pPr>
                    <w:tabs>
                      <w:tab w:val="left" w:pos="2236"/>
                    </w:tabs>
                    <w:rPr>
                      <w:sz w:val="14"/>
                      <w:szCs w:val="14"/>
                    </w:rPr>
                  </w:pPr>
                  <w:r w:rsidRPr="00CC7AC6">
                    <w:rPr>
                      <w:sz w:val="14"/>
                      <w:szCs w:val="14"/>
                    </w:rPr>
                    <w:t xml:space="preserve">                   </w:t>
                  </w:r>
                  <w:r w:rsidRPr="00CC7AC6">
                    <w:rPr>
                      <w:sz w:val="16"/>
                      <w:szCs w:val="14"/>
                    </w:rPr>
                    <w:t xml:space="preserve">Fuente: </w:t>
                  </w:r>
                  <w:r w:rsidR="00EF0CE5" w:rsidRPr="00CC7AC6">
                    <w:rPr>
                      <w:bCs/>
                      <w:sz w:val="16"/>
                      <w:szCs w:val="11"/>
                    </w:rPr>
                    <w:t>Ministerio de Finanzas Públicas</w:t>
                  </w:r>
                  <w:r w:rsidR="00EF0CE5" w:rsidRPr="00CC7AC6">
                    <w:rPr>
                      <w:sz w:val="16"/>
                      <w:szCs w:val="14"/>
                    </w:rPr>
                    <w:t xml:space="preserve"> </w:t>
                  </w:r>
                  <w:r w:rsidRPr="00CC7AC6">
                    <w:rPr>
                      <w:sz w:val="16"/>
                      <w:szCs w:val="14"/>
                    </w:rPr>
                    <w:t>con información del Banco Mundial</w:t>
                  </w:r>
                </w:p>
              </w:tc>
            </w:tr>
          </w:tbl>
          <w:p w14:paraId="34D9ECC5" w14:textId="77777777" w:rsidR="009C5191" w:rsidRPr="00CC7AC6" w:rsidRDefault="009C5191" w:rsidP="00AA3AFE">
            <w:pPr>
              <w:tabs>
                <w:tab w:val="left" w:pos="3165"/>
              </w:tabs>
              <w:jc w:val="both"/>
            </w:pPr>
            <w:r w:rsidRPr="00CC7AC6">
              <w:t>Guatemala desde 2017 ha sido considerado un país de ingreso medio alto, previo a dicho año fue considerado un país de ingreso mediano bajo. Para el 2020, el ingreso nacional bruto per cápita medido por la metodología atlas se encontraba en USD$4,490, mayor en USD$120 que el ingreso del año 2019. En el caso de la región Centroamericana, Panamá se considera un país de ingreso alto y Costa Rica está cerca del límite superior del ingreso mediano alto, esto se debe a que su población es menor a la población guatemalteca.  Por otro lado, Honduras, Nicaragua y El Salvador son países de ingreso mediano bajo, este último está cerca del límite superior de los países de ingreso medio alto, con USD$3,650 per cápita para 2020.</w:t>
            </w:r>
          </w:p>
          <w:p w14:paraId="275D20E5" w14:textId="77777777" w:rsidR="009C5191" w:rsidRPr="00DE1D8D" w:rsidRDefault="009C5191" w:rsidP="00AA3AFE">
            <w:pPr>
              <w:tabs>
                <w:tab w:val="left" w:pos="3165"/>
              </w:tabs>
              <w:jc w:val="both"/>
              <w:rPr>
                <w:color w:val="FF0000"/>
              </w:rPr>
            </w:pPr>
            <w:r w:rsidRPr="00CC7AC6">
              <w:t>*Última actualización disponible 2020.</w:t>
            </w:r>
          </w:p>
        </w:tc>
      </w:tr>
    </w:tbl>
    <w:p w14:paraId="45245D03" w14:textId="77777777" w:rsidR="009C5191" w:rsidRDefault="009C5191" w:rsidP="009C5191">
      <w:pPr>
        <w:pStyle w:val="Sinespaciado"/>
        <w:ind w:right="49"/>
        <w:jc w:val="both"/>
        <w:rPr>
          <w:rFonts w:ascii="Times New Roman" w:hAnsi="Times New Roman"/>
          <w:color w:val="FF0000"/>
          <w:sz w:val="24"/>
          <w:szCs w:val="24"/>
        </w:rPr>
      </w:pPr>
    </w:p>
    <w:p w14:paraId="582B47F8" w14:textId="48218F48" w:rsidR="009C5191" w:rsidRDefault="009C5191" w:rsidP="00B56DC6">
      <w:pPr>
        <w:pStyle w:val="Sinespaciado"/>
        <w:ind w:left="567" w:right="49"/>
        <w:jc w:val="both"/>
        <w:rPr>
          <w:color w:val="FF0000"/>
          <w:sz w:val="24"/>
          <w:szCs w:val="24"/>
          <w:lang w:val="es-MX"/>
        </w:rPr>
      </w:pPr>
    </w:p>
    <w:p w14:paraId="4A829426" w14:textId="77777777" w:rsidR="00B51A48" w:rsidRPr="00DE1D8D" w:rsidRDefault="00B51A48" w:rsidP="00B56DC6">
      <w:pPr>
        <w:pStyle w:val="Sinespaciado"/>
        <w:ind w:left="567" w:right="49"/>
        <w:jc w:val="both"/>
        <w:rPr>
          <w:color w:val="FF0000"/>
          <w:sz w:val="24"/>
          <w:szCs w:val="24"/>
          <w:lang w:val="es-MX"/>
        </w:rPr>
      </w:pPr>
    </w:p>
    <w:p w14:paraId="4AB8A66F" w14:textId="77777777" w:rsidR="00943B20" w:rsidRPr="00943B20" w:rsidRDefault="00943B20" w:rsidP="00943B20">
      <w:pPr>
        <w:pStyle w:val="Ttulo1"/>
        <w:widowControl/>
        <w:numPr>
          <w:ilvl w:val="1"/>
          <w:numId w:val="5"/>
        </w:numPr>
        <w:ind w:left="993" w:right="49"/>
        <w:jc w:val="left"/>
        <w:rPr>
          <w:color w:val="1F3864" w:themeColor="accent1" w:themeShade="80"/>
          <w:sz w:val="24"/>
          <w:szCs w:val="24"/>
        </w:rPr>
      </w:pPr>
      <w:bookmarkStart w:id="15" w:name="_Toc83302161"/>
      <w:r>
        <w:rPr>
          <w:color w:val="1F3864" w:themeColor="accent1" w:themeShade="80"/>
          <w:sz w:val="24"/>
          <w:szCs w:val="24"/>
        </w:rPr>
        <w:lastRenderedPageBreak/>
        <w:t>Estándares internacionales para indicadores de riesgo de la deuda pública para los países con acceso al mercado de capitales</w:t>
      </w:r>
      <w:bookmarkEnd w:id="15"/>
    </w:p>
    <w:p w14:paraId="28D5D7CE" w14:textId="77777777" w:rsidR="00943B20" w:rsidRDefault="00943B20" w:rsidP="00246A61">
      <w:pPr>
        <w:pStyle w:val="Sinespaciado"/>
        <w:ind w:left="567" w:right="49"/>
        <w:jc w:val="both"/>
        <w:rPr>
          <w:rFonts w:ascii="Times New Roman" w:hAnsi="Times New Roman"/>
          <w:color w:val="FF0000"/>
          <w:sz w:val="24"/>
          <w:szCs w:val="24"/>
        </w:rPr>
      </w:pPr>
    </w:p>
    <w:p w14:paraId="2EC4B2DC" w14:textId="77777777" w:rsidR="00943B20" w:rsidRPr="00A35433" w:rsidRDefault="00943B20" w:rsidP="00943B20">
      <w:pPr>
        <w:ind w:left="567" w:right="49"/>
        <w:jc w:val="both"/>
        <w:rPr>
          <w:sz w:val="24"/>
          <w:szCs w:val="24"/>
          <w:lang w:val="es-MX"/>
        </w:rPr>
      </w:pPr>
      <w:r w:rsidRPr="00A35433">
        <w:rPr>
          <w:sz w:val="24"/>
          <w:szCs w:val="24"/>
          <w:lang w:val="es-MX"/>
        </w:rPr>
        <w:t>Los indicadores propuestos por el Fondo Monetario Internacional para identificar diversos riesgos para la sostenibilidad de la deuda son, para la carga de deuda pública: la deuda pública con respecto al PIB y los requerimientos de financiación pública bruta también con respecto al PIB. Para analizar los riesgos del perfil de la deuda los indicadores son el spread con los bonos del tesoro de Estados Unidos (EMBI), el requerimiento de financiamiento externo, la deuda en moneda extranjera, el cambio anual de la participación de la deuda a corto plazo y la deuda pública externa.</w:t>
      </w:r>
    </w:p>
    <w:p w14:paraId="4B0E5E2A" w14:textId="77777777" w:rsidR="00943B20" w:rsidRDefault="00943B20" w:rsidP="00943B20">
      <w:pPr>
        <w:ind w:left="567" w:right="49"/>
        <w:jc w:val="both"/>
        <w:rPr>
          <w:sz w:val="24"/>
          <w:szCs w:val="24"/>
          <w:lang w:val="es-MX"/>
        </w:rPr>
      </w:pPr>
    </w:p>
    <w:p w14:paraId="6A260C71" w14:textId="669AD70B" w:rsidR="00943B20" w:rsidRPr="00CE62C3" w:rsidRDefault="00CC7AC6" w:rsidP="00943B20">
      <w:pPr>
        <w:pStyle w:val="Epgrafe"/>
        <w:keepNext/>
        <w:ind w:left="567" w:right="49"/>
        <w:rPr>
          <w:color w:val="auto"/>
          <w:sz w:val="22"/>
          <w:szCs w:val="22"/>
        </w:rPr>
      </w:pPr>
      <w:r>
        <w:rPr>
          <w:color w:val="auto"/>
          <w:sz w:val="22"/>
          <w:szCs w:val="22"/>
        </w:rPr>
        <w:t>Tabla 4</w:t>
      </w:r>
      <w:r w:rsidR="00814706">
        <w:rPr>
          <w:color w:val="auto"/>
          <w:sz w:val="22"/>
          <w:szCs w:val="22"/>
        </w:rPr>
        <w:t xml:space="preserve">.  </w:t>
      </w:r>
      <w:r w:rsidR="00943B20" w:rsidRPr="00CE62C3">
        <w:rPr>
          <w:color w:val="auto"/>
          <w:sz w:val="22"/>
          <w:szCs w:val="22"/>
        </w:rPr>
        <w:t>Puntos de referencia para los indicadores de Deuda</w:t>
      </w:r>
    </w:p>
    <w:tbl>
      <w:tblPr>
        <w:tblW w:w="8926" w:type="dxa"/>
        <w:jc w:val="center"/>
        <w:tblCellMar>
          <w:left w:w="70" w:type="dxa"/>
          <w:right w:w="70" w:type="dxa"/>
        </w:tblCellMar>
        <w:tblLook w:val="04A0" w:firstRow="1" w:lastRow="0" w:firstColumn="1" w:lastColumn="0" w:noHBand="0" w:noVBand="1"/>
      </w:tblPr>
      <w:tblGrid>
        <w:gridCol w:w="6516"/>
        <w:gridCol w:w="1276"/>
        <w:gridCol w:w="1134"/>
      </w:tblGrid>
      <w:tr w:rsidR="00943B20" w:rsidRPr="00CE62C3" w14:paraId="7E138D99" w14:textId="77777777" w:rsidTr="00D81132">
        <w:trPr>
          <w:trHeight w:val="506"/>
          <w:jc w:val="center"/>
        </w:trPr>
        <w:tc>
          <w:tcPr>
            <w:tcW w:w="6516" w:type="dxa"/>
            <w:tcBorders>
              <w:top w:val="single" w:sz="4" w:space="0" w:color="auto"/>
              <w:left w:val="single" w:sz="4" w:space="0" w:color="auto"/>
              <w:bottom w:val="single" w:sz="4" w:space="0" w:color="auto"/>
              <w:right w:val="nil"/>
            </w:tcBorders>
            <w:shd w:val="clear" w:color="auto" w:fill="8EAADB" w:themeFill="accent1" w:themeFillTint="99"/>
            <w:vAlign w:val="center"/>
            <w:hideMark/>
          </w:tcPr>
          <w:p w14:paraId="50B82E54" w14:textId="77777777" w:rsidR="00943B20" w:rsidRPr="00CE62C3" w:rsidRDefault="00943B20" w:rsidP="00BC0D90">
            <w:pPr>
              <w:jc w:val="center"/>
              <w:rPr>
                <w:rFonts w:ascii="Times" w:hAnsi="Times" w:cs="Times"/>
                <w:b/>
                <w:bCs/>
                <w:color w:val="000000"/>
                <w:lang w:eastAsia="es-GT"/>
              </w:rPr>
            </w:pPr>
            <w:r w:rsidRPr="00CE62C3">
              <w:rPr>
                <w:rFonts w:ascii="Times" w:hAnsi="Times" w:cs="Times"/>
                <w:b/>
                <w:bCs/>
                <w:color w:val="000000"/>
                <w:lang w:eastAsia="es-GT"/>
              </w:rPr>
              <w:t>Benchmarks para países con acceso al mercado</w:t>
            </w:r>
            <w:r w:rsidRPr="00CE62C3">
              <w:rPr>
                <w:rFonts w:ascii="Times" w:hAnsi="Times" w:cs="Times"/>
                <w:b/>
                <w:bCs/>
                <w:color w:val="000000"/>
                <w:lang w:eastAsia="es-GT"/>
              </w:rPr>
              <w:br/>
              <w:t>(en puntos porcentuales)</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4D64034" w14:textId="77777777" w:rsidR="00943B20" w:rsidRPr="00CE62C3" w:rsidRDefault="00943B20" w:rsidP="00BC0D90">
            <w:pPr>
              <w:jc w:val="center"/>
              <w:rPr>
                <w:rFonts w:ascii="Times" w:hAnsi="Times" w:cs="Times"/>
                <w:b/>
                <w:bCs/>
                <w:color w:val="000000"/>
                <w:lang w:eastAsia="es-GT"/>
              </w:rPr>
            </w:pPr>
            <w:r w:rsidRPr="00CE62C3">
              <w:rPr>
                <w:rFonts w:ascii="Times" w:hAnsi="Times" w:cs="Times"/>
                <w:b/>
                <w:bCs/>
                <w:color w:val="000000"/>
                <w:lang w:eastAsia="es-GT"/>
              </w:rPr>
              <w:t>Mercados emergentes</w:t>
            </w:r>
          </w:p>
        </w:tc>
        <w:tc>
          <w:tcPr>
            <w:tcW w:w="1134"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6A69F61C" w14:textId="77777777" w:rsidR="00943B20" w:rsidRPr="00CE62C3" w:rsidRDefault="00943B20" w:rsidP="00BC0D90">
            <w:pPr>
              <w:jc w:val="center"/>
              <w:rPr>
                <w:rFonts w:ascii="Times" w:hAnsi="Times" w:cs="Times"/>
                <w:b/>
                <w:bCs/>
                <w:color w:val="000000"/>
                <w:lang w:eastAsia="es-GT"/>
              </w:rPr>
            </w:pPr>
            <w:r w:rsidRPr="00CE62C3">
              <w:rPr>
                <w:rFonts w:ascii="Times" w:hAnsi="Times" w:cs="Times"/>
                <w:b/>
                <w:bCs/>
                <w:color w:val="000000"/>
                <w:lang w:eastAsia="es-GT"/>
              </w:rPr>
              <w:t>Economías Avanzadas</w:t>
            </w:r>
          </w:p>
        </w:tc>
      </w:tr>
      <w:tr w:rsidR="00943B20" w:rsidRPr="00CE62C3" w14:paraId="226B1650" w14:textId="77777777" w:rsidTr="00D81132">
        <w:trPr>
          <w:trHeight w:val="264"/>
          <w:jc w:val="center"/>
        </w:trPr>
        <w:tc>
          <w:tcPr>
            <w:tcW w:w="6516" w:type="dxa"/>
            <w:tcBorders>
              <w:top w:val="nil"/>
              <w:left w:val="single" w:sz="4" w:space="0" w:color="auto"/>
              <w:bottom w:val="nil"/>
              <w:right w:val="nil"/>
            </w:tcBorders>
            <w:shd w:val="clear" w:color="auto" w:fill="FFFFFF" w:themeFill="background1"/>
            <w:noWrap/>
            <w:vAlign w:val="bottom"/>
            <w:hideMark/>
          </w:tcPr>
          <w:p w14:paraId="4F2C2955" w14:textId="77777777" w:rsidR="00943B20" w:rsidRPr="00CE62C3" w:rsidRDefault="00943B20" w:rsidP="00BC0D90">
            <w:pPr>
              <w:rPr>
                <w:rFonts w:ascii="Times" w:hAnsi="Times" w:cs="Times"/>
                <w:b/>
                <w:bCs/>
                <w:color w:val="000000"/>
                <w:lang w:eastAsia="es-GT"/>
              </w:rPr>
            </w:pPr>
            <w:r w:rsidRPr="00CE62C3">
              <w:rPr>
                <w:rFonts w:ascii="Times" w:hAnsi="Times" w:cs="Times"/>
                <w:b/>
                <w:bCs/>
                <w:color w:val="000000"/>
                <w:lang w:eastAsia="es-GT"/>
              </w:rPr>
              <w:t>Indicadores de la carga de la deuda pública</w:t>
            </w:r>
          </w:p>
        </w:tc>
        <w:tc>
          <w:tcPr>
            <w:tcW w:w="1276" w:type="dxa"/>
            <w:tcBorders>
              <w:top w:val="nil"/>
              <w:left w:val="single" w:sz="4" w:space="0" w:color="auto"/>
              <w:bottom w:val="nil"/>
              <w:right w:val="single" w:sz="4" w:space="0" w:color="auto"/>
            </w:tcBorders>
            <w:shd w:val="clear" w:color="auto" w:fill="FFFFFF" w:themeFill="background1"/>
            <w:noWrap/>
            <w:vAlign w:val="bottom"/>
            <w:hideMark/>
          </w:tcPr>
          <w:p w14:paraId="6C3A7A5E" w14:textId="77777777" w:rsidR="00943B20" w:rsidRPr="00CE62C3" w:rsidRDefault="00943B20" w:rsidP="00BC0D90">
            <w:pPr>
              <w:rPr>
                <w:rFonts w:ascii="Times" w:hAnsi="Times" w:cs="Times"/>
                <w:color w:val="000000"/>
                <w:lang w:eastAsia="es-GT"/>
              </w:rPr>
            </w:pPr>
            <w:r w:rsidRPr="00CE62C3">
              <w:rPr>
                <w:rFonts w:ascii="Times" w:hAnsi="Times" w:cs="Times"/>
                <w:color w:val="000000"/>
                <w:lang w:eastAsia="es-GT"/>
              </w:rPr>
              <w:t> </w:t>
            </w:r>
          </w:p>
        </w:tc>
        <w:tc>
          <w:tcPr>
            <w:tcW w:w="1134" w:type="dxa"/>
            <w:tcBorders>
              <w:top w:val="nil"/>
              <w:left w:val="nil"/>
              <w:bottom w:val="nil"/>
              <w:right w:val="single" w:sz="4" w:space="0" w:color="auto"/>
            </w:tcBorders>
            <w:shd w:val="clear" w:color="auto" w:fill="FFFFFF" w:themeFill="background1"/>
            <w:noWrap/>
            <w:vAlign w:val="bottom"/>
            <w:hideMark/>
          </w:tcPr>
          <w:p w14:paraId="1A7555D9" w14:textId="77777777" w:rsidR="00943B20" w:rsidRPr="00CE62C3" w:rsidRDefault="00943B20" w:rsidP="00BC0D90">
            <w:pPr>
              <w:rPr>
                <w:rFonts w:ascii="Times" w:hAnsi="Times" w:cs="Times"/>
                <w:color w:val="000000"/>
                <w:lang w:eastAsia="es-GT"/>
              </w:rPr>
            </w:pPr>
            <w:r w:rsidRPr="00CE62C3">
              <w:rPr>
                <w:rFonts w:ascii="Times" w:hAnsi="Times" w:cs="Times"/>
                <w:color w:val="000000"/>
                <w:lang w:eastAsia="es-GT"/>
              </w:rPr>
              <w:t> </w:t>
            </w:r>
          </w:p>
        </w:tc>
      </w:tr>
      <w:tr w:rsidR="00943B20" w:rsidRPr="00CE62C3" w14:paraId="013125F1" w14:textId="77777777" w:rsidTr="00D81132">
        <w:trPr>
          <w:trHeight w:val="264"/>
          <w:jc w:val="center"/>
        </w:trPr>
        <w:tc>
          <w:tcPr>
            <w:tcW w:w="6516" w:type="dxa"/>
            <w:tcBorders>
              <w:top w:val="nil"/>
              <w:left w:val="single" w:sz="4" w:space="0" w:color="auto"/>
              <w:bottom w:val="nil"/>
              <w:right w:val="nil"/>
            </w:tcBorders>
            <w:shd w:val="clear" w:color="auto" w:fill="FFFFFF" w:themeFill="background1"/>
            <w:noWrap/>
            <w:vAlign w:val="bottom"/>
            <w:hideMark/>
          </w:tcPr>
          <w:p w14:paraId="0143C28C" w14:textId="77777777" w:rsidR="00943B20" w:rsidRPr="00CE62C3" w:rsidRDefault="00943B20" w:rsidP="00BC0D90">
            <w:pPr>
              <w:ind w:firstLineChars="100" w:firstLine="200"/>
              <w:rPr>
                <w:rFonts w:ascii="Times" w:hAnsi="Times" w:cs="Times"/>
                <w:color w:val="000000"/>
                <w:lang w:eastAsia="es-GT"/>
              </w:rPr>
            </w:pPr>
            <w:r w:rsidRPr="00CE62C3">
              <w:rPr>
                <w:rFonts w:ascii="Times" w:hAnsi="Times" w:cs="Times"/>
                <w:color w:val="000000"/>
                <w:lang w:eastAsia="es-GT"/>
              </w:rPr>
              <w:t>Deuda/PIB</w:t>
            </w:r>
          </w:p>
        </w:tc>
        <w:tc>
          <w:tcPr>
            <w:tcW w:w="1276" w:type="dxa"/>
            <w:tcBorders>
              <w:top w:val="nil"/>
              <w:left w:val="single" w:sz="4" w:space="0" w:color="auto"/>
              <w:bottom w:val="nil"/>
              <w:right w:val="single" w:sz="4" w:space="0" w:color="auto"/>
            </w:tcBorders>
            <w:shd w:val="clear" w:color="auto" w:fill="FFFFFF" w:themeFill="background1"/>
            <w:noWrap/>
            <w:vAlign w:val="center"/>
            <w:hideMark/>
          </w:tcPr>
          <w:p w14:paraId="1F8B3347"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60</w:t>
            </w:r>
          </w:p>
        </w:tc>
        <w:tc>
          <w:tcPr>
            <w:tcW w:w="1134" w:type="dxa"/>
            <w:tcBorders>
              <w:top w:val="nil"/>
              <w:left w:val="nil"/>
              <w:bottom w:val="nil"/>
              <w:right w:val="single" w:sz="4" w:space="0" w:color="auto"/>
            </w:tcBorders>
            <w:shd w:val="clear" w:color="auto" w:fill="FFFFFF" w:themeFill="background1"/>
            <w:noWrap/>
            <w:vAlign w:val="center"/>
            <w:hideMark/>
          </w:tcPr>
          <w:p w14:paraId="3A3AEA09"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70</w:t>
            </w:r>
          </w:p>
        </w:tc>
      </w:tr>
      <w:tr w:rsidR="00943B20" w:rsidRPr="00CE62C3" w14:paraId="76747853" w14:textId="77777777" w:rsidTr="00CA630C">
        <w:trPr>
          <w:trHeight w:val="194"/>
          <w:jc w:val="center"/>
        </w:trPr>
        <w:tc>
          <w:tcPr>
            <w:tcW w:w="6516" w:type="dxa"/>
            <w:tcBorders>
              <w:top w:val="nil"/>
              <w:left w:val="single" w:sz="4" w:space="0" w:color="auto"/>
              <w:bottom w:val="nil"/>
              <w:right w:val="nil"/>
            </w:tcBorders>
            <w:shd w:val="clear" w:color="auto" w:fill="FFFFFF" w:themeFill="background1"/>
            <w:vAlign w:val="bottom"/>
            <w:hideMark/>
          </w:tcPr>
          <w:p w14:paraId="0ADF98F0" w14:textId="04ADA5D5" w:rsidR="00943B20" w:rsidRPr="00CE62C3" w:rsidRDefault="00943B20" w:rsidP="00CA630C">
            <w:pPr>
              <w:rPr>
                <w:rFonts w:ascii="Times" w:hAnsi="Times" w:cs="Times"/>
                <w:color w:val="000000"/>
                <w:lang w:eastAsia="es-GT"/>
              </w:rPr>
            </w:pPr>
            <w:r w:rsidRPr="00CE62C3">
              <w:rPr>
                <w:rFonts w:ascii="Times" w:hAnsi="Times" w:cs="Times"/>
                <w:color w:val="000000"/>
                <w:lang w:eastAsia="es-GT"/>
              </w:rPr>
              <w:t xml:space="preserve">    Requerimiento de financiamiento del sector público como </w:t>
            </w:r>
            <w:r w:rsidR="00CA630C">
              <w:rPr>
                <w:rFonts w:ascii="Times" w:hAnsi="Times" w:cs="Times"/>
                <w:color w:val="000000"/>
                <w:lang w:eastAsia="es-GT"/>
              </w:rPr>
              <w:t>%</w:t>
            </w:r>
            <w:r w:rsidRPr="00CE62C3">
              <w:rPr>
                <w:rFonts w:ascii="Times" w:hAnsi="Times" w:cs="Times"/>
                <w:color w:val="000000"/>
                <w:lang w:eastAsia="es-GT"/>
              </w:rPr>
              <w:t xml:space="preserve"> del PIB</w:t>
            </w:r>
          </w:p>
        </w:tc>
        <w:tc>
          <w:tcPr>
            <w:tcW w:w="1276" w:type="dxa"/>
            <w:tcBorders>
              <w:top w:val="nil"/>
              <w:left w:val="single" w:sz="4" w:space="0" w:color="auto"/>
              <w:bottom w:val="nil"/>
              <w:right w:val="single" w:sz="4" w:space="0" w:color="auto"/>
            </w:tcBorders>
            <w:shd w:val="clear" w:color="auto" w:fill="FFFFFF" w:themeFill="background1"/>
            <w:noWrap/>
            <w:vAlign w:val="center"/>
            <w:hideMark/>
          </w:tcPr>
          <w:p w14:paraId="3EFAF47F"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15</w:t>
            </w:r>
          </w:p>
        </w:tc>
        <w:tc>
          <w:tcPr>
            <w:tcW w:w="1134" w:type="dxa"/>
            <w:tcBorders>
              <w:top w:val="nil"/>
              <w:left w:val="nil"/>
              <w:bottom w:val="nil"/>
              <w:right w:val="single" w:sz="4" w:space="0" w:color="auto"/>
            </w:tcBorders>
            <w:shd w:val="clear" w:color="auto" w:fill="FFFFFF" w:themeFill="background1"/>
            <w:noWrap/>
            <w:vAlign w:val="center"/>
            <w:hideMark/>
          </w:tcPr>
          <w:p w14:paraId="3C8286A7"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20</w:t>
            </w:r>
          </w:p>
        </w:tc>
      </w:tr>
      <w:tr w:rsidR="00943B20" w:rsidRPr="00CE62C3" w14:paraId="2EA9A343" w14:textId="77777777" w:rsidTr="00D81132">
        <w:trPr>
          <w:trHeight w:val="264"/>
          <w:jc w:val="center"/>
        </w:trPr>
        <w:tc>
          <w:tcPr>
            <w:tcW w:w="6516" w:type="dxa"/>
            <w:tcBorders>
              <w:top w:val="nil"/>
              <w:left w:val="single" w:sz="4" w:space="0" w:color="auto"/>
              <w:bottom w:val="nil"/>
              <w:right w:val="nil"/>
            </w:tcBorders>
            <w:shd w:val="clear" w:color="auto" w:fill="FFFFFF" w:themeFill="background1"/>
            <w:noWrap/>
            <w:vAlign w:val="bottom"/>
            <w:hideMark/>
          </w:tcPr>
          <w:p w14:paraId="6D39092D" w14:textId="77777777" w:rsidR="00943B20" w:rsidRPr="00CE62C3" w:rsidRDefault="00943B20" w:rsidP="00BC0D90">
            <w:pPr>
              <w:rPr>
                <w:rFonts w:ascii="Times" w:hAnsi="Times" w:cs="Times"/>
                <w:b/>
                <w:bCs/>
                <w:color w:val="000000"/>
                <w:lang w:eastAsia="es-GT"/>
              </w:rPr>
            </w:pPr>
            <w:r w:rsidRPr="00CE62C3">
              <w:rPr>
                <w:rFonts w:ascii="Times" w:hAnsi="Times" w:cs="Times"/>
                <w:b/>
                <w:bCs/>
                <w:color w:val="000000"/>
                <w:lang w:eastAsia="es-GT"/>
              </w:rPr>
              <w:t>Indicadores del perfil de deuda</w:t>
            </w:r>
          </w:p>
        </w:tc>
        <w:tc>
          <w:tcPr>
            <w:tcW w:w="1276" w:type="dxa"/>
            <w:tcBorders>
              <w:top w:val="nil"/>
              <w:left w:val="single" w:sz="4" w:space="0" w:color="auto"/>
              <w:bottom w:val="nil"/>
              <w:right w:val="single" w:sz="4" w:space="0" w:color="auto"/>
            </w:tcBorders>
            <w:shd w:val="clear" w:color="auto" w:fill="FFFFFF" w:themeFill="background1"/>
            <w:noWrap/>
            <w:vAlign w:val="center"/>
            <w:hideMark/>
          </w:tcPr>
          <w:p w14:paraId="4021FB75"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 </w:t>
            </w:r>
          </w:p>
        </w:tc>
        <w:tc>
          <w:tcPr>
            <w:tcW w:w="1134" w:type="dxa"/>
            <w:tcBorders>
              <w:top w:val="nil"/>
              <w:left w:val="nil"/>
              <w:bottom w:val="nil"/>
              <w:right w:val="single" w:sz="4" w:space="0" w:color="auto"/>
            </w:tcBorders>
            <w:shd w:val="clear" w:color="auto" w:fill="FFFFFF" w:themeFill="background1"/>
            <w:noWrap/>
            <w:vAlign w:val="center"/>
            <w:hideMark/>
          </w:tcPr>
          <w:p w14:paraId="72B897EF"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 </w:t>
            </w:r>
          </w:p>
        </w:tc>
      </w:tr>
      <w:tr w:rsidR="00943B20" w:rsidRPr="00CE62C3" w14:paraId="2886C3A6" w14:textId="77777777" w:rsidTr="00D81132">
        <w:trPr>
          <w:trHeight w:val="264"/>
          <w:jc w:val="center"/>
        </w:trPr>
        <w:tc>
          <w:tcPr>
            <w:tcW w:w="6516" w:type="dxa"/>
            <w:tcBorders>
              <w:top w:val="nil"/>
              <w:left w:val="single" w:sz="4" w:space="0" w:color="auto"/>
              <w:bottom w:val="nil"/>
              <w:right w:val="nil"/>
            </w:tcBorders>
            <w:shd w:val="clear" w:color="auto" w:fill="FFFFFF" w:themeFill="background1"/>
            <w:noWrap/>
            <w:vAlign w:val="bottom"/>
            <w:hideMark/>
          </w:tcPr>
          <w:p w14:paraId="3CE9097F" w14:textId="77777777" w:rsidR="00943B20" w:rsidRPr="00CE62C3" w:rsidRDefault="00943B20" w:rsidP="00BC0D90">
            <w:pPr>
              <w:ind w:firstLineChars="100" w:firstLine="200"/>
              <w:rPr>
                <w:rFonts w:ascii="Times" w:hAnsi="Times" w:cs="Times"/>
                <w:color w:val="000000"/>
                <w:lang w:eastAsia="es-GT"/>
              </w:rPr>
            </w:pPr>
            <w:r w:rsidRPr="00CE62C3">
              <w:rPr>
                <w:rFonts w:ascii="Times" w:hAnsi="Times" w:cs="Times"/>
                <w:color w:val="000000"/>
                <w:lang w:eastAsia="es-GT"/>
              </w:rPr>
              <w:t>Spread de los bonos (con E.E.U.U o Alemania)</w:t>
            </w:r>
          </w:p>
        </w:tc>
        <w:tc>
          <w:tcPr>
            <w:tcW w:w="1276" w:type="dxa"/>
            <w:tcBorders>
              <w:top w:val="nil"/>
              <w:left w:val="single" w:sz="4" w:space="0" w:color="auto"/>
              <w:bottom w:val="nil"/>
              <w:right w:val="single" w:sz="4" w:space="0" w:color="auto"/>
            </w:tcBorders>
            <w:shd w:val="clear" w:color="auto" w:fill="FFFFFF" w:themeFill="background1"/>
            <w:noWrap/>
            <w:vAlign w:val="center"/>
            <w:hideMark/>
          </w:tcPr>
          <w:p w14:paraId="531E23E7"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800</w:t>
            </w:r>
          </w:p>
        </w:tc>
        <w:tc>
          <w:tcPr>
            <w:tcW w:w="1134" w:type="dxa"/>
            <w:tcBorders>
              <w:top w:val="nil"/>
              <w:left w:val="nil"/>
              <w:bottom w:val="nil"/>
              <w:right w:val="single" w:sz="4" w:space="0" w:color="auto"/>
            </w:tcBorders>
            <w:shd w:val="clear" w:color="auto" w:fill="FFFFFF" w:themeFill="background1"/>
            <w:noWrap/>
            <w:vAlign w:val="center"/>
            <w:hideMark/>
          </w:tcPr>
          <w:p w14:paraId="46543BCB"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800</w:t>
            </w:r>
          </w:p>
        </w:tc>
      </w:tr>
      <w:tr w:rsidR="00943B20" w:rsidRPr="00CE62C3" w14:paraId="0AFF3055" w14:textId="77777777" w:rsidTr="00D81132">
        <w:trPr>
          <w:trHeight w:val="264"/>
          <w:jc w:val="center"/>
        </w:trPr>
        <w:tc>
          <w:tcPr>
            <w:tcW w:w="6516" w:type="dxa"/>
            <w:tcBorders>
              <w:top w:val="nil"/>
              <w:left w:val="single" w:sz="4" w:space="0" w:color="auto"/>
              <w:bottom w:val="nil"/>
              <w:right w:val="nil"/>
            </w:tcBorders>
            <w:shd w:val="clear" w:color="auto" w:fill="FFFFFF" w:themeFill="background1"/>
            <w:noWrap/>
            <w:vAlign w:val="bottom"/>
            <w:hideMark/>
          </w:tcPr>
          <w:p w14:paraId="550C762B" w14:textId="77777777" w:rsidR="00943B20" w:rsidRPr="00CE62C3" w:rsidRDefault="00943B20" w:rsidP="00BC0D90">
            <w:pPr>
              <w:ind w:firstLineChars="100" w:firstLine="200"/>
              <w:rPr>
                <w:rFonts w:ascii="Times" w:hAnsi="Times" w:cs="Times"/>
                <w:color w:val="000000"/>
                <w:lang w:eastAsia="es-GT"/>
              </w:rPr>
            </w:pPr>
            <w:r w:rsidRPr="00CE62C3">
              <w:rPr>
                <w:rFonts w:ascii="Times" w:hAnsi="Times" w:cs="Times"/>
                <w:color w:val="000000"/>
                <w:lang w:eastAsia="es-GT"/>
              </w:rPr>
              <w:t>Requerimiento de financiamiento externo</w:t>
            </w:r>
          </w:p>
        </w:tc>
        <w:tc>
          <w:tcPr>
            <w:tcW w:w="1276" w:type="dxa"/>
            <w:tcBorders>
              <w:top w:val="nil"/>
              <w:left w:val="single" w:sz="4" w:space="0" w:color="auto"/>
              <w:bottom w:val="nil"/>
              <w:right w:val="single" w:sz="4" w:space="0" w:color="auto"/>
            </w:tcBorders>
            <w:shd w:val="clear" w:color="auto" w:fill="FFFFFF" w:themeFill="background1"/>
            <w:noWrap/>
            <w:vAlign w:val="center"/>
            <w:hideMark/>
          </w:tcPr>
          <w:p w14:paraId="5A1E38AB"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20</w:t>
            </w:r>
          </w:p>
        </w:tc>
        <w:tc>
          <w:tcPr>
            <w:tcW w:w="1134" w:type="dxa"/>
            <w:tcBorders>
              <w:top w:val="nil"/>
              <w:left w:val="nil"/>
              <w:bottom w:val="nil"/>
              <w:right w:val="single" w:sz="4" w:space="0" w:color="auto"/>
            </w:tcBorders>
            <w:shd w:val="clear" w:color="auto" w:fill="FFFFFF" w:themeFill="background1"/>
            <w:noWrap/>
            <w:vAlign w:val="center"/>
            <w:hideMark/>
          </w:tcPr>
          <w:p w14:paraId="5470EB49"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35</w:t>
            </w:r>
          </w:p>
        </w:tc>
      </w:tr>
      <w:tr w:rsidR="00943B20" w:rsidRPr="00CE62C3" w14:paraId="263D13DE" w14:textId="77777777" w:rsidTr="00D81132">
        <w:trPr>
          <w:trHeight w:val="264"/>
          <w:jc w:val="center"/>
        </w:trPr>
        <w:tc>
          <w:tcPr>
            <w:tcW w:w="6516" w:type="dxa"/>
            <w:tcBorders>
              <w:top w:val="nil"/>
              <w:left w:val="single" w:sz="4" w:space="0" w:color="auto"/>
              <w:bottom w:val="nil"/>
              <w:right w:val="nil"/>
            </w:tcBorders>
            <w:shd w:val="clear" w:color="auto" w:fill="FFFFFF" w:themeFill="background1"/>
            <w:noWrap/>
            <w:vAlign w:val="bottom"/>
            <w:hideMark/>
          </w:tcPr>
          <w:p w14:paraId="7AEDD410" w14:textId="77777777" w:rsidR="00943B20" w:rsidRPr="00CE62C3" w:rsidRDefault="00943B20" w:rsidP="00BC0D90">
            <w:pPr>
              <w:ind w:firstLineChars="100" w:firstLine="200"/>
              <w:rPr>
                <w:rFonts w:ascii="Times" w:hAnsi="Times" w:cs="Times"/>
                <w:color w:val="000000"/>
                <w:lang w:eastAsia="es-GT"/>
              </w:rPr>
            </w:pPr>
            <w:r w:rsidRPr="00CE62C3">
              <w:rPr>
                <w:rFonts w:ascii="Times" w:hAnsi="Times" w:cs="Times"/>
                <w:color w:val="000000"/>
                <w:lang w:eastAsia="es-GT"/>
              </w:rPr>
              <w:t>Deuda en moneda extranjera</w:t>
            </w:r>
          </w:p>
        </w:tc>
        <w:tc>
          <w:tcPr>
            <w:tcW w:w="1276" w:type="dxa"/>
            <w:tcBorders>
              <w:top w:val="nil"/>
              <w:left w:val="single" w:sz="4" w:space="0" w:color="auto"/>
              <w:bottom w:val="nil"/>
              <w:right w:val="single" w:sz="4" w:space="0" w:color="auto"/>
            </w:tcBorders>
            <w:shd w:val="clear" w:color="auto" w:fill="FFFFFF" w:themeFill="background1"/>
            <w:noWrap/>
            <w:vAlign w:val="center"/>
            <w:hideMark/>
          </w:tcPr>
          <w:p w14:paraId="10ED69F1"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80</w:t>
            </w:r>
          </w:p>
        </w:tc>
        <w:tc>
          <w:tcPr>
            <w:tcW w:w="1134" w:type="dxa"/>
            <w:tcBorders>
              <w:top w:val="nil"/>
              <w:left w:val="nil"/>
              <w:bottom w:val="nil"/>
              <w:right w:val="single" w:sz="4" w:space="0" w:color="auto"/>
            </w:tcBorders>
            <w:shd w:val="clear" w:color="auto" w:fill="FFFFFF" w:themeFill="background1"/>
            <w:noWrap/>
            <w:vAlign w:val="center"/>
            <w:hideMark/>
          </w:tcPr>
          <w:p w14:paraId="7F060D67"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 ne*</w:t>
            </w:r>
          </w:p>
        </w:tc>
      </w:tr>
      <w:tr w:rsidR="00943B20" w:rsidRPr="00CE62C3" w14:paraId="5F7C9DDB" w14:textId="77777777" w:rsidTr="00D81132">
        <w:trPr>
          <w:trHeight w:val="218"/>
          <w:jc w:val="center"/>
        </w:trPr>
        <w:tc>
          <w:tcPr>
            <w:tcW w:w="6516" w:type="dxa"/>
            <w:tcBorders>
              <w:top w:val="nil"/>
              <w:left w:val="single" w:sz="4" w:space="0" w:color="auto"/>
              <w:bottom w:val="nil"/>
              <w:right w:val="nil"/>
            </w:tcBorders>
            <w:shd w:val="clear" w:color="auto" w:fill="FFFFFF" w:themeFill="background1"/>
            <w:vAlign w:val="bottom"/>
            <w:hideMark/>
          </w:tcPr>
          <w:p w14:paraId="1A4D00BE" w14:textId="4608ACFB" w:rsidR="00943B20" w:rsidRPr="00CE62C3" w:rsidRDefault="00943B20" w:rsidP="00D81132">
            <w:pPr>
              <w:ind w:firstLineChars="100" w:firstLine="200"/>
              <w:rPr>
                <w:rFonts w:ascii="Times" w:hAnsi="Times" w:cs="Times"/>
                <w:color w:val="000000"/>
                <w:lang w:eastAsia="es-GT"/>
              </w:rPr>
            </w:pPr>
            <w:r w:rsidRPr="00CE62C3">
              <w:rPr>
                <w:rFonts w:ascii="Times" w:hAnsi="Times" w:cs="Times"/>
                <w:color w:val="000000"/>
                <w:lang w:eastAsia="es-GT"/>
              </w:rPr>
              <w:t>Cambio anual de la participación de la deuda acorto plazo</w:t>
            </w:r>
          </w:p>
        </w:tc>
        <w:tc>
          <w:tcPr>
            <w:tcW w:w="1276" w:type="dxa"/>
            <w:tcBorders>
              <w:top w:val="nil"/>
              <w:left w:val="single" w:sz="4" w:space="0" w:color="auto"/>
              <w:bottom w:val="nil"/>
              <w:right w:val="single" w:sz="4" w:space="0" w:color="auto"/>
            </w:tcBorders>
            <w:shd w:val="clear" w:color="auto" w:fill="FFFFFF" w:themeFill="background1"/>
            <w:noWrap/>
            <w:vAlign w:val="center"/>
            <w:hideMark/>
          </w:tcPr>
          <w:p w14:paraId="17224A53"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1.5</w:t>
            </w:r>
          </w:p>
        </w:tc>
        <w:tc>
          <w:tcPr>
            <w:tcW w:w="1134" w:type="dxa"/>
            <w:tcBorders>
              <w:top w:val="nil"/>
              <w:left w:val="nil"/>
              <w:bottom w:val="nil"/>
              <w:right w:val="single" w:sz="4" w:space="0" w:color="auto"/>
            </w:tcBorders>
            <w:shd w:val="clear" w:color="auto" w:fill="FFFFFF" w:themeFill="background1"/>
            <w:noWrap/>
            <w:vAlign w:val="center"/>
            <w:hideMark/>
          </w:tcPr>
          <w:p w14:paraId="198A08B4"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2</w:t>
            </w:r>
          </w:p>
        </w:tc>
      </w:tr>
      <w:tr w:rsidR="00943B20" w:rsidRPr="00CE62C3" w14:paraId="2B141E39" w14:textId="77777777" w:rsidTr="00D81132">
        <w:trPr>
          <w:trHeight w:val="264"/>
          <w:jc w:val="center"/>
        </w:trPr>
        <w:tc>
          <w:tcPr>
            <w:tcW w:w="6516" w:type="dxa"/>
            <w:tcBorders>
              <w:top w:val="nil"/>
              <w:left w:val="single" w:sz="4" w:space="0" w:color="auto"/>
              <w:bottom w:val="single" w:sz="4" w:space="0" w:color="auto"/>
              <w:right w:val="nil"/>
            </w:tcBorders>
            <w:shd w:val="clear" w:color="auto" w:fill="FFFFFF" w:themeFill="background1"/>
            <w:noWrap/>
            <w:vAlign w:val="bottom"/>
            <w:hideMark/>
          </w:tcPr>
          <w:p w14:paraId="4AC0CACD" w14:textId="77777777" w:rsidR="00943B20" w:rsidRPr="00CE62C3" w:rsidRDefault="00943B20" w:rsidP="00BC0D90">
            <w:pPr>
              <w:ind w:firstLineChars="100" w:firstLine="200"/>
              <w:rPr>
                <w:rFonts w:ascii="Times" w:hAnsi="Times" w:cs="Times"/>
                <w:color w:val="000000"/>
                <w:lang w:eastAsia="es-GT"/>
              </w:rPr>
            </w:pPr>
            <w:r>
              <w:rPr>
                <w:rFonts w:ascii="Times" w:hAnsi="Times" w:cs="Times"/>
                <w:color w:val="000000"/>
                <w:lang w:eastAsia="es-GT"/>
              </w:rPr>
              <w:t>Participación de la d</w:t>
            </w:r>
            <w:r w:rsidRPr="00CE62C3">
              <w:rPr>
                <w:rFonts w:ascii="Times" w:hAnsi="Times" w:cs="Times"/>
                <w:color w:val="000000"/>
                <w:lang w:eastAsia="es-GT"/>
              </w:rPr>
              <w:t>euda externa</w:t>
            </w:r>
            <w:r>
              <w:rPr>
                <w:rFonts w:ascii="Times" w:hAnsi="Times" w:cs="Times"/>
                <w:color w:val="000000"/>
                <w:lang w:eastAsia="es-GT"/>
              </w:rPr>
              <w:t xml:space="preserve"> del total</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30F80E"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60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EA92C45" w14:textId="77777777" w:rsidR="00943B20" w:rsidRPr="00CE62C3" w:rsidRDefault="00943B20" w:rsidP="00BC0D90">
            <w:pPr>
              <w:jc w:val="center"/>
              <w:rPr>
                <w:rFonts w:ascii="Times" w:hAnsi="Times" w:cs="Times"/>
                <w:color w:val="000000"/>
                <w:lang w:eastAsia="es-GT"/>
              </w:rPr>
            </w:pPr>
            <w:r w:rsidRPr="00CE62C3">
              <w:rPr>
                <w:rFonts w:ascii="Times" w:hAnsi="Times" w:cs="Times"/>
                <w:color w:val="000000"/>
                <w:lang w:eastAsia="es-GT"/>
              </w:rPr>
              <w:t>60</w:t>
            </w:r>
          </w:p>
        </w:tc>
      </w:tr>
    </w:tbl>
    <w:p w14:paraId="3DD82B4D" w14:textId="1D08AFB0" w:rsidR="00943B20" w:rsidRPr="00CE62C3" w:rsidRDefault="0068552A" w:rsidP="0068552A">
      <w:pPr>
        <w:tabs>
          <w:tab w:val="left" w:pos="630"/>
        </w:tabs>
        <w:jc w:val="both"/>
        <w:rPr>
          <w:sz w:val="16"/>
          <w:szCs w:val="16"/>
        </w:rPr>
      </w:pPr>
      <w:r>
        <w:rPr>
          <w:sz w:val="18"/>
          <w:szCs w:val="18"/>
        </w:rPr>
        <w:tab/>
      </w:r>
      <w:r>
        <w:rPr>
          <w:sz w:val="18"/>
          <w:szCs w:val="18"/>
        </w:rPr>
        <w:tab/>
        <w:t xml:space="preserve">        </w:t>
      </w:r>
      <w:r w:rsidR="00943B20" w:rsidRPr="00CE62C3">
        <w:rPr>
          <w:sz w:val="16"/>
          <w:szCs w:val="16"/>
        </w:rPr>
        <w:t xml:space="preserve">Fuente: </w:t>
      </w:r>
      <w:r w:rsidR="00EF0CE5" w:rsidRPr="00EF0CE5">
        <w:rPr>
          <w:bCs/>
          <w:sz w:val="16"/>
          <w:szCs w:val="11"/>
        </w:rPr>
        <w:t>Ministerio de Finanzas Públicas</w:t>
      </w:r>
      <w:r w:rsidR="00EF0CE5" w:rsidRPr="00CE62C3">
        <w:rPr>
          <w:sz w:val="16"/>
          <w:szCs w:val="16"/>
        </w:rPr>
        <w:t xml:space="preserve"> </w:t>
      </w:r>
      <w:r w:rsidR="00943B20" w:rsidRPr="00CE62C3">
        <w:rPr>
          <w:sz w:val="16"/>
          <w:szCs w:val="16"/>
        </w:rPr>
        <w:t>con información del FMI, mayo de 2013</w:t>
      </w:r>
    </w:p>
    <w:p w14:paraId="29020476" w14:textId="77777777" w:rsidR="00943B20" w:rsidRPr="00CE62C3" w:rsidRDefault="00943B20" w:rsidP="00943B20">
      <w:pPr>
        <w:tabs>
          <w:tab w:val="left" w:pos="630"/>
          <w:tab w:val="left" w:pos="1582"/>
        </w:tabs>
        <w:ind w:left="540"/>
        <w:jc w:val="both"/>
      </w:pPr>
      <w:r w:rsidRPr="00CE62C3">
        <w:rPr>
          <w:sz w:val="16"/>
          <w:szCs w:val="16"/>
        </w:rPr>
        <w:t xml:space="preserve">            </w:t>
      </w:r>
      <w:r w:rsidR="0068552A">
        <w:rPr>
          <w:sz w:val="16"/>
          <w:szCs w:val="16"/>
        </w:rPr>
        <w:t xml:space="preserve"> </w:t>
      </w:r>
      <w:r w:rsidRPr="00CE62C3">
        <w:rPr>
          <w:sz w:val="16"/>
          <w:szCs w:val="16"/>
        </w:rPr>
        <w:t>ne*: No existe punto de referencia para este indicador</w:t>
      </w:r>
    </w:p>
    <w:p w14:paraId="2A4B22AE" w14:textId="77777777" w:rsidR="004D12AF" w:rsidRDefault="00963B9C" w:rsidP="004D12AF">
      <w:pPr>
        <w:ind w:left="567" w:right="49"/>
        <w:jc w:val="both"/>
        <w:rPr>
          <w:color w:val="FF0000"/>
          <w:sz w:val="24"/>
          <w:szCs w:val="24"/>
          <w:lang w:val="es-MX"/>
        </w:rPr>
      </w:pPr>
      <w:r w:rsidRPr="00DE1D8D">
        <w:rPr>
          <w:color w:val="FF0000"/>
          <w:sz w:val="24"/>
          <w:szCs w:val="24"/>
          <w:lang w:val="es-MX"/>
        </w:rPr>
        <w:t xml:space="preserve"> </w:t>
      </w:r>
    </w:p>
    <w:p w14:paraId="0F705CB7" w14:textId="1F7E2B8E" w:rsidR="004D12AF" w:rsidRDefault="004D12AF" w:rsidP="004D12AF">
      <w:pPr>
        <w:ind w:left="567" w:right="49"/>
        <w:jc w:val="both"/>
      </w:pPr>
      <w:r>
        <w:rPr>
          <w:sz w:val="24"/>
          <w:szCs w:val="24"/>
          <w:lang w:val="es-MX"/>
        </w:rPr>
        <w:t>En</w:t>
      </w:r>
      <w:r w:rsidRPr="00A35433">
        <w:rPr>
          <w:sz w:val="24"/>
          <w:szCs w:val="24"/>
          <w:lang w:val="es-MX"/>
        </w:rPr>
        <w:t xml:space="preserve"> el capítulo tres de las “Perspectivas Económicas Mundiales” de octubre de 2012 del Fondo Monetario Internacional, se realizan distintos análisis para determinar la sostenibilidad de la deuda de varios países, mencionan que no existe un simple límite para los indicadores de deuda que puedan delinear una deuda “buena” de una “mala”, sino que es necesario explorar la dinámica de la deuda pública, su entorno macroeconómico y las políticas </w:t>
      </w:r>
      <w:r>
        <w:rPr>
          <w:sz w:val="24"/>
          <w:szCs w:val="24"/>
          <w:lang w:val="es-MX"/>
        </w:rPr>
        <w:t xml:space="preserve">públicas </w:t>
      </w:r>
      <w:r w:rsidRPr="00A35433">
        <w:rPr>
          <w:sz w:val="24"/>
          <w:szCs w:val="24"/>
          <w:lang w:val="es-MX"/>
        </w:rPr>
        <w:t>de cada país. Por otro lado, los autores del FMI de la publicación de “Espacio Fiscal” de 2010, quienes también investigaron límites para mantener la sostenibilidad de deuda para diversos países indican que su límite recomendado no debe interpretarse como una barrera absoluta ni como el nivel óptimo de deuda pública.</w:t>
      </w:r>
    </w:p>
    <w:p w14:paraId="4D71F464" w14:textId="64A19073" w:rsidR="00963B9C" w:rsidRPr="00DE1D8D" w:rsidRDefault="00963B9C" w:rsidP="000173FB">
      <w:pPr>
        <w:pStyle w:val="Sinespaciado"/>
        <w:ind w:left="567" w:right="49"/>
        <w:jc w:val="both"/>
        <w:rPr>
          <w:rFonts w:ascii="Times New Roman" w:hAnsi="Times New Roman"/>
          <w:color w:val="FF0000"/>
          <w:sz w:val="24"/>
          <w:szCs w:val="24"/>
          <w:lang w:val="es-MX"/>
        </w:rPr>
      </w:pPr>
    </w:p>
    <w:p w14:paraId="27B96BC8" w14:textId="77777777" w:rsidR="00963B9C" w:rsidRPr="0099727E" w:rsidRDefault="00943B20" w:rsidP="00943B20">
      <w:pPr>
        <w:pStyle w:val="Ttulo1"/>
        <w:widowControl/>
        <w:numPr>
          <w:ilvl w:val="1"/>
          <w:numId w:val="5"/>
        </w:numPr>
        <w:ind w:left="993" w:right="49"/>
        <w:jc w:val="left"/>
        <w:rPr>
          <w:color w:val="1F3864" w:themeColor="accent1" w:themeShade="80"/>
          <w:sz w:val="24"/>
          <w:szCs w:val="24"/>
          <w:lang w:val="es-MX"/>
        </w:rPr>
      </w:pPr>
      <w:bookmarkStart w:id="16" w:name="_Toc83302162"/>
      <w:r w:rsidRPr="0099727E">
        <w:rPr>
          <w:color w:val="1F3864" w:themeColor="accent1" w:themeShade="80"/>
          <w:sz w:val="24"/>
          <w:szCs w:val="24"/>
          <w:lang w:val="es-MX"/>
        </w:rPr>
        <w:t>Indicadores de la deuda pública para Guatemala</w:t>
      </w:r>
      <w:bookmarkEnd w:id="16"/>
    </w:p>
    <w:p w14:paraId="0F68AE20" w14:textId="77777777" w:rsidR="00943B20" w:rsidRPr="0099727E" w:rsidRDefault="00943B20" w:rsidP="000173FB">
      <w:pPr>
        <w:pStyle w:val="Sinespaciado"/>
        <w:ind w:left="567" w:right="49"/>
        <w:jc w:val="both"/>
        <w:rPr>
          <w:rFonts w:ascii="Times New Roman" w:hAnsi="Times New Roman"/>
          <w:color w:val="FF0000"/>
          <w:sz w:val="24"/>
          <w:szCs w:val="24"/>
          <w:lang w:val="es-MX"/>
        </w:rPr>
      </w:pPr>
    </w:p>
    <w:p w14:paraId="3DECCCA1" w14:textId="77777777" w:rsidR="00943B20" w:rsidRPr="0099727E" w:rsidRDefault="00943B20" w:rsidP="00943B20">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Guatemala destaca por su manejo prudente de la deuda al alcanzar un ratio deuda/PIB de 31.6% en 2020. El nivel de este indicador para Guatemala es el nivel más bajo en todo Centroamérica incluyendo a República Dominicana. A pesar de que este indicador aumentó 5.1 puntos porcentuales del 2019 al 2020 en Guatemala, aún se encuentra muy por debajo de los límites de referencias utilizados por el Fondo Monetario Internacional y del Banco Mundial.</w:t>
      </w:r>
    </w:p>
    <w:p w14:paraId="40730F82" w14:textId="77777777" w:rsidR="00943B20" w:rsidRPr="0099727E" w:rsidRDefault="00943B20" w:rsidP="00943B20">
      <w:pPr>
        <w:pStyle w:val="Sinespaciado"/>
        <w:ind w:left="567" w:right="49"/>
        <w:jc w:val="both"/>
        <w:rPr>
          <w:rFonts w:ascii="Times New Roman" w:hAnsi="Times New Roman"/>
          <w:sz w:val="24"/>
          <w:szCs w:val="24"/>
          <w:lang w:val="es-MX"/>
        </w:rPr>
      </w:pPr>
    </w:p>
    <w:p w14:paraId="1926D1F5" w14:textId="451FAE7B" w:rsidR="00943B20" w:rsidRDefault="00943B20" w:rsidP="00943B20">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Por otro lado, otro indicador que mide la capacidad para hacer frente a los compromisos es la deuda con respecto a los ingresos fiscales. Este indicador tuvo un aumento de 58.9 puntos porcentuales de 2019 a 2020, de tal manera que se ubicó en 295.3% en 2020, el motivo es el aumento de la deuda para financiar los programas fiscales que mitigaron los efectos económicos </w:t>
      </w:r>
      <w:r w:rsidRPr="0099727E">
        <w:rPr>
          <w:rFonts w:ascii="Times New Roman" w:hAnsi="Times New Roman"/>
          <w:sz w:val="24"/>
          <w:szCs w:val="24"/>
          <w:lang w:val="es-MX"/>
        </w:rPr>
        <w:lastRenderedPageBreak/>
        <w:t xml:space="preserve">negativos de la pandemia COVID-19 y por la reducción de los ingresos fiscales en dicho año. </w:t>
      </w:r>
      <w:r w:rsidR="00BB3A50" w:rsidRPr="0099727E">
        <w:rPr>
          <w:rFonts w:ascii="Times New Roman" w:hAnsi="Times New Roman"/>
          <w:sz w:val="24"/>
          <w:szCs w:val="24"/>
          <w:lang w:val="es-MX"/>
        </w:rPr>
        <w:t xml:space="preserve">Para el año 2021 se estima que este indicador se encuentre en 275.6. </w:t>
      </w:r>
      <w:r w:rsidRPr="0099727E">
        <w:rPr>
          <w:rFonts w:ascii="Times New Roman" w:hAnsi="Times New Roman"/>
          <w:sz w:val="24"/>
          <w:szCs w:val="24"/>
          <w:lang w:val="es-MX"/>
        </w:rPr>
        <w:t>No obstante, este indicador se encuentra cerca del promedio de Latinoamérica. En cuanto a la relación deuda externa/exportaciones, este indicador es importante para medir la vulnerabilidad externa del país, cuyo máximo recomendado debería ser no mayor de 180%, Guatemala muestra un nivel 79.7% en 2020.</w:t>
      </w:r>
    </w:p>
    <w:p w14:paraId="6B7571C8" w14:textId="1A1621C0" w:rsidR="00C12E45" w:rsidRDefault="00C12E45" w:rsidP="00943B20">
      <w:pPr>
        <w:pStyle w:val="Sinespaciado"/>
        <w:ind w:left="567" w:right="49"/>
        <w:jc w:val="both"/>
        <w:rPr>
          <w:rFonts w:ascii="Times New Roman" w:hAnsi="Times New Roman"/>
          <w:sz w:val="24"/>
          <w:szCs w:val="24"/>
          <w:lang w:val="es-MX"/>
        </w:rPr>
      </w:pPr>
    </w:p>
    <w:p w14:paraId="5E197F5E" w14:textId="76AD40D6" w:rsidR="00C12E45" w:rsidRPr="00CC7AC6" w:rsidRDefault="00C12E45" w:rsidP="00943B20">
      <w:pPr>
        <w:pStyle w:val="Sinespaciado"/>
        <w:ind w:left="567" w:right="49"/>
        <w:jc w:val="both"/>
        <w:rPr>
          <w:rFonts w:ascii="Times New Roman" w:hAnsi="Times New Roman"/>
          <w:sz w:val="24"/>
          <w:szCs w:val="24"/>
          <w:lang w:val="es-MX"/>
        </w:rPr>
      </w:pPr>
      <w:r w:rsidRPr="00CC7AC6">
        <w:rPr>
          <w:rFonts w:ascii="Times New Roman" w:hAnsi="Times New Roman"/>
          <w:sz w:val="24"/>
          <w:szCs w:val="24"/>
          <w:lang w:val="es-MX"/>
        </w:rPr>
        <w:t>Entre los indicadores de liquidez se encuentra el servicio de la deuda con respecto a los ingresos fiscales y el servicio de deuda externa con respecto a las exportaciones. Para el 2020 el ratio del servicio de la deuda/ ingresos fiscales se encontró en 29.8%</w:t>
      </w:r>
      <w:r w:rsidR="00CE3B60" w:rsidRPr="00CC7AC6">
        <w:rPr>
          <w:rFonts w:ascii="Times New Roman" w:hAnsi="Times New Roman"/>
          <w:sz w:val="24"/>
          <w:szCs w:val="24"/>
          <w:lang w:val="es-MX"/>
        </w:rPr>
        <w:t>, para 2021 se prevé que es encuentre alrededor de 27.2% y para 2026 en 27.5%</w:t>
      </w:r>
      <w:r w:rsidRPr="00CC7AC6">
        <w:rPr>
          <w:rFonts w:ascii="Times New Roman" w:hAnsi="Times New Roman"/>
          <w:sz w:val="24"/>
          <w:szCs w:val="24"/>
          <w:lang w:val="es-MX"/>
        </w:rPr>
        <w:t>. Con respecto el ratio del servicio de la deuda externa/ exportaciones se registró en 2020 en 6.6%</w:t>
      </w:r>
      <w:r w:rsidR="00CE3B60" w:rsidRPr="00CC7AC6">
        <w:rPr>
          <w:rFonts w:ascii="Times New Roman" w:hAnsi="Times New Roman"/>
          <w:sz w:val="24"/>
          <w:szCs w:val="24"/>
          <w:lang w:val="es-MX"/>
        </w:rPr>
        <w:t>, se espera que para 2021 ese se encuentre en 7.4% y que para 2026 en 6.4%</w:t>
      </w:r>
      <w:r w:rsidRPr="00CC7AC6">
        <w:rPr>
          <w:rFonts w:ascii="Times New Roman" w:hAnsi="Times New Roman"/>
          <w:sz w:val="24"/>
          <w:szCs w:val="24"/>
          <w:lang w:val="es-MX"/>
        </w:rPr>
        <w:t>. Para estos indicadores no se cuenta con un máximo recomendable para países con acceso al mercado de capitales.</w:t>
      </w:r>
    </w:p>
    <w:p w14:paraId="32B3F059" w14:textId="77777777" w:rsidR="00C12E45" w:rsidRPr="00CC7AC6" w:rsidRDefault="00C12E45" w:rsidP="00C12E45">
      <w:pPr>
        <w:pStyle w:val="Sinespaciado"/>
        <w:ind w:right="49"/>
        <w:jc w:val="both"/>
        <w:rPr>
          <w:rFonts w:ascii="Times New Roman" w:hAnsi="Times New Roman"/>
          <w:sz w:val="24"/>
          <w:szCs w:val="24"/>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00"/>
      </w:tblGrid>
      <w:tr w:rsidR="00C12E45" w:rsidRPr="00CC7AC6" w14:paraId="24F7AADF" w14:textId="77777777" w:rsidTr="00AA3AFE">
        <w:trPr>
          <w:jc w:val="center"/>
        </w:trPr>
        <w:tc>
          <w:tcPr>
            <w:tcW w:w="9375" w:type="dxa"/>
            <w:gridSpan w:val="2"/>
          </w:tcPr>
          <w:p w14:paraId="3C1856F5" w14:textId="7580FABB" w:rsidR="00C12E45" w:rsidRPr="00CC7AC6" w:rsidRDefault="00C12E45" w:rsidP="00AA3AFE">
            <w:pPr>
              <w:pStyle w:val="Epgrafe"/>
              <w:keepNext/>
              <w:ind w:left="567" w:right="49"/>
              <w:rPr>
                <w:color w:val="auto"/>
                <w:sz w:val="24"/>
                <w:szCs w:val="24"/>
              </w:rPr>
            </w:pPr>
            <w:r w:rsidRPr="00CC7AC6">
              <w:rPr>
                <w:color w:val="auto"/>
                <w:sz w:val="24"/>
                <w:szCs w:val="24"/>
              </w:rPr>
              <w:t>Gráfico 2</w:t>
            </w:r>
            <w:r w:rsidR="00CC7AC6" w:rsidRPr="00CC7AC6">
              <w:rPr>
                <w:color w:val="auto"/>
                <w:sz w:val="24"/>
                <w:szCs w:val="24"/>
              </w:rPr>
              <w:t>2</w:t>
            </w:r>
            <w:r w:rsidRPr="00CC7AC6">
              <w:rPr>
                <w:color w:val="auto"/>
                <w:sz w:val="24"/>
                <w:szCs w:val="24"/>
              </w:rPr>
              <w:t xml:space="preserve">. Indicadores de liquidez </w:t>
            </w:r>
          </w:p>
          <w:p w14:paraId="0CCCB991" w14:textId="77777777" w:rsidR="00C12E45" w:rsidRPr="00CC7AC6" w:rsidRDefault="00C12E45" w:rsidP="00AA3AFE">
            <w:pPr>
              <w:pStyle w:val="Epgrafe"/>
              <w:keepNext/>
              <w:ind w:left="567" w:right="49"/>
              <w:rPr>
                <w:b w:val="0"/>
                <w:bCs/>
                <w:color w:val="auto"/>
                <w:sz w:val="24"/>
                <w:szCs w:val="24"/>
              </w:rPr>
            </w:pPr>
            <w:r w:rsidRPr="00CC7AC6">
              <w:rPr>
                <w:b w:val="0"/>
                <w:bCs/>
                <w:color w:val="auto"/>
                <w:sz w:val="24"/>
                <w:szCs w:val="24"/>
              </w:rPr>
              <w:t xml:space="preserve">En porcentaje </w:t>
            </w:r>
          </w:p>
        </w:tc>
      </w:tr>
      <w:tr w:rsidR="00C12E45" w:rsidRPr="00CC7AC6" w14:paraId="27532840" w14:textId="77777777" w:rsidTr="00AA3AFE">
        <w:tblPrEx>
          <w:tblCellMar>
            <w:left w:w="70" w:type="dxa"/>
            <w:right w:w="70" w:type="dxa"/>
          </w:tblCellMar>
        </w:tblPrEx>
        <w:trPr>
          <w:jc w:val="center"/>
        </w:trPr>
        <w:tc>
          <w:tcPr>
            <w:tcW w:w="4675" w:type="dxa"/>
          </w:tcPr>
          <w:p w14:paraId="4C62F385" w14:textId="77777777" w:rsidR="00C12E45" w:rsidRPr="00CC7AC6" w:rsidRDefault="00C12E45" w:rsidP="00AA3AFE">
            <w:pPr>
              <w:jc w:val="center"/>
              <w:rPr>
                <w:b/>
                <w:bCs/>
                <w:noProof/>
              </w:rPr>
            </w:pPr>
            <w:r w:rsidRPr="00CC7AC6">
              <w:rPr>
                <w:b/>
                <w:bCs/>
                <w:noProof/>
              </w:rPr>
              <w:t>Servicio de la deuda/ ingresos fiscales</w:t>
            </w:r>
          </w:p>
        </w:tc>
        <w:tc>
          <w:tcPr>
            <w:tcW w:w="4700" w:type="dxa"/>
          </w:tcPr>
          <w:p w14:paraId="0B250C3D" w14:textId="77777777" w:rsidR="00C12E45" w:rsidRPr="00CC7AC6" w:rsidRDefault="00C12E45" w:rsidP="00AA3AFE">
            <w:pPr>
              <w:jc w:val="center"/>
              <w:rPr>
                <w:b/>
                <w:bCs/>
                <w:color w:val="000000" w:themeColor="text1"/>
              </w:rPr>
            </w:pPr>
            <w:r w:rsidRPr="00CC7AC6">
              <w:rPr>
                <w:b/>
                <w:bCs/>
                <w:color w:val="000000" w:themeColor="text1"/>
              </w:rPr>
              <w:t>Servicio de la deuda externa/exportaciones</w:t>
            </w:r>
          </w:p>
        </w:tc>
      </w:tr>
      <w:tr w:rsidR="00C12E45" w:rsidRPr="00CC7AC6" w14:paraId="592DF6F6" w14:textId="77777777" w:rsidTr="00CE3B60">
        <w:tblPrEx>
          <w:tblCellMar>
            <w:left w:w="70" w:type="dxa"/>
            <w:right w:w="70" w:type="dxa"/>
          </w:tblCellMar>
        </w:tblPrEx>
        <w:trPr>
          <w:jc w:val="center"/>
        </w:trPr>
        <w:tc>
          <w:tcPr>
            <w:tcW w:w="4675" w:type="dxa"/>
          </w:tcPr>
          <w:p w14:paraId="3C3BD98B" w14:textId="355B3DEA" w:rsidR="00C12E45" w:rsidRPr="00CC7AC6" w:rsidRDefault="00317F2F" w:rsidP="00317F2F">
            <w:pPr>
              <w:tabs>
                <w:tab w:val="left" w:pos="3607"/>
              </w:tabs>
              <w:jc w:val="center"/>
              <w:rPr>
                <w:noProof/>
              </w:rPr>
            </w:pPr>
            <w:r w:rsidRPr="00CC7AC6">
              <w:rPr>
                <w:noProof/>
                <w:lang w:val="es-GT" w:eastAsia="es-GT"/>
              </w:rPr>
              <w:drawing>
                <wp:inline distT="0" distB="0" distL="0" distR="0" wp14:anchorId="086314D3" wp14:editId="438322F9">
                  <wp:extent cx="2710048" cy="2200193"/>
                  <wp:effectExtent l="0" t="0" r="0" b="0"/>
                  <wp:docPr id="37" name="Gráfico 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700" w:type="dxa"/>
          </w:tcPr>
          <w:p w14:paraId="5F158F79" w14:textId="2201190B" w:rsidR="00C12E45" w:rsidRPr="00CC7AC6" w:rsidRDefault="00CE3B60" w:rsidP="00AA3AFE">
            <w:pPr>
              <w:rPr>
                <w:color w:val="C00000"/>
              </w:rPr>
            </w:pPr>
            <w:r w:rsidRPr="00CC7AC6">
              <w:rPr>
                <w:noProof/>
                <w:lang w:val="es-GT" w:eastAsia="es-GT"/>
              </w:rPr>
              <w:drawing>
                <wp:inline distT="0" distB="0" distL="0" distR="0" wp14:anchorId="1F2A7EA9" wp14:editId="719691AC">
                  <wp:extent cx="2710449" cy="2117950"/>
                  <wp:effectExtent l="0" t="0" r="0" b="0"/>
                  <wp:docPr id="39" name="Gráfico 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6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C12E45" w:rsidRPr="00CC7AC6" w14:paraId="40446BB0" w14:textId="77777777" w:rsidTr="00AA3AFE">
        <w:trPr>
          <w:jc w:val="center"/>
        </w:trPr>
        <w:tc>
          <w:tcPr>
            <w:tcW w:w="9375" w:type="dxa"/>
            <w:gridSpan w:val="2"/>
          </w:tcPr>
          <w:p w14:paraId="53682BAF" w14:textId="0F6C30E9" w:rsidR="00C12E45" w:rsidRPr="00CC7AC6" w:rsidRDefault="00C12E45" w:rsidP="00AA3AFE">
            <w:pPr>
              <w:rPr>
                <w:sz w:val="18"/>
                <w:szCs w:val="18"/>
              </w:rPr>
            </w:pPr>
            <w:r w:rsidRPr="00CC7AC6">
              <w:rPr>
                <w:sz w:val="18"/>
                <w:szCs w:val="18"/>
              </w:rPr>
              <w:t xml:space="preserve">  </w:t>
            </w:r>
            <w:r w:rsidR="00CE3B60" w:rsidRPr="00CC7AC6">
              <w:rPr>
                <w:sz w:val="18"/>
                <w:szCs w:val="18"/>
              </w:rPr>
              <w:t xml:space="preserve"> </w:t>
            </w:r>
            <w:r w:rsidRPr="00CC7AC6">
              <w:rPr>
                <w:sz w:val="18"/>
                <w:szCs w:val="18"/>
              </w:rPr>
              <w:t xml:space="preserve">Fuente: </w:t>
            </w:r>
            <w:r w:rsidR="00EF0CE5" w:rsidRPr="00CC7AC6">
              <w:rPr>
                <w:bCs/>
                <w:sz w:val="16"/>
                <w:szCs w:val="11"/>
              </w:rPr>
              <w:t>Ministerio de Finanzas Públicas</w:t>
            </w:r>
          </w:p>
          <w:p w14:paraId="5E60BD20" w14:textId="04AE71AE" w:rsidR="00C12E45" w:rsidRPr="00CC7AC6" w:rsidRDefault="00C12E45" w:rsidP="00AA3AFE">
            <w:pPr>
              <w:rPr>
                <w:sz w:val="18"/>
                <w:szCs w:val="18"/>
              </w:rPr>
            </w:pPr>
            <w:r w:rsidRPr="00CC7AC6">
              <w:rPr>
                <w:sz w:val="18"/>
                <w:szCs w:val="18"/>
              </w:rPr>
              <w:t xml:space="preserve">  </w:t>
            </w:r>
            <w:r w:rsidR="00CE3B60" w:rsidRPr="00CC7AC6">
              <w:rPr>
                <w:sz w:val="18"/>
                <w:szCs w:val="18"/>
              </w:rPr>
              <w:t xml:space="preserve"> </w:t>
            </w:r>
            <w:r w:rsidRPr="00CC7AC6">
              <w:rPr>
                <w:sz w:val="18"/>
                <w:szCs w:val="18"/>
              </w:rPr>
              <w:t>Nota: El servicio de la deuda incluye los vencimientos de las colocaciones de deuda interna.</w:t>
            </w:r>
          </w:p>
        </w:tc>
      </w:tr>
    </w:tbl>
    <w:p w14:paraId="1BE40A78" w14:textId="77777777" w:rsidR="00C12E45" w:rsidRPr="00CC7AC6" w:rsidRDefault="00C12E45" w:rsidP="00C12E45">
      <w:pPr>
        <w:pStyle w:val="Sinespaciado"/>
        <w:ind w:left="567" w:right="49"/>
        <w:jc w:val="both"/>
        <w:rPr>
          <w:rFonts w:ascii="Times New Roman" w:hAnsi="Times New Roman"/>
          <w:sz w:val="20"/>
          <w:szCs w:val="20"/>
          <w:lang w:val="es-MX"/>
        </w:rPr>
      </w:pPr>
    </w:p>
    <w:p w14:paraId="167254AB" w14:textId="609B83FF" w:rsidR="00C12E45" w:rsidRPr="00CC7AC6" w:rsidRDefault="00C12E45" w:rsidP="00C12E45">
      <w:pPr>
        <w:pStyle w:val="Sinespaciado"/>
        <w:ind w:left="567" w:right="49"/>
        <w:jc w:val="both"/>
        <w:rPr>
          <w:rFonts w:ascii="Times New Roman" w:hAnsi="Times New Roman"/>
          <w:sz w:val="24"/>
          <w:szCs w:val="24"/>
          <w:lang w:val="es-MX"/>
        </w:rPr>
      </w:pPr>
      <w:r w:rsidRPr="00CC7AC6">
        <w:rPr>
          <w:rFonts w:ascii="Times New Roman" w:hAnsi="Times New Roman"/>
          <w:sz w:val="24"/>
          <w:szCs w:val="24"/>
          <w:lang w:val="es-MX"/>
        </w:rPr>
        <w:t>Otro indicador que capta la carga económica de la deuda son los intereses de deuda /PIB, para Guatemala dicho indicador se encontraba en 1.7% en 2020</w:t>
      </w:r>
      <w:r w:rsidR="00E46B38" w:rsidRPr="00CC7AC6">
        <w:rPr>
          <w:rFonts w:ascii="Times New Roman" w:hAnsi="Times New Roman"/>
          <w:sz w:val="24"/>
          <w:szCs w:val="24"/>
          <w:lang w:val="es-MX"/>
        </w:rPr>
        <w:t>, se proyecta que este se encuentre en 2.0% para el año 2026</w:t>
      </w:r>
      <w:r w:rsidRPr="00CC7AC6">
        <w:rPr>
          <w:rFonts w:ascii="Times New Roman" w:hAnsi="Times New Roman"/>
          <w:sz w:val="24"/>
          <w:szCs w:val="24"/>
          <w:lang w:val="es-MX"/>
        </w:rPr>
        <w:t>. Por otro lado, el indicador de intereses/ingresos fiscales muestra el costo de intereses en términos de la captación fiscal, este indicador se ubicó en 16.1% en 2020</w:t>
      </w:r>
      <w:r w:rsidR="00E46B38" w:rsidRPr="00CC7AC6">
        <w:rPr>
          <w:rFonts w:ascii="Times New Roman" w:hAnsi="Times New Roman"/>
          <w:sz w:val="24"/>
          <w:szCs w:val="24"/>
          <w:lang w:val="es-MX"/>
        </w:rPr>
        <w:t xml:space="preserve"> y se espera que se encuentre alrededor de </w:t>
      </w:r>
      <w:r w:rsidR="00AF36EF" w:rsidRPr="00CC7AC6">
        <w:rPr>
          <w:rFonts w:ascii="Times New Roman" w:hAnsi="Times New Roman"/>
          <w:sz w:val="24"/>
          <w:szCs w:val="24"/>
          <w:lang w:val="es-MX"/>
        </w:rPr>
        <w:t>17.5%.</w:t>
      </w:r>
    </w:p>
    <w:p w14:paraId="3B26EB01" w14:textId="77777777" w:rsidR="00C12E45" w:rsidRPr="00CC7AC6" w:rsidRDefault="00C12E45" w:rsidP="00C12E45">
      <w:pPr>
        <w:pStyle w:val="Sinespaciado"/>
        <w:ind w:left="567" w:right="49"/>
        <w:jc w:val="both"/>
        <w:rPr>
          <w:rFonts w:ascii="Times New Roman" w:hAnsi="Times New Roman"/>
          <w:sz w:val="24"/>
          <w:szCs w:val="24"/>
          <w:lang w:val="es-MX"/>
        </w:rPr>
      </w:pPr>
    </w:p>
    <w:p w14:paraId="5F1258C2" w14:textId="77777777" w:rsidR="00C12E45" w:rsidRPr="00CC7AC6" w:rsidRDefault="00C12E45" w:rsidP="00C12E45">
      <w:pPr>
        <w:pStyle w:val="Sinespaciado"/>
        <w:ind w:left="567" w:right="49"/>
        <w:jc w:val="both"/>
        <w:rPr>
          <w:rFonts w:ascii="Times New Roman" w:hAnsi="Times New Roman"/>
          <w:sz w:val="24"/>
          <w:szCs w:val="24"/>
          <w:lang w:val="es-MX"/>
        </w:rPr>
      </w:pPr>
      <w:r w:rsidRPr="00CC7AC6">
        <w:rPr>
          <w:rFonts w:ascii="Times New Roman" w:hAnsi="Times New Roman"/>
          <w:sz w:val="24"/>
          <w:szCs w:val="24"/>
          <w:lang w:val="es-MX"/>
        </w:rPr>
        <w:t>Asimismo, para medir la liquidez externa se utiliza el indicador de las reservas monetarias internacionales como proporción del saldo de la deuda externa.  Cuanto más alto es el indicador, menor es la propensión de un país a presentar problemas en su balanza de pagos. Guatemala, ha mostrado un fortalecimiento en la liquidez externa debido principalmente al aumento importante que han tenido las reservas monetarias internacionales y a un crecimiento bastante modesto de la deuda en moneda extranjera. Para el 2020 el este indicador se ubicó en 176.7%.</w:t>
      </w:r>
    </w:p>
    <w:p w14:paraId="5DE3EAAF" w14:textId="28F26DB5" w:rsidR="00C12E45" w:rsidRDefault="00C12E45" w:rsidP="00C12E45">
      <w:pPr>
        <w:pStyle w:val="Sinespaciado"/>
        <w:ind w:left="567" w:right="49"/>
        <w:jc w:val="both"/>
        <w:rPr>
          <w:rFonts w:ascii="Times New Roman" w:hAnsi="Times New Roman"/>
          <w:sz w:val="20"/>
          <w:szCs w:val="20"/>
          <w:lang w:val="es-MX"/>
        </w:rPr>
      </w:pPr>
    </w:p>
    <w:p w14:paraId="77678EB2" w14:textId="77777777" w:rsidR="00CC7AC6" w:rsidRPr="00CC7AC6" w:rsidRDefault="00CC7AC6" w:rsidP="00C12E45">
      <w:pPr>
        <w:pStyle w:val="Sinespaciado"/>
        <w:ind w:left="567" w:right="49"/>
        <w:jc w:val="both"/>
        <w:rPr>
          <w:rFonts w:ascii="Times New Roman" w:hAnsi="Times New Roman"/>
          <w:sz w:val="20"/>
          <w:szCs w:val="20"/>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9"/>
        <w:gridCol w:w="3039"/>
        <w:gridCol w:w="3021"/>
      </w:tblGrid>
      <w:tr w:rsidR="00C12E45" w:rsidRPr="00CC7AC6" w14:paraId="49199A6B" w14:textId="77777777" w:rsidTr="00643957">
        <w:trPr>
          <w:trHeight w:val="518"/>
          <w:jc w:val="center"/>
        </w:trPr>
        <w:tc>
          <w:tcPr>
            <w:tcW w:w="9083" w:type="dxa"/>
            <w:gridSpan w:val="3"/>
          </w:tcPr>
          <w:p w14:paraId="0BAF1E1C" w14:textId="728E08CE" w:rsidR="00C12E45" w:rsidRPr="00CC7AC6" w:rsidRDefault="00C12E45" w:rsidP="00AA3AFE">
            <w:pPr>
              <w:tabs>
                <w:tab w:val="left" w:pos="1066"/>
              </w:tabs>
              <w:ind w:right="49"/>
              <w:jc w:val="center"/>
              <w:rPr>
                <w:b/>
                <w:bCs/>
                <w:sz w:val="24"/>
                <w:szCs w:val="24"/>
              </w:rPr>
            </w:pPr>
            <w:r w:rsidRPr="00CC7AC6">
              <w:rPr>
                <w:b/>
                <w:bCs/>
                <w:sz w:val="24"/>
                <w:szCs w:val="24"/>
              </w:rPr>
              <w:lastRenderedPageBreak/>
              <w:t xml:space="preserve">Gráfico </w:t>
            </w:r>
            <w:r w:rsidR="00CC7AC6">
              <w:rPr>
                <w:b/>
                <w:bCs/>
                <w:sz w:val="24"/>
                <w:szCs w:val="24"/>
              </w:rPr>
              <w:t>2</w:t>
            </w:r>
            <w:r w:rsidRPr="00CC7AC6">
              <w:rPr>
                <w:b/>
                <w:bCs/>
                <w:sz w:val="24"/>
                <w:szCs w:val="24"/>
              </w:rPr>
              <w:t>3. Indicadores de intereses e indicador reservas/deuda externa</w:t>
            </w:r>
          </w:p>
          <w:p w14:paraId="5822C62D" w14:textId="77777777" w:rsidR="00C12E45" w:rsidRPr="00CC7AC6" w:rsidRDefault="00C12E45" w:rsidP="00AA3AFE">
            <w:pPr>
              <w:tabs>
                <w:tab w:val="left" w:pos="1066"/>
              </w:tabs>
              <w:ind w:right="49"/>
              <w:jc w:val="center"/>
              <w:rPr>
                <w:sz w:val="24"/>
                <w:szCs w:val="24"/>
              </w:rPr>
            </w:pPr>
            <w:r w:rsidRPr="00CC7AC6">
              <w:rPr>
                <w:sz w:val="22"/>
                <w:szCs w:val="22"/>
              </w:rPr>
              <w:t>En porcentajes</w:t>
            </w:r>
          </w:p>
        </w:tc>
      </w:tr>
      <w:tr w:rsidR="00C12E45" w:rsidRPr="00CC7AC6" w14:paraId="6ECE3175" w14:textId="77777777" w:rsidTr="00643957">
        <w:trPr>
          <w:trHeight w:val="251"/>
          <w:jc w:val="center"/>
        </w:trPr>
        <w:tc>
          <w:tcPr>
            <w:tcW w:w="3039" w:type="dxa"/>
          </w:tcPr>
          <w:p w14:paraId="7645CE30" w14:textId="77777777" w:rsidR="00C12E45" w:rsidRPr="00CC7AC6" w:rsidRDefault="00C12E45" w:rsidP="00AA3AFE">
            <w:pPr>
              <w:tabs>
                <w:tab w:val="left" w:pos="1066"/>
              </w:tabs>
              <w:ind w:right="49"/>
              <w:jc w:val="center"/>
              <w:rPr>
                <w:b/>
                <w:bCs/>
                <w:sz w:val="22"/>
                <w:szCs w:val="22"/>
              </w:rPr>
            </w:pPr>
            <w:r w:rsidRPr="00CC7AC6">
              <w:rPr>
                <w:b/>
                <w:bCs/>
                <w:sz w:val="22"/>
                <w:szCs w:val="22"/>
              </w:rPr>
              <w:t>Intereses/PIB</w:t>
            </w:r>
          </w:p>
        </w:tc>
        <w:tc>
          <w:tcPr>
            <w:tcW w:w="3023" w:type="dxa"/>
          </w:tcPr>
          <w:p w14:paraId="6F04070A" w14:textId="77777777" w:rsidR="00C12E45" w:rsidRPr="00CC7AC6" w:rsidRDefault="00C12E45" w:rsidP="00AA3AFE">
            <w:pPr>
              <w:tabs>
                <w:tab w:val="left" w:pos="1066"/>
              </w:tabs>
              <w:ind w:right="49"/>
              <w:jc w:val="center"/>
              <w:rPr>
                <w:b/>
                <w:bCs/>
                <w:sz w:val="22"/>
                <w:szCs w:val="22"/>
              </w:rPr>
            </w:pPr>
            <w:r w:rsidRPr="00CC7AC6">
              <w:rPr>
                <w:b/>
                <w:bCs/>
                <w:sz w:val="22"/>
                <w:szCs w:val="22"/>
              </w:rPr>
              <w:t>Intereses/Ingresos</w:t>
            </w:r>
          </w:p>
        </w:tc>
        <w:tc>
          <w:tcPr>
            <w:tcW w:w="3021" w:type="dxa"/>
          </w:tcPr>
          <w:p w14:paraId="088EF15D" w14:textId="77777777" w:rsidR="00C12E45" w:rsidRPr="00CC7AC6" w:rsidRDefault="00C12E45" w:rsidP="00AA3AFE">
            <w:pPr>
              <w:tabs>
                <w:tab w:val="left" w:pos="1066"/>
              </w:tabs>
              <w:ind w:right="49"/>
              <w:jc w:val="center"/>
              <w:rPr>
                <w:b/>
                <w:bCs/>
                <w:sz w:val="22"/>
                <w:szCs w:val="22"/>
              </w:rPr>
            </w:pPr>
            <w:r w:rsidRPr="00CC7AC6">
              <w:rPr>
                <w:b/>
                <w:bCs/>
                <w:sz w:val="22"/>
                <w:szCs w:val="22"/>
              </w:rPr>
              <w:t>Reservas/ Deuda externa</w:t>
            </w:r>
          </w:p>
        </w:tc>
      </w:tr>
      <w:tr w:rsidR="00C12E45" w:rsidRPr="00CC7AC6" w14:paraId="4491D3F4" w14:textId="77777777" w:rsidTr="00643957">
        <w:tblPrEx>
          <w:tblCellMar>
            <w:left w:w="70" w:type="dxa"/>
            <w:right w:w="70" w:type="dxa"/>
          </w:tblCellMar>
        </w:tblPrEx>
        <w:trPr>
          <w:trHeight w:val="3324"/>
          <w:jc w:val="center"/>
        </w:trPr>
        <w:tc>
          <w:tcPr>
            <w:tcW w:w="3039" w:type="dxa"/>
          </w:tcPr>
          <w:p w14:paraId="774C49F0" w14:textId="1DD0F593" w:rsidR="00C12E45" w:rsidRPr="00CC7AC6" w:rsidRDefault="00CE3B60" w:rsidP="00AA3AFE">
            <w:pPr>
              <w:tabs>
                <w:tab w:val="left" w:pos="1066"/>
              </w:tabs>
              <w:ind w:right="49"/>
              <w:jc w:val="center"/>
              <w:rPr>
                <w:sz w:val="24"/>
                <w:szCs w:val="24"/>
              </w:rPr>
            </w:pPr>
            <w:r w:rsidRPr="00CC7AC6">
              <w:rPr>
                <w:noProof/>
                <w:lang w:val="es-GT" w:eastAsia="es-GT"/>
              </w:rPr>
              <w:drawing>
                <wp:inline distT="0" distB="0" distL="0" distR="0" wp14:anchorId="7469DC3F" wp14:editId="47F3B7C3">
                  <wp:extent cx="1800860" cy="2022231"/>
                  <wp:effectExtent l="0" t="0" r="8890" b="0"/>
                  <wp:docPr id="41" name="Gráfico 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023" w:type="dxa"/>
          </w:tcPr>
          <w:p w14:paraId="44BD86E1" w14:textId="6EBE232C" w:rsidR="00C12E45" w:rsidRPr="00CC7AC6" w:rsidRDefault="00643957" w:rsidP="00AA3AFE">
            <w:pPr>
              <w:tabs>
                <w:tab w:val="left" w:pos="1066"/>
              </w:tabs>
              <w:ind w:right="49"/>
              <w:rPr>
                <w:sz w:val="24"/>
                <w:szCs w:val="24"/>
              </w:rPr>
            </w:pPr>
            <w:r w:rsidRPr="00CC7AC6">
              <w:rPr>
                <w:noProof/>
                <w:lang w:val="es-GT" w:eastAsia="es-GT"/>
              </w:rPr>
              <w:drawing>
                <wp:inline distT="0" distB="0" distL="0" distR="0" wp14:anchorId="0F583DF5" wp14:editId="2837FF6C">
                  <wp:extent cx="1801495" cy="1969477"/>
                  <wp:effectExtent l="0" t="0" r="8255" b="0"/>
                  <wp:docPr id="50" name="Gráfico 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7EA6553-D386-4DDE-9D78-57CA78D6D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3021" w:type="dxa"/>
          </w:tcPr>
          <w:p w14:paraId="35EC47F8" w14:textId="33B65922" w:rsidR="00C12E45" w:rsidRPr="00CC7AC6" w:rsidRDefault="00E46B38" w:rsidP="00AA3AFE">
            <w:pPr>
              <w:tabs>
                <w:tab w:val="left" w:pos="1066"/>
              </w:tabs>
              <w:ind w:right="49"/>
              <w:rPr>
                <w:sz w:val="24"/>
                <w:szCs w:val="24"/>
              </w:rPr>
            </w:pPr>
            <w:r w:rsidRPr="00CC7AC6">
              <w:rPr>
                <w:noProof/>
                <w:lang w:val="es-GT" w:eastAsia="es-GT"/>
              </w:rPr>
              <w:drawing>
                <wp:inline distT="0" distB="0" distL="0" distR="0" wp14:anchorId="75864923" wp14:editId="140CC836">
                  <wp:extent cx="1791970" cy="1969135"/>
                  <wp:effectExtent l="0" t="0" r="0" b="0"/>
                  <wp:docPr id="47" name="Gráfico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D2ADF0F-D075-4B5A-B98F-434687CCC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C12E45" w14:paraId="3DD53033" w14:textId="77777777" w:rsidTr="00643957">
        <w:trPr>
          <w:trHeight w:val="201"/>
          <w:jc w:val="center"/>
        </w:trPr>
        <w:tc>
          <w:tcPr>
            <w:tcW w:w="9083" w:type="dxa"/>
            <w:gridSpan w:val="3"/>
          </w:tcPr>
          <w:p w14:paraId="297D0FD5" w14:textId="157FC2B8" w:rsidR="00C12E45" w:rsidRPr="00FB77D2" w:rsidRDefault="00C12E45" w:rsidP="00AA3AFE">
            <w:pPr>
              <w:tabs>
                <w:tab w:val="left" w:pos="1066"/>
              </w:tabs>
              <w:ind w:right="49"/>
              <w:rPr>
                <w:sz w:val="18"/>
                <w:szCs w:val="18"/>
              </w:rPr>
            </w:pPr>
            <w:r w:rsidRPr="00CC7AC6">
              <w:rPr>
                <w:sz w:val="18"/>
                <w:szCs w:val="18"/>
              </w:rPr>
              <w:t xml:space="preserve">Fuente: </w:t>
            </w:r>
            <w:r w:rsidR="00EF0CE5" w:rsidRPr="00CC7AC6">
              <w:rPr>
                <w:bCs/>
                <w:sz w:val="16"/>
                <w:szCs w:val="11"/>
              </w:rPr>
              <w:t>Ministerio de Finanzas Públicas</w:t>
            </w:r>
            <w:r w:rsidR="00EF0CE5" w:rsidRPr="00CC7AC6">
              <w:rPr>
                <w:sz w:val="18"/>
                <w:szCs w:val="18"/>
              </w:rPr>
              <w:t xml:space="preserve"> </w:t>
            </w:r>
            <w:r w:rsidRPr="00CC7AC6">
              <w:rPr>
                <w:sz w:val="18"/>
                <w:szCs w:val="18"/>
              </w:rPr>
              <w:t>con información del Banco de Guatemala</w:t>
            </w:r>
          </w:p>
        </w:tc>
      </w:tr>
    </w:tbl>
    <w:p w14:paraId="5ECDCED6" w14:textId="5A7BDB4B" w:rsidR="00C12E45" w:rsidRDefault="00C12E45" w:rsidP="00943B20">
      <w:pPr>
        <w:pStyle w:val="Sinespaciado"/>
        <w:ind w:left="567" w:right="49"/>
        <w:jc w:val="both"/>
        <w:rPr>
          <w:rFonts w:ascii="Times New Roman" w:hAnsi="Times New Roman"/>
          <w:sz w:val="24"/>
          <w:szCs w:val="24"/>
          <w:lang w:val="es-MX"/>
        </w:rPr>
      </w:pPr>
    </w:p>
    <w:p w14:paraId="5C98AC87" w14:textId="2631E06B" w:rsidR="00E46B38" w:rsidRPr="0099727E" w:rsidRDefault="00E46B38" w:rsidP="00F931C0">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Conforme a las expectativas de las cuentas fiscales para 2021 en Guatemala, se estima que los indicadores de vulnerabilidad del perfil de la deuda del Fondo Monetario Internacional se encuentren en niveles adecuados y no se observan riesgos importantes. El cambio de la deuda de corto plazo cercano al 0% reduce el riesgo de repago de deuda, la deuda externa como porcentaje del total en 38.4%  con riesgo moderado, la deuda en moneda extranjera como porcentaje del total en 42.3% se mantiene en niveles adecuados, el indicador deuda/PIB en 31.9% muy por abajo del máximo recomendado y el EMBI (Indicador de Bonos de Mercados Emergentes por sus siglas en inglés) al 12 de agosto de 2021 se ubicó en 255 puntos básicos, también muestra un riesgo bastante moderado.</w:t>
      </w:r>
    </w:p>
    <w:p w14:paraId="0598C6B4" w14:textId="77777777" w:rsidR="00943B20" w:rsidRPr="0099727E" w:rsidRDefault="00943B20" w:rsidP="00943B20">
      <w:pPr>
        <w:pStyle w:val="Sinespaciado"/>
        <w:ind w:left="567" w:right="49"/>
        <w:jc w:val="both"/>
        <w:rPr>
          <w:rFonts w:ascii="Times New Roman" w:hAnsi="Times New Roman"/>
          <w:sz w:val="24"/>
          <w:szCs w:val="24"/>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0"/>
      </w:tblGrid>
      <w:tr w:rsidR="00943B20" w:rsidRPr="0099727E" w14:paraId="35EAF479" w14:textId="77777777" w:rsidTr="004D12AF">
        <w:tc>
          <w:tcPr>
            <w:tcW w:w="9405" w:type="dxa"/>
          </w:tcPr>
          <w:p w14:paraId="4431648B" w14:textId="22AB19CC" w:rsidR="00943B20" w:rsidRPr="0099727E" w:rsidRDefault="00814706" w:rsidP="00BB3A50">
            <w:pPr>
              <w:pStyle w:val="Epgrafe"/>
              <w:keepNext/>
              <w:ind w:right="49"/>
              <w:rPr>
                <w:color w:val="auto"/>
                <w:sz w:val="24"/>
                <w:szCs w:val="24"/>
              </w:rPr>
            </w:pPr>
            <w:r w:rsidRPr="0099727E">
              <w:rPr>
                <w:color w:val="auto"/>
                <w:sz w:val="24"/>
                <w:szCs w:val="24"/>
              </w:rPr>
              <w:t>Gráf</w:t>
            </w:r>
            <w:r w:rsidR="00CC7AC6">
              <w:rPr>
                <w:color w:val="auto"/>
                <w:sz w:val="24"/>
                <w:szCs w:val="24"/>
              </w:rPr>
              <w:t>ica 24</w:t>
            </w:r>
            <w:r w:rsidRPr="0099727E">
              <w:rPr>
                <w:color w:val="auto"/>
                <w:sz w:val="24"/>
                <w:szCs w:val="24"/>
              </w:rPr>
              <w:t xml:space="preserve">.  </w:t>
            </w:r>
            <w:r w:rsidR="00943B20" w:rsidRPr="0099727E">
              <w:rPr>
                <w:color w:val="auto"/>
                <w:sz w:val="24"/>
                <w:szCs w:val="24"/>
              </w:rPr>
              <w:t>Vulnerabilidad del Perfil de la Deuda Pública de Guatemala para 2021</w:t>
            </w:r>
          </w:p>
        </w:tc>
      </w:tr>
      <w:tr w:rsidR="00943B20" w:rsidRPr="0099727E" w14:paraId="675A5A9F" w14:textId="77777777" w:rsidTr="004D12AF">
        <w:tc>
          <w:tcPr>
            <w:tcW w:w="9405" w:type="dxa"/>
          </w:tcPr>
          <w:p w14:paraId="11B1A6D8" w14:textId="03364D7E" w:rsidR="00943B20" w:rsidRPr="0099727E" w:rsidRDefault="00BB3A50" w:rsidP="00BC0D90">
            <w:pPr>
              <w:pStyle w:val="Sinespaciado"/>
              <w:ind w:right="49"/>
              <w:jc w:val="center"/>
              <w:rPr>
                <w:rFonts w:ascii="Times New Roman" w:hAnsi="Times New Roman"/>
                <w:sz w:val="24"/>
                <w:szCs w:val="24"/>
                <w:lang w:val="es-MX"/>
              </w:rPr>
            </w:pPr>
            <w:r w:rsidRPr="0099727E">
              <w:rPr>
                <w:rFonts w:ascii="Times New Roman" w:hAnsi="Times New Roman"/>
                <w:noProof/>
                <w:sz w:val="24"/>
                <w:szCs w:val="24"/>
                <w:lang w:val="es-GT"/>
              </w:rPr>
              <w:drawing>
                <wp:inline distT="0" distB="0" distL="0" distR="0" wp14:anchorId="47CC9A16" wp14:editId="7E3CF1DD">
                  <wp:extent cx="5858435" cy="253218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4079" cy="2534624"/>
                          </a:xfrm>
                          <a:prstGeom prst="rect">
                            <a:avLst/>
                          </a:prstGeom>
                          <a:noFill/>
                          <a:ln>
                            <a:noFill/>
                          </a:ln>
                        </pic:spPr>
                      </pic:pic>
                    </a:graphicData>
                  </a:graphic>
                </wp:inline>
              </w:drawing>
            </w:r>
          </w:p>
        </w:tc>
      </w:tr>
      <w:tr w:rsidR="00943B20" w:rsidRPr="0099727E" w14:paraId="6EA62DA4" w14:textId="77777777" w:rsidTr="004D12AF">
        <w:tc>
          <w:tcPr>
            <w:tcW w:w="9405" w:type="dxa"/>
          </w:tcPr>
          <w:p w14:paraId="105381C5" w14:textId="3DFB28B6" w:rsidR="00943B20" w:rsidRPr="0099727E" w:rsidRDefault="00943B20" w:rsidP="00BC0D90">
            <w:pPr>
              <w:ind w:right="49"/>
              <w:rPr>
                <w:sz w:val="18"/>
                <w:szCs w:val="22"/>
              </w:rPr>
            </w:pPr>
            <w:r w:rsidRPr="0099727E">
              <w:rPr>
                <w:sz w:val="16"/>
                <w:szCs w:val="22"/>
              </w:rPr>
              <w:t xml:space="preserve">Fuente: </w:t>
            </w:r>
            <w:r w:rsidR="00EF0CE5" w:rsidRPr="00EF0CE5">
              <w:rPr>
                <w:bCs/>
                <w:sz w:val="16"/>
                <w:szCs w:val="11"/>
              </w:rPr>
              <w:t>Ministerio de Finanzas Públicas</w:t>
            </w:r>
            <w:r w:rsidR="00EF0CE5" w:rsidRPr="0099727E">
              <w:rPr>
                <w:sz w:val="16"/>
                <w:szCs w:val="22"/>
              </w:rPr>
              <w:t xml:space="preserve"> </w:t>
            </w:r>
            <w:r w:rsidRPr="0099727E">
              <w:rPr>
                <w:sz w:val="16"/>
                <w:szCs w:val="22"/>
              </w:rPr>
              <w:t>con información proyectada para 2021, el indicador EMBI de JP Morgan se obtuvo del Banco Central de la República Dominicana.</w:t>
            </w:r>
          </w:p>
        </w:tc>
      </w:tr>
    </w:tbl>
    <w:p w14:paraId="0C76CC71" w14:textId="77777777" w:rsidR="004D12AF" w:rsidRPr="0099727E" w:rsidRDefault="004D12AF" w:rsidP="004D12AF">
      <w:pPr>
        <w:pStyle w:val="Sinespaciado"/>
        <w:ind w:left="567" w:right="49"/>
        <w:jc w:val="both"/>
        <w:rPr>
          <w:rFonts w:ascii="Times New Roman" w:hAnsi="Times New Roman"/>
          <w:sz w:val="24"/>
          <w:szCs w:val="24"/>
          <w:lang w:val="es-MX"/>
        </w:rPr>
      </w:pPr>
    </w:p>
    <w:p w14:paraId="6CB1C676" w14:textId="77777777" w:rsidR="00B7100C" w:rsidRPr="0099727E" w:rsidRDefault="00B7100C" w:rsidP="00287546">
      <w:pPr>
        <w:rPr>
          <w:color w:val="1F3864" w:themeColor="accent1" w:themeShade="80"/>
          <w:sz w:val="24"/>
          <w:szCs w:val="24"/>
          <w:lang w:val="es-MX"/>
        </w:rPr>
      </w:pPr>
    </w:p>
    <w:p w14:paraId="2E5B4625" w14:textId="4B3288AA" w:rsidR="00246A61" w:rsidRPr="0099727E" w:rsidRDefault="00943B20" w:rsidP="00287546">
      <w:pPr>
        <w:pStyle w:val="Ttulo1"/>
        <w:widowControl/>
        <w:numPr>
          <w:ilvl w:val="1"/>
          <w:numId w:val="5"/>
        </w:numPr>
        <w:ind w:left="993" w:right="49"/>
        <w:jc w:val="left"/>
        <w:rPr>
          <w:color w:val="1F3864" w:themeColor="accent1" w:themeShade="80"/>
          <w:sz w:val="24"/>
          <w:szCs w:val="24"/>
          <w:lang w:val="es-MX"/>
        </w:rPr>
      </w:pPr>
      <w:bookmarkStart w:id="17" w:name="_Toc83302163"/>
      <w:r w:rsidRPr="0099727E">
        <w:rPr>
          <w:color w:val="1F3864" w:themeColor="accent1" w:themeShade="80"/>
          <w:sz w:val="24"/>
          <w:szCs w:val="24"/>
          <w:lang w:val="es-MX"/>
        </w:rPr>
        <w:lastRenderedPageBreak/>
        <w:t>Comparativo con otros países</w:t>
      </w:r>
      <w:bookmarkEnd w:id="17"/>
    </w:p>
    <w:p w14:paraId="7E9ED1A1" w14:textId="77777777" w:rsidR="00246A61" w:rsidRPr="0099727E" w:rsidRDefault="00246A61" w:rsidP="00943B20">
      <w:pPr>
        <w:pStyle w:val="Sinespaciado"/>
        <w:ind w:right="49"/>
        <w:jc w:val="both"/>
        <w:rPr>
          <w:rFonts w:ascii="Times New Roman" w:hAnsi="Times New Roman"/>
          <w:color w:val="FF0000"/>
          <w:sz w:val="24"/>
          <w:szCs w:val="24"/>
          <w:lang w:val="es-MX"/>
        </w:rPr>
      </w:pPr>
    </w:p>
    <w:p w14:paraId="2DDD05AD" w14:textId="77777777" w:rsidR="00943B20" w:rsidRPr="0099727E" w:rsidRDefault="00943B20" w:rsidP="00943B20">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En 2020 el incremento de la ratio deuda/PIB fue generalizado para la mayoría de los países del mundo, debido a que la contracción del PIB tuvo incidencia en los ingresos fiscales y los países tomaron diversas medidas sin precedentes para detener el avance de la pandemia y para apoyar la actividad económica, lo que tuvo repercusiones en el déficit fiscal y por lo tanto en el nivel de endeudamiento de los países. Para Estados Unidos, el aumento de la ratio se situó en 18.9 puntos porcentuales, para Perú un aumento de 8.27 puntos porcentuales y Brasil del 11.3 puntos porcentuales, en el caso de Chile tuvo un aumento menor de 4.34 puntos porcentuales. Por lo que, el aumento de la ratio deuda/PIB, para Guatemala, es moderado (5.1 puntos porcentuales) en comparación al resto del mundo. </w:t>
      </w:r>
    </w:p>
    <w:p w14:paraId="132F7ED0" w14:textId="77777777" w:rsidR="00943B20" w:rsidRPr="0099727E" w:rsidRDefault="00943B20" w:rsidP="00943B20">
      <w:pPr>
        <w:pStyle w:val="Sinespaciado"/>
        <w:ind w:left="567" w:right="49"/>
        <w:jc w:val="both"/>
        <w:rPr>
          <w:rFonts w:ascii="Times New Roman" w:hAnsi="Times New Roman"/>
          <w:sz w:val="24"/>
          <w:szCs w:val="24"/>
          <w:lang w:val="es-MX"/>
        </w:rPr>
      </w:pPr>
    </w:p>
    <w:p w14:paraId="2020B78C" w14:textId="77777777" w:rsidR="00943B20" w:rsidRPr="0099727E" w:rsidRDefault="00943B20" w:rsidP="00943B20">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Para el 2021, se espera que el indicador deuda/PIB para las economías avanzadas aumente levemente mientras continúan los programas de vacunación y las políticas para la reactivación económica, sin embargo, se espera que nivel de déficit sea menor al de 2020. Asimismo, el Fondo Monetario Internacional proyecta que el déficit primario cíclico disminuya gradualmente en el mediano plazo para estas economías, de tal manera que este pase de 7.3% del PIB en 2020 a 2.3% para 2026. Para las economías emergentes se espera que su déficit se encuentre en 7.7% del PIB menor al del 2020 (9.8%), mientras los ingresos fiscales se recuperen y el gasto disminuya gradualmente, sin embargo, las características fiscales de los países tienen diferencias significativas.</w:t>
      </w:r>
    </w:p>
    <w:p w14:paraId="222E425D" w14:textId="77777777" w:rsidR="00943B20" w:rsidRPr="0099727E" w:rsidRDefault="00943B20" w:rsidP="00943B20">
      <w:pPr>
        <w:pStyle w:val="Sinespaciado"/>
        <w:ind w:left="567" w:right="49"/>
        <w:jc w:val="both"/>
        <w:rPr>
          <w:rFonts w:ascii="Times New Roman" w:hAnsi="Times New Roman"/>
          <w:sz w:val="24"/>
          <w:szCs w:val="24"/>
          <w:lang w:val="es-MX"/>
        </w:rPr>
      </w:pPr>
    </w:p>
    <w:tbl>
      <w:tblPr>
        <w:tblStyle w:val="Tablaconcuadrcula"/>
        <w:tblW w:w="91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59"/>
      </w:tblGrid>
      <w:tr w:rsidR="00943B20" w:rsidRPr="0099727E" w14:paraId="259FA6E1" w14:textId="77777777" w:rsidTr="00BB3A50">
        <w:trPr>
          <w:trHeight w:val="109"/>
          <w:jc w:val="center"/>
        </w:trPr>
        <w:tc>
          <w:tcPr>
            <w:tcW w:w="9198" w:type="dxa"/>
          </w:tcPr>
          <w:p w14:paraId="63B4AEB8" w14:textId="0D5091A3" w:rsidR="00943B20" w:rsidRPr="0099727E" w:rsidRDefault="00CC7AC6" w:rsidP="00BC0D90">
            <w:pPr>
              <w:pStyle w:val="Epgrafe"/>
              <w:keepNext/>
              <w:ind w:left="567" w:right="49"/>
              <w:rPr>
                <w:color w:val="auto"/>
                <w:sz w:val="24"/>
                <w:szCs w:val="24"/>
              </w:rPr>
            </w:pPr>
            <w:r>
              <w:rPr>
                <w:color w:val="auto"/>
                <w:sz w:val="24"/>
                <w:szCs w:val="24"/>
              </w:rPr>
              <w:t>Gráfica 25</w:t>
            </w:r>
            <w:r w:rsidR="00814706" w:rsidRPr="0099727E">
              <w:rPr>
                <w:color w:val="auto"/>
                <w:sz w:val="24"/>
                <w:szCs w:val="24"/>
              </w:rPr>
              <w:t xml:space="preserve">.  </w:t>
            </w:r>
            <w:r w:rsidR="00943B20" w:rsidRPr="0099727E">
              <w:rPr>
                <w:color w:val="auto"/>
                <w:sz w:val="24"/>
                <w:szCs w:val="24"/>
              </w:rPr>
              <w:t>Indicador Deuda /PIB para países seleccionados</w:t>
            </w:r>
          </w:p>
        </w:tc>
      </w:tr>
      <w:tr w:rsidR="00943B20" w:rsidRPr="0099727E" w14:paraId="263EA528" w14:textId="77777777" w:rsidTr="00BB3A50">
        <w:trPr>
          <w:trHeight w:val="3065"/>
          <w:jc w:val="center"/>
        </w:trPr>
        <w:tc>
          <w:tcPr>
            <w:tcW w:w="9198" w:type="dxa"/>
          </w:tcPr>
          <w:p w14:paraId="78D1DE00" w14:textId="187E21B2" w:rsidR="00BB3A50" w:rsidRPr="0099727E" w:rsidRDefault="00943B20" w:rsidP="00BB3A50">
            <w:pPr>
              <w:pStyle w:val="Epgrafe"/>
              <w:keepNext/>
              <w:ind w:right="49"/>
              <w:rPr>
                <w:noProof/>
              </w:rPr>
            </w:pPr>
            <w:r w:rsidRPr="0099727E">
              <w:rPr>
                <w:b w:val="0"/>
                <w:noProof/>
                <w:color w:val="auto"/>
              </w:rPr>
              <w:t xml:space="preserve">            </w:t>
            </w:r>
            <w:r w:rsidR="00EC6506" w:rsidRPr="0099727E">
              <w:rPr>
                <w:noProof/>
                <w:lang w:val="es-GT" w:eastAsia="es-GT"/>
              </w:rPr>
              <w:drawing>
                <wp:inline distT="0" distB="0" distL="0" distR="0" wp14:anchorId="17EAB8CE" wp14:editId="7419852A">
                  <wp:extent cx="5760000" cy="1800000"/>
                  <wp:effectExtent l="0" t="0" r="0" b="0"/>
                  <wp:docPr id="49" name="Gráfico 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943B20" w:rsidRPr="0099727E" w14:paraId="343521AB" w14:textId="77777777" w:rsidTr="00BB3A50">
        <w:trPr>
          <w:trHeight w:val="151"/>
          <w:jc w:val="center"/>
        </w:trPr>
        <w:tc>
          <w:tcPr>
            <w:tcW w:w="9198" w:type="dxa"/>
          </w:tcPr>
          <w:p w14:paraId="4C52AC73" w14:textId="4E1E8773" w:rsidR="00943B20" w:rsidRPr="0099727E" w:rsidRDefault="00943B20" w:rsidP="00BC0D90">
            <w:pPr>
              <w:pStyle w:val="Sinespaciado"/>
              <w:ind w:right="49"/>
              <w:jc w:val="both"/>
              <w:rPr>
                <w:rFonts w:ascii="Times New Roman" w:hAnsi="Times New Roman"/>
                <w:sz w:val="16"/>
                <w:szCs w:val="22"/>
              </w:rPr>
            </w:pPr>
            <w:r w:rsidRPr="0099727E">
              <w:rPr>
                <w:rFonts w:ascii="Times New Roman" w:hAnsi="Times New Roman"/>
                <w:sz w:val="18"/>
                <w:szCs w:val="22"/>
              </w:rPr>
              <w:t xml:space="preserve">                   </w:t>
            </w:r>
            <w:r w:rsidRPr="0099727E">
              <w:rPr>
                <w:rFonts w:ascii="Times New Roman" w:hAnsi="Times New Roman"/>
                <w:sz w:val="16"/>
                <w:szCs w:val="22"/>
              </w:rPr>
              <w:t xml:space="preserve">Fuente: </w:t>
            </w:r>
            <w:r w:rsidR="00EF0CE5" w:rsidRPr="00EF0CE5">
              <w:rPr>
                <w:rFonts w:ascii="Times New Roman" w:hAnsi="Times New Roman"/>
                <w:bCs/>
                <w:sz w:val="16"/>
                <w:szCs w:val="11"/>
              </w:rPr>
              <w:t>Ministerio de Finanzas Públicas</w:t>
            </w:r>
            <w:r w:rsidR="00EF0CE5" w:rsidRPr="0099727E">
              <w:rPr>
                <w:rFonts w:ascii="Times New Roman" w:hAnsi="Times New Roman"/>
                <w:sz w:val="16"/>
                <w:szCs w:val="22"/>
              </w:rPr>
              <w:t xml:space="preserve"> </w:t>
            </w:r>
            <w:r w:rsidRPr="0099727E">
              <w:rPr>
                <w:rFonts w:ascii="Times New Roman" w:hAnsi="Times New Roman"/>
                <w:sz w:val="16"/>
                <w:szCs w:val="22"/>
              </w:rPr>
              <w:t>del WEO del FMI de abril 2021, a excepción de Guatemala.</w:t>
            </w:r>
          </w:p>
          <w:p w14:paraId="1AAE851B" w14:textId="77777777" w:rsidR="00943B20" w:rsidRPr="0099727E" w:rsidRDefault="00943B20" w:rsidP="00BC0D90">
            <w:pPr>
              <w:pStyle w:val="Sinespaciado"/>
              <w:ind w:right="49"/>
              <w:jc w:val="both"/>
              <w:rPr>
                <w:rFonts w:ascii="Times New Roman" w:hAnsi="Times New Roman"/>
                <w:sz w:val="18"/>
                <w:szCs w:val="22"/>
              </w:rPr>
            </w:pPr>
            <w:r w:rsidRPr="0099727E">
              <w:rPr>
                <w:rFonts w:ascii="Times New Roman" w:hAnsi="Times New Roman"/>
                <w:sz w:val="16"/>
                <w:szCs w:val="22"/>
              </w:rPr>
              <w:t xml:space="preserve">                    Nota: Según proyecciones para 2021 para cada país.</w:t>
            </w:r>
          </w:p>
        </w:tc>
      </w:tr>
    </w:tbl>
    <w:p w14:paraId="7559742F" w14:textId="77777777" w:rsidR="00943B20" w:rsidRPr="0099727E" w:rsidRDefault="00943B20" w:rsidP="00943B20">
      <w:pPr>
        <w:pStyle w:val="Sinespaciado"/>
        <w:ind w:right="49"/>
        <w:jc w:val="both"/>
        <w:rPr>
          <w:rFonts w:ascii="Times New Roman" w:hAnsi="Times New Roman"/>
          <w:sz w:val="24"/>
          <w:szCs w:val="24"/>
          <w:lang w:val="es-MX"/>
        </w:rPr>
      </w:pPr>
    </w:p>
    <w:p w14:paraId="03CB31D4" w14:textId="77777777" w:rsidR="00943B20" w:rsidRPr="0099727E" w:rsidRDefault="00943B20" w:rsidP="00943B20">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Según la información presentada por el Fondo Monetario Internacional en su base de datos de Perspectivas Económicas de abril 2021, Guatemala tiene una de las deudas públicas más bajas en Latinoamérica en relación con el PIB. Para 2020, la relación deuda/PIB de Guatemala se ubicó en 31.6% mientras que el promedio de Latinoamérica y el Caribe se encontró en 75.4% (sin considerar Venezuela). Para 2020 el valor más alto de este indicador, aparte de Venezuela, Surinam y algunos países del Caribe, es para Belice (127.4%), Argentina (117.0%), Brasil (98.9%) y el Salvador (88.2%). Entre los países más conservadores en su deuda/PIB, sin considerar Haití por ser un país pobre altamente endeudado (HIPC por sus siglas en inglés) con condiciones de financiamiento diferentes, se encuentra Guatemala (31.6%), Chile (32.5%), Paraguay (34.8%) y Perú (35.4%).</w:t>
      </w:r>
    </w:p>
    <w:p w14:paraId="25434425" w14:textId="77777777" w:rsidR="00943B20" w:rsidRPr="0099727E" w:rsidRDefault="00943B20" w:rsidP="00943B20">
      <w:pPr>
        <w:pStyle w:val="Sinespaciado"/>
        <w:ind w:right="49"/>
        <w:jc w:val="both"/>
        <w:rPr>
          <w:rFonts w:ascii="Times New Roman" w:hAnsi="Times New Roman"/>
          <w:sz w:val="24"/>
          <w:szCs w:val="24"/>
          <w:lang w:val="es-MX"/>
        </w:rPr>
      </w:pPr>
    </w:p>
    <w:tbl>
      <w:tblPr>
        <w:tblStyle w:val="Tablaconcuadrcula"/>
        <w:tblW w:w="94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286"/>
        <w:gridCol w:w="4719"/>
      </w:tblGrid>
      <w:tr w:rsidR="00943B20" w:rsidRPr="0099727E" w14:paraId="1244636A" w14:textId="77777777" w:rsidTr="00BB3A50">
        <w:trPr>
          <w:trHeight w:val="125"/>
          <w:jc w:val="center"/>
        </w:trPr>
        <w:tc>
          <w:tcPr>
            <w:tcW w:w="9494" w:type="dxa"/>
            <w:gridSpan w:val="2"/>
          </w:tcPr>
          <w:p w14:paraId="209A06C6" w14:textId="5C83CCE0" w:rsidR="00943B20" w:rsidRPr="0099727E" w:rsidRDefault="00CC7AC6" w:rsidP="00BC0D90">
            <w:pPr>
              <w:pStyle w:val="Epgrafe"/>
              <w:keepNext/>
              <w:ind w:left="567" w:right="49"/>
              <w:rPr>
                <w:color w:val="auto"/>
                <w:sz w:val="24"/>
                <w:szCs w:val="24"/>
              </w:rPr>
            </w:pPr>
            <w:bookmarkStart w:id="18" w:name="_Hlk59105437"/>
            <w:r>
              <w:rPr>
                <w:color w:val="auto"/>
                <w:sz w:val="24"/>
                <w:szCs w:val="24"/>
              </w:rPr>
              <w:t>Gráfica 26</w:t>
            </w:r>
            <w:r w:rsidR="00814706" w:rsidRPr="0099727E">
              <w:rPr>
                <w:color w:val="auto"/>
                <w:sz w:val="24"/>
                <w:szCs w:val="24"/>
              </w:rPr>
              <w:t xml:space="preserve">.  </w:t>
            </w:r>
            <w:r w:rsidR="00943B20" w:rsidRPr="0099727E">
              <w:rPr>
                <w:color w:val="auto"/>
                <w:sz w:val="24"/>
                <w:szCs w:val="24"/>
              </w:rPr>
              <w:t>Indicadores de deuda para Latinoamérica en 2021</w:t>
            </w:r>
          </w:p>
          <w:p w14:paraId="5002B0C5" w14:textId="77777777" w:rsidR="00943B20" w:rsidRPr="0099727E" w:rsidRDefault="00943B20" w:rsidP="00BC0D90">
            <w:pPr>
              <w:jc w:val="center"/>
              <w:rPr>
                <w:sz w:val="18"/>
                <w:szCs w:val="18"/>
              </w:rPr>
            </w:pPr>
            <w:r w:rsidRPr="0099727E">
              <w:rPr>
                <w:sz w:val="18"/>
                <w:szCs w:val="18"/>
              </w:rPr>
              <w:t xml:space="preserve">        En la gráfica izquierda se encuentra el indicador deuda/Ingresos fiscales en puntos porcentuales a la par del código de país </w:t>
            </w:r>
          </w:p>
        </w:tc>
      </w:tr>
      <w:tr w:rsidR="00943B20" w:rsidRPr="0099727E" w14:paraId="52DBAEC5" w14:textId="77777777" w:rsidTr="00D43D9A">
        <w:trPr>
          <w:trHeight w:val="3503"/>
          <w:jc w:val="center"/>
        </w:trPr>
        <w:tc>
          <w:tcPr>
            <w:tcW w:w="5287" w:type="dxa"/>
          </w:tcPr>
          <w:p w14:paraId="64A697EC" w14:textId="6AB6AB0E" w:rsidR="00943B20" w:rsidRPr="0099727E" w:rsidRDefault="00D43D9A" w:rsidP="00BC0D90">
            <w:pPr>
              <w:ind w:left="567" w:right="49"/>
              <w:jc w:val="both"/>
              <w:rPr>
                <w:noProof/>
              </w:rPr>
            </w:pPr>
            <w:r w:rsidRPr="0099727E">
              <w:rPr>
                <w:noProof/>
                <w:lang w:val="es-GT" w:eastAsia="es-GT"/>
              </w:rPr>
              <w:drawing>
                <wp:inline distT="0" distB="0" distL="0" distR="0" wp14:anchorId="7CCD1585" wp14:editId="12169BCA">
                  <wp:extent cx="2868848" cy="2160000"/>
                  <wp:effectExtent l="0" t="0" r="8255" b="0"/>
                  <wp:docPr id="62" name="Gráfico 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937A2D1-C0BA-4495-AA53-4A80AB165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207" w:type="dxa"/>
          </w:tcPr>
          <w:p w14:paraId="661F1E56" w14:textId="725FCA7F" w:rsidR="00943B20" w:rsidRPr="0099727E" w:rsidRDefault="00D43D9A" w:rsidP="00BC0D90">
            <w:pPr>
              <w:pStyle w:val="Epgrafe"/>
              <w:keepNext/>
              <w:ind w:right="49"/>
              <w:jc w:val="both"/>
              <w:rPr>
                <w:b w:val="0"/>
                <w:noProof/>
                <w:color w:val="auto"/>
              </w:rPr>
            </w:pPr>
            <w:r w:rsidRPr="0099727E">
              <w:rPr>
                <w:noProof/>
                <w:lang w:val="es-GT" w:eastAsia="es-GT"/>
              </w:rPr>
              <w:drawing>
                <wp:inline distT="0" distB="0" distL="0" distR="0" wp14:anchorId="5FE85CDA" wp14:editId="08634DDB">
                  <wp:extent cx="2871129" cy="2091600"/>
                  <wp:effectExtent l="0" t="0" r="5715" b="4445"/>
                  <wp:docPr id="65" name="Gráfico 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A51FB19-9C92-4474-B7D4-07CAD0E64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943B20" w:rsidRPr="0099727E" w14:paraId="74AFB2A4" w14:textId="77777777" w:rsidTr="00BB3A50">
        <w:trPr>
          <w:trHeight w:val="174"/>
          <w:jc w:val="center"/>
        </w:trPr>
        <w:tc>
          <w:tcPr>
            <w:tcW w:w="9494" w:type="dxa"/>
            <w:gridSpan w:val="2"/>
          </w:tcPr>
          <w:p w14:paraId="50CC9A20" w14:textId="5C55BF80" w:rsidR="00943B20" w:rsidRPr="00EF0CE5" w:rsidRDefault="00943B20" w:rsidP="00BC0D90">
            <w:pPr>
              <w:pStyle w:val="Sinespaciado"/>
              <w:ind w:right="49"/>
              <w:jc w:val="both"/>
              <w:rPr>
                <w:rFonts w:ascii="Times New Roman" w:hAnsi="Times New Roman"/>
                <w:sz w:val="16"/>
                <w:szCs w:val="16"/>
              </w:rPr>
            </w:pPr>
            <w:r w:rsidRPr="0099727E">
              <w:rPr>
                <w:rFonts w:ascii="Times New Roman" w:hAnsi="Times New Roman"/>
                <w:sz w:val="18"/>
                <w:szCs w:val="22"/>
              </w:rPr>
              <w:t xml:space="preserve">                   </w:t>
            </w:r>
            <w:r w:rsidRPr="00EF0CE5">
              <w:rPr>
                <w:rFonts w:ascii="Times New Roman" w:hAnsi="Times New Roman"/>
                <w:sz w:val="16"/>
                <w:szCs w:val="16"/>
              </w:rPr>
              <w:t xml:space="preserve">Fuente: </w:t>
            </w:r>
            <w:r w:rsidR="00EF0CE5" w:rsidRPr="00EF0CE5">
              <w:rPr>
                <w:rFonts w:ascii="Times New Roman" w:hAnsi="Times New Roman"/>
                <w:bCs/>
                <w:sz w:val="16"/>
                <w:szCs w:val="16"/>
              </w:rPr>
              <w:t>Ministerio de Finanzas Públicas</w:t>
            </w:r>
            <w:r w:rsidR="00EF0CE5" w:rsidRPr="00EF0CE5">
              <w:rPr>
                <w:rFonts w:ascii="Times New Roman" w:hAnsi="Times New Roman"/>
                <w:sz w:val="16"/>
                <w:szCs w:val="16"/>
              </w:rPr>
              <w:t xml:space="preserve"> </w:t>
            </w:r>
            <w:r w:rsidRPr="00EF0CE5">
              <w:rPr>
                <w:rFonts w:ascii="Times New Roman" w:hAnsi="Times New Roman"/>
                <w:sz w:val="16"/>
                <w:szCs w:val="16"/>
              </w:rPr>
              <w:t>información del WEO del FMI de abril 2021, a excepción de Guatemala.</w:t>
            </w:r>
          </w:p>
          <w:p w14:paraId="5441A04E" w14:textId="60A06BC9" w:rsidR="00943B20" w:rsidRPr="0099727E" w:rsidRDefault="00943B20" w:rsidP="00BC0D90">
            <w:pPr>
              <w:pStyle w:val="Sinespaciado"/>
              <w:ind w:right="49"/>
              <w:jc w:val="both"/>
              <w:rPr>
                <w:rFonts w:ascii="Times New Roman" w:hAnsi="Times New Roman"/>
                <w:sz w:val="18"/>
                <w:szCs w:val="22"/>
              </w:rPr>
            </w:pPr>
            <w:r w:rsidRPr="00EF0CE5">
              <w:rPr>
                <w:rFonts w:ascii="Times New Roman" w:hAnsi="Times New Roman"/>
                <w:sz w:val="16"/>
                <w:szCs w:val="16"/>
              </w:rPr>
              <w:t xml:space="preserve">                    </w:t>
            </w:r>
            <w:r w:rsidR="00EF0CE5">
              <w:rPr>
                <w:rFonts w:ascii="Times New Roman" w:hAnsi="Times New Roman"/>
                <w:sz w:val="16"/>
                <w:szCs w:val="16"/>
              </w:rPr>
              <w:t xml:space="preserve"> </w:t>
            </w:r>
            <w:r w:rsidRPr="00EF0CE5">
              <w:rPr>
                <w:rFonts w:ascii="Times New Roman" w:hAnsi="Times New Roman"/>
                <w:sz w:val="16"/>
                <w:szCs w:val="16"/>
              </w:rPr>
              <w:t>Nota: Según proyecciones para 2021 para cada país.</w:t>
            </w:r>
          </w:p>
        </w:tc>
      </w:tr>
      <w:bookmarkEnd w:id="18"/>
    </w:tbl>
    <w:p w14:paraId="13652369" w14:textId="77777777" w:rsidR="00943B20" w:rsidRPr="0099727E" w:rsidRDefault="00943B20" w:rsidP="00943B20">
      <w:pPr>
        <w:pStyle w:val="Sinespaciado"/>
        <w:ind w:right="49"/>
        <w:jc w:val="both"/>
        <w:rPr>
          <w:rFonts w:ascii="Times New Roman" w:hAnsi="Times New Roman"/>
          <w:sz w:val="24"/>
          <w:szCs w:val="24"/>
          <w:lang w:val="es-MX"/>
        </w:rPr>
      </w:pPr>
    </w:p>
    <w:p w14:paraId="2A0C20ED" w14:textId="4AB348D4" w:rsidR="00943B20" w:rsidRDefault="00943B20" w:rsidP="00943B20">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Por otro lado, </w:t>
      </w:r>
      <w:r w:rsidR="00723450" w:rsidRPr="0099727E">
        <w:rPr>
          <w:rFonts w:ascii="Times New Roman" w:hAnsi="Times New Roman"/>
          <w:sz w:val="24"/>
          <w:szCs w:val="24"/>
          <w:lang w:val="es-MX"/>
        </w:rPr>
        <w:t xml:space="preserve">otro </w:t>
      </w:r>
      <w:r w:rsidRPr="0099727E">
        <w:rPr>
          <w:rFonts w:ascii="Times New Roman" w:hAnsi="Times New Roman"/>
          <w:sz w:val="24"/>
          <w:szCs w:val="24"/>
          <w:lang w:val="es-MX"/>
        </w:rPr>
        <w:t>indicador de solvencia</w:t>
      </w:r>
      <w:r w:rsidR="00723450" w:rsidRPr="0099727E">
        <w:rPr>
          <w:rFonts w:ascii="Times New Roman" w:hAnsi="Times New Roman"/>
          <w:sz w:val="24"/>
          <w:szCs w:val="24"/>
          <w:lang w:val="es-MX"/>
        </w:rPr>
        <w:t xml:space="preserve"> es el de</w:t>
      </w:r>
      <w:r w:rsidRPr="0099727E">
        <w:rPr>
          <w:rFonts w:ascii="Times New Roman" w:hAnsi="Times New Roman"/>
          <w:sz w:val="24"/>
          <w:szCs w:val="24"/>
          <w:lang w:val="es-MX"/>
        </w:rPr>
        <w:t xml:space="preserve"> deuda / ingresos fiscales también tuvo un incremento significativo en los países de Latinoamérica y el Caribe en el 2020, situándose en 324%</w:t>
      </w:r>
      <w:r w:rsidR="00723450" w:rsidRPr="0099727E">
        <w:rPr>
          <w:rFonts w:ascii="Times New Roman" w:hAnsi="Times New Roman"/>
          <w:sz w:val="24"/>
          <w:szCs w:val="24"/>
          <w:lang w:val="es-MX"/>
        </w:rPr>
        <w:t>,</w:t>
      </w:r>
      <w:r w:rsidRPr="0099727E">
        <w:rPr>
          <w:rFonts w:ascii="Times New Roman" w:hAnsi="Times New Roman"/>
          <w:sz w:val="24"/>
          <w:szCs w:val="24"/>
          <w:lang w:val="es-MX"/>
        </w:rPr>
        <w:t xml:space="preserve"> mayor en 73.8 puntos porcentuales en comparación al 2019, parte del aumento en el indicador se debe al aumento en el nivel de deuda y a la fuerte disminución de ingresos fiscales experimentada en 2020. Para 2021, según las proyecciones del Fondo Monetario Internacional indican la relación deuda/ingresos fiscales estará alrededor de 259% para México, 344% para Brasil, 135% para Chile, 468% para República Dominicana, 494% para Costa Rica, y 343.6% para El Salvador, entre otros países.</w:t>
      </w:r>
    </w:p>
    <w:p w14:paraId="5AFDC74E" w14:textId="54D3D074" w:rsidR="00EF274C" w:rsidRDefault="00EF274C" w:rsidP="00943B20">
      <w:pPr>
        <w:pStyle w:val="Sinespaciado"/>
        <w:ind w:left="567" w:right="49"/>
        <w:jc w:val="both"/>
        <w:rPr>
          <w:rFonts w:ascii="Times New Roman" w:hAnsi="Times New Roman"/>
          <w:sz w:val="24"/>
          <w:szCs w:val="24"/>
          <w:lang w:val="es-MX"/>
        </w:rPr>
      </w:pPr>
    </w:p>
    <w:tbl>
      <w:tblPr>
        <w:tblStyle w:val="Tablaconcuadrcula"/>
        <w:tblW w:w="91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59"/>
      </w:tblGrid>
      <w:tr w:rsidR="00EF274C" w:rsidRPr="0099727E" w14:paraId="2B01E2E8" w14:textId="77777777" w:rsidTr="003C74C1">
        <w:trPr>
          <w:trHeight w:val="109"/>
          <w:jc w:val="center"/>
        </w:trPr>
        <w:tc>
          <w:tcPr>
            <w:tcW w:w="9198" w:type="dxa"/>
          </w:tcPr>
          <w:p w14:paraId="654BE0F4" w14:textId="06B17E08" w:rsidR="00EF274C" w:rsidRPr="0099727E" w:rsidRDefault="00CC7AC6" w:rsidP="003C74C1">
            <w:pPr>
              <w:pStyle w:val="Epgrafe"/>
              <w:keepNext/>
              <w:ind w:left="567" w:right="49"/>
              <w:rPr>
                <w:color w:val="auto"/>
                <w:sz w:val="24"/>
                <w:szCs w:val="24"/>
              </w:rPr>
            </w:pPr>
            <w:r>
              <w:rPr>
                <w:color w:val="auto"/>
                <w:sz w:val="24"/>
                <w:szCs w:val="24"/>
              </w:rPr>
              <w:t>Gráfica 27</w:t>
            </w:r>
            <w:r w:rsidR="00EF274C" w:rsidRPr="0099727E">
              <w:rPr>
                <w:color w:val="auto"/>
                <w:sz w:val="24"/>
                <w:szCs w:val="24"/>
              </w:rPr>
              <w:t xml:space="preserve">.  Indicador </w:t>
            </w:r>
            <w:r w:rsidR="0052604A">
              <w:rPr>
                <w:color w:val="auto"/>
                <w:sz w:val="24"/>
                <w:szCs w:val="24"/>
              </w:rPr>
              <w:t xml:space="preserve">intereses/ingresos fiscales e intereses/PIB </w:t>
            </w:r>
            <w:r w:rsidR="00EF274C" w:rsidRPr="0099727E">
              <w:rPr>
                <w:color w:val="auto"/>
                <w:sz w:val="24"/>
                <w:szCs w:val="24"/>
              </w:rPr>
              <w:t>para países seleccionados</w:t>
            </w:r>
          </w:p>
        </w:tc>
      </w:tr>
      <w:tr w:rsidR="00EF274C" w:rsidRPr="0099727E" w14:paraId="53292ECE" w14:textId="77777777" w:rsidTr="00EF274C">
        <w:trPr>
          <w:trHeight w:val="3065"/>
          <w:jc w:val="center"/>
        </w:trPr>
        <w:tc>
          <w:tcPr>
            <w:tcW w:w="9198" w:type="dxa"/>
          </w:tcPr>
          <w:p w14:paraId="026AB833" w14:textId="3B4795E5" w:rsidR="00EF274C" w:rsidRPr="0099727E" w:rsidRDefault="00EF274C" w:rsidP="003C74C1">
            <w:pPr>
              <w:pStyle w:val="Epgrafe"/>
              <w:keepNext/>
              <w:ind w:right="49"/>
              <w:rPr>
                <w:noProof/>
              </w:rPr>
            </w:pPr>
            <w:r>
              <w:rPr>
                <w:noProof/>
                <w:lang w:val="es-GT" w:eastAsia="es-GT"/>
              </w:rPr>
              <w:drawing>
                <wp:inline distT="0" distB="0" distL="0" distR="0" wp14:anchorId="444E46F0" wp14:editId="3883913C">
                  <wp:extent cx="5759450" cy="2343785"/>
                  <wp:effectExtent l="0" t="0" r="0" b="0"/>
                  <wp:docPr id="80" name="Gráfico 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99727E">
              <w:rPr>
                <w:b w:val="0"/>
                <w:noProof/>
                <w:color w:val="auto"/>
              </w:rPr>
              <w:t xml:space="preserve">            </w:t>
            </w:r>
          </w:p>
        </w:tc>
      </w:tr>
      <w:tr w:rsidR="00EF274C" w:rsidRPr="0099727E" w14:paraId="0EFC68AD" w14:textId="77777777" w:rsidTr="003C74C1">
        <w:trPr>
          <w:trHeight w:val="151"/>
          <w:jc w:val="center"/>
        </w:trPr>
        <w:tc>
          <w:tcPr>
            <w:tcW w:w="9198" w:type="dxa"/>
          </w:tcPr>
          <w:p w14:paraId="6DF56A1B" w14:textId="1A659E2C" w:rsidR="00EF274C" w:rsidRPr="0099727E" w:rsidRDefault="00EF274C" w:rsidP="003C74C1">
            <w:pPr>
              <w:pStyle w:val="Sinespaciado"/>
              <w:ind w:right="49"/>
              <w:jc w:val="both"/>
              <w:rPr>
                <w:rFonts w:ascii="Times New Roman" w:hAnsi="Times New Roman"/>
                <w:sz w:val="16"/>
                <w:szCs w:val="22"/>
              </w:rPr>
            </w:pPr>
            <w:r w:rsidRPr="0099727E">
              <w:rPr>
                <w:rFonts w:ascii="Times New Roman" w:hAnsi="Times New Roman"/>
                <w:sz w:val="18"/>
                <w:szCs w:val="22"/>
              </w:rPr>
              <w:t xml:space="preserve">      </w:t>
            </w:r>
            <w:r w:rsidRPr="0099727E">
              <w:rPr>
                <w:rFonts w:ascii="Times New Roman" w:hAnsi="Times New Roman"/>
                <w:sz w:val="16"/>
                <w:szCs w:val="22"/>
              </w:rPr>
              <w:t xml:space="preserve">Fuente: </w:t>
            </w:r>
            <w:r w:rsidRPr="00EF0CE5">
              <w:rPr>
                <w:rFonts w:ascii="Times New Roman" w:hAnsi="Times New Roman"/>
                <w:bCs/>
                <w:sz w:val="16"/>
                <w:szCs w:val="11"/>
              </w:rPr>
              <w:t>Ministerio de Finanzas Públicas</w:t>
            </w:r>
            <w:r w:rsidRPr="0099727E">
              <w:rPr>
                <w:rFonts w:ascii="Times New Roman" w:hAnsi="Times New Roman"/>
                <w:sz w:val="16"/>
                <w:szCs w:val="22"/>
              </w:rPr>
              <w:t xml:space="preserve"> del WEO del FMI de abril 2021, a excepción de Guatemala.</w:t>
            </w:r>
          </w:p>
          <w:p w14:paraId="7AF47368" w14:textId="17D6A7F6" w:rsidR="00EF274C" w:rsidRPr="0099727E" w:rsidRDefault="00EF274C" w:rsidP="003C74C1">
            <w:pPr>
              <w:pStyle w:val="Sinespaciado"/>
              <w:ind w:right="49"/>
              <w:jc w:val="both"/>
              <w:rPr>
                <w:rFonts w:ascii="Times New Roman" w:hAnsi="Times New Roman"/>
                <w:sz w:val="18"/>
                <w:szCs w:val="22"/>
              </w:rPr>
            </w:pPr>
            <w:r w:rsidRPr="0099727E">
              <w:rPr>
                <w:rFonts w:ascii="Times New Roman" w:hAnsi="Times New Roman"/>
                <w:sz w:val="16"/>
                <w:szCs w:val="22"/>
              </w:rPr>
              <w:t xml:space="preserve">       Nota: </w:t>
            </w:r>
            <w:r>
              <w:rPr>
                <w:rFonts w:ascii="Times New Roman" w:hAnsi="Times New Roman"/>
                <w:sz w:val="16"/>
                <w:szCs w:val="22"/>
              </w:rPr>
              <w:t xml:space="preserve">Cálculos propios según </w:t>
            </w:r>
            <w:r w:rsidRPr="0099727E">
              <w:rPr>
                <w:rFonts w:ascii="Times New Roman" w:hAnsi="Times New Roman"/>
                <w:sz w:val="16"/>
                <w:szCs w:val="22"/>
              </w:rPr>
              <w:t>proyecciones para 2021 para cada país.</w:t>
            </w:r>
          </w:p>
        </w:tc>
      </w:tr>
    </w:tbl>
    <w:p w14:paraId="5CF0D92A" w14:textId="77777777" w:rsidR="00EF274C" w:rsidRPr="0099727E" w:rsidRDefault="00EF274C" w:rsidP="00943B20">
      <w:pPr>
        <w:pStyle w:val="Sinespaciado"/>
        <w:ind w:left="567" w:right="49"/>
        <w:jc w:val="both"/>
        <w:rPr>
          <w:rFonts w:ascii="Times New Roman" w:hAnsi="Times New Roman"/>
          <w:sz w:val="24"/>
          <w:szCs w:val="24"/>
          <w:lang w:val="es-MX"/>
        </w:rPr>
      </w:pPr>
    </w:p>
    <w:p w14:paraId="2E57FD44" w14:textId="6DAAF662" w:rsidR="00943B20" w:rsidRPr="0099727E" w:rsidRDefault="00F70AC2" w:rsidP="00943B20">
      <w:pPr>
        <w:pStyle w:val="Sinespaciado"/>
        <w:ind w:left="567" w:right="49"/>
        <w:jc w:val="both"/>
        <w:rPr>
          <w:rFonts w:ascii="Times New Roman" w:hAnsi="Times New Roman"/>
          <w:sz w:val="24"/>
          <w:szCs w:val="24"/>
          <w:lang w:val="es-MX"/>
        </w:rPr>
      </w:pPr>
      <w:r w:rsidRPr="00CC7AC6">
        <w:rPr>
          <w:rFonts w:ascii="Times New Roman" w:hAnsi="Times New Roman"/>
          <w:sz w:val="24"/>
          <w:szCs w:val="24"/>
          <w:lang w:val="es-MX"/>
        </w:rPr>
        <w:t xml:space="preserve">Entre los indicadores del costo financiero de la deuda pública se encuentran los intereses de deuda con respecto a los ingresos fiscales y con respecto a la PIB. Como se muestra en el gráfico </w:t>
      </w:r>
      <w:r w:rsidRPr="00CC7AC6">
        <w:rPr>
          <w:rFonts w:ascii="Times New Roman" w:hAnsi="Times New Roman"/>
          <w:sz w:val="24"/>
          <w:szCs w:val="24"/>
          <w:lang w:val="es-MX"/>
        </w:rPr>
        <w:lastRenderedPageBreak/>
        <w:t xml:space="preserve">anterior se estima que Costa Rica tenga el costo de financiamiento más alto de la región con respecto a los ingresos </w:t>
      </w:r>
      <w:r w:rsidR="00DF7F04" w:rsidRPr="00CC7AC6">
        <w:rPr>
          <w:rFonts w:ascii="Times New Roman" w:hAnsi="Times New Roman"/>
          <w:sz w:val="24"/>
          <w:szCs w:val="24"/>
          <w:lang w:val="es-MX"/>
        </w:rPr>
        <w:t xml:space="preserve">fiscales </w:t>
      </w:r>
      <w:r w:rsidRPr="00CC7AC6">
        <w:rPr>
          <w:rFonts w:ascii="Times New Roman" w:hAnsi="Times New Roman"/>
          <w:sz w:val="24"/>
          <w:szCs w:val="24"/>
          <w:lang w:val="es-MX"/>
        </w:rPr>
        <w:t>(36.4%) en 2021, seguido de República Dominicana (23.8%) y El Salvador (20.9%). Por otro lado, se estima que</w:t>
      </w:r>
      <w:r w:rsidR="00CC714A" w:rsidRPr="00CC7AC6">
        <w:rPr>
          <w:rFonts w:ascii="Times New Roman" w:hAnsi="Times New Roman"/>
          <w:sz w:val="24"/>
          <w:szCs w:val="24"/>
          <w:lang w:val="es-MX"/>
        </w:rPr>
        <w:t xml:space="preserve"> en el 2021</w:t>
      </w:r>
      <w:r w:rsidRPr="00CC7AC6">
        <w:rPr>
          <w:rFonts w:ascii="Times New Roman" w:hAnsi="Times New Roman"/>
          <w:sz w:val="24"/>
          <w:szCs w:val="24"/>
          <w:lang w:val="es-MX"/>
        </w:rPr>
        <w:t xml:space="preserve"> El Salvador </w:t>
      </w:r>
      <w:r w:rsidR="00CC714A" w:rsidRPr="00CC7AC6">
        <w:rPr>
          <w:rFonts w:ascii="Times New Roman" w:hAnsi="Times New Roman"/>
          <w:sz w:val="24"/>
          <w:szCs w:val="24"/>
          <w:lang w:val="es-MX"/>
        </w:rPr>
        <w:t xml:space="preserve">tenga un mayor costo de financiamiento </w:t>
      </w:r>
      <w:r w:rsidRPr="00CC7AC6">
        <w:rPr>
          <w:rFonts w:ascii="Times New Roman" w:hAnsi="Times New Roman"/>
          <w:sz w:val="24"/>
          <w:szCs w:val="24"/>
          <w:lang w:val="es-MX"/>
        </w:rPr>
        <w:t xml:space="preserve">(5.4%) con respecto el tamaño de la economía, </w:t>
      </w:r>
      <w:r w:rsidR="00CC714A" w:rsidRPr="00CC7AC6">
        <w:rPr>
          <w:rFonts w:ascii="Times New Roman" w:hAnsi="Times New Roman"/>
          <w:sz w:val="24"/>
          <w:szCs w:val="24"/>
          <w:lang w:val="es-MX"/>
        </w:rPr>
        <w:t>seguido de Costa Rica (5.3%) y República Dominicana (3.4%). Se proyecta para el mismo año que Guatemala tenga un indicador de intereses/ingresos fiscales de 16.0% y para los intereses/PIB de 1.9%. Es importante indicar que, aunque Honduras y Nicaragua tengan un nivel bajo en dichos en indicadores esto se debe a que son considerados países pobres altamente endeudados y poseen condiciones de financiamiento especiales.</w:t>
      </w:r>
    </w:p>
    <w:p w14:paraId="5E4689E0" w14:textId="77777777" w:rsidR="0052604A" w:rsidRDefault="0052604A" w:rsidP="00943B20">
      <w:pPr>
        <w:pStyle w:val="Sinespaciado"/>
        <w:ind w:left="567" w:right="49"/>
        <w:jc w:val="both"/>
        <w:rPr>
          <w:rFonts w:ascii="Times New Roman" w:hAnsi="Times New Roman"/>
          <w:sz w:val="24"/>
          <w:szCs w:val="24"/>
          <w:lang w:val="es-MX"/>
        </w:rPr>
      </w:pPr>
    </w:p>
    <w:p w14:paraId="009BD307" w14:textId="53BB94C1" w:rsidR="00943B20" w:rsidRPr="0099727E" w:rsidRDefault="00943B20" w:rsidP="00943B20">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Otro indicador que muestra la percepción del riesgo de los inversionistas de la deuda de cada país es el EMBI (Emerging Markets Bonds Index o Indicador de Bonos de Mercados Emergentes) calculado por JP Morgan Chase y trata de medir la diferencia de tasa de interés que pagan los bonos denominados en dólares, emitidos por países en desarrollo, y los Bonos del Tesoro de EE. UU., que se consideran "libres" de riesgo. </w:t>
      </w:r>
    </w:p>
    <w:p w14:paraId="74FB654B" w14:textId="77777777" w:rsidR="00943B20" w:rsidRPr="0099727E" w:rsidRDefault="00943B20" w:rsidP="00943B20">
      <w:pPr>
        <w:pStyle w:val="Sinespaciado"/>
        <w:ind w:left="567" w:right="49"/>
        <w:jc w:val="both"/>
        <w:rPr>
          <w:rFonts w:ascii="Times New Roman" w:hAnsi="Times New Roman"/>
          <w:sz w:val="24"/>
          <w:szCs w:val="24"/>
          <w:lang w:val="es-MX"/>
        </w:rPr>
      </w:pPr>
    </w:p>
    <w:p w14:paraId="6B69DF76" w14:textId="1EE74B8D" w:rsidR="00943B20" w:rsidRPr="0099727E" w:rsidRDefault="00943B20" w:rsidP="00943B20">
      <w:pPr>
        <w:ind w:left="567" w:right="49"/>
        <w:jc w:val="both"/>
        <w:rPr>
          <w:sz w:val="24"/>
          <w:szCs w:val="24"/>
          <w:lang w:val="es-MX"/>
        </w:rPr>
      </w:pPr>
      <w:r w:rsidRPr="0099727E">
        <w:rPr>
          <w:sz w:val="24"/>
          <w:szCs w:val="24"/>
          <w:lang w:val="es-MX"/>
        </w:rPr>
        <w:t xml:space="preserve">El EMBI para Guatemala fue de </w:t>
      </w:r>
      <w:r w:rsidR="00D87C90" w:rsidRPr="0099727E">
        <w:rPr>
          <w:sz w:val="24"/>
          <w:szCs w:val="24"/>
          <w:lang w:val="es-MX"/>
        </w:rPr>
        <w:t>255</w:t>
      </w:r>
      <w:r w:rsidRPr="0099727E">
        <w:rPr>
          <w:sz w:val="24"/>
          <w:szCs w:val="24"/>
          <w:lang w:val="es-MX"/>
        </w:rPr>
        <w:t xml:space="preserve"> puntos básicos al </w:t>
      </w:r>
      <w:r w:rsidR="00D87C90" w:rsidRPr="0099727E">
        <w:rPr>
          <w:sz w:val="24"/>
          <w:szCs w:val="24"/>
          <w:lang w:val="es-MX"/>
        </w:rPr>
        <w:t>12</w:t>
      </w:r>
      <w:r w:rsidRPr="0099727E">
        <w:rPr>
          <w:sz w:val="24"/>
          <w:szCs w:val="24"/>
          <w:lang w:val="es-MX"/>
        </w:rPr>
        <w:t xml:space="preserve"> de </w:t>
      </w:r>
      <w:r w:rsidR="00D87C90" w:rsidRPr="0099727E">
        <w:rPr>
          <w:sz w:val="24"/>
          <w:szCs w:val="24"/>
          <w:lang w:val="es-MX"/>
        </w:rPr>
        <w:t>agosto</w:t>
      </w:r>
      <w:r w:rsidRPr="0099727E">
        <w:rPr>
          <w:sz w:val="24"/>
          <w:szCs w:val="24"/>
          <w:lang w:val="es-MX"/>
        </w:rPr>
        <w:t xml:space="preserve"> del 2021, el cual es bastante menor en comparación de otros países de Latinoamérica, como lo es Argentina (</w:t>
      </w:r>
      <w:r w:rsidR="00D87C90" w:rsidRPr="0099727E">
        <w:rPr>
          <w:sz w:val="24"/>
          <w:szCs w:val="24"/>
          <w:lang w:val="es-MX"/>
        </w:rPr>
        <w:t>1,538.3</w:t>
      </w:r>
      <w:r w:rsidRPr="0099727E">
        <w:rPr>
          <w:sz w:val="24"/>
          <w:szCs w:val="24"/>
          <w:lang w:val="es-MX"/>
        </w:rPr>
        <w:t>pb), El Salvador (</w:t>
      </w:r>
      <w:r w:rsidR="00D87C90" w:rsidRPr="0099727E">
        <w:rPr>
          <w:sz w:val="24"/>
          <w:szCs w:val="24"/>
          <w:lang w:val="es-MX"/>
        </w:rPr>
        <w:t>920</w:t>
      </w:r>
      <w:r w:rsidRPr="0099727E">
        <w:rPr>
          <w:sz w:val="24"/>
          <w:szCs w:val="24"/>
          <w:lang w:val="es-MX"/>
        </w:rPr>
        <w:t>pb), Costa Rica (4</w:t>
      </w:r>
      <w:r w:rsidR="00D87C90" w:rsidRPr="0099727E">
        <w:rPr>
          <w:sz w:val="24"/>
          <w:szCs w:val="24"/>
          <w:lang w:val="es-MX"/>
        </w:rPr>
        <w:t>67</w:t>
      </w:r>
      <w:r w:rsidRPr="0099727E">
        <w:rPr>
          <w:sz w:val="24"/>
          <w:szCs w:val="24"/>
          <w:lang w:val="es-MX"/>
        </w:rPr>
        <w:t>pb), México (</w:t>
      </w:r>
      <w:r w:rsidR="00D87C90" w:rsidRPr="0099727E">
        <w:rPr>
          <w:sz w:val="24"/>
          <w:szCs w:val="24"/>
          <w:lang w:val="es-MX"/>
        </w:rPr>
        <w:t>355</w:t>
      </w:r>
      <w:r w:rsidRPr="0099727E">
        <w:rPr>
          <w:sz w:val="24"/>
          <w:szCs w:val="24"/>
          <w:lang w:val="es-MX"/>
        </w:rPr>
        <w:t>pb), Honduras (</w:t>
      </w:r>
      <w:r w:rsidR="00D87C90" w:rsidRPr="0099727E">
        <w:rPr>
          <w:sz w:val="24"/>
          <w:szCs w:val="24"/>
          <w:lang w:val="es-MX"/>
        </w:rPr>
        <w:t>319</w:t>
      </w:r>
      <w:r w:rsidRPr="0099727E">
        <w:rPr>
          <w:sz w:val="24"/>
          <w:szCs w:val="24"/>
          <w:lang w:val="es-MX"/>
        </w:rPr>
        <w:t>pb), entre otros. Este indicador tiene incidencia directa sobre el costo financiero de la deuda de mercado lo que se puede ver reflejado en la baja tasa ponderada (5.81%) en la cual fueron colocados los Eurobonos para 2020, evidenciando el manejo prudente y responsable de las finanzas públicas por parte del gobierno y contribuye a la estabilidad macroeconómica del país.</w:t>
      </w:r>
    </w:p>
    <w:p w14:paraId="57AEA8ED" w14:textId="77777777" w:rsidR="004A1975" w:rsidRPr="0099727E" w:rsidRDefault="004A1975" w:rsidP="00943B20">
      <w:pPr>
        <w:ind w:left="567" w:right="49"/>
        <w:jc w:val="both"/>
        <w:rPr>
          <w:sz w:val="24"/>
          <w:szCs w:val="24"/>
          <w:lang w:val="es-MX"/>
        </w:rPr>
      </w:pPr>
    </w:p>
    <w:tbl>
      <w:tblPr>
        <w:tblStyle w:val="Tablaconcuadrcula"/>
        <w:tblpPr w:leftFromText="141" w:rightFromText="141" w:vertAnchor="text" w:horzAnchor="margin" w:tblpXSpec="center" w:tblpY="114"/>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821"/>
      </w:tblGrid>
      <w:tr w:rsidR="00943B20" w:rsidRPr="0099727E" w14:paraId="286DC788" w14:textId="77777777" w:rsidTr="00D87C90">
        <w:trPr>
          <w:trHeight w:val="3855"/>
        </w:trPr>
        <w:tc>
          <w:tcPr>
            <w:tcW w:w="9064" w:type="dxa"/>
          </w:tcPr>
          <w:p w14:paraId="62937E10" w14:textId="47F57F6B" w:rsidR="00943B20" w:rsidRPr="0099727E" w:rsidRDefault="00CC7AC6" w:rsidP="00BC0D90">
            <w:pPr>
              <w:pStyle w:val="Epgrafe"/>
              <w:keepNext/>
              <w:ind w:left="567" w:right="49"/>
              <w:rPr>
                <w:color w:val="auto"/>
                <w:sz w:val="24"/>
                <w:szCs w:val="24"/>
              </w:rPr>
            </w:pPr>
            <w:r>
              <w:rPr>
                <w:color w:val="auto"/>
                <w:sz w:val="24"/>
                <w:szCs w:val="24"/>
              </w:rPr>
              <w:t>Gráfica 28</w:t>
            </w:r>
            <w:r w:rsidR="00814706" w:rsidRPr="0099727E">
              <w:rPr>
                <w:color w:val="auto"/>
                <w:sz w:val="24"/>
                <w:szCs w:val="24"/>
              </w:rPr>
              <w:t xml:space="preserve">.  </w:t>
            </w:r>
            <w:r w:rsidR="00943B20" w:rsidRPr="0099727E">
              <w:rPr>
                <w:color w:val="auto"/>
                <w:sz w:val="24"/>
                <w:szCs w:val="24"/>
              </w:rPr>
              <w:t>EMBI Calculado para Países de América Latina</w:t>
            </w:r>
          </w:p>
          <w:p w14:paraId="4F581037" w14:textId="70EC6BD0" w:rsidR="00943B20" w:rsidRPr="0099727E" w:rsidRDefault="00943B20" w:rsidP="00BC0D90">
            <w:pPr>
              <w:ind w:left="567" w:right="49"/>
              <w:jc w:val="center"/>
              <w:rPr>
                <w:sz w:val="22"/>
                <w:szCs w:val="24"/>
              </w:rPr>
            </w:pPr>
            <w:r w:rsidRPr="0099727E">
              <w:rPr>
                <w:sz w:val="22"/>
                <w:szCs w:val="24"/>
              </w:rPr>
              <w:t xml:space="preserve">Al </w:t>
            </w:r>
            <w:r w:rsidR="00D87C90" w:rsidRPr="0099727E">
              <w:rPr>
                <w:sz w:val="22"/>
                <w:szCs w:val="24"/>
              </w:rPr>
              <w:t>12</w:t>
            </w:r>
            <w:r w:rsidRPr="0099727E">
              <w:rPr>
                <w:sz w:val="22"/>
                <w:szCs w:val="24"/>
              </w:rPr>
              <w:t xml:space="preserve"> de </w:t>
            </w:r>
            <w:r w:rsidR="00D87C90" w:rsidRPr="0099727E">
              <w:rPr>
                <w:sz w:val="22"/>
                <w:szCs w:val="24"/>
              </w:rPr>
              <w:t>agosto</w:t>
            </w:r>
            <w:r w:rsidRPr="0099727E">
              <w:rPr>
                <w:sz w:val="22"/>
                <w:szCs w:val="24"/>
              </w:rPr>
              <w:t xml:space="preserve"> de 2021</w:t>
            </w:r>
          </w:p>
          <w:p w14:paraId="0072F71C" w14:textId="77777777" w:rsidR="00943B20" w:rsidRPr="0099727E" w:rsidRDefault="00943B20" w:rsidP="00BC0D90">
            <w:pPr>
              <w:ind w:left="567" w:right="49"/>
              <w:jc w:val="center"/>
              <w:rPr>
                <w:sz w:val="22"/>
                <w:szCs w:val="24"/>
              </w:rPr>
            </w:pPr>
            <w:r w:rsidRPr="0099727E">
              <w:rPr>
                <w:sz w:val="22"/>
                <w:szCs w:val="24"/>
              </w:rPr>
              <w:t>En porcentaje</w:t>
            </w:r>
          </w:p>
          <w:p w14:paraId="557E9A94" w14:textId="46E32DDE" w:rsidR="00943B20" w:rsidRPr="0099727E" w:rsidRDefault="00943B20" w:rsidP="004A1975">
            <w:pPr>
              <w:ind w:left="567" w:right="49"/>
              <w:jc w:val="center"/>
              <w:rPr>
                <w:noProof/>
                <w:sz w:val="24"/>
                <w:szCs w:val="24"/>
              </w:rPr>
            </w:pPr>
            <w:r w:rsidRPr="0099727E">
              <w:rPr>
                <w:noProof/>
                <w:sz w:val="24"/>
                <w:szCs w:val="24"/>
              </w:rPr>
              <w:t xml:space="preserve"> </w:t>
            </w:r>
            <w:r w:rsidR="00D87C90" w:rsidRPr="0099727E">
              <w:rPr>
                <w:noProof/>
              </w:rPr>
              <w:t xml:space="preserve">  </w:t>
            </w:r>
            <w:r w:rsidR="00D87C90" w:rsidRPr="0099727E">
              <w:rPr>
                <w:noProof/>
                <w:lang w:val="es-GT" w:eastAsia="es-GT"/>
              </w:rPr>
              <w:drawing>
                <wp:inline distT="0" distB="0" distL="0" distR="0" wp14:anchorId="77B0002D" wp14:editId="4740D594">
                  <wp:extent cx="5756275" cy="2344366"/>
                  <wp:effectExtent l="0" t="0" r="0" b="0"/>
                  <wp:docPr id="61" name="Gráfico 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6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FCFC73" w14:textId="74A0FDF0" w:rsidR="00943B20" w:rsidRPr="0099727E" w:rsidRDefault="00943B20" w:rsidP="0068552A">
            <w:pPr>
              <w:ind w:left="567" w:right="49"/>
              <w:rPr>
                <w:sz w:val="16"/>
                <w:szCs w:val="22"/>
              </w:rPr>
            </w:pPr>
            <w:r w:rsidRPr="0099727E">
              <w:rPr>
                <w:sz w:val="16"/>
                <w:szCs w:val="22"/>
              </w:rPr>
              <w:t xml:space="preserve">Fuente:  </w:t>
            </w:r>
            <w:r w:rsidR="00EF0CE5" w:rsidRPr="00EF0CE5">
              <w:rPr>
                <w:bCs/>
                <w:sz w:val="16"/>
                <w:szCs w:val="11"/>
              </w:rPr>
              <w:t xml:space="preserve"> Ministerio de Finanzas Públicas</w:t>
            </w:r>
            <w:r w:rsidR="00EF0CE5" w:rsidRPr="0099727E">
              <w:rPr>
                <w:sz w:val="16"/>
                <w:szCs w:val="22"/>
              </w:rPr>
              <w:t xml:space="preserve"> </w:t>
            </w:r>
            <w:r w:rsidRPr="0099727E">
              <w:rPr>
                <w:sz w:val="16"/>
                <w:szCs w:val="22"/>
              </w:rPr>
              <w:t>con información de JP Morgan</w:t>
            </w:r>
            <w:r w:rsidR="0068552A" w:rsidRPr="0099727E">
              <w:rPr>
                <w:sz w:val="16"/>
                <w:szCs w:val="22"/>
              </w:rPr>
              <w:t xml:space="preserve"> obtenida del Banco Central de </w:t>
            </w:r>
            <w:r w:rsidRPr="0099727E">
              <w:rPr>
                <w:sz w:val="16"/>
                <w:szCs w:val="22"/>
              </w:rPr>
              <w:t>la República Dominicana</w:t>
            </w:r>
          </w:p>
        </w:tc>
      </w:tr>
    </w:tbl>
    <w:p w14:paraId="168C7AB6" w14:textId="19B71BB9" w:rsidR="00246A61" w:rsidRDefault="00246A61" w:rsidP="00246A61">
      <w:pPr>
        <w:tabs>
          <w:tab w:val="left" w:pos="4005"/>
        </w:tabs>
        <w:rPr>
          <w:color w:val="FF0000"/>
          <w:sz w:val="24"/>
          <w:szCs w:val="24"/>
        </w:rPr>
      </w:pPr>
    </w:p>
    <w:p w14:paraId="20AF3AA3" w14:textId="77777777" w:rsidR="00AF7163" w:rsidRPr="0099727E" w:rsidRDefault="00AF7163" w:rsidP="00246A61">
      <w:pPr>
        <w:tabs>
          <w:tab w:val="left" w:pos="4005"/>
        </w:tabs>
        <w:rPr>
          <w:color w:val="FF0000"/>
          <w:sz w:val="24"/>
          <w:szCs w:val="24"/>
        </w:rPr>
      </w:pPr>
    </w:p>
    <w:p w14:paraId="264C447A" w14:textId="77777777" w:rsidR="00246A61" w:rsidRPr="0099727E" w:rsidRDefault="00246A61" w:rsidP="00246A61">
      <w:pPr>
        <w:pStyle w:val="Ttulo1"/>
        <w:widowControl/>
        <w:numPr>
          <w:ilvl w:val="0"/>
          <w:numId w:val="5"/>
        </w:numPr>
        <w:ind w:left="567" w:right="49"/>
        <w:jc w:val="left"/>
        <w:rPr>
          <w:b w:val="0"/>
          <w:color w:val="1F3864" w:themeColor="accent1" w:themeShade="80"/>
          <w:sz w:val="28"/>
          <w:szCs w:val="28"/>
        </w:rPr>
      </w:pPr>
      <w:bookmarkStart w:id="19" w:name="_Toc509214748"/>
      <w:bookmarkStart w:id="20" w:name="_Toc523294544"/>
      <w:bookmarkStart w:id="21" w:name="_Toc16519888"/>
      <w:bookmarkStart w:id="22" w:name="_Toc83302164"/>
      <w:r w:rsidRPr="0099727E">
        <w:rPr>
          <w:color w:val="1F3864" w:themeColor="accent1" w:themeShade="80"/>
          <w:sz w:val="28"/>
          <w:szCs w:val="28"/>
        </w:rPr>
        <w:lastRenderedPageBreak/>
        <w:t>Análisis de Sostenibilidad de la Deuda</w:t>
      </w:r>
      <w:bookmarkStart w:id="23" w:name="_Toc508979675"/>
      <w:bookmarkStart w:id="24" w:name="_Toc508980033"/>
      <w:bookmarkStart w:id="25" w:name="_Toc508980185"/>
      <w:bookmarkStart w:id="26" w:name="_Toc508981226"/>
      <w:bookmarkStart w:id="27" w:name="_Toc508982478"/>
      <w:bookmarkStart w:id="28" w:name="_Toc509213491"/>
      <w:bookmarkStart w:id="29" w:name="_Toc509213554"/>
      <w:bookmarkStart w:id="30" w:name="_Toc509213620"/>
      <w:bookmarkStart w:id="31" w:name="_Toc509213785"/>
      <w:bookmarkStart w:id="32" w:name="_Toc509214749"/>
      <w:bookmarkStart w:id="33" w:name="_Toc523208427"/>
      <w:bookmarkStart w:id="34" w:name="_Toc523208487"/>
      <w:bookmarkStart w:id="35" w:name="_Toc523209882"/>
      <w:bookmarkStart w:id="36" w:name="_Toc523210065"/>
      <w:bookmarkStart w:id="37" w:name="_Toc523225743"/>
      <w:bookmarkStart w:id="38" w:name="_Toc523229610"/>
      <w:bookmarkStart w:id="39" w:name="_Toc523247078"/>
      <w:bookmarkStart w:id="40" w:name="_Toc523294545"/>
      <w:bookmarkStart w:id="41" w:name="_Toc523208431"/>
      <w:bookmarkStart w:id="42" w:name="_Toc523208491"/>
      <w:bookmarkStart w:id="43" w:name="_Toc523209886"/>
      <w:bookmarkStart w:id="44" w:name="_Toc523210069"/>
      <w:bookmarkStart w:id="45" w:name="_Toc523225747"/>
      <w:bookmarkStart w:id="46" w:name="_Toc523229614"/>
      <w:bookmarkStart w:id="47" w:name="_Toc523247082"/>
      <w:bookmarkStart w:id="48" w:name="_Toc523294549"/>
      <w:bookmarkStart w:id="49" w:name="_Toc50921475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6EBC42D" w14:textId="77777777" w:rsidR="00246A61" w:rsidRPr="0099727E" w:rsidRDefault="00246A61" w:rsidP="00246A61">
      <w:pPr>
        <w:keepNext/>
        <w:ind w:left="567" w:right="49"/>
        <w:jc w:val="both"/>
        <w:outlineLvl w:val="2"/>
        <w:rPr>
          <w:b/>
          <w:color w:val="FF0000"/>
          <w:sz w:val="18"/>
          <w:szCs w:val="24"/>
        </w:rPr>
      </w:pPr>
    </w:p>
    <w:p w14:paraId="2DD1D39B" w14:textId="77777777" w:rsidR="00246A61" w:rsidRPr="0099727E" w:rsidRDefault="00246A61" w:rsidP="00246A61">
      <w:pPr>
        <w:pStyle w:val="Ttulo1"/>
        <w:widowControl/>
        <w:numPr>
          <w:ilvl w:val="1"/>
          <w:numId w:val="5"/>
        </w:numPr>
        <w:ind w:left="993" w:right="49"/>
        <w:jc w:val="left"/>
        <w:rPr>
          <w:b w:val="0"/>
          <w:color w:val="1F3864" w:themeColor="accent1" w:themeShade="80"/>
          <w:sz w:val="24"/>
          <w:szCs w:val="24"/>
        </w:rPr>
      </w:pPr>
      <w:bookmarkStart w:id="50" w:name="_Toc523294550"/>
      <w:bookmarkStart w:id="51" w:name="_Toc16519889"/>
      <w:bookmarkStart w:id="52" w:name="_Toc83302165"/>
      <w:r w:rsidRPr="0099727E">
        <w:rPr>
          <w:color w:val="1F3864" w:themeColor="accent1" w:themeShade="80"/>
          <w:sz w:val="24"/>
          <w:szCs w:val="24"/>
        </w:rPr>
        <w:t>Análisis de Mediano Plazo</w:t>
      </w:r>
      <w:bookmarkEnd w:id="49"/>
      <w:bookmarkEnd w:id="50"/>
      <w:bookmarkEnd w:id="51"/>
      <w:bookmarkEnd w:id="52"/>
    </w:p>
    <w:p w14:paraId="65AFB24E" w14:textId="77777777" w:rsidR="00246A61" w:rsidRPr="0099727E" w:rsidRDefault="00246A61" w:rsidP="00246A61">
      <w:pPr>
        <w:pStyle w:val="Sinespaciado"/>
        <w:ind w:left="567" w:right="49"/>
        <w:jc w:val="both"/>
        <w:rPr>
          <w:rFonts w:ascii="Times New Roman" w:hAnsi="Times New Roman"/>
          <w:color w:val="FF0000"/>
          <w:sz w:val="24"/>
          <w:szCs w:val="24"/>
          <w:lang w:val="es-MX"/>
        </w:rPr>
      </w:pPr>
    </w:p>
    <w:p w14:paraId="205841BD" w14:textId="77777777"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De acuerdo con el enfoque tradicional de acumulación de deuda, los cambios en la proporción deuda/PIB, son determinados por el diferencial entre el tipo de interés real implícito y la tasa de crecimiento del PIB, la variación del tipo de cambio, el saldo fiscal primario y los ajustes de flujos a stock, tales como el uso de recursos del gobierno en el Banco de Guatemala y el Pago de las Deficiencias Netas. Las simulaciones determinísticas sobre la trayectoria de las variables que integran una ecuación dan como resultado la proporción de deuda/PIB de referencia o acorde a los niveles de las variables consideradas en el análisis. </w:t>
      </w:r>
    </w:p>
    <w:p w14:paraId="74DEBC9C" w14:textId="77777777" w:rsidR="00F94BCC" w:rsidRPr="0099727E" w:rsidRDefault="00F94BCC" w:rsidP="00F94BCC">
      <w:pPr>
        <w:pStyle w:val="Sinespaciado"/>
        <w:ind w:left="567" w:right="49"/>
        <w:jc w:val="both"/>
        <w:rPr>
          <w:rFonts w:ascii="Times New Roman" w:hAnsi="Times New Roman"/>
          <w:sz w:val="24"/>
          <w:szCs w:val="24"/>
          <w:lang w:val="es-MX"/>
        </w:rPr>
      </w:pPr>
    </w:p>
    <w:p w14:paraId="1FF69B6B" w14:textId="77777777"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Las previsiones macroeconómicas, financieras y fiscales preliminares</w:t>
      </w:r>
      <w:r w:rsidRPr="0099727E">
        <w:rPr>
          <w:rStyle w:val="Refdenotaalpie"/>
          <w:rFonts w:ascii="Times New Roman" w:hAnsi="Times New Roman"/>
          <w:sz w:val="24"/>
          <w:szCs w:val="24"/>
          <w:lang w:val="es-MX"/>
        </w:rPr>
        <w:footnoteReference w:id="1"/>
      </w:r>
      <w:r w:rsidRPr="0099727E">
        <w:rPr>
          <w:rFonts w:ascii="Times New Roman" w:hAnsi="Times New Roman"/>
          <w:sz w:val="24"/>
          <w:szCs w:val="24"/>
          <w:lang w:val="es-MX"/>
        </w:rPr>
        <w:t xml:space="preserve"> dan como resultado la trayectoria base para 2021-2026, utilizan para el efecto las previsiones macroeconómicas y fiscales hasta 2026, tomadas de la última actualización de las proyecciones macroeconómicas elaboradas por el Banco de Guatemala (abril 2021), así como el escenario fiscal de mediano plazo. Los supuestos que se utilizaron son los siguientes:</w:t>
      </w:r>
    </w:p>
    <w:p w14:paraId="52B51D54" w14:textId="77777777" w:rsidR="00F94BCC" w:rsidRPr="0099727E" w:rsidRDefault="00F94BCC" w:rsidP="00F94BCC">
      <w:pPr>
        <w:pStyle w:val="Sinespaciado"/>
        <w:ind w:left="567" w:right="49"/>
        <w:jc w:val="both"/>
        <w:rPr>
          <w:rFonts w:ascii="Times New Roman" w:hAnsi="Times New Roman"/>
          <w:sz w:val="24"/>
          <w:szCs w:val="24"/>
          <w:lang w:val="es-MX"/>
        </w:rPr>
      </w:pPr>
    </w:p>
    <w:p w14:paraId="093307F8" w14:textId="77777777" w:rsidR="00F94BCC" w:rsidRPr="0099727E" w:rsidRDefault="00F94BCC" w:rsidP="00555124">
      <w:pPr>
        <w:pStyle w:val="Sinespaciado"/>
        <w:numPr>
          <w:ilvl w:val="0"/>
          <w:numId w:val="6"/>
        </w:numPr>
        <w:ind w:left="1276" w:right="49"/>
        <w:jc w:val="both"/>
        <w:rPr>
          <w:rFonts w:ascii="Times New Roman" w:hAnsi="Times New Roman"/>
          <w:sz w:val="24"/>
          <w:szCs w:val="24"/>
          <w:lang w:val="es-MX"/>
        </w:rPr>
      </w:pPr>
      <w:r w:rsidRPr="0099727E">
        <w:rPr>
          <w:rFonts w:ascii="Times New Roman" w:hAnsi="Times New Roman"/>
          <w:sz w:val="24"/>
          <w:szCs w:val="24"/>
          <w:lang w:val="es-MX"/>
        </w:rPr>
        <w:t>El crecimiento real del PIB está basado en el crecimiento estimado por el Banco de Guatemala, donde se asume que este se ubicará en el escenario bajo de las proyecciones de esta entidad.</w:t>
      </w:r>
    </w:p>
    <w:p w14:paraId="05C57084" w14:textId="77777777" w:rsidR="00F94BCC" w:rsidRPr="0099727E" w:rsidRDefault="00F94BCC" w:rsidP="00555124">
      <w:pPr>
        <w:pStyle w:val="Sinespaciado"/>
        <w:numPr>
          <w:ilvl w:val="0"/>
          <w:numId w:val="6"/>
        </w:numPr>
        <w:ind w:left="1276" w:right="49"/>
        <w:jc w:val="both"/>
        <w:rPr>
          <w:rFonts w:ascii="Times New Roman" w:hAnsi="Times New Roman"/>
          <w:sz w:val="24"/>
          <w:szCs w:val="24"/>
          <w:lang w:val="es-MX"/>
        </w:rPr>
      </w:pPr>
      <w:r w:rsidRPr="0099727E">
        <w:rPr>
          <w:rFonts w:ascii="Times New Roman" w:hAnsi="Times New Roman"/>
          <w:sz w:val="24"/>
          <w:szCs w:val="24"/>
          <w:lang w:val="es-MX"/>
        </w:rPr>
        <w:t>La tasa de inflación (y el deflactor del PIB) convergen a un 3.0 % en el período indicado, en el límite inferior de la meta del Banco Central, generando una brecha constante entre crecimiento real y nominal.</w:t>
      </w:r>
    </w:p>
    <w:p w14:paraId="027A2D02" w14:textId="77777777" w:rsidR="00F94BCC" w:rsidRPr="0099727E" w:rsidRDefault="00F94BCC" w:rsidP="00555124">
      <w:pPr>
        <w:pStyle w:val="Sinespaciado"/>
        <w:numPr>
          <w:ilvl w:val="0"/>
          <w:numId w:val="6"/>
        </w:numPr>
        <w:ind w:left="1276" w:right="49"/>
        <w:jc w:val="both"/>
        <w:rPr>
          <w:rFonts w:ascii="Times New Roman" w:hAnsi="Times New Roman"/>
          <w:sz w:val="24"/>
          <w:szCs w:val="24"/>
          <w:lang w:val="es-MX"/>
        </w:rPr>
      </w:pPr>
      <w:r w:rsidRPr="0099727E">
        <w:rPr>
          <w:rFonts w:ascii="Times New Roman" w:hAnsi="Times New Roman"/>
          <w:sz w:val="24"/>
          <w:szCs w:val="24"/>
          <w:lang w:val="es-MX"/>
        </w:rPr>
        <w:t>El gasto en pago de intereses de deuda (r) está calculado como la suma ponderada de los distintos instrumentos de deuda con diferente madurez.</w:t>
      </w:r>
    </w:p>
    <w:p w14:paraId="241D49EB" w14:textId="77777777" w:rsidR="00F94BCC" w:rsidRPr="0099727E" w:rsidRDefault="00F94BCC" w:rsidP="00555124">
      <w:pPr>
        <w:pStyle w:val="Sinespaciado"/>
        <w:numPr>
          <w:ilvl w:val="0"/>
          <w:numId w:val="6"/>
        </w:numPr>
        <w:ind w:left="1276" w:right="49"/>
        <w:jc w:val="both"/>
        <w:rPr>
          <w:rFonts w:ascii="Times New Roman" w:hAnsi="Times New Roman"/>
          <w:sz w:val="24"/>
          <w:szCs w:val="24"/>
          <w:lang w:val="es-MX"/>
        </w:rPr>
      </w:pPr>
      <w:r w:rsidRPr="0099727E">
        <w:rPr>
          <w:rFonts w:ascii="Times New Roman" w:hAnsi="Times New Roman"/>
          <w:sz w:val="24"/>
          <w:szCs w:val="24"/>
          <w:lang w:val="es-MX"/>
        </w:rPr>
        <w:t>El saldo fiscal primario (Sp) se obtiene de las operaciones de ingresos y gastos que se proyectan en el presupuesto de mediano plazo</w:t>
      </w:r>
    </w:p>
    <w:p w14:paraId="3D5AFF9D" w14:textId="77777777" w:rsidR="00287546" w:rsidRDefault="00287546" w:rsidP="00F94BCC">
      <w:pPr>
        <w:pStyle w:val="Sinespaciado"/>
        <w:ind w:left="567" w:right="49"/>
        <w:jc w:val="both"/>
        <w:rPr>
          <w:rFonts w:ascii="Times New Roman" w:hAnsi="Times New Roman"/>
          <w:sz w:val="24"/>
          <w:szCs w:val="24"/>
          <w:lang w:val="es-MX"/>
        </w:rPr>
      </w:pPr>
    </w:p>
    <w:p w14:paraId="0D6AB003" w14:textId="6704C734"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Con base a esa información, se realizó un análisis para observar las contribuciones de los determinantes macro fiscales en el cambio de la deuda pública. Se observa que para 2021, el incremento relativo de la deuda es positivo (0.</w:t>
      </w:r>
      <w:r w:rsidR="00836698" w:rsidRPr="0099727E">
        <w:rPr>
          <w:rFonts w:ascii="Times New Roman" w:hAnsi="Times New Roman"/>
          <w:sz w:val="24"/>
          <w:szCs w:val="24"/>
          <w:lang w:val="es-MX"/>
        </w:rPr>
        <w:t>3</w:t>
      </w:r>
      <w:r w:rsidRPr="0099727E">
        <w:rPr>
          <w:rFonts w:ascii="Times New Roman" w:hAnsi="Times New Roman"/>
          <w:sz w:val="24"/>
          <w:szCs w:val="24"/>
          <w:lang w:val="es-MX"/>
        </w:rPr>
        <w:t xml:space="preserve"> puntos porcentuales del PIB), mostrando una reducción de la política fiscal expansiva del año 2020 para mitigar los efectos económicos negativos del COVID-19. </w:t>
      </w:r>
    </w:p>
    <w:p w14:paraId="50EF288C" w14:textId="77777777" w:rsidR="00F94BCC" w:rsidRPr="0099727E" w:rsidRDefault="00F94BCC" w:rsidP="00F94BCC">
      <w:pPr>
        <w:pStyle w:val="Sinespaciado"/>
        <w:ind w:left="567" w:right="49"/>
        <w:jc w:val="both"/>
        <w:rPr>
          <w:rFonts w:ascii="Times New Roman" w:hAnsi="Times New Roman"/>
          <w:sz w:val="24"/>
          <w:szCs w:val="24"/>
          <w:lang w:val="es-MX"/>
        </w:rPr>
      </w:pPr>
    </w:p>
    <w:p w14:paraId="01F36B50" w14:textId="3776C00E"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Por su parte, para 2022, también se prevé un</w:t>
      </w:r>
      <w:r w:rsidR="00836698" w:rsidRPr="0099727E">
        <w:rPr>
          <w:rFonts w:ascii="Times New Roman" w:hAnsi="Times New Roman"/>
          <w:sz w:val="24"/>
          <w:szCs w:val="24"/>
          <w:lang w:val="es-MX"/>
        </w:rPr>
        <w:t>a</w:t>
      </w:r>
      <w:r w:rsidRPr="0099727E">
        <w:rPr>
          <w:rFonts w:ascii="Times New Roman" w:hAnsi="Times New Roman"/>
          <w:sz w:val="24"/>
          <w:szCs w:val="24"/>
          <w:lang w:val="es-MX"/>
        </w:rPr>
        <w:t xml:space="preserve"> </w:t>
      </w:r>
      <w:r w:rsidR="00836698" w:rsidRPr="0099727E">
        <w:rPr>
          <w:rFonts w:ascii="Times New Roman" w:hAnsi="Times New Roman"/>
          <w:sz w:val="24"/>
          <w:szCs w:val="24"/>
          <w:lang w:val="es-MX"/>
        </w:rPr>
        <w:t>disminución</w:t>
      </w:r>
      <w:r w:rsidRPr="0099727E">
        <w:rPr>
          <w:rFonts w:ascii="Times New Roman" w:hAnsi="Times New Roman"/>
          <w:sz w:val="24"/>
          <w:szCs w:val="24"/>
          <w:lang w:val="es-MX"/>
        </w:rPr>
        <w:t xml:space="preserve"> relativ</w:t>
      </w:r>
      <w:r w:rsidR="00836698" w:rsidRPr="0099727E">
        <w:rPr>
          <w:rFonts w:ascii="Times New Roman" w:hAnsi="Times New Roman"/>
          <w:sz w:val="24"/>
          <w:szCs w:val="24"/>
          <w:lang w:val="es-MX"/>
        </w:rPr>
        <w:t>a</w:t>
      </w:r>
      <w:r w:rsidRPr="0099727E">
        <w:rPr>
          <w:rFonts w:ascii="Times New Roman" w:hAnsi="Times New Roman"/>
          <w:sz w:val="24"/>
          <w:szCs w:val="24"/>
          <w:lang w:val="es-MX"/>
        </w:rPr>
        <w:t xml:space="preserve"> de la deuda (0.</w:t>
      </w:r>
      <w:r w:rsidR="00836698" w:rsidRPr="0099727E">
        <w:rPr>
          <w:rFonts w:ascii="Times New Roman" w:hAnsi="Times New Roman"/>
          <w:sz w:val="24"/>
          <w:szCs w:val="24"/>
          <w:lang w:val="es-MX"/>
        </w:rPr>
        <w:t>2</w:t>
      </w:r>
      <w:r w:rsidRPr="0099727E">
        <w:rPr>
          <w:rFonts w:ascii="Times New Roman" w:hAnsi="Times New Roman"/>
          <w:sz w:val="24"/>
          <w:szCs w:val="24"/>
          <w:lang w:val="es-MX"/>
        </w:rPr>
        <w:t xml:space="preserve"> puntos porcentuales del PIB), el cual se explica principalmente por un déficit primario estimado de </w:t>
      </w:r>
      <w:r w:rsidR="00836698" w:rsidRPr="0099727E">
        <w:rPr>
          <w:rFonts w:ascii="Times New Roman" w:hAnsi="Times New Roman"/>
          <w:sz w:val="24"/>
          <w:szCs w:val="24"/>
          <w:lang w:val="es-MX"/>
        </w:rPr>
        <w:t>1.0</w:t>
      </w:r>
      <w:r w:rsidRPr="0099727E">
        <w:rPr>
          <w:rFonts w:ascii="Times New Roman" w:hAnsi="Times New Roman"/>
          <w:sz w:val="24"/>
          <w:szCs w:val="24"/>
          <w:lang w:val="es-MX"/>
        </w:rPr>
        <w:t>% con respecto al PIB.  Asimismo</w:t>
      </w:r>
      <w:r w:rsidR="00E837FB" w:rsidRPr="0099727E">
        <w:rPr>
          <w:rFonts w:ascii="Times New Roman" w:hAnsi="Times New Roman"/>
          <w:sz w:val="24"/>
          <w:szCs w:val="24"/>
          <w:lang w:val="es-MX"/>
        </w:rPr>
        <w:t>, en los años 2023-2026 se prono</w:t>
      </w:r>
      <w:r w:rsidRPr="0099727E">
        <w:rPr>
          <w:rFonts w:ascii="Times New Roman" w:hAnsi="Times New Roman"/>
          <w:sz w:val="24"/>
          <w:szCs w:val="24"/>
          <w:lang w:val="es-MX"/>
        </w:rPr>
        <w:t>stica que el crecimiento de la deuda con respecto al PIB se desacelere gradualmente en la medida en que los gastos se</w:t>
      </w:r>
      <w:r w:rsidR="004A1975" w:rsidRPr="0099727E">
        <w:rPr>
          <w:rFonts w:ascii="Times New Roman" w:hAnsi="Times New Roman"/>
          <w:sz w:val="24"/>
          <w:szCs w:val="24"/>
          <w:lang w:val="es-MX"/>
        </w:rPr>
        <w:t xml:space="preserve"> ajusten a la baja y se obtengan </w:t>
      </w:r>
      <w:r w:rsidRPr="0099727E">
        <w:rPr>
          <w:rFonts w:ascii="Times New Roman" w:hAnsi="Times New Roman"/>
          <w:sz w:val="24"/>
          <w:szCs w:val="24"/>
          <w:lang w:val="es-MX"/>
        </w:rPr>
        <w:t>mayor</w:t>
      </w:r>
      <w:r w:rsidR="004A1975" w:rsidRPr="0099727E">
        <w:rPr>
          <w:rFonts w:ascii="Times New Roman" w:hAnsi="Times New Roman"/>
          <w:sz w:val="24"/>
          <w:szCs w:val="24"/>
          <w:lang w:val="es-MX"/>
        </w:rPr>
        <w:t>es</w:t>
      </w:r>
      <w:r w:rsidRPr="0099727E">
        <w:rPr>
          <w:rFonts w:ascii="Times New Roman" w:hAnsi="Times New Roman"/>
          <w:sz w:val="24"/>
          <w:szCs w:val="24"/>
          <w:lang w:val="es-MX"/>
        </w:rPr>
        <w:t xml:space="preserve"> ingresos fiscales, que permita reducir el déficit y el incremento interanual de la deuda al punto que en 2026 la relación deuda/PIB </w:t>
      </w:r>
      <w:r w:rsidR="00836698" w:rsidRPr="0099727E">
        <w:rPr>
          <w:rFonts w:ascii="Times New Roman" w:hAnsi="Times New Roman"/>
          <w:sz w:val="24"/>
          <w:szCs w:val="24"/>
          <w:lang w:val="es-MX"/>
        </w:rPr>
        <w:t xml:space="preserve">se encuentre en </w:t>
      </w:r>
      <w:r w:rsidR="00C73F55">
        <w:rPr>
          <w:rFonts w:ascii="Times New Roman" w:hAnsi="Times New Roman"/>
          <w:sz w:val="24"/>
          <w:szCs w:val="24"/>
          <w:lang w:val="es-MX"/>
        </w:rPr>
        <w:t>31.3</w:t>
      </w:r>
      <w:r w:rsidR="00836698" w:rsidRPr="0099727E">
        <w:rPr>
          <w:rFonts w:ascii="Times New Roman" w:hAnsi="Times New Roman"/>
          <w:sz w:val="24"/>
          <w:szCs w:val="24"/>
          <w:lang w:val="es-MX"/>
        </w:rPr>
        <w:t>%.</w:t>
      </w:r>
    </w:p>
    <w:p w14:paraId="7268977A" w14:textId="77777777" w:rsidR="00F94BCC" w:rsidRPr="0099727E" w:rsidRDefault="00F94BCC" w:rsidP="00F94BCC">
      <w:pPr>
        <w:pStyle w:val="Sinespaciado"/>
        <w:ind w:right="49"/>
        <w:jc w:val="both"/>
        <w:rPr>
          <w:rFonts w:ascii="Times New Roman" w:hAnsi="Times New Roman"/>
          <w:sz w:val="24"/>
          <w:szCs w:val="24"/>
          <w:lang w:val="es-MX"/>
        </w:rPr>
      </w:pPr>
    </w:p>
    <w:p w14:paraId="220B3D72" w14:textId="389BA29E" w:rsidR="00002D39" w:rsidRDefault="00F94BCC" w:rsidP="00CC7AC6">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lastRenderedPageBreak/>
        <w:t xml:space="preserve">Para el período 2021-2026, la dinámica de la deuda será levemente creciente, causado primero por la reducción gradual del déficit primario en 2021-2022 y, segundo, por una normalización a un nivel previo de la pandemia para el gasto en los años siguientes. </w:t>
      </w:r>
      <w:r w:rsidR="008110FB" w:rsidRPr="0099727E">
        <w:rPr>
          <w:rFonts w:ascii="Times New Roman" w:hAnsi="Times New Roman"/>
          <w:sz w:val="24"/>
          <w:szCs w:val="24"/>
          <w:lang w:val="es-MX"/>
        </w:rPr>
        <w:t>La disminución</w:t>
      </w:r>
      <w:r w:rsidRPr="0099727E">
        <w:rPr>
          <w:rFonts w:ascii="Times New Roman" w:hAnsi="Times New Roman"/>
          <w:sz w:val="24"/>
          <w:szCs w:val="24"/>
          <w:lang w:val="es-MX"/>
        </w:rPr>
        <w:t xml:space="preserve"> acumulad</w:t>
      </w:r>
      <w:r w:rsidR="008110FB" w:rsidRPr="0099727E">
        <w:rPr>
          <w:rFonts w:ascii="Times New Roman" w:hAnsi="Times New Roman"/>
          <w:sz w:val="24"/>
          <w:szCs w:val="24"/>
          <w:lang w:val="es-MX"/>
        </w:rPr>
        <w:t>a</w:t>
      </w:r>
      <w:r w:rsidRPr="0099727E">
        <w:rPr>
          <w:rFonts w:ascii="Times New Roman" w:hAnsi="Times New Roman"/>
          <w:sz w:val="24"/>
          <w:szCs w:val="24"/>
          <w:lang w:val="es-MX"/>
        </w:rPr>
        <w:t xml:space="preserve"> en 2026 es de </w:t>
      </w:r>
      <w:r w:rsidR="008110FB" w:rsidRPr="0099727E">
        <w:rPr>
          <w:rFonts w:ascii="Times New Roman" w:hAnsi="Times New Roman"/>
          <w:sz w:val="24"/>
          <w:szCs w:val="24"/>
          <w:lang w:val="es-MX"/>
        </w:rPr>
        <w:t>0.</w:t>
      </w:r>
      <w:r w:rsidR="00C73F55">
        <w:rPr>
          <w:rFonts w:ascii="Times New Roman" w:hAnsi="Times New Roman"/>
          <w:sz w:val="24"/>
          <w:szCs w:val="24"/>
          <w:lang w:val="es-MX"/>
        </w:rPr>
        <w:t>3</w:t>
      </w:r>
      <w:r w:rsidRPr="0099727E">
        <w:rPr>
          <w:rFonts w:ascii="Times New Roman" w:hAnsi="Times New Roman"/>
          <w:sz w:val="24"/>
          <w:szCs w:val="24"/>
          <w:lang w:val="es-MX"/>
        </w:rPr>
        <w:t xml:space="preserve"> puntos porcentuales del PIB con respecto al 2020. Asimismo, el tipo de cambio se prevé se mantenga estable en torno a un límite superior de Q7.80 x US$1.00 en el referido periodo. Es importante indicar que, es necesario que el crecimiento económico se ubique por encima de la tasa de interés real favoreciendo con ello la estabilidad en la dinámica de la deuda.</w:t>
      </w:r>
    </w:p>
    <w:p w14:paraId="45BA4AC2" w14:textId="77777777" w:rsidR="00AF7163" w:rsidRPr="0099727E" w:rsidRDefault="00AF7163" w:rsidP="00CC7AC6">
      <w:pPr>
        <w:pStyle w:val="Sinespaciado"/>
        <w:ind w:left="567" w:right="49"/>
        <w:jc w:val="both"/>
        <w:rPr>
          <w:rFonts w:ascii="Times New Roman" w:hAnsi="Times New Roman"/>
          <w:sz w:val="24"/>
          <w:szCs w:val="24"/>
          <w:lang w:val="es-MX"/>
        </w:rPr>
      </w:pPr>
    </w:p>
    <w:tbl>
      <w:tblPr>
        <w:tblStyle w:val="Tablaconcuadrcula"/>
        <w:tblW w:w="9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824"/>
      </w:tblGrid>
      <w:tr w:rsidR="00F94BCC" w:rsidRPr="0099727E" w14:paraId="1FB2896D" w14:textId="77777777" w:rsidTr="00C73F55">
        <w:trPr>
          <w:trHeight w:val="4472"/>
          <w:jc w:val="center"/>
        </w:trPr>
        <w:tc>
          <w:tcPr>
            <w:tcW w:w="9291" w:type="dxa"/>
          </w:tcPr>
          <w:p w14:paraId="0F55A2C3" w14:textId="206C1F98" w:rsidR="00F94BCC" w:rsidRPr="0099727E" w:rsidRDefault="00CC7AC6" w:rsidP="00BC0D90">
            <w:pPr>
              <w:pStyle w:val="Epgrafe"/>
              <w:keepNext/>
              <w:ind w:left="567" w:right="49"/>
              <w:rPr>
                <w:color w:val="auto"/>
                <w:sz w:val="24"/>
                <w:szCs w:val="24"/>
              </w:rPr>
            </w:pPr>
            <w:r>
              <w:rPr>
                <w:color w:val="auto"/>
                <w:sz w:val="24"/>
                <w:szCs w:val="24"/>
              </w:rPr>
              <w:t>Gráfica 29</w:t>
            </w:r>
            <w:r w:rsidR="00814706" w:rsidRPr="0099727E">
              <w:rPr>
                <w:color w:val="auto"/>
                <w:sz w:val="24"/>
                <w:szCs w:val="24"/>
              </w:rPr>
              <w:t xml:space="preserve">.  </w:t>
            </w:r>
            <w:r w:rsidR="00F94BCC" w:rsidRPr="0099727E">
              <w:rPr>
                <w:color w:val="auto"/>
                <w:sz w:val="24"/>
                <w:szCs w:val="24"/>
              </w:rPr>
              <w:t>Flujos creados de Deuda Pública</w:t>
            </w:r>
          </w:p>
          <w:p w14:paraId="6351D05B" w14:textId="77777777" w:rsidR="00F94BCC" w:rsidRPr="0099727E" w:rsidRDefault="00F94BCC" w:rsidP="00BC0D90">
            <w:pPr>
              <w:ind w:left="567" w:right="49"/>
              <w:jc w:val="center"/>
              <w:rPr>
                <w:sz w:val="22"/>
                <w:szCs w:val="24"/>
              </w:rPr>
            </w:pPr>
            <w:r w:rsidRPr="0099727E">
              <w:rPr>
                <w:sz w:val="22"/>
                <w:szCs w:val="24"/>
              </w:rPr>
              <w:t>En porcentaje del PIB</w:t>
            </w:r>
          </w:p>
          <w:p w14:paraId="54B311C4" w14:textId="36722F21" w:rsidR="00F94BCC" w:rsidRPr="0099727E" w:rsidRDefault="00C73F55" w:rsidP="00BC0D90">
            <w:pPr>
              <w:ind w:left="567" w:right="49"/>
              <w:jc w:val="center"/>
              <w:rPr>
                <w:noProof/>
                <w:sz w:val="24"/>
                <w:szCs w:val="24"/>
              </w:rPr>
            </w:pPr>
            <w:r>
              <w:rPr>
                <w:noProof/>
                <w:lang w:val="es-GT" w:eastAsia="es-GT"/>
              </w:rPr>
              <w:drawing>
                <wp:inline distT="0" distB="0" distL="0" distR="0" wp14:anchorId="5586DD41" wp14:editId="6C48F8DB">
                  <wp:extent cx="5758774" cy="3297677"/>
                  <wp:effectExtent l="0" t="0" r="0" b="0"/>
                  <wp:docPr id="17" name="Gráfico 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F94BCC" w:rsidRPr="0099727E">
              <w:rPr>
                <w:noProof/>
              </w:rPr>
              <w:t xml:space="preserve"> </w:t>
            </w:r>
            <w:r w:rsidR="00F94BCC" w:rsidRPr="0099727E">
              <w:rPr>
                <w:noProof/>
                <w:sz w:val="24"/>
                <w:szCs w:val="24"/>
              </w:rPr>
              <w:t xml:space="preserve"> </w:t>
            </w:r>
          </w:p>
          <w:p w14:paraId="74BD7CD1" w14:textId="4450D03C" w:rsidR="00F94BCC" w:rsidRPr="0099727E" w:rsidRDefault="00F94BCC" w:rsidP="00BC0D90">
            <w:pPr>
              <w:ind w:left="567" w:right="49"/>
              <w:rPr>
                <w:szCs w:val="22"/>
              </w:rPr>
            </w:pPr>
            <w:r w:rsidRPr="0099727E">
              <w:rPr>
                <w:szCs w:val="22"/>
              </w:rPr>
              <w:t xml:space="preserve">           </w:t>
            </w:r>
            <w:r w:rsidRPr="0099727E">
              <w:rPr>
                <w:sz w:val="16"/>
                <w:szCs w:val="22"/>
              </w:rPr>
              <w:t xml:space="preserve">Fuente: </w:t>
            </w:r>
            <w:r w:rsidR="00EF0CE5" w:rsidRPr="00EF0CE5">
              <w:rPr>
                <w:bCs/>
                <w:sz w:val="16"/>
                <w:szCs w:val="11"/>
              </w:rPr>
              <w:t>Ministerio de Finanzas Públicas</w:t>
            </w:r>
            <w:r w:rsidR="00EF0CE5" w:rsidRPr="0099727E">
              <w:rPr>
                <w:sz w:val="16"/>
                <w:szCs w:val="22"/>
              </w:rPr>
              <w:t xml:space="preserve"> </w:t>
            </w:r>
            <w:r w:rsidRPr="0099727E">
              <w:rPr>
                <w:sz w:val="16"/>
                <w:szCs w:val="22"/>
              </w:rPr>
              <w:t>con metodología del FMI</w:t>
            </w:r>
          </w:p>
          <w:p w14:paraId="246A5E5B" w14:textId="77777777" w:rsidR="00F94BCC" w:rsidRPr="0099727E" w:rsidRDefault="00F94BCC" w:rsidP="00BC0D90">
            <w:pPr>
              <w:ind w:left="567" w:right="49"/>
              <w:rPr>
                <w:sz w:val="24"/>
                <w:szCs w:val="24"/>
              </w:rPr>
            </w:pPr>
          </w:p>
        </w:tc>
      </w:tr>
    </w:tbl>
    <w:p w14:paraId="2C57BCB0" w14:textId="77777777" w:rsidR="00002D39" w:rsidRPr="00CC7AC6" w:rsidRDefault="00002D39" w:rsidP="00CC7AC6">
      <w:pPr>
        <w:pStyle w:val="Sinespaciado"/>
        <w:ind w:right="49"/>
        <w:jc w:val="both"/>
        <w:rPr>
          <w:rFonts w:ascii="Times New Roman" w:hAnsi="Times New Roman"/>
          <w:sz w:val="6"/>
          <w:szCs w:val="24"/>
          <w:lang w:val="es-MX"/>
        </w:rPr>
      </w:pPr>
    </w:p>
    <w:p w14:paraId="5E2A534C" w14:textId="0F8705E6" w:rsidR="004D12AF" w:rsidRPr="0099727E" w:rsidRDefault="004D12AF" w:rsidP="004D12AF">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Lo anterior da como resultado que, en términos acumulados, en el período 2021-2026, la deuda pública aumente ligeramente, por lo que se esperaría que el nivel de la deuda pública para el cierre de 2021 se ubique en </w:t>
      </w:r>
      <w:r w:rsidR="00F434A3" w:rsidRPr="0099727E">
        <w:rPr>
          <w:rFonts w:ascii="Times New Roman" w:hAnsi="Times New Roman"/>
          <w:sz w:val="24"/>
          <w:szCs w:val="24"/>
          <w:lang w:val="es-MX"/>
        </w:rPr>
        <w:t>31.9</w:t>
      </w:r>
      <w:r w:rsidRPr="0099727E">
        <w:rPr>
          <w:rFonts w:ascii="Times New Roman" w:hAnsi="Times New Roman"/>
          <w:sz w:val="24"/>
          <w:szCs w:val="24"/>
          <w:lang w:val="es-MX"/>
        </w:rPr>
        <w:t xml:space="preserve">% del PIB, en 2022 </w:t>
      </w:r>
      <w:r w:rsidR="00F434A3" w:rsidRPr="0099727E">
        <w:rPr>
          <w:rFonts w:ascii="Times New Roman" w:hAnsi="Times New Roman"/>
          <w:sz w:val="24"/>
          <w:szCs w:val="24"/>
          <w:lang w:val="es-MX"/>
        </w:rPr>
        <w:t>disminuya</w:t>
      </w:r>
      <w:r w:rsidRPr="0099727E">
        <w:rPr>
          <w:rFonts w:ascii="Times New Roman" w:hAnsi="Times New Roman"/>
          <w:sz w:val="24"/>
          <w:szCs w:val="24"/>
          <w:lang w:val="es-MX"/>
        </w:rPr>
        <w:t xml:space="preserve"> a 3</w:t>
      </w:r>
      <w:r w:rsidR="00F434A3" w:rsidRPr="0099727E">
        <w:rPr>
          <w:rFonts w:ascii="Times New Roman" w:hAnsi="Times New Roman"/>
          <w:sz w:val="24"/>
          <w:szCs w:val="24"/>
          <w:lang w:val="es-MX"/>
        </w:rPr>
        <w:t>1</w:t>
      </w:r>
      <w:r w:rsidRPr="0099727E">
        <w:rPr>
          <w:rFonts w:ascii="Times New Roman" w:hAnsi="Times New Roman"/>
          <w:sz w:val="24"/>
          <w:szCs w:val="24"/>
          <w:lang w:val="es-MX"/>
        </w:rPr>
        <w:t>.</w:t>
      </w:r>
      <w:r w:rsidR="00F434A3" w:rsidRPr="0099727E">
        <w:rPr>
          <w:rFonts w:ascii="Times New Roman" w:hAnsi="Times New Roman"/>
          <w:sz w:val="24"/>
          <w:szCs w:val="24"/>
          <w:lang w:val="es-MX"/>
        </w:rPr>
        <w:t>7</w:t>
      </w:r>
      <w:r w:rsidRPr="0099727E">
        <w:rPr>
          <w:rFonts w:ascii="Times New Roman" w:hAnsi="Times New Roman"/>
          <w:sz w:val="24"/>
          <w:szCs w:val="24"/>
          <w:lang w:val="es-MX"/>
        </w:rPr>
        <w:t>% y se espera que para 2026 se encuentre alrededor de 31.</w:t>
      </w:r>
      <w:r w:rsidR="00146F07">
        <w:rPr>
          <w:rFonts w:ascii="Times New Roman" w:hAnsi="Times New Roman"/>
          <w:sz w:val="24"/>
          <w:szCs w:val="24"/>
          <w:lang w:val="es-MX"/>
        </w:rPr>
        <w:t>3</w:t>
      </w:r>
      <w:r w:rsidRPr="0099727E">
        <w:rPr>
          <w:rFonts w:ascii="Times New Roman" w:hAnsi="Times New Roman"/>
          <w:sz w:val="24"/>
          <w:szCs w:val="24"/>
          <w:lang w:val="es-MX"/>
        </w:rPr>
        <w:t>% del PIB.</w:t>
      </w:r>
    </w:p>
    <w:p w14:paraId="18CA7C34" w14:textId="77777777" w:rsidR="004D12AF" w:rsidRPr="0099727E" w:rsidRDefault="004D12AF" w:rsidP="004D12AF">
      <w:pPr>
        <w:pStyle w:val="Sinespaciado"/>
        <w:ind w:left="567" w:right="49"/>
        <w:jc w:val="both"/>
        <w:rPr>
          <w:rFonts w:ascii="Times New Roman" w:hAnsi="Times New Roman"/>
          <w:sz w:val="24"/>
          <w:szCs w:val="24"/>
          <w:lang w:val="es-MX"/>
        </w:rPr>
      </w:pPr>
    </w:p>
    <w:p w14:paraId="2B0B9874" w14:textId="77777777" w:rsidR="004D12AF" w:rsidRPr="0099727E" w:rsidRDefault="004D12AF" w:rsidP="004D12AF">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Considerando que persiste cierta incertidumbre en los mercados externos, aunque de manera relativamente moderada, dicha incertidumbre puede tener efectos sobre la actividad económica nacional, principalmente en las variables macroeconómicas que tienen incidencia en las cuentas fiscales, especialmente en la dinámica de la deuda pública. Se consideró para el efecto la construcción de algunas pruebas de tensión para determinar cómo evolucionaría la deuda en el mediano plazo ante choques que podrían producirse en el mercado externo o dentro de la economía nacional.   </w:t>
      </w:r>
    </w:p>
    <w:p w14:paraId="5FAF2BA5" w14:textId="77777777" w:rsidR="004D12AF" w:rsidRPr="0099727E" w:rsidRDefault="004D12AF" w:rsidP="00F94BCC">
      <w:pPr>
        <w:pStyle w:val="Sinespaciado"/>
        <w:ind w:left="567" w:right="49"/>
        <w:jc w:val="both"/>
        <w:rPr>
          <w:rFonts w:ascii="Times New Roman" w:hAnsi="Times New Roman"/>
          <w:sz w:val="24"/>
          <w:szCs w:val="24"/>
          <w:lang w:val="es-MX"/>
        </w:rPr>
      </w:pPr>
    </w:p>
    <w:p w14:paraId="1F4ECF33" w14:textId="15FB2B0C"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De esa cuenta, tomando como referencia la metodología utilizada en el Framework </w:t>
      </w:r>
      <w:r w:rsidRPr="0099727E">
        <w:rPr>
          <w:rFonts w:ascii="Times New Roman" w:hAnsi="Times New Roman"/>
          <w:i/>
          <w:sz w:val="24"/>
          <w:szCs w:val="24"/>
          <w:lang w:val="es-MX"/>
        </w:rPr>
        <w:t>Public</w:t>
      </w:r>
      <w:r w:rsidRPr="0099727E">
        <w:rPr>
          <w:rFonts w:ascii="Times New Roman" w:hAnsi="Times New Roman"/>
          <w:sz w:val="24"/>
          <w:szCs w:val="24"/>
          <w:lang w:val="es-MX"/>
        </w:rPr>
        <w:t xml:space="preserve"> </w:t>
      </w:r>
      <w:r w:rsidRPr="0099727E">
        <w:rPr>
          <w:rFonts w:ascii="Times New Roman" w:hAnsi="Times New Roman"/>
          <w:i/>
          <w:sz w:val="24"/>
          <w:szCs w:val="24"/>
          <w:lang w:val="es-MX"/>
        </w:rPr>
        <w:t xml:space="preserve">Debt </w:t>
      </w:r>
      <w:r w:rsidRPr="0099727E">
        <w:rPr>
          <w:rFonts w:ascii="Times New Roman" w:hAnsi="Times New Roman"/>
          <w:sz w:val="24"/>
          <w:szCs w:val="24"/>
          <w:lang w:val="es-MX"/>
        </w:rPr>
        <w:t>Sustainability</w:t>
      </w:r>
      <w:r w:rsidRPr="0099727E">
        <w:rPr>
          <w:rFonts w:ascii="Times New Roman" w:hAnsi="Times New Roman"/>
          <w:i/>
          <w:sz w:val="24"/>
          <w:szCs w:val="24"/>
          <w:lang w:val="es-MX"/>
        </w:rPr>
        <w:t xml:space="preserve"> Analysis</w:t>
      </w:r>
      <w:r w:rsidRPr="0099727E">
        <w:rPr>
          <w:rFonts w:ascii="Times New Roman" w:hAnsi="Times New Roman"/>
          <w:sz w:val="24"/>
          <w:szCs w:val="24"/>
          <w:lang w:val="es-MX"/>
        </w:rPr>
        <w:t xml:space="preserve"> (DSA) del Fondo Monetario Internacional -FMI-, se elaboraron una serie </w:t>
      </w:r>
      <w:r w:rsidRPr="0099727E">
        <w:rPr>
          <w:rFonts w:ascii="Times New Roman" w:hAnsi="Times New Roman"/>
          <w:sz w:val="24"/>
          <w:szCs w:val="24"/>
          <w:lang w:val="es-MX"/>
        </w:rPr>
        <w:lastRenderedPageBreak/>
        <w:t>de escenarios con los diferentes choques posibles que podrían experimentarse, estos choques se midieron con respecto al escenario base que es consiste</w:t>
      </w:r>
      <w:r w:rsidR="00723450" w:rsidRPr="0099727E">
        <w:rPr>
          <w:rFonts w:ascii="Times New Roman" w:hAnsi="Times New Roman"/>
          <w:sz w:val="24"/>
          <w:szCs w:val="24"/>
          <w:lang w:val="es-MX"/>
        </w:rPr>
        <w:t>nte</w:t>
      </w:r>
      <w:r w:rsidRPr="0099727E">
        <w:rPr>
          <w:rFonts w:ascii="Times New Roman" w:hAnsi="Times New Roman"/>
          <w:sz w:val="24"/>
          <w:szCs w:val="24"/>
          <w:lang w:val="es-MX"/>
        </w:rPr>
        <w:t xml:space="preserve"> con las estimaciones del presupuesto multianual 202</w:t>
      </w:r>
      <w:r w:rsidR="00723450" w:rsidRPr="0099727E">
        <w:rPr>
          <w:rFonts w:ascii="Times New Roman" w:hAnsi="Times New Roman"/>
          <w:sz w:val="24"/>
          <w:szCs w:val="24"/>
          <w:lang w:val="es-MX"/>
        </w:rPr>
        <w:t>2</w:t>
      </w:r>
      <w:r w:rsidRPr="0099727E">
        <w:rPr>
          <w:rFonts w:ascii="Times New Roman" w:hAnsi="Times New Roman"/>
          <w:sz w:val="24"/>
          <w:szCs w:val="24"/>
          <w:lang w:val="es-MX"/>
        </w:rPr>
        <w:t>-2026.</w:t>
      </w:r>
    </w:p>
    <w:p w14:paraId="2D6F9EA3" w14:textId="77777777" w:rsidR="00F94BCC" w:rsidRPr="0099727E" w:rsidRDefault="00F94BCC" w:rsidP="00F94BCC">
      <w:pPr>
        <w:pStyle w:val="Sinespaciado"/>
        <w:ind w:left="567" w:right="49"/>
        <w:jc w:val="both"/>
        <w:rPr>
          <w:rFonts w:ascii="Times New Roman" w:hAnsi="Times New Roman"/>
          <w:sz w:val="24"/>
          <w:szCs w:val="24"/>
          <w:lang w:val="es-MX"/>
        </w:rPr>
      </w:pPr>
    </w:p>
    <w:p w14:paraId="2E259527" w14:textId="7CE0BF8D"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De acuerdo con los resultados obtenidos al realizar los diferentes choques, se pudo observar que una de las variables que tiene mayor incidencia en la evolución de la dinámica de la deuda es el crecimiento económico real.  Se consideró que una reducción en el PIB real para 2022 (-1.3%) y con secuelas en 202</w:t>
      </w:r>
      <w:r w:rsidR="00723450" w:rsidRPr="0099727E">
        <w:rPr>
          <w:rFonts w:ascii="Times New Roman" w:hAnsi="Times New Roman"/>
          <w:sz w:val="24"/>
          <w:szCs w:val="24"/>
          <w:lang w:val="es-MX"/>
        </w:rPr>
        <w:t>3</w:t>
      </w:r>
      <w:r w:rsidRPr="0099727E">
        <w:rPr>
          <w:rFonts w:ascii="Times New Roman" w:hAnsi="Times New Roman"/>
          <w:sz w:val="24"/>
          <w:szCs w:val="24"/>
          <w:lang w:val="es-MX"/>
        </w:rPr>
        <w:t xml:space="preserve"> por el equivalente de 0.75 de una desviación estándar de los datos históricos, manteniendo los demás factores constantes, la razón deuda/PIB podría aumentar a 3</w:t>
      </w:r>
      <w:r w:rsidR="00F434A3" w:rsidRPr="0099727E">
        <w:rPr>
          <w:rFonts w:ascii="Times New Roman" w:hAnsi="Times New Roman"/>
          <w:sz w:val="24"/>
          <w:szCs w:val="24"/>
          <w:lang w:val="es-MX"/>
        </w:rPr>
        <w:t>2</w:t>
      </w:r>
      <w:r w:rsidRPr="0099727E">
        <w:rPr>
          <w:rFonts w:ascii="Times New Roman" w:hAnsi="Times New Roman"/>
          <w:sz w:val="24"/>
          <w:szCs w:val="24"/>
          <w:lang w:val="es-MX"/>
        </w:rPr>
        <w:t>.</w:t>
      </w:r>
      <w:r w:rsidR="00C73F55">
        <w:rPr>
          <w:rFonts w:ascii="Times New Roman" w:hAnsi="Times New Roman"/>
          <w:sz w:val="24"/>
          <w:szCs w:val="24"/>
          <w:lang w:val="es-MX"/>
        </w:rPr>
        <w:t>4</w:t>
      </w:r>
      <w:r w:rsidRPr="0099727E">
        <w:rPr>
          <w:rFonts w:ascii="Times New Roman" w:hAnsi="Times New Roman"/>
          <w:sz w:val="24"/>
          <w:szCs w:val="24"/>
          <w:lang w:val="es-MX"/>
        </w:rPr>
        <w:t xml:space="preserve">% en 2022 y podría disminuir levemente hasta llegar a </w:t>
      </w:r>
      <w:r w:rsidR="00F434A3" w:rsidRPr="0099727E">
        <w:rPr>
          <w:rFonts w:ascii="Times New Roman" w:hAnsi="Times New Roman"/>
          <w:sz w:val="24"/>
          <w:szCs w:val="24"/>
          <w:lang w:val="es-MX"/>
        </w:rPr>
        <w:t>3</w:t>
      </w:r>
      <w:r w:rsidR="00C73F55">
        <w:rPr>
          <w:rFonts w:ascii="Times New Roman" w:hAnsi="Times New Roman"/>
          <w:sz w:val="24"/>
          <w:szCs w:val="24"/>
          <w:lang w:val="es-MX"/>
        </w:rPr>
        <w:t>3</w:t>
      </w:r>
      <w:r w:rsidR="00F434A3" w:rsidRPr="0099727E">
        <w:rPr>
          <w:rFonts w:ascii="Times New Roman" w:hAnsi="Times New Roman"/>
          <w:sz w:val="24"/>
          <w:szCs w:val="24"/>
          <w:lang w:val="es-MX"/>
        </w:rPr>
        <w:t>.</w:t>
      </w:r>
      <w:r w:rsidR="00C73F55">
        <w:rPr>
          <w:rFonts w:ascii="Times New Roman" w:hAnsi="Times New Roman"/>
          <w:sz w:val="24"/>
          <w:szCs w:val="24"/>
          <w:lang w:val="es-MX"/>
        </w:rPr>
        <w:t>0</w:t>
      </w:r>
      <w:r w:rsidRPr="0099727E">
        <w:rPr>
          <w:rFonts w:ascii="Times New Roman" w:hAnsi="Times New Roman"/>
          <w:sz w:val="24"/>
          <w:szCs w:val="24"/>
          <w:lang w:val="es-MX"/>
        </w:rPr>
        <w:t>% al cierre de 2026.</w:t>
      </w:r>
    </w:p>
    <w:p w14:paraId="72D7CD03" w14:textId="77777777" w:rsidR="00F94BCC" w:rsidRPr="0099727E" w:rsidRDefault="00F94BCC" w:rsidP="00F94BCC">
      <w:pPr>
        <w:pStyle w:val="Sinespaciado"/>
        <w:ind w:left="567" w:right="49"/>
        <w:jc w:val="both"/>
        <w:rPr>
          <w:rFonts w:ascii="Times New Roman" w:hAnsi="Times New Roman"/>
          <w:sz w:val="24"/>
          <w:szCs w:val="24"/>
          <w:lang w:val="es-MX"/>
        </w:rPr>
      </w:pPr>
    </w:p>
    <w:p w14:paraId="5BE0CFBE" w14:textId="4785C1A1"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Asimismo, un choque en el balance primario (Sp), según la evidencia presentada, podría elevar de manera importante la deuda pública. Se simuló que estos choques ocurrirían en los años 2022-2023, los cuales podrían ser causados por la continuidad del gasto para la reactivación económica post COVID-19 o de gasto extraordinario como </w:t>
      </w:r>
      <w:r w:rsidR="00723450" w:rsidRPr="0099727E">
        <w:rPr>
          <w:rFonts w:ascii="Times New Roman" w:hAnsi="Times New Roman"/>
          <w:sz w:val="24"/>
          <w:szCs w:val="24"/>
          <w:lang w:val="es-MX"/>
        </w:rPr>
        <w:t xml:space="preserve">consecuencia de </w:t>
      </w:r>
      <w:r w:rsidRPr="0099727E">
        <w:rPr>
          <w:rFonts w:ascii="Times New Roman" w:hAnsi="Times New Roman"/>
          <w:sz w:val="24"/>
          <w:szCs w:val="24"/>
          <w:lang w:val="es-MX"/>
        </w:rPr>
        <w:t>un desastre natural o una súbita caída en la recaudación tributaria.</w:t>
      </w:r>
      <w:r w:rsidR="00723450" w:rsidRPr="0099727E">
        <w:rPr>
          <w:rFonts w:ascii="Times New Roman" w:hAnsi="Times New Roman"/>
          <w:sz w:val="24"/>
          <w:szCs w:val="24"/>
          <w:lang w:val="es-MX"/>
        </w:rPr>
        <w:t xml:space="preserve"> </w:t>
      </w:r>
      <w:r w:rsidRPr="0099727E">
        <w:rPr>
          <w:rFonts w:ascii="Times New Roman" w:hAnsi="Times New Roman"/>
          <w:sz w:val="24"/>
          <w:szCs w:val="24"/>
          <w:lang w:val="es-MX"/>
        </w:rPr>
        <w:t xml:space="preserve">La dimensión del choque acumulado realizado es por el equivalente a 0.9% del PIB en los años indicados. Esto elevaría la razón deuda/PIB en 2022 a </w:t>
      </w:r>
      <w:r w:rsidR="00F434A3" w:rsidRPr="0099727E">
        <w:rPr>
          <w:rFonts w:ascii="Times New Roman" w:hAnsi="Times New Roman"/>
          <w:sz w:val="24"/>
          <w:szCs w:val="24"/>
          <w:lang w:val="es-MX"/>
        </w:rPr>
        <w:t>32.</w:t>
      </w:r>
      <w:r w:rsidR="00C73F55">
        <w:rPr>
          <w:rFonts w:ascii="Times New Roman" w:hAnsi="Times New Roman"/>
          <w:sz w:val="24"/>
          <w:szCs w:val="24"/>
          <w:lang w:val="es-MX"/>
        </w:rPr>
        <w:t>7</w:t>
      </w:r>
      <w:r w:rsidRPr="0099727E">
        <w:rPr>
          <w:rFonts w:ascii="Times New Roman" w:hAnsi="Times New Roman"/>
          <w:sz w:val="24"/>
          <w:szCs w:val="24"/>
          <w:lang w:val="es-MX"/>
        </w:rPr>
        <w:t>% y para 2026 podría alcanzar 32.</w:t>
      </w:r>
      <w:r w:rsidR="00C73F55">
        <w:rPr>
          <w:rFonts w:ascii="Times New Roman" w:hAnsi="Times New Roman"/>
          <w:sz w:val="24"/>
          <w:szCs w:val="24"/>
          <w:lang w:val="es-MX"/>
        </w:rPr>
        <w:t>4</w:t>
      </w:r>
      <w:r w:rsidRPr="0099727E">
        <w:rPr>
          <w:rFonts w:ascii="Times New Roman" w:hAnsi="Times New Roman"/>
          <w:sz w:val="24"/>
          <w:szCs w:val="24"/>
          <w:lang w:val="es-MX"/>
        </w:rPr>
        <w:t xml:space="preserve">%. </w:t>
      </w:r>
    </w:p>
    <w:p w14:paraId="110545A2" w14:textId="124D20AF" w:rsidR="004D12AF" w:rsidRPr="0099727E" w:rsidRDefault="004D12AF" w:rsidP="00F94BCC">
      <w:pPr>
        <w:pStyle w:val="Sinespaciado"/>
        <w:ind w:left="567" w:right="49"/>
        <w:jc w:val="both"/>
        <w:rPr>
          <w:rFonts w:ascii="Times New Roman" w:hAnsi="Times New Roman"/>
          <w:sz w:val="24"/>
          <w:szCs w:val="24"/>
          <w:lang w:val="es-MX"/>
        </w:rPr>
      </w:pPr>
    </w:p>
    <w:p w14:paraId="71BF58AA" w14:textId="5B791F70" w:rsidR="004D12AF" w:rsidRPr="0099727E" w:rsidRDefault="004D12AF" w:rsidP="004D12AF">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Otro factor que incide sensiblemente en el comportamiento de la deuda pública es la variación en el tipo de cambio, una depreciación importante podría elevar los niveles de la deuda pública, derivado que cerca del 46.6% del saldo de esta, se tiene en moneda extranjera.  De esa cuenta, se consideró una depreciación del 5% en 2022, es decir, el tipo de cambio nominal pasaría Q7.80 x US$1.00 en 2021 a Q8.18 x US$1.00 a partir del 2022, esto elevaría la razón deuda/PIB a </w:t>
      </w:r>
      <w:r w:rsidR="00F434A3" w:rsidRPr="0099727E">
        <w:rPr>
          <w:rFonts w:ascii="Times New Roman" w:hAnsi="Times New Roman"/>
          <w:sz w:val="24"/>
          <w:szCs w:val="24"/>
          <w:lang w:val="es-MX"/>
        </w:rPr>
        <w:t>33.0</w:t>
      </w:r>
      <w:r w:rsidRPr="0099727E">
        <w:rPr>
          <w:rFonts w:ascii="Times New Roman" w:hAnsi="Times New Roman"/>
          <w:sz w:val="24"/>
          <w:szCs w:val="24"/>
          <w:lang w:val="es-MX"/>
        </w:rPr>
        <w:t>% en 2022 y se estimó que las variaciones para los años 2023-2026 se mantendrían como en el escenario base, por lo que para 2026 la razón deuda/PIB sería de 32.</w:t>
      </w:r>
      <w:r w:rsidR="00C73F55">
        <w:rPr>
          <w:rFonts w:ascii="Times New Roman" w:hAnsi="Times New Roman"/>
          <w:sz w:val="24"/>
          <w:szCs w:val="24"/>
          <w:lang w:val="es-MX"/>
        </w:rPr>
        <w:t>3</w:t>
      </w:r>
      <w:r w:rsidRPr="0099727E">
        <w:rPr>
          <w:rFonts w:ascii="Times New Roman" w:hAnsi="Times New Roman"/>
          <w:sz w:val="24"/>
          <w:szCs w:val="24"/>
          <w:lang w:val="es-MX"/>
        </w:rPr>
        <w:t>%.</w:t>
      </w:r>
    </w:p>
    <w:p w14:paraId="03F47DFB" w14:textId="5591B95C" w:rsidR="004D12AF" w:rsidRPr="0099727E" w:rsidRDefault="004D12AF" w:rsidP="004D12AF">
      <w:pPr>
        <w:pStyle w:val="Sinespaciado"/>
        <w:ind w:left="567" w:right="49"/>
        <w:jc w:val="both"/>
        <w:rPr>
          <w:rFonts w:ascii="Times New Roman" w:hAnsi="Times New Roman"/>
          <w:sz w:val="24"/>
          <w:szCs w:val="24"/>
          <w:lang w:val="es-MX"/>
        </w:rPr>
      </w:pPr>
    </w:p>
    <w:p w14:paraId="344E7001" w14:textId="535BDCF9" w:rsidR="004D12AF" w:rsidRPr="0099727E" w:rsidRDefault="004D12AF" w:rsidP="004D12AF">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Igualmente, se realizó un choque a la tasa de interés real, el cual es sensible a la volatilidad de los mercados financieros y a las decisiones en materia de política monetaria.  Para el efecto, se consideró un aumento de 200 puntos básicos en la tasa de interés real promedio que paga el gobierno en sus obligaciones en 2022 y se mantiene constante hasta el 2026. El efecto para 2022, se estima que será mínimo debido a que la mayor parte de la deuda se tiene contratada a tasa fija, por lo que el principal ajuste se obtendrá en los años siguientes con la contratación de nueva deuda o el repago de la misma. De esa cuenta, para 2022 estará alrededor de 3</w:t>
      </w:r>
      <w:r w:rsidR="00C73F55">
        <w:rPr>
          <w:rFonts w:ascii="Times New Roman" w:hAnsi="Times New Roman"/>
          <w:sz w:val="24"/>
          <w:szCs w:val="24"/>
          <w:lang w:val="es-MX"/>
        </w:rPr>
        <w:t>1</w:t>
      </w:r>
      <w:r w:rsidRPr="0099727E">
        <w:rPr>
          <w:rFonts w:ascii="Times New Roman" w:hAnsi="Times New Roman"/>
          <w:sz w:val="24"/>
          <w:szCs w:val="24"/>
          <w:lang w:val="es-MX"/>
        </w:rPr>
        <w:t>.</w:t>
      </w:r>
      <w:r w:rsidR="00C73F55">
        <w:rPr>
          <w:rFonts w:ascii="Times New Roman" w:hAnsi="Times New Roman"/>
          <w:sz w:val="24"/>
          <w:szCs w:val="24"/>
          <w:lang w:val="es-MX"/>
        </w:rPr>
        <w:t>7</w:t>
      </w:r>
      <w:r w:rsidRPr="0099727E">
        <w:rPr>
          <w:rFonts w:ascii="Times New Roman" w:hAnsi="Times New Roman"/>
          <w:sz w:val="24"/>
          <w:szCs w:val="24"/>
          <w:lang w:val="es-MX"/>
        </w:rPr>
        <w:t xml:space="preserve">% y para el cierre 2026 podría ubicarse en </w:t>
      </w:r>
      <w:r w:rsidR="00F434A3" w:rsidRPr="0099727E">
        <w:rPr>
          <w:rFonts w:ascii="Times New Roman" w:hAnsi="Times New Roman"/>
          <w:sz w:val="24"/>
          <w:szCs w:val="24"/>
          <w:lang w:val="es-MX"/>
        </w:rPr>
        <w:t>3</w:t>
      </w:r>
      <w:r w:rsidR="00546717" w:rsidRPr="0099727E">
        <w:rPr>
          <w:rFonts w:ascii="Times New Roman" w:hAnsi="Times New Roman"/>
          <w:sz w:val="24"/>
          <w:szCs w:val="24"/>
          <w:lang w:val="es-MX"/>
        </w:rPr>
        <w:t>2</w:t>
      </w:r>
      <w:r w:rsidR="00F434A3" w:rsidRPr="0099727E">
        <w:rPr>
          <w:rFonts w:ascii="Times New Roman" w:hAnsi="Times New Roman"/>
          <w:sz w:val="24"/>
          <w:szCs w:val="24"/>
          <w:lang w:val="es-MX"/>
        </w:rPr>
        <w:t>.</w:t>
      </w:r>
      <w:r w:rsidR="00C73F55">
        <w:rPr>
          <w:rFonts w:ascii="Times New Roman" w:hAnsi="Times New Roman"/>
          <w:sz w:val="24"/>
          <w:szCs w:val="24"/>
          <w:lang w:val="es-MX"/>
        </w:rPr>
        <w:t>1</w:t>
      </w:r>
      <w:r w:rsidRPr="0099727E">
        <w:rPr>
          <w:rFonts w:ascii="Times New Roman" w:hAnsi="Times New Roman"/>
          <w:sz w:val="24"/>
          <w:szCs w:val="24"/>
          <w:lang w:val="es-MX"/>
        </w:rPr>
        <w:t xml:space="preserve">% del PIB.  </w:t>
      </w:r>
    </w:p>
    <w:p w14:paraId="6802A2C7" w14:textId="482BAAD9" w:rsidR="0090080A" w:rsidRPr="0099727E" w:rsidRDefault="0090080A" w:rsidP="004D12AF">
      <w:pPr>
        <w:pStyle w:val="Sinespaciado"/>
        <w:ind w:left="567" w:right="49"/>
        <w:jc w:val="both"/>
        <w:rPr>
          <w:rFonts w:ascii="Times New Roman" w:hAnsi="Times New Roman"/>
          <w:sz w:val="24"/>
          <w:szCs w:val="24"/>
          <w:lang w:val="es-MX"/>
        </w:rPr>
      </w:pPr>
    </w:p>
    <w:p w14:paraId="4E4618A7" w14:textId="1083028E" w:rsidR="0090080A" w:rsidRPr="0099727E" w:rsidRDefault="0090080A" w:rsidP="00D87C90">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Por último, se considera un efecto combinado de los diferentes choques y se estima que para 2022 la razón deuda/PIB podría ascender a 33.8% y para el año 2026 podría ubicarse, si todos los choques se dan al unísono, en 35.</w:t>
      </w:r>
      <w:r w:rsidR="00C73F55">
        <w:rPr>
          <w:rFonts w:ascii="Times New Roman" w:hAnsi="Times New Roman"/>
          <w:sz w:val="24"/>
          <w:szCs w:val="24"/>
          <w:lang w:val="es-MX"/>
        </w:rPr>
        <w:t>6</w:t>
      </w:r>
      <w:r w:rsidRPr="0099727E">
        <w:rPr>
          <w:rFonts w:ascii="Times New Roman" w:hAnsi="Times New Roman"/>
          <w:sz w:val="24"/>
          <w:szCs w:val="24"/>
          <w:lang w:val="es-MX"/>
        </w:rPr>
        <w:t>/%.</w:t>
      </w:r>
    </w:p>
    <w:p w14:paraId="5A8E9C57" w14:textId="1DBA98D7" w:rsidR="00F94BCC" w:rsidRDefault="00F94BCC" w:rsidP="00F94BCC">
      <w:pPr>
        <w:pStyle w:val="Sinespaciado"/>
        <w:ind w:right="49"/>
        <w:jc w:val="both"/>
        <w:rPr>
          <w:rFonts w:ascii="Times New Roman" w:hAnsi="Times New Roman"/>
          <w:sz w:val="24"/>
          <w:szCs w:val="24"/>
          <w:lang w:val="es-MX"/>
        </w:rPr>
      </w:pPr>
    </w:p>
    <w:p w14:paraId="1A863558" w14:textId="10EF2A8F" w:rsidR="00AF7163" w:rsidRDefault="00AF7163" w:rsidP="00F94BCC">
      <w:pPr>
        <w:pStyle w:val="Sinespaciado"/>
        <w:ind w:right="49"/>
        <w:jc w:val="both"/>
        <w:rPr>
          <w:rFonts w:ascii="Times New Roman" w:hAnsi="Times New Roman"/>
          <w:sz w:val="24"/>
          <w:szCs w:val="24"/>
          <w:lang w:val="es-MX"/>
        </w:rPr>
      </w:pPr>
    </w:p>
    <w:p w14:paraId="42405AF5" w14:textId="317BA40A" w:rsidR="00AF7163" w:rsidRDefault="00AF7163" w:rsidP="00F94BCC">
      <w:pPr>
        <w:pStyle w:val="Sinespaciado"/>
        <w:ind w:right="49"/>
        <w:jc w:val="both"/>
        <w:rPr>
          <w:rFonts w:ascii="Times New Roman" w:hAnsi="Times New Roman"/>
          <w:sz w:val="24"/>
          <w:szCs w:val="24"/>
          <w:lang w:val="es-MX"/>
        </w:rPr>
      </w:pPr>
    </w:p>
    <w:p w14:paraId="6F50D4D1" w14:textId="639D069C" w:rsidR="00AF7163" w:rsidRDefault="00AF7163" w:rsidP="00F94BCC">
      <w:pPr>
        <w:pStyle w:val="Sinespaciado"/>
        <w:ind w:right="49"/>
        <w:jc w:val="both"/>
        <w:rPr>
          <w:rFonts w:ascii="Times New Roman" w:hAnsi="Times New Roman"/>
          <w:sz w:val="24"/>
          <w:szCs w:val="24"/>
          <w:lang w:val="es-MX"/>
        </w:rPr>
      </w:pPr>
    </w:p>
    <w:p w14:paraId="1A138224" w14:textId="0826586E" w:rsidR="00AF7163" w:rsidRDefault="00AF7163" w:rsidP="00F94BCC">
      <w:pPr>
        <w:pStyle w:val="Sinespaciado"/>
        <w:ind w:right="49"/>
        <w:jc w:val="both"/>
        <w:rPr>
          <w:rFonts w:ascii="Times New Roman" w:hAnsi="Times New Roman"/>
          <w:sz w:val="24"/>
          <w:szCs w:val="24"/>
          <w:lang w:val="es-MX"/>
        </w:rPr>
      </w:pPr>
    </w:p>
    <w:p w14:paraId="421B1FF2" w14:textId="7300B11D" w:rsidR="00AF7163" w:rsidRDefault="00AF7163" w:rsidP="00F94BCC">
      <w:pPr>
        <w:pStyle w:val="Sinespaciado"/>
        <w:ind w:right="49"/>
        <w:jc w:val="both"/>
        <w:rPr>
          <w:rFonts w:ascii="Times New Roman" w:hAnsi="Times New Roman"/>
          <w:sz w:val="24"/>
          <w:szCs w:val="24"/>
          <w:lang w:val="es-MX"/>
        </w:rPr>
      </w:pPr>
    </w:p>
    <w:p w14:paraId="7C97A309" w14:textId="77777777" w:rsidR="00AF7163" w:rsidRPr="0099727E" w:rsidRDefault="00AF7163" w:rsidP="00F94BCC">
      <w:pPr>
        <w:pStyle w:val="Sinespaciado"/>
        <w:ind w:right="49"/>
        <w:jc w:val="both"/>
        <w:rPr>
          <w:rFonts w:ascii="Times New Roman" w:hAnsi="Times New Roman"/>
          <w:sz w:val="24"/>
          <w:szCs w:val="24"/>
          <w:lang w:val="es-MX"/>
        </w:rPr>
      </w:pPr>
    </w:p>
    <w:p w14:paraId="2C109A29" w14:textId="2692915B" w:rsidR="00F94BCC" w:rsidRPr="0099727E" w:rsidRDefault="00CC7AC6" w:rsidP="00F94BCC">
      <w:pPr>
        <w:pStyle w:val="Epgrafe"/>
        <w:keepNext/>
        <w:ind w:left="567" w:right="49"/>
        <w:rPr>
          <w:color w:val="auto"/>
          <w:sz w:val="24"/>
          <w:szCs w:val="24"/>
        </w:rPr>
      </w:pPr>
      <w:r>
        <w:rPr>
          <w:color w:val="auto"/>
          <w:sz w:val="24"/>
          <w:szCs w:val="24"/>
        </w:rPr>
        <w:lastRenderedPageBreak/>
        <w:t>Gráfica 30</w:t>
      </w:r>
      <w:r w:rsidR="00814706" w:rsidRPr="0099727E">
        <w:rPr>
          <w:color w:val="auto"/>
          <w:sz w:val="24"/>
          <w:szCs w:val="24"/>
        </w:rPr>
        <w:t xml:space="preserve">.  </w:t>
      </w:r>
      <w:r w:rsidR="00F94BCC" w:rsidRPr="0099727E">
        <w:rPr>
          <w:color w:val="auto"/>
          <w:sz w:val="24"/>
          <w:szCs w:val="24"/>
        </w:rPr>
        <w:t>Pruebas de tensión para el Análisis de Sostenibilidad de la Deuda</w:t>
      </w:r>
    </w:p>
    <w:p w14:paraId="13F6E798" w14:textId="77777777" w:rsidR="00F94BCC" w:rsidRPr="0099727E" w:rsidRDefault="00F94BCC" w:rsidP="00F94BCC">
      <w:pPr>
        <w:ind w:left="567" w:right="49"/>
        <w:jc w:val="center"/>
        <w:rPr>
          <w:sz w:val="22"/>
          <w:szCs w:val="24"/>
        </w:rPr>
      </w:pPr>
      <w:r w:rsidRPr="0099727E">
        <w:rPr>
          <w:sz w:val="22"/>
          <w:szCs w:val="24"/>
        </w:rPr>
        <w:t>En porcentaje del PIB</w:t>
      </w:r>
    </w:p>
    <w:p w14:paraId="021F7DC0" w14:textId="34786CF3" w:rsidR="00F94BCC" w:rsidRPr="0099727E" w:rsidRDefault="00C73F55" w:rsidP="00F94BCC">
      <w:pPr>
        <w:ind w:left="567" w:right="49"/>
        <w:jc w:val="center"/>
        <w:rPr>
          <w:sz w:val="24"/>
          <w:szCs w:val="24"/>
        </w:rPr>
      </w:pPr>
      <w:r w:rsidRPr="00C73F55">
        <w:rPr>
          <w:noProof/>
          <w:lang w:val="es-GT" w:eastAsia="es-GT"/>
        </w:rPr>
        <w:drawing>
          <wp:inline distT="0" distB="0" distL="0" distR="0" wp14:anchorId="3504B2EC" wp14:editId="226E931F">
            <wp:extent cx="5701100" cy="3819600"/>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1100" cy="3819600"/>
                    </a:xfrm>
                    <a:prstGeom prst="rect">
                      <a:avLst/>
                    </a:prstGeom>
                    <a:noFill/>
                    <a:ln>
                      <a:noFill/>
                    </a:ln>
                  </pic:spPr>
                </pic:pic>
              </a:graphicData>
            </a:graphic>
          </wp:inline>
        </w:drawing>
      </w:r>
    </w:p>
    <w:p w14:paraId="10411CC1" w14:textId="424AA469" w:rsidR="00F94BCC" w:rsidRPr="0099727E" w:rsidRDefault="00E837FB" w:rsidP="004D12AF">
      <w:pPr>
        <w:ind w:right="49"/>
        <w:jc w:val="both"/>
        <w:rPr>
          <w:noProof/>
          <w:szCs w:val="22"/>
        </w:rPr>
      </w:pPr>
      <w:r w:rsidRPr="0099727E">
        <w:rPr>
          <w:sz w:val="24"/>
          <w:szCs w:val="24"/>
        </w:rPr>
        <w:t xml:space="preserve">             </w:t>
      </w:r>
      <w:r w:rsidR="00F94BCC" w:rsidRPr="0099727E">
        <w:rPr>
          <w:sz w:val="16"/>
          <w:szCs w:val="22"/>
        </w:rPr>
        <w:t xml:space="preserve">   Fuente: </w:t>
      </w:r>
      <w:r w:rsidR="00EF0CE5" w:rsidRPr="00EF0CE5">
        <w:rPr>
          <w:bCs/>
          <w:sz w:val="16"/>
          <w:szCs w:val="11"/>
        </w:rPr>
        <w:t>Ministerio de Finanzas Públicas</w:t>
      </w:r>
      <w:r w:rsidR="00EF0CE5">
        <w:rPr>
          <w:sz w:val="16"/>
          <w:szCs w:val="22"/>
        </w:rPr>
        <w:t xml:space="preserve"> </w:t>
      </w:r>
      <w:r w:rsidR="00F94BCC" w:rsidRPr="0099727E">
        <w:rPr>
          <w:sz w:val="16"/>
          <w:szCs w:val="22"/>
        </w:rPr>
        <w:t>con metodología del FMI</w:t>
      </w:r>
    </w:p>
    <w:p w14:paraId="3E0F31A0" w14:textId="77777777" w:rsidR="00F94BCC" w:rsidRPr="0099727E" w:rsidRDefault="00F94BCC" w:rsidP="00F94BCC">
      <w:pPr>
        <w:pStyle w:val="Sinespaciado"/>
        <w:ind w:right="49"/>
        <w:jc w:val="both"/>
        <w:rPr>
          <w:rFonts w:ascii="Times New Roman" w:hAnsi="Times New Roman"/>
          <w:sz w:val="24"/>
          <w:szCs w:val="24"/>
          <w:lang w:val="es-MX"/>
        </w:rPr>
      </w:pPr>
    </w:p>
    <w:p w14:paraId="67EF8F81" w14:textId="2228425A"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De la misma forma, se analizó la relación deuda/ ingresos fiscales.  Con dicho indicador en el escenario base, es creciente en los primeros años a la recuperación de los ingresos fiscales post COVID</w:t>
      </w:r>
      <w:r w:rsidR="00723450" w:rsidRPr="0099727E">
        <w:rPr>
          <w:rFonts w:ascii="Times New Roman" w:hAnsi="Times New Roman"/>
          <w:sz w:val="24"/>
          <w:szCs w:val="24"/>
          <w:lang w:val="es-MX"/>
        </w:rPr>
        <w:t>-19</w:t>
      </w:r>
      <w:r w:rsidRPr="0099727E">
        <w:rPr>
          <w:rFonts w:ascii="Times New Roman" w:hAnsi="Times New Roman"/>
          <w:sz w:val="24"/>
          <w:szCs w:val="24"/>
          <w:lang w:val="es-MX"/>
        </w:rPr>
        <w:t xml:space="preserve"> y en el aumento de la deuda en 2020, sin embargo, se espera que su tasa de crecimiento disminuya mientras se tenga una mejora gradual en la recaudación tributaria. Para 2022 este indicador aumentaría de </w:t>
      </w:r>
      <w:r w:rsidR="0090080A" w:rsidRPr="0099727E">
        <w:rPr>
          <w:rFonts w:ascii="Times New Roman" w:hAnsi="Times New Roman"/>
          <w:sz w:val="24"/>
          <w:szCs w:val="24"/>
          <w:lang w:val="es-MX"/>
        </w:rPr>
        <w:t>276.9</w:t>
      </w:r>
      <w:r w:rsidRPr="0099727E">
        <w:rPr>
          <w:rFonts w:ascii="Times New Roman" w:hAnsi="Times New Roman"/>
          <w:sz w:val="24"/>
          <w:szCs w:val="24"/>
          <w:lang w:val="es-MX"/>
        </w:rPr>
        <w:t xml:space="preserve">%, y para 2026 se prevé podría ubicase en </w:t>
      </w:r>
      <w:r w:rsidR="0090080A" w:rsidRPr="0099727E">
        <w:rPr>
          <w:rFonts w:ascii="Times New Roman" w:hAnsi="Times New Roman"/>
          <w:sz w:val="24"/>
          <w:szCs w:val="24"/>
          <w:lang w:val="es-MX"/>
        </w:rPr>
        <w:t>263.7</w:t>
      </w:r>
      <w:r w:rsidRPr="0099727E">
        <w:rPr>
          <w:rFonts w:ascii="Times New Roman" w:hAnsi="Times New Roman"/>
          <w:sz w:val="24"/>
          <w:szCs w:val="24"/>
          <w:lang w:val="es-MX"/>
        </w:rPr>
        <w:t xml:space="preserve">%.  Aplicando las pruebas de tensión para el escenario de un shock combinado, debido al aumento del déficit fiscal y el deterioro de los otros determinantes de la deuda, el indicador podría alcanzar un máximo de </w:t>
      </w:r>
      <w:r w:rsidR="0090080A" w:rsidRPr="0099727E">
        <w:rPr>
          <w:rFonts w:ascii="Times New Roman" w:hAnsi="Times New Roman"/>
          <w:sz w:val="24"/>
          <w:szCs w:val="24"/>
          <w:lang w:val="es-MX"/>
        </w:rPr>
        <w:t>295.4</w:t>
      </w:r>
      <w:r w:rsidRPr="0099727E">
        <w:rPr>
          <w:rFonts w:ascii="Times New Roman" w:hAnsi="Times New Roman"/>
          <w:sz w:val="24"/>
          <w:szCs w:val="24"/>
          <w:lang w:val="es-MX"/>
        </w:rPr>
        <w:t>% en 2022 y podría alcanzar 3</w:t>
      </w:r>
      <w:r w:rsidR="0090080A" w:rsidRPr="0099727E">
        <w:rPr>
          <w:rFonts w:ascii="Times New Roman" w:hAnsi="Times New Roman"/>
          <w:sz w:val="24"/>
          <w:szCs w:val="24"/>
          <w:lang w:val="es-MX"/>
        </w:rPr>
        <w:t>00</w:t>
      </w:r>
      <w:r w:rsidRPr="0099727E">
        <w:rPr>
          <w:rFonts w:ascii="Times New Roman" w:hAnsi="Times New Roman"/>
          <w:sz w:val="24"/>
          <w:szCs w:val="24"/>
          <w:lang w:val="es-MX"/>
        </w:rPr>
        <w:t>.</w:t>
      </w:r>
      <w:r w:rsidR="0090080A" w:rsidRPr="0099727E">
        <w:rPr>
          <w:rFonts w:ascii="Times New Roman" w:hAnsi="Times New Roman"/>
          <w:sz w:val="24"/>
          <w:szCs w:val="24"/>
          <w:lang w:val="es-MX"/>
        </w:rPr>
        <w:t>6</w:t>
      </w:r>
      <w:r w:rsidRPr="0099727E">
        <w:rPr>
          <w:rFonts w:ascii="Times New Roman" w:hAnsi="Times New Roman"/>
          <w:sz w:val="24"/>
          <w:szCs w:val="24"/>
          <w:lang w:val="es-MX"/>
        </w:rPr>
        <w:t>% en 2026.</w:t>
      </w:r>
    </w:p>
    <w:p w14:paraId="6C613388" w14:textId="77777777" w:rsidR="00F94BCC" w:rsidRPr="0099727E" w:rsidRDefault="00F94BCC" w:rsidP="00F94BCC">
      <w:pPr>
        <w:pStyle w:val="Sinespaciado"/>
        <w:ind w:right="49"/>
        <w:jc w:val="both"/>
        <w:rPr>
          <w:rFonts w:ascii="Times New Roman" w:hAnsi="Times New Roman"/>
          <w:sz w:val="24"/>
          <w:szCs w:val="24"/>
          <w:lang w:val="es-MX"/>
        </w:rPr>
      </w:pPr>
    </w:p>
    <w:p w14:paraId="6802E948" w14:textId="77777777"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Por otro lado, se realizó el análisis de sostenibilidad de deuda pública bajo un enfoque estocástico sobre los determinantes macro fiscales de la proporción de deuda pública sobre PIB.  Con esta metodología se busca determinar la distribución de probabilidades de las sendas de trayectoria de la deuda pública en un determinado horizonte de proyección. El desarrollo de este enfoque reconoce explícitamente la existencia de un grado de incertidumbre acerca de las futuras condiciones macroeconómicas y de la política fiscal. Este instrumento mejora la comprensión y transparencia acerca de los riesgos en torno a la dinámica de la deuda pública. </w:t>
      </w:r>
    </w:p>
    <w:p w14:paraId="52BC592E" w14:textId="77777777" w:rsidR="00F94BCC" w:rsidRPr="0099727E" w:rsidRDefault="00F94BCC" w:rsidP="00F94BCC">
      <w:pPr>
        <w:pStyle w:val="Sinespaciado"/>
        <w:ind w:left="567" w:right="49"/>
        <w:jc w:val="both"/>
        <w:rPr>
          <w:rFonts w:ascii="Times New Roman" w:hAnsi="Times New Roman"/>
          <w:sz w:val="24"/>
          <w:szCs w:val="24"/>
          <w:lang w:val="es-MX"/>
        </w:rPr>
      </w:pPr>
    </w:p>
    <w:p w14:paraId="1EB61460" w14:textId="77777777"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Para el efecto, se utilizó un </w:t>
      </w:r>
      <w:r w:rsidRPr="0099727E">
        <w:rPr>
          <w:rFonts w:ascii="Times New Roman" w:hAnsi="Times New Roman"/>
          <w:i/>
          <w:sz w:val="24"/>
          <w:szCs w:val="24"/>
          <w:lang w:val="es-MX"/>
        </w:rPr>
        <w:t>Fan Chart</w:t>
      </w:r>
      <w:r w:rsidRPr="0099727E">
        <w:rPr>
          <w:rFonts w:ascii="Times New Roman" w:hAnsi="Times New Roman"/>
          <w:sz w:val="24"/>
          <w:szCs w:val="24"/>
          <w:lang w:val="es-MX"/>
        </w:rPr>
        <w:t xml:space="preserve"> (gráfica de abanico) el cual proporciona una vista probabilística de la incertidumbre en torno a la línea de base. Si bien las pruebas de resistencia presentadas anteriormente evalúan la sensibilidad de la dinámica de la deuda a variables clave exógenas y de política, los Fan Chart muestran un espectro de posibles resultados basados en las </w:t>
      </w:r>
      <w:r w:rsidRPr="0099727E">
        <w:rPr>
          <w:rFonts w:ascii="Times New Roman" w:hAnsi="Times New Roman"/>
          <w:sz w:val="24"/>
          <w:szCs w:val="24"/>
          <w:lang w:val="es-MX"/>
        </w:rPr>
        <w:lastRenderedPageBreak/>
        <w:t>propiedades estocásticas del comportamiento de las variables determinantes en un país. En particular, los gráficos incorporan retroalimentación entre las variables macroeconómicas que impulsan la dinámica de la deuda y se basa en datos históricos para calibrar la persistencia de los shocks.</w:t>
      </w:r>
    </w:p>
    <w:p w14:paraId="4A387879" w14:textId="77777777" w:rsidR="00F94BCC" w:rsidRPr="0099727E" w:rsidRDefault="00F94BCC" w:rsidP="00F94BCC">
      <w:pPr>
        <w:pStyle w:val="Sinespaciado"/>
        <w:ind w:left="567" w:right="49"/>
        <w:jc w:val="both"/>
        <w:rPr>
          <w:rFonts w:ascii="Times New Roman" w:hAnsi="Times New Roman"/>
          <w:sz w:val="24"/>
          <w:szCs w:val="24"/>
          <w:lang w:val="es-MX"/>
        </w:rPr>
      </w:pPr>
    </w:p>
    <w:p w14:paraId="73728C60" w14:textId="4717286E" w:rsidR="00F94BCC" w:rsidRPr="0099727E" w:rsidRDefault="00F94BCC" w:rsidP="00F94BCC">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En el escenario central, el análisis estocástico de la deuda pública permite evidenciar un incremento gradual en la proporción de deuda sobre PIB y una posterior estabilización en torno al 31.</w:t>
      </w:r>
      <w:r w:rsidR="00C73F55">
        <w:rPr>
          <w:rFonts w:ascii="Times New Roman" w:hAnsi="Times New Roman"/>
          <w:sz w:val="24"/>
          <w:szCs w:val="24"/>
          <w:lang w:val="es-MX"/>
        </w:rPr>
        <w:t>3</w:t>
      </w:r>
      <w:r w:rsidRPr="0099727E">
        <w:rPr>
          <w:rFonts w:ascii="Times New Roman" w:hAnsi="Times New Roman"/>
          <w:sz w:val="24"/>
          <w:szCs w:val="24"/>
          <w:lang w:val="es-MX"/>
        </w:rPr>
        <w:t xml:space="preserve">% del PIB en 2026. Considerando el comportamiento de la deuda y los diferentes choques internos y externos que podrían experimentarse, se estima que hay una probabilidad del 50% que la deuda pública pueda situarse entre </w:t>
      </w:r>
      <w:r w:rsidR="0090080A" w:rsidRPr="0099727E">
        <w:rPr>
          <w:rFonts w:ascii="Times New Roman" w:hAnsi="Times New Roman"/>
          <w:sz w:val="24"/>
          <w:szCs w:val="24"/>
          <w:lang w:val="es-MX"/>
        </w:rPr>
        <w:t>28</w:t>
      </w:r>
      <w:r w:rsidRPr="0099727E">
        <w:rPr>
          <w:rFonts w:ascii="Times New Roman" w:hAnsi="Times New Roman"/>
          <w:sz w:val="24"/>
          <w:szCs w:val="24"/>
          <w:lang w:val="es-MX"/>
        </w:rPr>
        <w:t>.</w:t>
      </w:r>
      <w:r w:rsidR="00C73F55">
        <w:rPr>
          <w:rFonts w:ascii="Times New Roman" w:hAnsi="Times New Roman"/>
          <w:sz w:val="24"/>
          <w:szCs w:val="24"/>
          <w:lang w:val="es-MX"/>
        </w:rPr>
        <w:t>4</w:t>
      </w:r>
      <w:r w:rsidRPr="0099727E">
        <w:rPr>
          <w:rFonts w:ascii="Times New Roman" w:hAnsi="Times New Roman"/>
          <w:sz w:val="24"/>
          <w:szCs w:val="24"/>
          <w:lang w:val="es-MX"/>
        </w:rPr>
        <w:t>% y 3</w:t>
      </w:r>
      <w:r w:rsidR="00C73F55">
        <w:rPr>
          <w:rFonts w:ascii="Times New Roman" w:hAnsi="Times New Roman"/>
          <w:sz w:val="24"/>
          <w:szCs w:val="24"/>
          <w:lang w:val="es-MX"/>
        </w:rPr>
        <w:t>4</w:t>
      </w:r>
      <w:r w:rsidRPr="0099727E">
        <w:rPr>
          <w:rFonts w:ascii="Times New Roman" w:hAnsi="Times New Roman"/>
          <w:sz w:val="24"/>
          <w:szCs w:val="24"/>
          <w:lang w:val="es-MX"/>
        </w:rPr>
        <w:t>.</w:t>
      </w:r>
      <w:r w:rsidR="00C73F55">
        <w:rPr>
          <w:rFonts w:ascii="Times New Roman" w:hAnsi="Times New Roman"/>
          <w:sz w:val="24"/>
          <w:szCs w:val="24"/>
          <w:lang w:val="es-MX"/>
        </w:rPr>
        <w:t>2</w:t>
      </w:r>
      <w:r w:rsidRPr="0099727E">
        <w:rPr>
          <w:rFonts w:ascii="Times New Roman" w:hAnsi="Times New Roman"/>
          <w:sz w:val="24"/>
          <w:szCs w:val="24"/>
          <w:lang w:val="es-MX"/>
        </w:rPr>
        <w:t xml:space="preserve">% al final del período de análisis. Asimismo, hay una probabilidad del 90% que la deuda pública se ubique para 2022 entre </w:t>
      </w:r>
      <w:r w:rsidR="00C73F55">
        <w:rPr>
          <w:rFonts w:ascii="Times New Roman" w:hAnsi="Times New Roman"/>
          <w:sz w:val="24"/>
          <w:szCs w:val="24"/>
          <w:lang w:val="es-MX"/>
        </w:rPr>
        <w:t>27.7</w:t>
      </w:r>
      <w:r w:rsidRPr="0099727E">
        <w:rPr>
          <w:rFonts w:ascii="Times New Roman" w:hAnsi="Times New Roman"/>
          <w:sz w:val="24"/>
          <w:szCs w:val="24"/>
          <w:lang w:val="es-MX"/>
        </w:rPr>
        <w:t xml:space="preserve">% y </w:t>
      </w:r>
      <w:r w:rsidR="0090080A" w:rsidRPr="0099727E">
        <w:rPr>
          <w:rFonts w:ascii="Times New Roman" w:hAnsi="Times New Roman"/>
          <w:sz w:val="24"/>
          <w:szCs w:val="24"/>
          <w:lang w:val="es-MX"/>
        </w:rPr>
        <w:t>3</w:t>
      </w:r>
      <w:r w:rsidR="00C73F55">
        <w:rPr>
          <w:rFonts w:ascii="Times New Roman" w:hAnsi="Times New Roman"/>
          <w:sz w:val="24"/>
          <w:szCs w:val="24"/>
          <w:lang w:val="es-MX"/>
        </w:rPr>
        <w:t>6</w:t>
      </w:r>
      <w:r w:rsidR="0090080A" w:rsidRPr="0099727E">
        <w:rPr>
          <w:rFonts w:ascii="Times New Roman" w:hAnsi="Times New Roman"/>
          <w:sz w:val="24"/>
          <w:szCs w:val="24"/>
          <w:lang w:val="es-MX"/>
        </w:rPr>
        <w:t>.</w:t>
      </w:r>
      <w:r w:rsidR="00C73F55">
        <w:rPr>
          <w:rFonts w:ascii="Times New Roman" w:hAnsi="Times New Roman"/>
          <w:sz w:val="24"/>
          <w:szCs w:val="24"/>
          <w:lang w:val="es-MX"/>
        </w:rPr>
        <w:t>1</w:t>
      </w:r>
      <w:r w:rsidRPr="0099727E">
        <w:rPr>
          <w:rFonts w:ascii="Times New Roman" w:hAnsi="Times New Roman"/>
          <w:sz w:val="24"/>
          <w:szCs w:val="24"/>
          <w:lang w:val="es-MX"/>
        </w:rPr>
        <w:t xml:space="preserve">%.  Para finales de 2026, igualmente se esperaría que con una probabilidad del 90.0%, la relación deuda / PIB se encuentre entre </w:t>
      </w:r>
      <w:r w:rsidR="0090080A" w:rsidRPr="0099727E">
        <w:rPr>
          <w:rFonts w:ascii="Times New Roman" w:hAnsi="Times New Roman"/>
          <w:sz w:val="24"/>
          <w:szCs w:val="24"/>
          <w:lang w:val="es-MX"/>
        </w:rPr>
        <w:t>24.</w:t>
      </w:r>
      <w:r w:rsidR="00C73F55">
        <w:rPr>
          <w:rFonts w:ascii="Times New Roman" w:hAnsi="Times New Roman"/>
          <w:sz w:val="24"/>
          <w:szCs w:val="24"/>
          <w:lang w:val="es-MX"/>
        </w:rPr>
        <w:t>4</w:t>
      </w:r>
      <w:r w:rsidRPr="0099727E">
        <w:rPr>
          <w:rFonts w:ascii="Times New Roman" w:hAnsi="Times New Roman"/>
          <w:sz w:val="24"/>
          <w:szCs w:val="24"/>
          <w:lang w:val="es-MX"/>
        </w:rPr>
        <w:t xml:space="preserve">% y </w:t>
      </w:r>
      <w:r w:rsidR="0090080A" w:rsidRPr="0099727E">
        <w:rPr>
          <w:rFonts w:ascii="Times New Roman" w:hAnsi="Times New Roman"/>
          <w:sz w:val="24"/>
          <w:szCs w:val="24"/>
          <w:lang w:val="es-MX"/>
        </w:rPr>
        <w:t>38.</w:t>
      </w:r>
      <w:r w:rsidR="00C73F55">
        <w:rPr>
          <w:rFonts w:ascii="Times New Roman" w:hAnsi="Times New Roman"/>
          <w:sz w:val="24"/>
          <w:szCs w:val="24"/>
          <w:lang w:val="es-MX"/>
        </w:rPr>
        <w:t>8</w:t>
      </w:r>
      <w:r w:rsidRPr="0099727E">
        <w:rPr>
          <w:rFonts w:ascii="Times New Roman" w:hAnsi="Times New Roman"/>
          <w:sz w:val="24"/>
          <w:szCs w:val="24"/>
          <w:lang w:val="es-MX"/>
        </w:rPr>
        <w:t>%.</w:t>
      </w:r>
    </w:p>
    <w:p w14:paraId="0C803797" w14:textId="77777777" w:rsidR="00F94BCC" w:rsidRPr="0099727E" w:rsidRDefault="00F94BCC" w:rsidP="00F94BCC">
      <w:pPr>
        <w:pStyle w:val="Sinespaciado"/>
        <w:ind w:right="49"/>
        <w:jc w:val="both"/>
        <w:rPr>
          <w:rFonts w:ascii="Times New Roman" w:hAnsi="Times New Roman"/>
          <w:sz w:val="24"/>
          <w:szCs w:val="24"/>
          <w:lang w:val="es-MX"/>
        </w:rPr>
      </w:pPr>
    </w:p>
    <w:tbl>
      <w:tblPr>
        <w:tblStyle w:val="Tablaconcuadrcula"/>
        <w:tblW w:w="95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537"/>
      </w:tblGrid>
      <w:tr w:rsidR="00F94BCC" w:rsidRPr="0099727E" w14:paraId="50AFBF3F" w14:textId="77777777" w:rsidTr="003D7E23">
        <w:trPr>
          <w:trHeight w:val="3773"/>
          <w:jc w:val="center"/>
        </w:trPr>
        <w:tc>
          <w:tcPr>
            <w:tcW w:w="9537" w:type="dxa"/>
          </w:tcPr>
          <w:p w14:paraId="2DE140F2" w14:textId="26E38B19" w:rsidR="00F94BCC" w:rsidRPr="0099727E" w:rsidRDefault="00AF7163" w:rsidP="00BC0D90">
            <w:pPr>
              <w:pStyle w:val="Epgrafe"/>
              <w:keepNext/>
              <w:ind w:left="567" w:right="49"/>
              <w:rPr>
                <w:color w:val="auto"/>
                <w:sz w:val="24"/>
                <w:szCs w:val="24"/>
              </w:rPr>
            </w:pPr>
            <w:r>
              <w:rPr>
                <w:color w:val="auto"/>
                <w:sz w:val="24"/>
                <w:szCs w:val="24"/>
              </w:rPr>
              <w:t>Gráfica 31</w:t>
            </w:r>
            <w:r w:rsidR="00814706" w:rsidRPr="0099727E">
              <w:rPr>
                <w:color w:val="auto"/>
                <w:sz w:val="24"/>
                <w:szCs w:val="24"/>
              </w:rPr>
              <w:t xml:space="preserve">.  </w:t>
            </w:r>
            <w:r w:rsidR="00F94BCC" w:rsidRPr="0099727E">
              <w:rPr>
                <w:color w:val="auto"/>
                <w:sz w:val="24"/>
                <w:szCs w:val="24"/>
              </w:rPr>
              <w:t>Trayectoria de la Deuda Pública (Fan chart)</w:t>
            </w:r>
          </w:p>
          <w:p w14:paraId="35855A62" w14:textId="77777777" w:rsidR="00F94BCC" w:rsidRPr="0099727E" w:rsidRDefault="00F94BCC" w:rsidP="00BC0D90">
            <w:pPr>
              <w:ind w:left="567" w:right="49"/>
              <w:jc w:val="center"/>
              <w:rPr>
                <w:sz w:val="22"/>
                <w:szCs w:val="24"/>
              </w:rPr>
            </w:pPr>
            <w:r w:rsidRPr="0099727E">
              <w:rPr>
                <w:sz w:val="22"/>
                <w:szCs w:val="24"/>
              </w:rPr>
              <w:t>En porcentaje del PIB</w:t>
            </w:r>
          </w:p>
          <w:p w14:paraId="57E92C9B" w14:textId="05A682BA" w:rsidR="00F94BCC" w:rsidRPr="0099727E" w:rsidRDefault="003D7E23" w:rsidP="00BC0D90">
            <w:pPr>
              <w:ind w:left="567" w:right="49"/>
              <w:jc w:val="center"/>
              <w:rPr>
                <w:sz w:val="24"/>
                <w:szCs w:val="24"/>
              </w:rPr>
            </w:pPr>
            <w:r>
              <w:rPr>
                <w:noProof/>
                <w:lang w:val="es-GT" w:eastAsia="es-GT"/>
              </w:rPr>
              <w:drawing>
                <wp:inline distT="0" distB="0" distL="0" distR="0" wp14:anchorId="5FF1DA15" wp14:editId="56411813">
                  <wp:extent cx="5040000" cy="2340000"/>
                  <wp:effectExtent l="0" t="0" r="8255" b="3175"/>
                  <wp:docPr id="21" name="Gráfico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BF8A99F-8EBD-433B-BEA9-04065A46F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7610955" w14:textId="03B54E8E" w:rsidR="00F94BCC" w:rsidRPr="0099727E" w:rsidRDefault="00F94BCC" w:rsidP="00BC0D90">
            <w:pPr>
              <w:ind w:right="49"/>
              <w:rPr>
                <w:sz w:val="24"/>
                <w:szCs w:val="24"/>
              </w:rPr>
            </w:pPr>
            <w:r w:rsidRPr="0099727E">
              <w:rPr>
                <w:szCs w:val="24"/>
              </w:rPr>
              <w:t xml:space="preserve">                      </w:t>
            </w:r>
            <w:r w:rsidRPr="0099727E">
              <w:rPr>
                <w:sz w:val="16"/>
                <w:szCs w:val="22"/>
              </w:rPr>
              <w:t xml:space="preserve">Fuente: </w:t>
            </w:r>
            <w:r w:rsidR="00EF0CE5" w:rsidRPr="00EF0CE5">
              <w:rPr>
                <w:bCs/>
                <w:sz w:val="16"/>
                <w:szCs w:val="11"/>
              </w:rPr>
              <w:t>Ministerio de Finanzas Públicas</w:t>
            </w:r>
            <w:r w:rsidR="00EF0CE5" w:rsidRPr="0099727E">
              <w:rPr>
                <w:sz w:val="16"/>
                <w:szCs w:val="22"/>
              </w:rPr>
              <w:t xml:space="preserve"> </w:t>
            </w:r>
            <w:r w:rsidRPr="0099727E">
              <w:rPr>
                <w:sz w:val="16"/>
                <w:szCs w:val="22"/>
              </w:rPr>
              <w:t>con metodología del FMI</w:t>
            </w:r>
          </w:p>
        </w:tc>
      </w:tr>
    </w:tbl>
    <w:p w14:paraId="25F7A7A3" w14:textId="4C8A6FA5" w:rsidR="000A2360" w:rsidRDefault="000A2360" w:rsidP="00AF7163">
      <w:pPr>
        <w:pStyle w:val="Sinespaciado"/>
        <w:ind w:right="49"/>
        <w:jc w:val="both"/>
        <w:rPr>
          <w:rFonts w:ascii="Times New Roman" w:hAnsi="Times New Roman"/>
          <w:sz w:val="24"/>
          <w:szCs w:val="24"/>
          <w:lang w:val="es-MX"/>
        </w:rPr>
      </w:pPr>
      <w:bookmarkStart w:id="53" w:name="_Toc509214755"/>
      <w:bookmarkStart w:id="54" w:name="_Toc523294554"/>
      <w:bookmarkStart w:id="55" w:name="_Toc16519890"/>
    </w:p>
    <w:p w14:paraId="38759CAA" w14:textId="3BC23F00" w:rsidR="000A2360" w:rsidRPr="00AF7163" w:rsidRDefault="000A2360" w:rsidP="000A2360">
      <w:pPr>
        <w:pStyle w:val="Sinespaciado"/>
        <w:ind w:left="567" w:right="49"/>
        <w:jc w:val="both"/>
        <w:rPr>
          <w:rFonts w:ascii="Times New Roman" w:hAnsi="Times New Roman"/>
          <w:sz w:val="24"/>
          <w:szCs w:val="24"/>
          <w:lang w:val="es-MX"/>
        </w:rPr>
      </w:pPr>
      <w:r w:rsidRPr="00AF7163">
        <w:rPr>
          <w:rFonts w:ascii="Times New Roman" w:hAnsi="Times New Roman"/>
          <w:sz w:val="24"/>
          <w:szCs w:val="24"/>
          <w:lang w:val="es-MX"/>
        </w:rPr>
        <w:t>Para medir los riesgos de la deuda pública el marco del Análisis de Sostenibilidad de la Deuda (ASD) propone, además de los gráficos de abanico, un mapa de calor que resume los riesgos del ratio deuda /PIB, del ratio de las necesidades brutas de financiamiento /PIB y del perfil de la deuda pública. Dado que en el escenario base y en los escenarios con choques a las variables macroeconómicas los indicadores de deuda/PIB y las necesidades brutas de financiamiento/PIB no sobrepasan los límites de referencia propuestos por el ASD el riesgo se considera bajo en el mediano plazo.</w:t>
      </w:r>
    </w:p>
    <w:p w14:paraId="1307F602" w14:textId="77777777" w:rsidR="000A2360" w:rsidRPr="00AF7163" w:rsidRDefault="000A2360" w:rsidP="000A2360">
      <w:pPr>
        <w:pStyle w:val="Sinespaciado"/>
        <w:ind w:left="567" w:right="49"/>
        <w:jc w:val="both"/>
        <w:rPr>
          <w:rFonts w:ascii="Times New Roman" w:hAnsi="Times New Roman"/>
          <w:sz w:val="24"/>
          <w:szCs w:val="24"/>
          <w:lang w:val="es-MX"/>
        </w:rPr>
      </w:pPr>
    </w:p>
    <w:p w14:paraId="337572CF" w14:textId="2E7CB411" w:rsidR="000A2360" w:rsidRDefault="000A2360" w:rsidP="000A2360">
      <w:pPr>
        <w:pStyle w:val="Sinespaciado"/>
        <w:ind w:left="567" w:right="49"/>
        <w:jc w:val="both"/>
        <w:rPr>
          <w:rFonts w:ascii="Times New Roman" w:hAnsi="Times New Roman"/>
          <w:sz w:val="24"/>
          <w:szCs w:val="24"/>
          <w:lang w:val="es-MX"/>
        </w:rPr>
      </w:pPr>
      <w:r w:rsidRPr="00AF7163">
        <w:rPr>
          <w:rFonts w:ascii="Times New Roman" w:hAnsi="Times New Roman"/>
          <w:sz w:val="24"/>
          <w:szCs w:val="24"/>
          <w:lang w:val="es-MX"/>
        </w:rPr>
        <w:t xml:space="preserve">En lo que respecta al perfil de la deuda, la percepción del mercado se considera con riesgo moderado dado que el EMBI promedio de abril a junio fue de 255.0 puntos básicos, sin embargo, este se encuentra muy cercano al límite (200 pb). El cambio en la deuda de corto plazo es cercano al 0.0% porque la mayoría de la deuda contratada es de largo plazo. La deuda pública externa tiene riesgo moderado dado que para 2021 este se ubicará alrededor del </w:t>
      </w:r>
      <w:r w:rsidR="001566FA" w:rsidRPr="00AF7163">
        <w:rPr>
          <w:rFonts w:ascii="Times New Roman" w:hAnsi="Times New Roman"/>
          <w:sz w:val="24"/>
          <w:szCs w:val="24"/>
          <w:lang w:val="es-MX"/>
        </w:rPr>
        <w:t>38.4</w:t>
      </w:r>
      <w:r w:rsidRPr="00AF7163">
        <w:rPr>
          <w:rFonts w:ascii="Times New Roman" w:hAnsi="Times New Roman"/>
          <w:sz w:val="24"/>
          <w:szCs w:val="24"/>
          <w:lang w:val="es-MX"/>
        </w:rPr>
        <w:t>%, no obstante, este indicador ha disminuido en el tiempo debido a que la deuda interna ha ido en aumento con respecto del total. La deuda pública en moneda extranjera tiene riesgo moderado</w:t>
      </w:r>
      <w:r w:rsidR="001566FA" w:rsidRPr="00AF7163">
        <w:rPr>
          <w:rFonts w:ascii="Times New Roman" w:hAnsi="Times New Roman"/>
          <w:sz w:val="24"/>
          <w:szCs w:val="24"/>
          <w:lang w:val="es-MX"/>
        </w:rPr>
        <w:t xml:space="preserve"> </w:t>
      </w:r>
      <w:r w:rsidR="001566FA" w:rsidRPr="00AF7163">
        <w:rPr>
          <w:rFonts w:ascii="Times New Roman" w:hAnsi="Times New Roman"/>
          <w:sz w:val="24"/>
          <w:szCs w:val="24"/>
          <w:lang w:val="es-MX"/>
        </w:rPr>
        <w:lastRenderedPageBreak/>
        <w:t xml:space="preserve">dado que se proyecta que este se encuentre en 42.3% en 2021, </w:t>
      </w:r>
      <w:r w:rsidRPr="00AF7163">
        <w:rPr>
          <w:rFonts w:ascii="Times New Roman" w:hAnsi="Times New Roman"/>
          <w:sz w:val="24"/>
          <w:szCs w:val="24"/>
          <w:lang w:val="es-MX"/>
        </w:rPr>
        <w:t xml:space="preserve">pero es importante mencionar que este indicador también ha ido en disminución y que el tipo de cambio nacional ha sido bastante estable en el largo plazo. Por lo que, el análisis sobre los resultados del mapa de calor muestra que el riesgo de la deuda pública en el mediano plazo es bajo.  </w:t>
      </w:r>
    </w:p>
    <w:p w14:paraId="0114BA22" w14:textId="77777777" w:rsidR="00AF7163" w:rsidRPr="00AF7163" w:rsidRDefault="00AF7163" w:rsidP="000A2360">
      <w:pPr>
        <w:pStyle w:val="Sinespaciado"/>
        <w:ind w:left="567" w:right="49"/>
        <w:jc w:val="both"/>
        <w:rPr>
          <w:rFonts w:ascii="Times New Roman" w:hAnsi="Times New Roman"/>
          <w:sz w:val="24"/>
          <w:szCs w:val="24"/>
          <w:lang w:val="es-MX"/>
        </w:rPr>
      </w:pPr>
    </w:p>
    <w:p w14:paraId="579B736B" w14:textId="03F8D5A9" w:rsidR="000A2360" w:rsidRPr="00AF7163" w:rsidRDefault="00AF7163" w:rsidP="00AF7163">
      <w:pPr>
        <w:jc w:val="center"/>
        <w:rPr>
          <w:b/>
        </w:rPr>
      </w:pPr>
      <w:r>
        <w:rPr>
          <w:b/>
          <w:sz w:val="22"/>
          <w:szCs w:val="22"/>
        </w:rPr>
        <w:t>Tabla 5</w:t>
      </w:r>
      <w:r w:rsidRPr="00AF7163">
        <w:rPr>
          <w:b/>
          <w:sz w:val="22"/>
          <w:szCs w:val="22"/>
        </w:rPr>
        <w:t xml:space="preserve">.  </w:t>
      </w:r>
      <w:r>
        <w:rPr>
          <w:b/>
          <w:sz w:val="22"/>
          <w:szCs w:val="22"/>
        </w:rPr>
        <w:t>Resultados del riesgo de la deuda pública en el medio plazo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269"/>
      </w:tblGrid>
      <w:tr w:rsidR="000A2360" w:rsidRPr="00AF7163" w14:paraId="22160811" w14:textId="77777777" w:rsidTr="001566FA">
        <w:trPr>
          <w:trHeight w:val="238"/>
          <w:jc w:val="center"/>
        </w:trPr>
        <w:tc>
          <w:tcPr>
            <w:tcW w:w="4956" w:type="dxa"/>
          </w:tcPr>
          <w:p w14:paraId="3170DB65" w14:textId="77777777" w:rsidR="000A2360" w:rsidRPr="00AF7163" w:rsidRDefault="000A2360" w:rsidP="00AA3AFE">
            <w:pPr>
              <w:jc w:val="center"/>
              <w:rPr>
                <w:b/>
                <w:bCs/>
              </w:rPr>
            </w:pPr>
            <w:r w:rsidRPr="00AF7163">
              <w:rPr>
                <w:b/>
                <w:bCs/>
              </w:rPr>
              <w:t>Mapa de calor</w:t>
            </w:r>
          </w:p>
        </w:tc>
        <w:tc>
          <w:tcPr>
            <w:tcW w:w="4169" w:type="dxa"/>
          </w:tcPr>
          <w:p w14:paraId="519D7ECB" w14:textId="77777777" w:rsidR="000A2360" w:rsidRPr="00AF7163" w:rsidRDefault="000A2360" w:rsidP="00AA3AFE">
            <w:pPr>
              <w:jc w:val="center"/>
              <w:rPr>
                <w:b/>
                <w:bCs/>
              </w:rPr>
            </w:pPr>
            <w:r w:rsidRPr="00AF7163">
              <w:rPr>
                <w:b/>
                <w:bCs/>
              </w:rPr>
              <w:t>Benchmarks para los indicadores</w:t>
            </w:r>
          </w:p>
        </w:tc>
      </w:tr>
      <w:tr w:rsidR="000A2360" w:rsidRPr="00AF7163" w14:paraId="3347EC00" w14:textId="77777777" w:rsidTr="001566FA">
        <w:trPr>
          <w:trHeight w:val="2418"/>
          <w:jc w:val="center"/>
        </w:trPr>
        <w:tc>
          <w:tcPr>
            <w:tcW w:w="4956" w:type="dxa"/>
          </w:tcPr>
          <w:p w14:paraId="4240313E" w14:textId="7D9806CF" w:rsidR="000A2360" w:rsidRPr="00AF7163" w:rsidRDefault="001566FA" w:rsidP="00AA3AFE">
            <w:r w:rsidRPr="00AF7163">
              <w:rPr>
                <w:noProof/>
                <w:lang w:val="es-GT" w:eastAsia="es-GT"/>
              </w:rPr>
              <w:drawing>
                <wp:inline distT="0" distB="0" distL="0" distR="0" wp14:anchorId="4C4A3C9E" wp14:editId="5D87F431">
                  <wp:extent cx="3060000" cy="1405803"/>
                  <wp:effectExtent l="0" t="0" r="762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0000" cy="1405803"/>
                          </a:xfrm>
                          <a:prstGeom prst="rect">
                            <a:avLst/>
                          </a:prstGeom>
                          <a:noFill/>
                          <a:ln>
                            <a:noFill/>
                          </a:ln>
                        </pic:spPr>
                      </pic:pic>
                    </a:graphicData>
                  </a:graphic>
                </wp:inline>
              </w:drawing>
            </w:r>
          </w:p>
        </w:tc>
        <w:tc>
          <w:tcPr>
            <w:tcW w:w="4169" w:type="dxa"/>
          </w:tcPr>
          <w:p w14:paraId="33ADF2CA" w14:textId="19E0A00B" w:rsidR="000A2360" w:rsidRPr="00AF7163" w:rsidRDefault="001566FA" w:rsidP="00AA3AFE">
            <w:pPr>
              <w:jc w:val="center"/>
            </w:pPr>
            <w:r w:rsidRPr="00AF7163">
              <w:rPr>
                <w:noProof/>
                <w:lang w:val="es-GT" w:eastAsia="es-GT"/>
              </w:rPr>
              <w:drawing>
                <wp:inline distT="0" distB="0" distL="0" distR="0" wp14:anchorId="596881CA" wp14:editId="43AFD916">
                  <wp:extent cx="2574000" cy="14153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4000" cy="1415313"/>
                          </a:xfrm>
                          <a:prstGeom prst="rect">
                            <a:avLst/>
                          </a:prstGeom>
                          <a:noFill/>
                          <a:ln>
                            <a:noFill/>
                          </a:ln>
                        </pic:spPr>
                      </pic:pic>
                    </a:graphicData>
                  </a:graphic>
                </wp:inline>
              </w:drawing>
            </w:r>
          </w:p>
        </w:tc>
      </w:tr>
      <w:tr w:rsidR="000A2360" w14:paraId="2FC66D43" w14:textId="77777777" w:rsidTr="001566FA">
        <w:trPr>
          <w:trHeight w:val="859"/>
          <w:jc w:val="center"/>
        </w:trPr>
        <w:tc>
          <w:tcPr>
            <w:tcW w:w="9126" w:type="dxa"/>
            <w:gridSpan w:val="2"/>
          </w:tcPr>
          <w:p w14:paraId="693593D0" w14:textId="77777777" w:rsidR="000A2360" w:rsidRPr="00AF7163" w:rsidRDefault="000A2360" w:rsidP="00AA3AFE">
            <w:pPr>
              <w:rPr>
                <w:sz w:val="14"/>
                <w:szCs w:val="14"/>
              </w:rPr>
            </w:pPr>
          </w:p>
          <w:p w14:paraId="47748E45" w14:textId="7657D771" w:rsidR="000A2360" w:rsidRPr="00AF7163" w:rsidRDefault="000A2360" w:rsidP="00AA3AFE">
            <w:pPr>
              <w:rPr>
                <w:sz w:val="14"/>
                <w:szCs w:val="14"/>
              </w:rPr>
            </w:pPr>
            <w:r w:rsidRPr="00AF7163">
              <w:rPr>
                <w:sz w:val="14"/>
                <w:szCs w:val="14"/>
              </w:rPr>
              <w:t xml:space="preserve">Fuente: </w:t>
            </w:r>
            <w:r w:rsidR="00EF0CE5" w:rsidRPr="00AF7163">
              <w:rPr>
                <w:bCs/>
                <w:sz w:val="16"/>
                <w:szCs w:val="11"/>
              </w:rPr>
              <w:t>Ministerio de Finanzas Públicas</w:t>
            </w:r>
            <w:r w:rsidR="00EF0CE5" w:rsidRPr="00AF7163">
              <w:rPr>
                <w:sz w:val="14"/>
                <w:szCs w:val="14"/>
              </w:rPr>
              <w:t xml:space="preserve"> </w:t>
            </w:r>
            <w:r w:rsidRPr="00AF7163">
              <w:rPr>
                <w:sz w:val="14"/>
                <w:szCs w:val="14"/>
              </w:rPr>
              <w:t>según metodología del Fondo monetario internacional.</w:t>
            </w:r>
          </w:p>
          <w:p w14:paraId="5D82C2A2" w14:textId="58AC6863" w:rsidR="000A2360" w:rsidRPr="00AF7163" w:rsidRDefault="000A2360" w:rsidP="00AA3AFE">
            <w:pPr>
              <w:rPr>
                <w:sz w:val="14"/>
                <w:szCs w:val="14"/>
              </w:rPr>
            </w:pPr>
            <w:r w:rsidRPr="00AF7163">
              <w:rPr>
                <w:sz w:val="14"/>
                <w:szCs w:val="14"/>
              </w:rPr>
              <w:t xml:space="preserve">Nota:  En los indicadores de deuda PIB y NBF/PIB el color es rojo si en el escenario base se sobre pasa el benchmark, es amarillo si únicamente el benchmark se sobrepasa en los escenarios con choques y es verde si en </w:t>
            </w:r>
            <w:r w:rsidR="00AF7163" w:rsidRPr="00AF7163">
              <w:rPr>
                <w:sz w:val="14"/>
                <w:szCs w:val="14"/>
              </w:rPr>
              <w:t>todos los escenarios</w:t>
            </w:r>
            <w:r w:rsidRPr="00AF7163">
              <w:rPr>
                <w:sz w:val="14"/>
                <w:szCs w:val="14"/>
              </w:rPr>
              <w:t xml:space="preserve"> el benchmark no se sobrepasa.</w:t>
            </w:r>
          </w:p>
          <w:p w14:paraId="7C71AB52" w14:textId="77777777" w:rsidR="000A2360" w:rsidRPr="00CD393C" w:rsidRDefault="000A2360" w:rsidP="00AA3AFE">
            <w:r w:rsidRPr="00AF7163">
              <w:rPr>
                <w:sz w:val="14"/>
                <w:szCs w:val="14"/>
              </w:rPr>
              <w:t>NBF: Necesidades brutas de financiamiento.</w:t>
            </w:r>
          </w:p>
        </w:tc>
      </w:tr>
    </w:tbl>
    <w:p w14:paraId="0F7EEE5A" w14:textId="196FE2CA" w:rsidR="000A2360" w:rsidRPr="000A2360" w:rsidRDefault="000A2360" w:rsidP="000A2360"/>
    <w:p w14:paraId="5AE1B9E4" w14:textId="1BFC477F" w:rsidR="00246A61" w:rsidRPr="0099727E" w:rsidRDefault="00246A61" w:rsidP="00246A61">
      <w:pPr>
        <w:pStyle w:val="Ttulo1"/>
        <w:widowControl/>
        <w:numPr>
          <w:ilvl w:val="1"/>
          <w:numId w:val="5"/>
        </w:numPr>
        <w:ind w:left="993" w:right="49"/>
        <w:jc w:val="left"/>
        <w:rPr>
          <w:b w:val="0"/>
          <w:color w:val="1F3864" w:themeColor="accent1" w:themeShade="80"/>
          <w:sz w:val="24"/>
          <w:szCs w:val="24"/>
        </w:rPr>
      </w:pPr>
      <w:bookmarkStart w:id="56" w:name="_Toc83302166"/>
      <w:r w:rsidRPr="0099727E">
        <w:rPr>
          <w:color w:val="1F3864" w:themeColor="accent1" w:themeShade="80"/>
          <w:sz w:val="24"/>
          <w:szCs w:val="24"/>
        </w:rPr>
        <w:t>Análisis de Largo Plazo</w:t>
      </w:r>
      <w:bookmarkEnd w:id="53"/>
      <w:bookmarkEnd w:id="54"/>
      <w:bookmarkEnd w:id="55"/>
      <w:bookmarkEnd w:id="56"/>
      <w:r w:rsidRPr="0099727E">
        <w:rPr>
          <w:color w:val="1F3864" w:themeColor="accent1" w:themeShade="80"/>
          <w:sz w:val="24"/>
          <w:szCs w:val="24"/>
        </w:rPr>
        <w:t xml:space="preserve">   </w:t>
      </w:r>
    </w:p>
    <w:p w14:paraId="20A53925" w14:textId="77777777" w:rsidR="00246A61" w:rsidRPr="0099727E" w:rsidRDefault="00246A61" w:rsidP="00246A61">
      <w:pPr>
        <w:pStyle w:val="Sinespaciado"/>
        <w:ind w:left="567" w:right="49"/>
        <w:jc w:val="both"/>
        <w:rPr>
          <w:rFonts w:ascii="Times New Roman" w:hAnsi="Times New Roman"/>
          <w:color w:val="FF0000"/>
          <w:sz w:val="24"/>
          <w:szCs w:val="24"/>
          <w:lang w:val="es-MX"/>
        </w:rPr>
      </w:pPr>
    </w:p>
    <w:p w14:paraId="7D8E1329" w14:textId="77777777" w:rsidR="005B5618" w:rsidRPr="0099727E" w:rsidRDefault="005B5618" w:rsidP="005B5618">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Para evaluar el comportamiento y posible trayectoria de la deuda pública en el largo plazo, es decir en un horizonte de 20 años, se realizó un análisis simplificado de choques a los principales determinantes de la deuda pública que podría generarse a partir de 2027 tomando como referencia el escenario base de mediano plazo (202</w:t>
      </w:r>
      <w:r w:rsidR="00723450" w:rsidRPr="0099727E">
        <w:rPr>
          <w:rFonts w:ascii="Times New Roman" w:hAnsi="Times New Roman"/>
          <w:sz w:val="24"/>
          <w:szCs w:val="24"/>
          <w:lang w:val="es-MX"/>
        </w:rPr>
        <w:t>2</w:t>
      </w:r>
      <w:r w:rsidRPr="0099727E">
        <w:rPr>
          <w:rFonts w:ascii="Times New Roman" w:hAnsi="Times New Roman"/>
          <w:sz w:val="24"/>
          <w:szCs w:val="24"/>
          <w:lang w:val="es-MX"/>
        </w:rPr>
        <w:t xml:space="preserve">-2026) de la sección anterior. </w:t>
      </w:r>
    </w:p>
    <w:p w14:paraId="4E81FA1D" w14:textId="77777777" w:rsidR="005B5618" w:rsidRPr="0099727E" w:rsidRDefault="005B5618" w:rsidP="005B5618">
      <w:pPr>
        <w:pStyle w:val="Sinespaciado"/>
        <w:ind w:left="567" w:right="49"/>
        <w:jc w:val="both"/>
        <w:rPr>
          <w:rFonts w:ascii="Times New Roman" w:hAnsi="Times New Roman"/>
          <w:sz w:val="24"/>
          <w:szCs w:val="24"/>
          <w:lang w:val="es-MX"/>
        </w:rPr>
      </w:pPr>
    </w:p>
    <w:p w14:paraId="6B650BDD" w14:textId="7CDF8ABB" w:rsidR="005B5618" w:rsidRPr="0099727E" w:rsidRDefault="005B5618" w:rsidP="005B5618">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En ese sentido, de mantenerse las condiciones previstas en 2026 y que estas se extiendan en el largo plazo (2041), es decir un resultado primario deficitario que se ubique en torno al 0.5% PIB;  el crecimiento económico promedio se ubique en 3.3%, 0.2 puntos porcentuales debajo del PIB potencial, la tasa de interés real se estima por abajo del crecimiento económico  y el tipo de cambio nominal se prevé que en promedio se mantenga relativamente constante como se ha observado en los últimos quince años. Con dichos supuestos la proporción Deuda / PIB, si bien muestra un comportamiento creciente, será moderado y se prevé que dicho indicador alcance al final del período indicado un </w:t>
      </w:r>
      <w:r w:rsidR="003F0A7D" w:rsidRPr="0099727E">
        <w:rPr>
          <w:rFonts w:ascii="Times New Roman" w:hAnsi="Times New Roman"/>
          <w:sz w:val="24"/>
          <w:szCs w:val="24"/>
          <w:lang w:val="es-MX"/>
        </w:rPr>
        <w:t>3</w:t>
      </w:r>
      <w:r w:rsidR="003D7E23">
        <w:rPr>
          <w:rFonts w:ascii="Times New Roman" w:hAnsi="Times New Roman"/>
          <w:sz w:val="24"/>
          <w:szCs w:val="24"/>
          <w:lang w:val="es-MX"/>
        </w:rPr>
        <w:t>2</w:t>
      </w:r>
      <w:r w:rsidR="003F0A7D" w:rsidRPr="0099727E">
        <w:rPr>
          <w:rFonts w:ascii="Times New Roman" w:hAnsi="Times New Roman"/>
          <w:sz w:val="24"/>
          <w:szCs w:val="24"/>
          <w:lang w:val="es-MX"/>
        </w:rPr>
        <w:t>.</w:t>
      </w:r>
      <w:r w:rsidR="003D7E23">
        <w:rPr>
          <w:rFonts w:ascii="Times New Roman" w:hAnsi="Times New Roman"/>
          <w:sz w:val="24"/>
          <w:szCs w:val="24"/>
          <w:lang w:val="es-MX"/>
        </w:rPr>
        <w:t>0</w:t>
      </w:r>
      <w:r w:rsidRPr="0099727E">
        <w:rPr>
          <w:rFonts w:ascii="Times New Roman" w:hAnsi="Times New Roman"/>
          <w:sz w:val="24"/>
          <w:szCs w:val="24"/>
          <w:lang w:val="es-MX"/>
        </w:rPr>
        <w:t>%.</w:t>
      </w:r>
    </w:p>
    <w:p w14:paraId="4F0620A5" w14:textId="77777777" w:rsidR="003F0A7D" w:rsidRPr="0099727E" w:rsidRDefault="003F0A7D" w:rsidP="005B5618">
      <w:pPr>
        <w:pStyle w:val="Sinespaciado"/>
        <w:ind w:left="567" w:right="49"/>
        <w:jc w:val="both"/>
        <w:rPr>
          <w:rFonts w:ascii="Times New Roman" w:hAnsi="Times New Roman"/>
          <w:sz w:val="24"/>
          <w:szCs w:val="24"/>
          <w:lang w:val="es-MX"/>
        </w:rPr>
      </w:pPr>
    </w:p>
    <w:p w14:paraId="73813976" w14:textId="30566EA8" w:rsidR="005B5618" w:rsidRPr="0099727E" w:rsidRDefault="005B5618" w:rsidP="005B5618">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Lo anterior muestra que hay margen suficiente para soportar choques de la economía, sin que esto repercuta severamente en la sostenibilidad fiscal.  Para el efecto se aplicaron choques transitorios a los principales determinantes del comportamiento de la deuda y en el peor escenario de un choque combinado en el que se da una reducción del PIB real en los primeros años (caída del 30.0% del valor estimado del crecimiento), incremento de la tasa de interés real en 50 puntos básicos y un aumento importante en el déficit primario en los primeros cinco años (aumentos en puntos porcentuales del PIB de 0.5 por 5 años). Con estos choques combinados la relación deuda / PIB para 2041 podría situarse hasta </w:t>
      </w:r>
      <w:r w:rsidR="003F0A7D" w:rsidRPr="0099727E">
        <w:rPr>
          <w:rFonts w:ascii="Times New Roman" w:hAnsi="Times New Roman"/>
          <w:sz w:val="24"/>
          <w:szCs w:val="24"/>
          <w:lang w:val="es-MX"/>
        </w:rPr>
        <w:t>3</w:t>
      </w:r>
      <w:r w:rsidR="003D7E23">
        <w:rPr>
          <w:rFonts w:ascii="Times New Roman" w:hAnsi="Times New Roman"/>
          <w:sz w:val="24"/>
          <w:szCs w:val="24"/>
          <w:lang w:val="es-MX"/>
        </w:rPr>
        <w:t>8</w:t>
      </w:r>
      <w:r w:rsidR="003F0A7D" w:rsidRPr="0099727E">
        <w:rPr>
          <w:rFonts w:ascii="Times New Roman" w:hAnsi="Times New Roman"/>
          <w:sz w:val="24"/>
          <w:szCs w:val="24"/>
          <w:lang w:val="es-MX"/>
        </w:rPr>
        <w:t>.</w:t>
      </w:r>
      <w:r w:rsidR="003D7E23">
        <w:rPr>
          <w:rFonts w:ascii="Times New Roman" w:hAnsi="Times New Roman"/>
          <w:sz w:val="24"/>
          <w:szCs w:val="24"/>
          <w:lang w:val="es-MX"/>
        </w:rPr>
        <w:t>0</w:t>
      </w:r>
      <w:r w:rsidRPr="0099727E">
        <w:rPr>
          <w:rFonts w:ascii="Times New Roman" w:hAnsi="Times New Roman"/>
          <w:sz w:val="24"/>
          <w:szCs w:val="24"/>
          <w:lang w:val="es-MX"/>
        </w:rPr>
        <w:t>%.</w:t>
      </w:r>
    </w:p>
    <w:p w14:paraId="3F86657E" w14:textId="77777777" w:rsidR="005B5618" w:rsidRPr="0099727E" w:rsidRDefault="005B5618" w:rsidP="005B5618">
      <w:pPr>
        <w:pStyle w:val="Sinespaciado"/>
        <w:ind w:right="49"/>
        <w:jc w:val="both"/>
        <w:rPr>
          <w:rFonts w:ascii="Times New Roman" w:hAnsi="Times New Roman"/>
          <w:sz w:val="24"/>
          <w:szCs w:val="24"/>
          <w:lang w:val="es-MX"/>
        </w:rPr>
      </w:pPr>
    </w:p>
    <w:tbl>
      <w:tblPr>
        <w:tblStyle w:val="Tablaconcuadrcula"/>
        <w:tblW w:w="9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475"/>
      </w:tblGrid>
      <w:tr w:rsidR="005B5618" w:rsidRPr="0099727E" w14:paraId="615877A1" w14:textId="77777777" w:rsidTr="003D7E23">
        <w:trPr>
          <w:trHeight w:val="3535"/>
          <w:jc w:val="center"/>
        </w:trPr>
        <w:tc>
          <w:tcPr>
            <w:tcW w:w="9475" w:type="dxa"/>
          </w:tcPr>
          <w:p w14:paraId="21F075E8" w14:textId="5BFE6CB3" w:rsidR="005B5618" w:rsidRPr="0099727E" w:rsidRDefault="00AF7163" w:rsidP="00BC0D90">
            <w:pPr>
              <w:pStyle w:val="Epgrafe"/>
              <w:keepNext/>
              <w:ind w:left="567" w:right="49"/>
              <w:rPr>
                <w:color w:val="auto"/>
                <w:sz w:val="24"/>
                <w:szCs w:val="24"/>
              </w:rPr>
            </w:pPr>
            <w:r>
              <w:rPr>
                <w:color w:val="auto"/>
                <w:sz w:val="24"/>
                <w:szCs w:val="24"/>
              </w:rPr>
              <w:lastRenderedPageBreak/>
              <w:t>Gráfica 32</w:t>
            </w:r>
            <w:r w:rsidR="00814706" w:rsidRPr="0099727E">
              <w:rPr>
                <w:color w:val="auto"/>
                <w:sz w:val="24"/>
                <w:szCs w:val="24"/>
              </w:rPr>
              <w:t xml:space="preserve">.  </w:t>
            </w:r>
            <w:r w:rsidR="005B5618" w:rsidRPr="0099727E">
              <w:rPr>
                <w:color w:val="auto"/>
                <w:sz w:val="24"/>
                <w:szCs w:val="24"/>
              </w:rPr>
              <w:t>Escenarios del comportamiento de la Deuda Pública en el Largo Plazo</w:t>
            </w:r>
          </w:p>
          <w:p w14:paraId="20E804AC" w14:textId="77777777" w:rsidR="005B5618" w:rsidRPr="0099727E" w:rsidRDefault="005B5618" w:rsidP="00BC0D90">
            <w:pPr>
              <w:ind w:left="567" w:right="49"/>
              <w:jc w:val="center"/>
              <w:rPr>
                <w:sz w:val="22"/>
                <w:szCs w:val="24"/>
              </w:rPr>
            </w:pPr>
            <w:r w:rsidRPr="0099727E">
              <w:rPr>
                <w:sz w:val="22"/>
                <w:szCs w:val="24"/>
              </w:rPr>
              <w:t>En porcentaje del PIB</w:t>
            </w:r>
          </w:p>
          <w:p w14:paraId="00080797" w14:textId="0ADBE7C9" w:rsidR="005B5618" w:rsidRPr="0099727E" w:rsidRDefault="003D7E23" w:rsidP="00BC0D90">
            <w:pPr>
              <w:ind w:left="567" w:right="49"/>
              <w:jc w:val="center"/>
              <w:rPr>
                <w:noProof/>
                <w:sz w:val="24"/>
                <w:szCs w:val="24"/>
              </w:rPr>
            </w:pPr>
            <w:r>
              <w:rPr>
                <w:noProof/>
                <w:lang w:val="es-GT" w:eastAsia="es-GT"/>
              </w:rPr>
              <w:drawing>
                <wp:inline distT="0" distB="0" distL="0" distR="0" wp14:anchorId="3157D1BA" wp14:editId="4C28004D">
                  <wp:extent cx="5040000" cy="1800000"/>
                  <wp:effectExtent l="0" t="0" r="8255" b="0"/>
                  <wp:docPr id="23" name="Gráfico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596A377-D803-4924-B164-D94E0FCCC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5B5618" w:rsidRPr="0099727E">
              <w:rPr>
                <w:noProof/>
                <w:sz w:val="24"/>
                <w:szCs w:val="24"/>
              </w:rPr>
              <w:t xml:space="preserve"> </w:t>
            </w:r>
          </w:p>
          <w:p w14:paraId="4F17DBCF" w14:textId="590AE694" w:rsidR="005B5618" w:rsidRPr="0099727E" w:rsidRDefault="005B5618" w:rsidP="00BC0D90">
            <w:pPr>
              <w:ind w:left="567" w:right="49"/>
              <w:rPr>
                <w:sz w:val="16"/>
                <w:szCs w:val="16"/>
              </w:rPr>
            </w:pPr>
            <w:r w:rsidRPr="0099727E">
              <w:rPr>
                <w:sz w:val="12"/>
                <w:szCs w:val="16"/>
              </w:rPr>
              <w:t xml:space="preserve">    </w:t>
            </w:r>
            <w:r w:rsidRPr="0099727E">
              <w:rPr>
                <w:sz w:val="16"/>
              </w:rPr>
              <w:t xml:space="preserve">Fuente: </w:t>
            </w:r>
            <w:r w:rsidR="00EF0CE5" w:rsidRPr="00EF0CE5">
              <w:rPr>
                <w:bCs/>
                <w:sz w:val="16"/>
                <w:szCs w:val="11"/>
              </w:rPr>
              <w:t>Ministerio de Finanzas Públicas</w:t>
            </w:r>
            <w:r w:rsidR="00EF0CE5" w:rsidRPr="0099727E">
              <w:rPr>
                <w:sz w:val="16"/>
              </w:rPr>
              <w:t xml:space="preserve"> </w:t>
            </w:r>
            <w:r w:rsidRPr="0099727E">
              <w:rPr>
                <w:sz w:val="16"/>
              </w:rPr>
              <w:t>con el análisis del Índice de Blanchard</w:t>
            </w:r>
          </w:p>
        </w:tc>
      </w:tr>
    </w:tbl>
    <w:p w14:paraId="05059B09" w14:textId="77777777" w:rsidR="003F0A7D" w:rsidRPr="0099727E" w:rsidRDefault="003F0A7D" w:rsidP="005B5618">
      <w:pPr>
        <w:pStyle w:val="Sinespaciado"/>
        <w:ind w:left="567" w:right="49"/>
        <w:jc w:val="both"/>
        <w:rPr>
          <w:rFonts w:ascii="Times New Roman" w:hAnsi="Times New Roman"/>
          <w:sz w:val="24"/>
          <w:szCs w:val="24"/>
          <w:lang w:val="es-MX"/>
        </w:rPr>
      </w:pPr>
    </w:p>
    <w:p w14:paraId="7E366F31" w14:textId="6F70608E" w:rsidR="005B5618" w:rsidRDefault="005B5618" w:rsidP="005B5618">
      <w:pPr>
        <w:pStyle w:val="Sinespaciado"/>
        <w:ind w:left="567" w:right="49"/>
        <w:jc w:val="both"/>
        <w:rPr>
          <w:rFonts w:ascii="Times New Roman" w:hAnsi="Times New Roman"/>
          <w:sz w:val="24"/>
          <w:szCs w:val="24"/>
          <w:lang w:val="es-MX"/>
        </w:rPr>
      </w:pPr>
      <w:r w:rsidRPr="0099727E">
        <w:rPr>
          <w:rFonts w:ascii="Times New Roman" w:hAnsi="Times New Roman"/>
          <w:sz w:val="24"/>
          <w:szCs w:val="24"/>
          <w:lang w:val="es-MX"/>
        </w:rPr>
        <w:t xml:space="preserve">Considerando los resultados mostrados, es importante indicar que la autoridad fiscal puede tomar medidas de política para evitar un deterioro de las cuentas fiscales y revertir así la tendencia de la deuda mediante ajustes en los ingresos o gastos del gobierno que pueden reducir o minimizar el impacto de los efectos adversos en el largo plazo. En ese sentido, se elaboraron dos escenarios adicionales que muestran dos tipos de ajustes fiscales uno en el que se busca un equilibrio en el balance primario, después de los choques en la economía; y otro escenario en el que el ajuste fiscal es más severo y se logra un superávit primario de 0.2% del PIB posterior a los choques combinados. Con dichos ajustes la relación de deuda / PIB para 2041 pasaría de </w:t>
      </w:r>
      <w:r w:rsidR="003F0A7D" w:rsidRPr="0099727E">
        <w:rPr>
          <w:rFonts w:ascii="Times New Roman" w:hAnsi="Times New Roman"/>
          <w:sz w:val="24"/>
          <w:szCs w:val="24"/>
          <w:lang w:val="es-MX"/>
        </w:rPr>
        <w:t>3</w:t>
      </w:r>
      <w:r w:rsidR="003D7E23">
        <w:rPr>
          <w:rFonts w:ascii="Times New Roman" w:hAnsi="Times New Roman"/>
          <w:sz w:val="24"/>
          <w:szCs w:val="24"/>
          <w:lang w:val="es-MX"/>
        </w:rPr>
        <w:t>8</w:t>
      </w:r>
      <w:r w:rsidR="003F0A7D" w:rsidRPr="0099727E">
        <w:rPr>
          <w:rFonts w:ascii="Times New Roman" w:hAnsi="Times New Roman"/>
          <w:sz w:val="24"/>
          <w:szCs w:val="24"/>
          <w:lang w:val="es-MX"/>
        </w:rPr>
        <w:t>.</w:t>
      </w:r>
      <w:r w:rsidR="003D7E23">
        <w:rPr>
          <w:rFonts w:ascii="Times New Roman" w:hAnsi="Times New Roman"/>
          <w:sz w:val="24"/>
          <w:szCs w:val="24"/>
          <w:lang w:val="es-MX"/>
        </w:rPr>
        <w:t>0</w:t>
      </w:r>
      <w:r w:rsidRPr="0099727E">
        <w:rPr>
          <w:rFonts w:ascii="Times New Roman" w:hAnsi="Times New Roman"/>
          <w:sz w:val="24"/>
          <w:szCs w:val="24"/>
          <w:lang w:val="es-MX"/>
        </w:rPr>
        <w:t xml:space="preserve">% a </w:t>
      </w:r>
      <w:r w:rsidR="006D28C4" w:rsidRPr="0099727E">
        <w:rPr>
          <w:rFonts w:ascii="Times New Roman" w:hAnsi="Times New Roman"/>
          <w:sz w:val="24"/>
          <w:szCs w:val="24"/>
          <w:lang w:val="es-MX"/>
        </w:rPr>
        <w:t>3</w:t>
      </w:r>
      <w:r w:rsidR="003D7E23">
        <w:rPr>
          <w:rFonts w:ascii="Times New Roman" w:hAnsi="Times New Roman"/>
          <w:sz w:val="24"/>
          <w:szCs w:val="24"/>
          <w:lang w:val="es-MX"/>
        </w:rPr>
        <w:t>5</w:t>
      </w:r>
      <w:r w:rsidR="006D28C4" w:rsidRPr="0099727E">
        <w:rPr>
          <w:rFonts w:ascii="Times New Roman" w:hAnsi="Times New Roman"/>
          <w:sz w:val="24"/>
          <w:szCs w:val="24"/>
          <w:lang w:val="es-MX"/>
        </w:rPr>
        <w:t>.</w:t>
      </w:r>
      <w:r w:rsidR="003D7E23">
        <w:rPr>
          <w:rFonts w:ascii="Times New Roman" w:hAnsi="Times New Roman"/>
          <w:sz w:val="24"/>
          <w:szCs w:val="24"/>
          <w:lang w:val="es-MX"/>
        </w:rPr>
        <w:t>0</w:t>
      </w:r>
      <w:r w:rsidRPr="0099727E">
        <w:rPr>
          <w:rFonts w:ascii="Times New Roman" w:hAnsi="Times New Roman"/>
          <w:sz w:val="24"/>
          <w:szCs w:val="24"/>
          <w:lang w:val="es-MX"/>
        </w:rPr>
        <w:t>% del PIB, únicamente logrando un equilibrio en el resultado primario y con un ajuste un poco más fuerte se logra un mayor superávit primario, en donde la relación deuda/PIB disminuiría a 3</w:t>
      </w:r>
      <w:r w:rsidR="006D28C4" w:rsidRPr="0099727E">
        <w:rPr>
          <w:rFonts w:ascii="Times New Roman" w:hAnsi="Times New Roman"/>
          <w:sz w:val="24"/>
          <w:szCs w:val="24"/>
          <w:lang w:val="es-MX"/>
        </w:rPr>
        <w:t>2</w:t>
      </w:r>
      <w:r w:rsidRPr="0099727E">
        <w:rPr>
          <w:rFonts w:ascii="Times New Roman" w:hAnsi="Times New Roman"/>
          <w:sz w:val="24"/>
          <w:szCs w:val="24"/>
          <w:lang w:val="es-MX"/>
        </w:rPr>
        <w:t>.</w:t>
      </w:r>
      <w:r w:rsidR="003D7E23">
        <w:rPr>
          <w:rFonts w:ascii="Times New Roman" w:hAnsi="Times New Roman"/>
          <w:sz w:val="24"/>
          <w:szCs w:val="24"/>
          <w:lang w:val="es-MX"/>
        </w:rPr>
        <w:t>6</w:t>
      </w:r>
      <w:r w:rsidRPr="0099727E">
        <w:rPr>
          <w:rFonts w:ascii="Times New Roman" w:hAnsi="Times New Roman"/>
          <w:sz w:val="24"/>
          <w:szCs w:val="24"/>
          <w:lang w:val="es-MX"/>
        </w:rPr>
        <w:t>% del PIB.</w:t>
      </w:r>
    </w:p>
    <w:p w14:paraId="2287B18F" w14:textId="77777777" w:rsidR="00F931C0" w:rsidRDefault="00F931C0" w:rsidP="005B5618">
      <w:pPr>
        <w:pStyle w:val="Sinespaciado"/>
        <w:ind w:left="567" w:right="49"/>
        <w:jc w:val="both"/>
        <w:rPr>
          <w:rFonts w:ascii="Times New Roman" w:hAnsi="Times New Roman"/>
          <w:sz w:val="24"/>
          <w:szCs w:val="24"/>
          <w:lang w:val="es-MX"/>
        </w:rPr>
      </w:pPr>
    </w:p>
    <w:tbl>
      <w:tblPr>
        <w:tblStyle w:val="Tablaconcuadrcula"/>
        <w:tblW w:w="9069" w:type="dxa"/>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9"/>
      </w:tblGrid>
      <w:tr w:rsidR="005B5618" w:rsidRPr="00FE76BD" w14:paraId="53D3ED94" w14:textId="77777777" w:rsidTr="003D7E23">
        <w:trPr>
          <w:trHeight w:val="3540"/>
        </w:trPr>
        <w:tc>
          <w:tcPr>
            <w:tcW w:w="9069" w:type="dxa"/>
          </w:tcPr>
          <w:p w14:paraId="0CB8DF26" w14:textId="387EE5F2" w:rsidR="005B5618" w:rsidRPr="00CE62C3" w:rsidRDefault="00AF7163" w:rsidP="00BC0D90">
            <w:pPr>
              <w:pStyle w:val="Epgrafe"/>
              <w:keepNext/>
              <w:ind w:left="567" w:right="49"/>
              <w:rPr>
                <w:color w:val="auto"/>
                <w:sz w:val="24"/>
                <w:szCs w:val="24"/>
              </w:rPr>
            </w:pPr>
            <w:r>
              <w:rPr>
                <w:color w:val="auto"/>
                <w:sz w:val="24"/>
                <w:szCs w:val="24"/>
              </w:rPr>
              <w:t>Gráfica 33</w:t>
            </w:r>
            <w:r w:rsidR="00814706">
              <w:rPr>
                <w:color w:val="auto"/>
                <w:sz w:val="24"/>
                <w:szCs w:val="24"/>
              </w:rPr>
              <w:t xml:space="preserve">.  </w:t>
            </w:r>
            <w:r w:rsidR="005B5618" w:rsidRPr="00CE62C3">
              <w:rPr>
                <w:color w:val="auto"/>
                <w:sz w:val="24"/>
                <w:szCs w:val="24"/>
              </w:rPr>
              <w:t>Escenarios de Ajuste Fiscal para Atenuar Choques Adversos en la Deuda Pública de Largo Plazo</w:t>
            </w:r>
          </w:p>
          <w:p w14:paraId="2B557D30" w14:textId="77777777" w:rsidR="005B5618" w:rsidRPr="005B5618" w:rsidRDefault="005B5618" w:rsidP="00BC0D90">
            <w:pPr>
              <w:ind w:left="567" w:right="49"/>
              <w:jc w:val="center"/>
              <w:rPr>
                <w:sz w:val="22"/>
              </w:rPr>
            </w:pPr>
            <w:r w:rsidRPr="005B5618">
              <w:rPr>
                <w:sz w:val="22"/>
              </w:rPr>
              <w:t>En porcentaje del PIB</w:t>
            </w:r>
          </w:p>
          <w:p w14:paraId="09B05FC0" w14:textId="0A878EC9" w:rsidR="005B5618" w:rsidRPr="00CE62C3" w:rsidRDefault="003D7E23" w:rsidP="00BC0D90">
            <w:pPr>
              <w:ind w:left="567" w:right="49"/>
              <w:rPr>
                <w:noProof/>
                <w:sz w:val="24"/>
                <w:szCs w:val="24"/>
              </w:rPr>
            </w:pPr>
            <w:r>
              <w:rPr>
                <w:noProof/>
                <w:lang w:val="es-GT" w:eastAsia="es-GT"/>
              </w:rPr>
              <w:drawing>
                <wp:inline distT="0" distB="0" distL="0" distR="0" wp14:anchorId="0D7D7A1B" wp14:editId="35A0659C">
                  <wp:extent cx="5040000" cy="1620000"/>
                  <wp:effectExtent l="0" t="0" r="8255" b="0"/>
                  <wp:docPr id="26" name="Gráfico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EA1054C-9EA4-4E03-B193-26B0904AA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E55FCE6" w14:textId="4871E49B" w:rsidR="005B5618" w:rsidRPr="00FE76BD" w:rsidRDefault="005B5618" w:rsidP="0068552A">
            <w:pPr>
              <w:ind w:left="567" w:right="49"/>
              <w:rPr>
                <w:sz w:val="24"/>
                <w:szCs w:val="24"/>
              </w:rPr>
            </w:pPr>
            <w:r w:rsidRPr="00CE62C3">
              <w:rPr>
                <w:sz w:val="24"/>
                <w:szCs w:val="24"/>
              </w:rPr>
              <w:t xml:space="preserve">    </w:t>
            </w:r>
            <w:r w:rsidRPr="005B5618">
              <w:rPr>
                <w:sz w:val="16"/>
                <w:szCs w:val="24"/>
              </w:rPr>
              <w:t xml:space="preserve">Fuente: </w:t>
            </w:r>
            <w:r w:rsidR="00EF0CE5" w:rsidRPr="00EF0CE5">
              <w:rPr>
                <w:bCs/>
                <w:sz w:val="16"/>
                <w:szCs w:val="11"/>
              </w:rPr>
              <w:t>Ministerio de Finanzas Públicas</w:t>
            </w:r>
            <w:r w:rsidR="00EF0CE5" w:rsidRPr="005B5618">
              <w:rPr>
                <w:sz w:val="16"/>
                <w:szCs w:val="24"/>
              </w:rPr>
              <w:t xml:space="preserve"> </w:t>
            </w:r>
            <w:r w:rsidRPr="005B5618">
              <w:rPr>
                <w:sz w:val="16"/>
                <w:szCs w:val="24"/>
              </w:rPr>
              <w:t>con el análisis del Índice de Blanchard</w:t>
            </w:r>
          </w:p>
        </w:tc>
      </w:tr>
    </w:tbl>
    <w:p w14:paraId="044E216F" w14:textId="77777777" w:rsidR="005B5618" w:rsidRDefault="005B5618" w:rsidP="005B5618">
      <w:pPr>
        <w:tabs>
          <w:tab w:val="left" w:pos="1066"/>
        </w:tabs>
        <w:ind w:right="49"/>
        <w:rPr>
          <w:sz w:val="24"/>
          <w:szCs w:val="24"/>
        </w:rPr>
      </w:pPr>
    </w:p>
    <w:p w14:paraId="44654A8F" w14:textId="4A31174F" w:rsidR="003F1984" w:rsidRPr="005B5618" w:rsidRDefault="005B5618" w:rsidP="005B5618">
      <w:pPr>
        <w:tabs>
          <w:tab w:val="left" w:pos="1066"/>
        </w:tabs>
        <w:ind w:left="567" w:right="49"/>
        <w:jc w:val="both"/>
        <w:rPr>
          <w:sz w:val="24"/>
          <w:szCs w:val="24"/>
          <w:lang w:val="es-MX" w:eastAsia="en-US"/>
        </w:rPr>
      </w:pPr>
      <w:r>
        <w:rPr>
          <w:sz w:val="24"/>
          <w:szCs w:val="24"/>
          <w:lang w:val="es-MX" w:eastAsia="en-US"/>
        </w:rPr>
        <w:t xml:space="preserve">La disciplina en el manejo de las finanzas públicas y el historial de estabilidad macroeconómica en los últimos 25 años reflejan un perfil de la deuda bastante prudente y con un espacio fiscal suficiente para afrontar hasta cierto punto algunos choques económicos adversos. A pesar, de que la política fiscal expansiva de 2020 produjo un aumento en el indicador deuda/PIB de 5.1 puntos porcentuales con respecto al 2019, este indicador aún se encuentra en niveles bastantes conservadores con respecto a los límites recomendados para los países con acceso al mercado de capitales. Asimismo, en base al marco fiscal propuesto para los siguientes 5 años y al escenario </w:t>
      </w:r>
      <w:r>
        <w:rPr>
          <w:sz w:val="24"/>
          <w:szCs w:val="24"/>
          <w:lang w:val="es-MX" w:eastAsia="en-US"/>
        </w:rPr>
        <w:lastRenderedPageBreak/>
        <w:t>macroeconómico del Banco de Guatemala para las principales variables se estima que los indicadores de la deuda pública estarán en valores muy por debajo de los</w:t>
      </w:r>
      <w:r w:rsidR="00D01595">
        <w:rPr>
          <w:sz w:val="24"/>
          <w:szCs w:val="24"/>
          <w:lang w:val="es-MX" w:eastAsia="en-US"/>
        </w:rPr>
        <w:t xml:space="preserve"> máximos</w:t>
      </w:r>
      <w:r>
        <w:rPr>
          <w:sz w:val="24"/>
          <w:szCs w:val="24"/>
          <w:lang w:val="es-MX" w:eastAsia="en-US"/>
        </w:rPr>
        <w:t xml:space="preserve"> recomendados por el Fondo Monetario Internacional en el mediano plazo. Además, las pruebas de estrés al escenario base de la deuda y el análisis de probabilidad demuestran que es posible administrar la materialización de los riesgos como lo son choques al crecimiento económico, al tipo de cambio, entre otros. El análisis anterior y los hechos estilizados de la deuda pública descritos </w:t>
      </w:r>
      <w:r w:rsidR="00D01595">
        <w:rPr>
          <w:sz w:val="24"/>
          <w:szCs w:val="24"/>
          <w:lang w:val="es-MX" w:eastAsia="en-US"/>
        </w:rPr>
        <w:t xml:space="preserve">supra </w:t>
      </w:r>
      <w:r>
        <w:rPr>
          <w:sz w:val="24"/>
          <w:szCs w:val="24"/>
          <w:lang w:val="es-MX" w:eastAsia="en-US"/>
        </w:rPr>
        <w:t>dan sustento para afirmar que la deuda pública de Guatemala es sostenible en el mediano y largo plazo.</w:t>
      </w:r>
    </w:p>
    <w:p w14:paraId="3EA3D2F9" w14:textId="77777777" w:rsidR="00246A61" w:rsidRPr="00DE1D8D" w:rsidRDefault="00246A61" w:rsidP="008A5924">
      <w:pPr>
        <w:pStyle w:val="Sinespaciado"/>
        <w:jc w:val="both"/>
        <w:rPr>
          <w:rFonts w:ascii="Times New Roman" w:hAnsi="Times New Roman"/>
          <w:color w:val="FF0000"/>
        </w:rPr>
      </w:pPr>
    </w:p>
    <w:p w14:paraId="2DE16D7B" w14:textId="77777777" w:rsidR="008A5924" w:rsidRPr="007A7F12" w:rsidRDefault="008A5924" w:rsidP="0068552A">
      <w:pPr>
        <w:pStyle w:val="Ttulo1"/>
        <w:widowControl/>
        <w:numPr>
          <w:ilvl w:val="0"/>
          <w:numId w:val="5"/>
        </w:numPr>
        <w:jc w:val="left"/>
        <w:rPr>
          <w:color w:val="1F3864" w:themeColor="accent1" w:themeShade="80"/>
          <w:sz w:val="28"/>
          <w:szCs w:val="28"/>
        </w:rPr>
      </w:pPr>
      <w:bookmarkStart w:id="57" w:name="_Toc83302167"/>
      <w:r w:rsidRPr="007A7F12">
        <w:rPr>
          <w:color w:val="1F3864" w:themeColor="accent1" w:themeShade="80"/>
          <w:sz w:val="28"/>
          <w:szCs w:val="28"/>
        </w:rPr>
        <w:t xml:space="preserve">Riesgos fiscales </w:t>
      </w:r>
      <w:r w:rsidR="007A7F12" w:rsidRPr="007A7F12">
        <w:rPr>
          <w:color w:val="1F3864" w:themeColor="accent1" w:themeShade="80"/>
          <w:sz w:val="28"/>
          <w:szCs w:val="28"/>
        </w:rPr>
        <w:t>asociados al surgimiento de las variantes del COVID-19</w:t>
      </w:r>
      <w:bookmarkEnd w:id="57"/>
    </w:p>
    <w:p w14:paraId="3C31C50D" w14:textId="77777777" w:rsidR="007D30E4" w:rsidRPr="00DE1D8D" w:rsidRDefault="007D30E4" w:rsidP="007D30E4">
      <w:pPr>
        <w:rPr>
          <w:color w:val="FF0000"/>
          <w:lang w:val="es-GT"/>
        </w:rPr>
      </w:pPr>
    </w:p>
    <w:p w14:paraId="5C61547E" w14:textId="77777777" w:rsidR="007A7F12" w:rsidRPr="007A7F12" w:rsidRDefault="007A7F12" w:rsidP="007A7F12">
      <w:pPr>
        <w:pStyle w:val="Ttulo1"/>
        <w:widowControl/>
        <w:numPr>
          <w:ilvl w:val="1"/>
          <w:numId w:val="5"/>
        </w:numPr>
        <w:ind w:left="993" w:right="49"/>
        <w:jc w:val="left"/>
        <w:rPr>
          <w:b w:val="0"/>
          <w:color w:val="1F3864" w:themeColor="accent1" w:themeShade="80"/>
          <w:sz w:val="24"/>
          <w:szCs w:val="24"/>
        </w:rPr>
      </w:pPr>
      <w:bookmarkStart w:id="58" w:name="_Toc83302168"/>
      <w:r w:rsidRPr="007A7F12">
        <w:rPr>
          <w:color w:val="1F3864" w:themeColor="accent1" w:themeShade="80"/>
          <w:sz w:val="24"/>
          <w:szCs w:val="24"/>
        </w:rPr>
        <w:t>A</w:t>
      </w:r>
      <w:r>
        <w:rPr>
          <w:color w:val="1F3864" w:themeColor="accent1" w:themeShade="80"/>
          <w:sz w:val="24"/>
          <w:szCs w:val="24"/>
        </w:rPr>
        <w:t>ntecedentes de la evolución del COVID-19</w:t>
      </w:r>
      <w:bookmarkEnd w:id="58"/>
      <w:r w:rsidRPr="007A7F12">
        <w:rPr>
          <w:color w:val="1F3864" w:themeColor="accent1" w:themeShade="80"/>
          <w:sz w:val="24"/>
          <w:szCs w:val="24"/>
        </w:rPr>
        <w:t xml:space="preserve">   </w:t>
      </w:r>
    </w:p>
    <w:p w14:paraId="1CF35EA3" w14:textId="77777777" w:rsidR="007A7F12" w:rsidRDefault="007A7F12" w:rsidP="007A7F12">
      <w:pPr>
        <w:pStyle w:val="Sinespaciado"/>
        <w:ind w:right="49"/>
        <w:jc w:val="both"/>
        <w:rPr>
          <w:rFonts w:ascii="Times New Roman" w:hAnsi="Times New Roman"/>
          <w:color w:val="FF0000"/>
          <w:sz w:val="24"/>
          <w:szCs w:val="24"/>
          <w:lang w:val="es-MX"/>
        </w:rPr>
      </w:pPr>
    </w:p>
    <w:p w14:paraId="3F82462B" w14:textId="77777777" w:rsidR="008C682C" w:rsidRPr="00EB56BD" w:rsidRDefault="008C682C" w:rsidP="008C682C">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 xml:space="preserve">En diciembre de 2019 se dieron los primeros casos en Wuhan, China sobre una misteriosa neumonía que podía causar la muerte por lo que notifican a la Organización Mundial de la Salud -OMS- sobre </w:t>
      </w:r>
      <w:r w:rsidRPr="0069163A">
        <w:rPr>
          <w:rFonts w:ascii="Times New Roman" w:hAnsi="Times New Roman"/>
          <w:sz w:val="24"/>
          <w:szCs w:val="24"/>
          <w:lang w:val="es-MX"/>
        </w:rPr>
        <w:t>dicha situación. En los primeros días de enero; Tailandia y Japón notifican casos de infección e inician los aislamientos. Posteriormente, en Europa se confirman las primeras personas infectadas; en enero se registraron 100 muertes en todo el mundo y alrededor de 4,500 infectados del nuevo coronavirus. En febrero el virus se había expandido a 40 países del mundo infectando a más de 80,000 personas, de las cuales 2,7</w:t>
      </w:r>
      <w:r w:rsidRPr="00EB56BD">
        <w:rPr>
          <w:rFonts w:ascii="Times New Roman" w:hAnsi="Times New Roman"/>
          <w:bCs/>
          <w:sz w:val="24"/>
          <w:szCs w:val="24"/>
          <w:lang w:val="es-MX"/>
        </w:rPr>
        <w:t xml:space="preserve">00 habían fallecido, por esto la OMS elevó la alerta de riesgo “alto” a “muy alto”; en marzo con más 100,000 infectados y más de 3,400 muertos en el mundo varios países declaran estado de emergencia, se inicia con cancelación de actividades educativas, reuniones públicas y cierre de fronteras, así como fuertes restricciones a la libertad de circulación para evitar la movilidad lo que condujo a una reducción drástica de la actividad económica.  Paralelamente la OMS calificó como Pandemia al COVID-19.  De esa cuenta, las instituciones multilaterales (FMI, BM, OCDE, OMC, etc.) pronostican la caída del comercio mundial y con ello la baja a las perspectivas de crecimiento económico, por ello los países aprueban paquetes económicos para amortiguar los impactos en las empresas, familias, gastos médicos para combatir atenuar el efecto de esta enfermedad, además se empieza a controlar los contagios con distintas medidas sanitarias. </w:t>
      </w:r>
    </w:p>
    <w:p w14:paraId="03CAA6E2" w14:textId="77777777" w:rsidR="008C682C" w:rsidRPr="00EB56BD" w:rsidRDefault="008C682C" w:rsidP="008C682C">
      <w:pPr>
        <w:pStyle w:val="Sinespaciado"/>
        <w:ind w:left="567" w:right="49"/>
        <w:jc w:val="both"/>
        <w:rPr>
          <w:rFonts w:ascii="Times New Roman" w:hAnsi="Times New Roman"/>
          <w:bCs/>
          <w:sz w:val="24"/>
          <w:szCs w:val="24"/>
          <w:lang w:val="es-MX"/>
        </w:rPr>
      </w:pPr>
    </w:p>
    <w:p w14:paraId="1070D59D" w14:textId="77777777" w:rsidR="008C682C" w:rsidRPr="00EB56BD" w:rsidRDefault="008C682C" w:rsidP="008C682C">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En 2021 después de lograr culminar con pruebas la OMS autoriza la vacunación, hasta finales de junio se han suministrado más de 3,000 millones de vacunas alrededor del mundo, varios países en Europa, Asia y Estados Unidos han asegurado y entregado dosis a gran parte de su población, pero el reparto global de estas ha sido desigual ya que la mayoría de los países de bajos ingresos se han rezagado.  Asimismo, se han detectado nuevas variantes que se extiende desde India, Sudáfrica, Brasil e Inglaterra a todo el mundo complicando aún más el proceso para salir de esta pandemia. Derivado de las restricciones a la movilización de personas, la logística y distribución de bienes lo cual afecto la economía en general, al final del año 2020 la economía mundial cayó, sin embargo, con menos impacto que lo pronosticado al inicio de la pandemia; en 2021 se espera una recuperación económica</w:t>
      </w:r>
      <w:r w:rsidR="00266935">
        <w:rPr>
          <w:rFonts w:ascii="Times New Roman" w:hAnsi="Times New Roman"/>
          <w:bCs/>
          <w:sz w:val="24"/>
          <w:szCs w:val="24"/>
          <w:lang w:val="es-MX"/>
        </w:rPr>
        <w:t xml:space="preserve"> </w:t>
      </w:r>
      <w:r w:rsidRPr="00EB56BD">
        <w:rPr>
          <w:rFonts w:ascii="Times New Roman" w:hAnsi="Times New Roman"/>
          <w:bCs/>
          <w:sz w:val="24"/>
          <w:szCs w:val="24"/>
          <w:lang w:val="es-MX"/>
        </w:rPr>
        <w:t>a nivel mundial</w:t>
      </w:r>
    </w:p>
    <w:p w14:paraId="53BFB3A3" w14:textId="77777777" w:rsidR="008C682C" w:rsidRPr="00EB56BD" w:rsidRDefault="008C682C" w:rsidP="008C682C">
      <w:pPr>
        <w:pStyle w:val="Sinespaciado"/>
        <w:ind w:left="567" w:right="49"/>
        <w:jc w:val="both"/>
        <w:rPr>
          <w:rFonts w:ascii="Times New Roman" w:hAnsi="Times New Roman"/>
          <w:bCs/>
          <w:sz w:val="24"/>
          <w:szCs w:val="24"/>
          <w:lang w:val="es-MX"/>
        </w:rPr>
      </w:pPr>
    </w:p>
    <w:p w14:paraId="7C5B589E" w14:textId="77777777" w:rsidR="008C682C" w:rsidRPr="00EB56BD" w:rsidRDefault="008C682C" w:rsidP="008C682C">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Los primeros casos por contagio de COVID-19 en Guatema</w:t>
      </w:r>
      <w:r w:rsidR="00266935">
        <w:rPr>
          <w:rFonts w:ascii="Times New Roman" w:hAnsi="Times New Roman"/>
          <w:bCs/>
          <w:sz w:val="24"/>
          <w:szCs w:val="24"/>
          <w:lang w:val="es-MX"/>
        </w:rPr>
        <w:t>la se dieron en marzo del 2020, l</w:t>
      </w:r>
      <w:r w:rsidRPr="00EB56BD">
        <w:rPr>
          <w:rFonts w:ascii="Times New Roman" w:hAnsi="Times New Roman"/>
          <w:bCs/>
          <w:sz w:val="24"/>
          <w:szCs w:val="24"/>
          <w:lang w:val="es-MX"/>
        </w:rPr>
        <w:t xml:space="preserve">a positividad (relación de pruebas positivas dentro de pruebas tamizadas) tuvo su valor más alto en junio del 2020 al llegar a 39.5% (con 31,169 casos acumulados positivos de 90,862 pruebas tamizadas) posteriormente se aumentaron las pruebas tamizadas y aun así este indicador fue </w:t>
      </w:r>
      <w:r w:rsidRPr="00EB56BD">
        <w:rPr>
          <w:rFonts w:ascii="Times New Roman" w:hAnsi="Times New Roman"/>
          <w:bCs/>
          <w:sz w:val="24"/>
          <w:szCs w:val="24"/>
          <w:lang w:val="es-MX"/>
        </w:rPr>
        <w:lastRenderedPageBreak/>
        <w:t xml:space="preserve">disminuyendo derivado del control y restricciones a la movilidad que se realizaron en el país por lo que, al mes de febrero de 2021 dicha positividad bajo a 10.2% su menor valor en todo el periodo de contagio (con un acumulado de 177,316 casos positivos de 933,284 pruebas tamizadas).  Sin embargo, posteriormente dicho indicador empezó a aumentar nuevamente llegando a junio a 28.3%, la cantidad de personas contagiadas al 30 de junio del 2021 fueron de 295,660 de un total de pruebas tamizadas de 1,587,309. </w:t>
      </w:r>
    </w:p>
    <w:p w14:paraId="57638E86" w14:textId="77777777" w:rsidR="008C682C" w:rsidRPr="00EB56BD" w:rsidRDefault="008C682C" w:rsidP="008C682C">
      <w:pPr>
        <w:pStyle w:val="Sinespaciado"/>
        <w:ind w:left="567" w:right="49"/>
        <w:jc w:val="both"/>
        <w:rPr>
          <w:rFonts w:ascii="Times New Roman" w:hAnsi="Times New Roman"/>
          <w:bCs/>
          <w:sz w:val="24"/>
          <w:szCs w:val="24"/>
          <w:lang w:val="es-MX"/>
        </w:rPr>
      </w:pPr>
    </w:p>
    <w:p w14:paraId="0A58A9FB" w14:textId="7BF3F8E8" w:rsidR="00226395" w:rsidRDefault="008C682C" w:rsidP="00924BA7">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En Guatemala se inició la vacunación en febrero del 2021, hasta el 30 de junio se habían suministrado 949,793 principalmente en mayo y junio, de las cuales el 86.1% fueron AstraZeneca, 0.6% Moderna y 13.4% Sputnik V. De lo suministrado únicamente las dos primeras se han logrado suministrar con dos dosis, 19.3% y 49.3%, respectivamente, con ello se ha logrado inmunizar alrededor del 3% de la población total.</w:t>
      </w:r>
    </w:p>
    <w:p w14:paraId="59A0CA6D" w14:textId="77777777" w:rsidR="00924BA7" w:rsidRPr="00924BA7" w:rsidRDefault="00924BA7" w:rsidP="00924BA7">
      <w:pPr>
        <w:pStyle w:val="Sinespaciado"/>
        <w:ind w:left="567" w:right="49"/>
        <w:jc w:val="both"/>
        <w:rPr>
          <w:rFonts w:ascii="Times New Roman" w:hAnsi="Times New Roman"/>
          <w:bCs/>
          <w:sz w:val="24"/>
          <w:szCs w:val="24"/>
          <w:lang w:val="es-MX"/>
        </w:rPr>
      </w:pPr>
    </w:p>
    <w:p w14:paraId="067DB4C4" w14:textId="77777777" w:rsidR="007D30E4" w:rsidRPr="008C682C" w:rsidRDefault="008C682C" w:rsidP="005C2F32">
      <w:pPr>
        <w:pStyle w:val="Ttulo1"/>
        <w:widowControl/>
        <w:numPr>
          <w:ilvl w:val="1"/>
          <w:numId w:val="5"/>
        </w:numPr>
        <w:ind w:left="993" w:right="49"/>
        <w:jc w:val="left"/>
        <w:rPr>
          <w:color w:val="1F3864" w:themeColor="accent1" w:themeShade="80"/>
          <w:sz w:val="24"/>
          <w:szCs w:val="24"/>
        </w:rPr>
      </w:pPr>
      <w:bookmarkStart w:id="59" w:name="_Toc42707424"/>
      <w:bookmarkStart w:id="60" w:name="_Toc83302169"/>
      <w:r w:rsidRPr="008C682C">
        <w:rPr>
          <w:color w:val="1F3864" w:themeColor="accent1" w:themeShade="80"/>
          <w:sz w:val="24"/>
          <w:szCs w:val="24"/>
        </w:rPr>
        <w:t xml:space="preserve">Simulación </w:t>
      </w:r>
      <w:bookmarkEnd w:id="59"/>
      <w:r w:rsidRPr="008C682C">
        <w:rPr>
          <w:color w:val="1F3864" w:themeColor="accent1" w:themeShade="80"/>
          <w:sz w:val="24"/>
          <w:szCs w:val="24"/>
        </w:rPr>
        <w:t xml:space="preserve">de la propagación de alguna variante de COVID-19 en el 2022 y </w:t>
      </w:r>
      <w:r w:rsidR="007D30E4" w:rsidRPr="008C682C">
        <w:rPr>
          <w:color w:val="1F3864" w:themeColor="accent1" w:themeShade="80"/>
          <w:sz w:val="24"/>
          <w:szCs w:val="24"/>
        </w:rPr>
        <w:t>s</w:t>
      </w:r>
      <w:r w:rsidRPr="008C682C">
        <w:rPr>
          <w:color w:val="1F3864" w:themeColor="accent1" w:themeShade="80"/>
          <w:sz w:val="24"/>
          <w:szCs w:val="24"/>
        </w:rPr>
        <w:t>us efectos en la recaudación tributaria</w:t>
      </w:r>
      <w:bookmarkEnd w:id="60"/>
    </w:p>
    <w:p w14:paraId="1F8C679F" w14:textId="77777777" w:rsidR="007D30E4" w:rsidRPr="00DE1D8D" w:rsidRDefault="007D30E4" w:rsidP="007D30E4">
      <w:pPr>
        <w:autoSpaceDE w:val="0"/>
        <w:autoSpaceDN w:val="0"/>
        <w:adjustRightInd w:val="0"/>
        <w:rPr>
          <w:color w:val="FF0000"/>
          <w:sz w:val="28"/>
          <w:szCs w:val="28"/>
        </w:rPr>
      </w:pPr>
    </w:p>
    <w:p w14:paraId="686FFCE0" w14:textId="77777777" w:rsidR="008C682C" w:rsidRPr="00EB56BD" w:rsidRDefault="008C682C" w:rsidP="008C682C">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Para estimar los posibles escenarios en la economía guatemalteca en el 2022 que podrían derivarse del lento proceso de vacunación y del aumento de contagios a nivel local, así como por la propagación de alguna o varias cepas del COVID-19, como lo pueden ser las variantes de mayor preocupación actuales (Alfa, Beta, Gamma y Delta), que han mostrado un nivel de transmisibilidad y signos de mayor letalidad que podrían llevar a los gobiernos a implementar medidas de contención muy similares a las observadas durante 2020, se siguió de cerca la metodología del Fondo Monetario Internacional de la Prueba de Estrés Fiscal COVID-19 (FST por sus siglas en inglés). Esta metodología consiste en determinar el rigor de las medidas de los gobiernos para contener nuevos brotes del COVID-19 y estimar el efecto adverso en la actividad económica.</w:t>
      </w:r>
    </w:p>
    <w:p w14:paraId="2B450D78" w14:textId="77777777" w:rsidR="008C682C" w:rsidRPr="00EB56BD" w:rsidRDefault="008C682C" w:rsidP="008C682C">
      <w:pPr>
        <w:pStyle w:val="Sinespaciado"/>
        <w:ind w:left="567" w:right="49"/>
        <w:jc w:val="both"/>
        <w:rPr>
          <w:rFonts w:ascii="Times New Roman" w:hAnsi="Times New Roman"/>
          <w:bCs/>
          <w:sz w:val="24"/>
          <w:szCs w:val="24"/>
          <w:lang w:val="es-MX"/>
        </w:rPr>
      </w:pPr>
    </w:p>
    <w:p w14:paraId="1322843F" w14:textId="782FCE7F" w:rsidR="008C682C" w:rsidRDefault="008C682C" w:rsidP="008C682C">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 xml:space="preserve">El índice de rigor de OXFORD (stringency índex) mide el nivel de rigurosidad en las medidas de respuesta para contener la propagación de la pandemia por parte de los gobiernos, mientras mayor es el índice más estrictas son las medidas. El índice se calcula en base a nueve métricas, entre las cuales se encuentran: el cierre de escuelas, el cierre de espacios de trabajo, la cancelación de eventos </w:t>
      </w:r>
      <w:r w:rsidR="00A448B9" w:rsidRPr="00EB56BD">
        <w:rPr>
          <w:rFonts w:ascii="Times New Roman" w:hAnsi="Times New Roman"/>
          <w:bCs/>
          <w:sz w:val="24"/>
          <w:szCs w:val="24"/>
          <w:lang w:val="es-MX"/>
        </w:rPr>
        <w:t>públicos</w:t>
      </w:r>
      <w:r w:rsidRPr="00266935">
        <w:rPr>
          <w:rFonts w:ascii="Times New Roman" w:hAnsi="Times New Roman"/>
          <w:bCs/>
          <w:sz w:val="24"/>
          <w:szCs w:val="24"/>
          <w:lang w:val="es-MX"/>
        </w:rPr>
        <w:t xml:space="preserve"> cierre</w:t>
      </w:r>
      <w:r w:rsidRPr="00EB56BD">
        <w:rPr>
          <w:rFonts w:ascii="Times New Roman" w:hAnsi="Times New Roman"/>
          <w:bCs/>
          <w:sz w:val="24"/>
          <w:szCs w:val="24"/>
          <w:lang w:val="es-MX"/>
        </w:rPr>
        <w:t xml:space="preserve"> de transporte público, restricciones para movilizarse internamente o en el exterior, entre otras. Tener medidas más estrictas afectan la demanda interna por el cierre de los espacios y las restricciones a la movilidad y demás; asimismo, que los socios comerciales también tengan sus propias restricciones afectan la demanda externa lo que se traduce en una disminución en el crecimiento económico. El índice de rigor para Guatemala fue en promedio de </w:t>
      </w:r>
      <w:r w:rsidR="0039179B">
        <w:rPr>
          <w:rFonts w:ascii="Times New Roman" w:hAnsi="Times New Roman"/>
          <w:bCs/>
          <w:sz w:val="24"/>
          <w:szCs w:val="24"/>
          <w:lang w:val="es-MX"/>
        </w:rPr>
        <w:t>78</w:t>
      </w:r>
      <w:r w:rsidRPr="00EB56BD">
        <w:rPr>
          <w:rFonts w:ascii="Times New Roman" w:hAnsi="Times New Roman"/>
          <w:bCs/>
          <w:sz w:val="24"/>
          <w:szCs w:val="24"/>
          <w:lang w:val="es-MX"/>
        </w:rPr>
        <w:t xml:space="preserve">.0 </w:t>
      </w:r>
      <w:r w:rsidR="0039179B">
        <w:rPr>
          <w:rFonts w:ascii="Times New Roman" w:hAnsi="Times New Roman"/>
          <w:bCs/>
          <w:sz w:val="24"/>
          <w:szCs w:val="24"/>
          <w:lang w:val="es-MX"/>
        </w:rPr>
        <w:t>de marzo a diciembre d</w:t>
      </w:r>
      <w:r w:rsidRPr="00EB56BD">
        <w:rPr>
          <w:rFonts w:ascii="Times New Roman" w:hAnsi="Times New Roman"/>
          <w:bCs/>
          <w:sz w:val="24"/>
          <w:szCs w:val="24"/>
          <w:lang w:val="es-MX"/>
        </w:rPr>
        <w:t>el 2020 y el crecimiento económico fue de -1.5%, dicho resultado muestra que a pesar de que se tuvo un índice de rigor relativamente alto con respecto a otros países, el crecimiento económico no se vio severamente afectado debido probablemente a que las medidas de confinamiento aplicadas fueron de carácter gradual y algunos casos temporal, además de la política fiscal expansiva que se aplicó mediante los programas de emergencia derivados del COVID-19, así como las adecuadas medidas en materia de política monetaria que se implementaron en dicho año y la recuperación importante en el nivel de remesas familiares en el segundo semestre del año</w:t>
      </w:r>
    </w:p>
    <w:p w14:paraId="2E381B96" w14:textId="1FD73650" w:rsidR="008C682C" w:rsidRDefault="008C682C" w:rsidP="008C682C">
      <w:pPr>
        <w:pStyle w:val="Sinespaciado"/>
        <w:ind w:left="567" w:right="49"/>
        <w:jc w:val="both"/>
        <w:rPr>
          <w:rFonts w:ascii="Times New Roman" w:hAnsi="Times New Roman"/>
          <w:bCs/>
          <w:sz w:val="24"/>
          <w:szCs w:val="24"/>
          <w:lang w:val="es-MX"/>
        </w:rPr>
      </w:pPr>
    </w:p>
    <w:p w14:paraId="1E4B5AAE" w14:textId="7722F840" w:rsidR="00AF7163" w:rsidRDefault="00AF7163" w:rsidP="008C682C">
      <w:pPr>
        <w:pStyle w:val="Sinespaciado"/>
        <w:ind w:left="567" w:right="49"/>
        <w:jc w:val="both"/>
        <w:rPr>
          <w:rFonts w:ascii="Times New Roman" w:hAnsi="Times New Roman"/>
          <w:bCs/>
          <w:sz w:val="24"/>
          <w:szCs w:val="24"/>
          <w:lang w:val="es-MX"/>
        </w:rPr>
      </w:pPr>
    </w:p>
    <w:p w14:paraId="139A953B" w14:textId="784BA9B1" w:rsidR="00AF7163" w:rsidRDefault="00AF7163" w:rsidP="008C682C">
      <w:pPr>
        <w:pStyle w:val="Sinespaciado"/>
        <w:ind w:left="567" w:right="49"/>
        <w:jc w:val="both"/>
        <w:rPr>
          <w:rFonts w:ascii="Times New Roman" w:hAnsi="Times New Roman"/>
          <w:bCs/>
          <w:sz w:val="24"/>
          <w:szCs w:val="24"/>
          <w:lang w:val="es-MX"/>
        </w:rPr>
      </w:pPr>
    </w:p>
    <w:p w14:paraId="09B9E2E4" w14:textId="1CF63486" w:rsidR="00AF7163" w:rsidRDefault="00AF7163" w:rsidP="008C682C">
      <w:pPr>
        <w:pStyle w:val="Sinespaciado"/>
        <w:ind w:left="567" w:right="49"/>
        <w:jc w:val="both"/>
        <w:rPr>
          <w:rFonts w:ascii="Times New Roman" w:hAnsi="Times New Roman"/>
          <w:bCs/>
          <w:sz w:val="24"/>
          <w:szCs w:val="24"/>
          <w:lang w:val="es-MX"/>
        </w:rPr>
      </w:pPr>
    </w:p>
    <w:p w14:paraId="2C49B1C7" w14:textId="77777777" w:rsidR="00AF7163" w:rsidRDefault="00AF7163" w:rsidP="008C682C">
      <w:pPr>
        <w:pStyle w:val="Sinespaciado"/>
        <w:ind w:left="567" w:right="49"/>
        <w:jc w:val="both"/>
        <w:rPr>
          <w:rFonts w:ascii="Times New Roman" w:hAnsi="Times New Roman"/>
          <w:bCs/>
          <w:sz w:val="24"/>
          <w:szCs w:val="24"/>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8757"/>
      </w:tblGrid>
      <w:tr w:rsidR="008C682C" w14:paraId="0E132032" w14:textId="77777777" w:rsidTr="004D12AF">
        <w:trPr>
          <w:trHeight w:val="212"/>
          <w:jc w:val="center"/>
        </w:trPr>
        <w:tc>
          <w:tcPr>
            <w:tcW w:w="9303" w:type="dxa"/>
            <w:gridSpan w:val="2"/>
          </w:tcPr>
          <w:p w14:paraId="398713E6" w14:textId="03FEB8D2" w:rsidR="008C682C" w:rsidRPr="002A46E3" w:rsidRDefault="00AF7163" w:rsidP="00BC0D90">
            <w:pPr>
              <w:pStyle w:val="Sinespaciado"/>
              <w:ind w:right="49"/>
              <w:jc w:val="center"/>
              <w:rPr>
                <w:rFonts w:ascii="Times New Roman" w:hAnsi="Times New Roman"/>
                <w:b/>
                <w:sz w:val="24"/>
                <w:szCs w:val="24"/>
                <w:lang w:val="es-MX"/>
              </w:rPr>
            </w:pPr>
            <w:r>
              <w:rPr>
                <w:rFonts w:ascii="Times New Roman" w:hAnsi="Times New Roman"/>
                <w:b/>
                <w:sz w:val="24"/>
                <w:szCs w:val="24"/>
                <w:lang w:val="es-MX"/>
              </w:rPr>
              <w:t>Grafico 34</w:t>
            </w:r>
            <w:r w:rsidR="008C682C" w:rsidRPr="002A46E3">
              <w:rPr>
                <w:rFonts w:ascii="Times New Roman" w:hAnsi="Times New Roman"/>
                <w:b/>
                <w:sz w:val="24"/>
                <w:szCs w:val="24"/>
                <w:lang w:val="es-MX"/>
              </w:rPr>
              <w:t>. Crecimiento económico en 2020 e índice de rigor</w:t>
            </w:r>
            <w:r w:rsidR="0039179B">
              <w:rPr>
                <w:rFonts w:ascii="Times New Roman" w:hAnsi="Times New Roman"/>
                <w:b/>
                <w:sz w:val="24"/>
                <w:szCs w:val="24"/>
                <w:lang w:val="es-MX"/>
              </w:rPr>
              <w:t xml:space="preserve"> promedio de marzo a diciembre</w:t>
            </w:r>
          </w:p>
        </w:tc>
      </w:tr>
      <w:tr w:rsidR="008C682C" w14:paraId="7D11CA7D" w14:textId="77777777" w:rsidTr="0039179B">
        <w:tblPrEx>
          <w:tblCellMar>
            <w:left w:w="70" w:type="dxa"/>
            <w:right w:w="70" w:type="dxa"/>
          </w:tblCellMar>
        </w:tblPrEx>
        <w:trPr>
          <w:trHeight w:val="3074"/>
          <w:jc w:val="center"/>
        </w:trPr>
        <w:tc>
          <w:tcPr>
            <w:tcW w:w="9303" w:type="dxa"/>
            <w:gridSpan w:val="2"/>
          </w:tcPr>
          <w:p w14:paraId="0EC6D624" w14:textId="1AEA2572" w:rsidR="004D12AF" w:rsidRPr="004D12AF" w:rsidRDefault="0039179B" w:rsidP="004D12AF">
            <w:pPr>
              <w:pStyle w:val="Sinespaciado"/>
              <w:ind w:right="49"/>
              <w:jc w:val="center"/>
              <w:rPr>
                <w:noProof/>
                <w:lang w:val="es-GT"/>
              </w:rPr>
            </w:pPr>
            <w:r>
              <w:rPr>
                <w:noProof/>
                <w:lang w:val="es-GT"/>
              </w:rPr>
              <w:drawing>
                <wp:inline distT="0" distB="0" distL="0" distR="0" wp14:anchorId="23AB59D0" wp14:editId="28BF6649">
                  <wp:extent cx="5969977" cy="2540977"/>
                  <wp:effectExtent l="0" t="0" r="0" b="0"/>
                  <wp:docPr id="16" name="Gráfico 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EDF78D8-51A5-4CAB-9B96-7E09215F9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8C682C" w14:paraId="2333CB9A" w14:textId="77777777" w:rsidTr="004D12AF">
        <w:trPr>
          <w:trHeight w:val="315"/>
          <w:jc w:val="center"/>
        </w:trPr>
        <w:tc>
          <w:tcPr>
            <w:tcW w:w="705" w:type="dxa"/>
          </w:tcPr>
          <w:p w14:paraId="2E920C15" w14:textId="77777777" w:rsidR="008C682C" w:rsidRDefault="008C682C" w:rsidP="00BC0D90">
            <w:pPr>
              <w:pStyle w:val="Sinespaciado"/>
              <w:ind w:right="49"/>
              <w:jc w:val="both"/>
              <w:rPr>
                <w:rFonts w:ascii="Times New Roman" w:hAnsi="Times New Roman"/>
                <w:bCs/>
                <w:sz w:val="24"/>
                <w:szCs w:val="24"/>
                <w:lang w:val="es-MX"/>
              </w:rPr>
            </w:pPr>
          </w:p>
        </w:tc>
        <w:tc>
          <w:tcPr>
            <w:tcW w:w="8598" w:type="dxa"/>
          </w:tcPr>
          <w:p w14:paraId="33E6400C" w14:textId="5EDAFDD1" w:rsidR="008C682C" w:rsidRDefault="008C682C" w:rsidP="00BC0D90">
            <w:pPr>
              <w:pStyle w:val="Sinespaciado"/>
              <w:ind w:right="49"/>
              <w:jc w:val="both"/>
              <w:rPr>
                <w:rFonts w:ascii="Times New Roman" w:hAnsi="Times New Roman"/>
                <w:bCs/>
                <w:sz w:val="24"/>
                <w:szCs w:val="24"/>
                <w:lang w:val="es-MX"/>
              </w:rPr>
            </w:pPr>
            <w:r w:rsidRPr="008C682C">
              <w:rPr>
                <w:rFonts w:ascii="Times New Roman" w:hAnsi="Times New Roman"/>
                <w:bCs/>
                <w:sz w:val="16"/>
                <w:szCs w:val="18"/>
                <w:lang w:val="es-MX"/>
              </w:rPr>
              <w:t xml:space="preserve">Fuente: </w:t>
            </w:r>
            <w:r w:rsidR="00EF0CE5" w:rsidRPr="00EF0CE5">
              <w:rPr>
                <w:rFonts w:ascii="Times New Roman" w:hAnsi="Times New Roman"/>
                <w:bCs/>
                <w:sz w:val="16"/>
                <w:szCs w:val="11"/>
              </w:rPr>
              <w:t>Ministerio de Finanzas Públicas</w:t>
            </w:r>
            <w:r w:rsidR="00EF0CE5" w:rsidRPr="008C682C">
              <w:rPr>
                <w:rFonts w:ascii="Times New Roman" w:hAnsi="Times New Roman"/>
                <w:bCs/>
                <w:sz w:val="16"/>
                <w:szCs w:val="18"/>
                <w:lang w:val="es-MX"/>
              </w:rPr>
              <w:t xml:space="preserve"> </w:t>
            </w:r>
            <w:r w:rsidRPr="008C682C">
              <w:rPr>
                <w:rFonts w:ascii="Times New Roman" w:hAnsi="Times New Roman"/>
                <w:bCs/>
                <w:sz w:val="16"/>
                <w:szCs w:val="18"/>
                <w:lang w:val="es-MX"/>
              </w:rPr>
              <w:t>del crecimiento económico del FMI y del índice de rigor se obtuvo en HDX (Humanitarian Data Exchange)</w:t>
            </w:r>
          </w:p>
        </w:tc>
      </w:tr>
    </w:tbl>
    <w:p w14:paraId="1516921D" w14:textId="77777777" w:rsidR="008C682C" w:rsidRDefault="008C682C" w:rsidP="008C682C">
      <w:pPr>
        <w:pStyle w:val="Sinespaciado"/>
        <w:ind w:left="567" w:right="49"/>
        <w:jc w:val="both"/>
        <w:rPr>
          <w:rFonts w:ascii="Times New Roman" w:hAnsi="Times New Roman"/>
          <w:bCs/>
          <w:sz w:val="24"/>
          <w:szCs w:val="24"/>
          <w:lang w:val="es-MX"/>
        </w:rPr>
      </w:pPr>
    </w:p>
    <w:p w14:paraId="1DF01ABC" w14:textId="46D31E47" w:rsidR="008C682C" w:rsidRPr="00934738" w:rsidRDefault="008C682C" w:rsidP="008C682C">
      <w:pPr>
        <w:pStyle w:val="Sinespaciado"/>
        <w:ind w:left="567" w:right="49"/>
        <w:jc w:val="both"/>
        <w:rPr>
          <w:rFonts w:ascii="Times New Roman" w:hAnsi="Times New Roman"/>
          <w:bCs/>
          <w:sz w:val="24"/>
          <w:szCs w:val="24"/>
          <w:lang w:val="es-MX"/>
        </w:rPr>
      </w:pPr>
      <w:r w:rsidRPr="00934738">
        <w:rPr>
          <w:rFonts w:ascii="Times New Roman" w:hAnsi="Times New Roman"/>
          <w:bCs/>
          <w:sz w:val="24"/>
          <w:szCs w:val="24"/>
          <w:lang w:val="es-MX"/>
        </w:rPr>
        <w:t xml:space="preserve">Con el propósito de determinar el impacto del nivel del índice de rigor en la actividad económica para 2022, se estimó en la respuesta de cada actividad económica (a través de parámetros) dados diferentes niveles en el índice de rigor con respecto al escenario base proyectado para dicho año, el cual es congruente con el escenario bajo previsto por el Banco de Guatemala. Para calcular los valores de los parámetros se tomó como base el efecto negativo en la economía originado por la pandemia en 2020 y se realizó un comparativo con respecto al desempeño por actividad económica previo a la pandemia y se determinó la sensibilidad de cada uno. Con los elementos anteriores se realizaron dos escenarios en base al nivel del índice de rigor, en el primero se simuló una situación en el cual el índice toma un valor de </w:t>
      </w:r>
      <w:r w:rsidR="00EE7A3C">
        <w:rPr>
          <w:rFonts w:ascii="Times New Roman" w:hAnsi="Times New Roman"/>
          <w:bCs/>
          <w:sz w:val="24"/>
          <w:szCs w:val="24"/>
          <w:lang w:val="es-MX"/>
        </w:rPr>
        <w:t>65.0</w:t>
      </w:r>
      <w:r w:rsidRPr="00934738">
        <w:rPr>
          <w:rFonts w:ascii="Times New Roman" w:hAnsi="Times New Roman"/>
          <w:bCs/>
          <w:sz w:val="24"/>
          <w:szCs w:val="24"/>
          <w:lang w:val="es-MX"/>
        </w:rPr>
        <w:t xml:space="preserve"> tomando en cuenta que las medidas de confinamiento son menos severas que las implementadas en 2020 y en la segunda el índice se estima muy similar al observado en dicho año</w:t>
      </w:r>
      <w:r w:rsidR="00EE7A3C">
        <w:rPr>
          <w:rFonts w:ascii="Times New Roman" w:hAnsi="Times New Roman"/>
          <w:bCs/>
          <w:sz w:val="24"/>
          <w:szCs w:val="24"/>
          <w:lang w:val="es-MX"/>
        </w:rPr>
        <w:t xml:space="preserve"> con un valor de 80.0 </w:t>
      </w:r>
      <w:r w:rsidRPr="00934738">
        <w:rPr>
          <w:rFonts w:ascii="Times New Roman" w:hAnsi="Times New Roman"/>
          <w:bCs/>
          <w:sz w:val="24"/>
          <w:szCs w:val="24"/>
          <w:lang w:val="es-MX"/>
        </w:rPr>
        <w:t xml:space="preserve">ya que las medidas de confinamiento serán igualmente severas. </w:t>
      </w:r>
    </w:p>
    <w:p w14:paraId="1F3E5A9E" w14:textId="77777777" w:rsidR="008C682C" w:rsidRDefault="008C682C" w:rsidP="008C682C">
      <w:pPr>
        <w:pStyle w:val="Sinespaciado"/>
        <w:ind w:left="567" w:right="49"/>
        <w:jc w:val="both"/>
        <w:rPr>
          <w:rFonts w:ascii="Times New Roman" w:hAnsi="Times New Roman"/>
          <w:bCs/>
          <w:lang w:val="es-MX"/>
        </w:rPr>
      </w:pPr>
    </w:p>
    <w:p w14:paraId="36271B58" w14:textId="766C2BEE" w:rsidR="008C682C" w:rsidRPr="00934738" w:rsidRDefault="008C682C" w:rsidP="008C682C">
      <w:pPr>
        <w:pStyle w:val="Sinespaciado"/>
        <w:ind w:left="567" w:right="49"/>
        <w:jc w:val="both"/>
        <w:rPr>
          <w:rFonts w:ascii="Times New Roman" w:hAnsi="Times New Roman"/>
          <w:bCs/>
          <w:sz w:val="24"/>
          <w:szCs w:val="24"/>
          <w:lang w:val="es-MX"/>
        </w:rPr>
      </w:pPr>
      <w:r w:rsidRPr="00934738">
        <w:rPr>
          <w:rFonts w:ascii="Times New Roman" w:hAnsi="Times New Roman"/>
          <w:bCs/>
          <w:sz w:val="24"/>
          <w:szCs w:val="24"/>
          <w:lang w:val="es-MX"/>
        </w:rPr>
        <w:t xml:space="preserve">De esa cuenta, se puede observar que la agricultura, ganadería, silvicultura y pesca tienen un efecto positivo al aumentar las medidas de contención a nivel interno y externo, esto se debe a que la demanda de los bienes de esta actividad se mantendría o tendería a aumentar dado que la elasticidad con respecto al ingreso de los bienes de agricultura es baja. La actividad más afectada son las actividades de alojamiento y servicio de comida debido a las restricciones que afectan el turismo interno y externo.  Asimismo, las actividades de transporte y almacenamiento son perjudicadas por las restricciones que afectan la movilidad como la restricción de movilidad interdepartamental, horarios limitados para movilizarse (toque de queda) y la prohibición del transporte público. Las actividades de servicios y el sector de la construcción también son afectados en forma negativa dado que los patrones de consumo e inversión cambian por la naturaleza de este tipo de pandemia. Tomando un escenario base en el cual la economía crece </w:t>
      </w:r>
      <w:r w:rsidR="004811DB">
        <w:rPr>
          <w:rFonts w:ascii="Times New Roman" w:hAnsi="Times New Roman"/>
          <w:bCs/>
          <w:sz w:val="24"/>
          <w:szCs w:val="24"/>
          <w:lang w:val="es-MX"/>
        </w:rPr>
        <w:lastRenderedPageBreak/>
        <w:t>3.5</w:t>
      </w:r>
      <w:r w:rsidRPr="00934738">
        <w:rPr>
          <w:rFonts w:ascii="Times New Roman" w:hAnsi="Times New Roman"/>
          <w:bCs/>
          <w:sz w:val="24"/>
          <w:szCs w:val="24"/>
          <w:lang w:val="es-MX"/>
        </w:rPr>
        <w:t xml:space="preserve">% en el 2022, dada las respuestas de las actividades económicas, el producto interno bruto se contrae aproximadamente </w:t>
      </w:r>
      <w:r w:rsidR="004811DB">
        <w:rPr>
          <w:rFonts w:ascii="Times New Roman" w:hAnsi="Times New Roman"/>
          <w:bCs/>
          <w:sz w:val="24"/>
          <w:szCs w:val="24"/>
          <w:lang w:val="es-MX"/>
        </w:rPr>
        <w:t>0.5</w:t>
      </w:r>
      <w:r w:rsidRPr="00934738">
        <w:rPr>
          <w:rFonts w:ascii="Times New Roman" w:hAnsi="Times New Roman"/>
          <w:bCs/>
          <w:sz w:val="24"/>
          <w:szCs w:val="24"/>
          <w:lang w:val="es-MX"/>
        </w:rPr>
        <w:t>% y -</w:t>
      </w:r>
      <w:r w:rsidR="00813FF9">
        <w:rPr>
          <w:rFonts w:ascii="Times New Roman" w:hAnsi="Times New Roman"/>
          <w:bCs/>
          <w:sz w:val="24"/>
          <w:szCs w:val="24"/>
          <w:lang w:val="es-MX"/>
        </w:rPr>
        <w:t>3.9</w:t>
      </w:r>
      <w:r w:rsidRPr="00934738">
        <w:rPr>
          <w:rFonts w:ascii="Times New Roman" w:hAnsi="Times New Roman"/>
          <w:bCs/>
          <w:sz w:val="24"/>
          <w:szCs w:val="24"/>
          <w:lang w:val="es-MX"/>
        </w:rPr>
        <w:t xml:space="preserve">% con un índice de rigor promedio de </w:t>
      </w:r>
      <w:r w:rsidR="004811DB">
        <w:rPr>
          <w:rFonts w:ascii="Times New Roman" w:hAnsi="Times New Roman"/>
          <w:bCs/>
          <w:sz w:val="24"/>
          <w:szCs w:val="24"/>
          <w:lang w:val="es-MX"/>
        </w:rPr>
        <w:t>65</w:t>
      </w:r>
      <w:r w:rsidRPr="00934738">
        <w:rPr>
          <w:rFonts w:ascii="Times New Roman" w:hAnsi="Times New Roman"/>
          <w:bCs/>
          <w:sz w:val="24"/>
          <w:szCs w:val="24"/>
          <w:lang w:val="es-MX"/>
        </w:rPr>
        <w:t xml:space="preserve">.0 y </w:t>
      </w:r>
      <w:r w:rsidR="004811DB">
        <w:rPr>
          <w:rFonts w:ascii="Times New Roman" w:hAnsi="Times New Roman"/>
          <w:bCs/>
          <w:sz w:val="24"/>
          <w:szCs w:val="24"/>
          <w:lang w:val="es-MX"/>
        </w:rPr>
        <w:t>80</w:t>
      </w:r>
      <w:r w:rsidRPr="00934738">
        <w:rPr>
          <w:rFonts w:ascii="Times New Roman" w:hAnsi="Times New Roman"/>
          <w:bCs/>
          <w:sz w:val="24"/>
          <w:szCs w:val="24"/>
          <w:lang w:val="es-MX"/>
        </w:rPr>
        <w:t>.0 respectivamente.</w:t>
      </w:r>
    </w:p>
    <w:p w14:paraId="3E3DF6F3" w14:textId="77777777" w:rsidR="00E47A7B" w:rsidRDefault="00E47A7B" w:rsidP="008C682C">
      <w:pPr>
        <w:pStyle w:val="Sinespaciado"/>
        <w:ind w:right="49"/>
        <w:jc w:val="both"/>
        <w:rPr>
          <w:rFonts w:ascii="Times New Roman" w:hAnsi="Times New Roman"/>
          <w:bCs/>
          <w:sz w:val="24"/>
          <w:szCs w:val="24"/>
          <w:lang w:val="es-MX"/>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1"/>
      </w:tblGrid>
      <w:tr w:rsidR="008C682C" w14:paraId="6EFF00E3" w14:textId="77777777" w:rsidTr="00BC0D90">
        <w:tc>
          <w:tcPr>
            <w:tcW w:w="9962" w:type="dxa"/>
          </w:tcPr>
          <w:p w14:paraId="55A67C65" w14:textId="4D098688" w:rsidR="008C682C" w:rsidRPr="007052C7" w:rsidRDefault="00AF7163" w:rsidP="00813FF9">
            <w:pPr>
              <w:pStyle w:val="Sinespaciado"/>
              <w:ind w:right="49"/>
              <w:jc w:val="center"/>
              <w:rPr>
                <w:rFonts w:ascii="Times New Roman" w:hAnsi="Times New Roman"/>
                <w:b/>
                <w:sz w:val="24"/>
                <w:szCs w:val="24"/>
                <w:lang w:val="es-MX"/>
              </w:rPr>
            </w:pPr>
            <w:r>
              <w:rPr>
                <w:rFonts w:ascii="Times New Roman" w:hAnsi="Times New Roman"/>
                <w:b/>
                <w:sz w:val="24"/>
                <w:szCs w:val="24"/>
                <w:lang w:val="es-MX"/>
              </w:rPr>
              <w:t>Tabla 6</w:t>
            </w:r>
            <w:r w:rsidR="00282882">
              <w:rPr>
                <w:rFonts w:ascii="Times New Roman" w:hAnsi="Times New Roman"/>
                <w:b/>
                <w:sz w:val="24"/>
                <w:szCs w:val="24"/>
                <w:lang w:val="es-MX"/>
              </w:rPr>
              <w:t xml:space="preserve">.  </w:t>
            </w:r>
            <w:r w:rsidR="008C682C" w:rsidRPr="007052C7">
              <w:rPr>
                <w:rFonts w:ascii="Times New Roman" w:hAnsi="Times New Roman"/>
                <w:b/>
                <w:sz w:val="24"/>
                <w:szCs w:val="24"/>
                <w:lang w:val="es-MX"/>
              </w:rPr>
              <w:t>Respuesta de las actividades económica en base al índice de rigor</w:t>
            </w:r>
            <w:r w:rsidR="008C682C">
              <w:rPr>
                <w:rFonts w:ascii="Times New Roman" w:hAnsi="Times New Roman"/>
                <w:b/>
                <w:sz w:val="24"/>
                <w:szCs w:val="24"/>
                <w:lang w:val="es-MX"/>
              </w:rPr>
              <w:t xml:space="preserve"> en 2022</w:t>
            </w:r>
            <w:r w:rsidR="008C682C" w:rsidRPr="007052C7">
              <w:rPr>
                <w:rFonts w:ascii="Times New Roman" w:hAnsi="Times New Roman"/>
                <w:b/>
                <w:sz w:val="24"/>
                <w:szCs w:val="24"/>
                <w:lang w:val="es-MX"/>
              </w:rPr>
              <w:t xml:space="preserve"> </w:t>
            </w:r>
          </w:p>
        </w:tc>
      </w:tr>
      <w:tr w:rsidR="008C682C" w14:paraId="6608818F" w14:textId="77777777" w:rsidTr="00BC0D90">
        <w:tc>
          <w:tcPr>
            <w:tcW w:w="9962" w:type="dxa"/>
          </w:tcPr>
          <w:tbl>
            <w:tblPr>
              <w:tblW w:w="8012" w:type="dxa"/>
              <w:jc w:val="center"/>
              <w:tblCellMar>
                <w:left w:w="70" w:type="dxa"/>
                <w:right w:w="70" w:type="dxa"/>
              </w:tblCellMar>
              <w:tblLook w:val="04A0" w:firstRow="1" w:lastRow="0" w:firstColumn="1" w:lastColumn="0" w:noHBand="0" w:noVBand="1"/>
            </w:tblPr>
            <w:tblGrid>
              <w:gridCol w:w="4845"/>
              <w:gridCol w:w="1018"/>
              <w:gridCol w:w="1018"/>
              <w:gridCol w:w="1131"/>
            </w:tblGrid>
            <w:tr w:rsidR="00813FF9" w:rsidRPr="00AF7163" w14:paraId="14B016DA" w14:textId="77777777" w:rsidTr="00813FF9">
              <w:trPr>
                <w:trHeight w:val="623"/>
                <w:jc w:val="center"/>
              </w:trPr>
              <w:tc>
                <w:tcPr>
                  <w:tcW w:w="4845" w:type="dxa"/>
                  <w:tcBorders>
                    <w:top w:val="single" w:sz="4" w:space="0" w:color="auto"/>
                    <w:left w:val="single" w:sz="4" w:space="0" w:color="auto"/>
                    <w:bottom w:val="double" w:sz="6" w:space="0" w:color="auto"/>
                    <w:right w:val="nil"/>
                  </w:tcBorders>
                  <w:shd w:val="clear" w:color="000000" w:fill="8EA9DB"/>
                  <w:noWrap/>
                  <w:vAlign w:val="center"/>
                  <w:hideMark/>
                </w:tcPr>
                <w:p w14:paraId="1576BC1B" w14:textId="77777777" w:rsidR="00813FF9" w:rsidRPr="00AF7163" w:rsidRDefault="00813FF9" w:rsidP="00813FF9">
                  <w:pPr>
                    <w:widowControl/>
                    <w:jc w:val="center"/>
                    <w:rPr>
                      <w:b/>
                      <w:bCs/>
                      <w:color w:val="000000"/>
                      <w:szCs w:val="18"/>
                      <w:lang w:val="es-GT" w:eastAsia="es-GT"/>
                    </w:rPr>
                  </w:pPr>
                  <w:r w:rsidRPr="00AF7163">
                    <w:rPr>
                      <w:b/>
                      <w:bCs/>
                      <w:color w:val="000000"/>
                      <w:szCs w:val="18"/>
                      <w:lang w:val="es-GT" w:eastAsia="es-GT"/>
                    </w:rPr>
                    <w:t>Actividad económica</w:t>
                  </w:r>
                </w:p>
              </w:tc>
              <w:tc>
                <w:tcPr>
                  <w:tcW w:w="1018" w:type="dxa"/>
                  <w:tcBorders>
                    <w:top w:val="single" w:sz="4" w:space="0" w:color="auto"/>
                    <w:left w:val="single" w:sz="4" w:space="0" w:color="auto"/>
                    <w:bottom w:val="double" w:sz="6" w:space="0" w:color="auto"/>
                    <w:right w:val="nil"/>
                  </w:tcBorders>
                  <w:shd w:val="clear" w:color="000000" w:fill="8EA9DB"/>
                  <w:vAlign w:val="center"/>
                  <w:hideMark/>
                </w:tcPr>
                <w:p w14:paraId="071B26F0" w14:textId="77777777" w:rsidR="00813FF9" w:rsidRPr="00AF7163" w:rsidRDefault="00813FF9" w:rsidP="00813FF9">
                  <w:pPr>
                    <w:widowControl/>
                    <w:jc w:val="center"/>
                    <w:rPr>
                      <w:b/>
                      <w:bCs/>
                      <w:color w:val="000000"/>
                      <w:szCs w:val="18"/>
                      <w:lang w:val="es-GT" w:eastAsia="es-GT"/>
                    </w:rPr>
                  </w:pPr>
                  <w:r w:rsidRPr="00AF7163">
                    <w:rPr>
                      <w:b/>
                      <w:bCs/>
                      <w:color w:val="000000"/>
                      <w:szCs w:val="18"/>
                      <w:lang w:val="es-GT" w:eastAsia="es-GT"/>
                    </w:rPr>
                    <w:t>Escenario Base</w:t>
                  </w:r>
                </w:p>
              </w:tc>
              <w:tc>
                <w:tcPr>
                  <w:tcW w:w="1018" w:type="dxa"/>
                  <w:tcBorders>
                    <w:top w:val="single" w:sz="4" w:space="0" w:color="auto"/>
                    <w:left w:val="single" w:sz="4" w:space="0" w:color="auto"/>
                    <w:bottom w:val="double" w:sz="6" w:space="0" w:color="auto"/>
                    <w:right w:val="nil"/>
                  </w:tcBorders>
                  <w:shd w:val="clear" w:color="000000" w:fill="8EA9DB"/>
                  <w:vAlign w:val="center"/>
                  <w:hideMark/>
                </w:tcPr>
                <w:p w14:paraId="37B17179" w14:textId="71BF07CC" w:rsidR="00813FF9" w:rsidRPr="00AF7163" w:rsidRDefault="00A448B9" w:rsidP="00813FF9">
                  <w:pPr>
                    <w:widowControl/>
                    <w:jc w:val="center"/>
                    <w:rPr>
                      <w:b/>
                      <w:bCs/>
                      <w:color w:val="000000"/>
                      <w:szCs w:val="18"/>
                      <w:lang w:val="es-GT" w:eastAsia="es-GT"/>
                    </w:rPr>
                  </w:pPr>
                  <w:r w:rsidRPr="00AF7163">
                    <w:rPr>
                      <w:b/>
                      <w:bCs/>
                      <w:color w:val="000000"/>
                      <w:szCs w:val="18"/>
                      <w:lang w:val="es-GT" w:eastAsia="es-GT"/>
                    </w:rPr>
                    <w:t>Índice de rigor</w:t>
                  </w:r>
                  <w:r w:rsidR="00813FF9" w:rsidRPr="00AF7163">
                    <w:rPr>
                      <w:b/>
                      <w:bCs/>
                      <w:color w:val="000000"/>
                      <w:szCs w:val="18"/>
                      <w:lang w:val="es-GT" w:eastAsia="es-GT"/>
                    </w:rPr>
                    <w:t>= 65.0</w:t>
                  </w:r>
                </w:p>
              </w:tc>
              <w:tc>
                <w:tcPr>
                  <w:tcW w:w="1131" w:type="dxa"/>
                  <w:tcBorders>
                    <w:top w:val="single" w:sz="4" w:space="0" w:color="auto"/>
                    <w:left w:val="single" w:sz="4" w:space="0" w:color="auto"/>
                    <w:bottom w:val="double" w:sz="6" w:space="0" w:color="auto"/>
                    <w:right w:val="single" w:sz="4" w:space="0" w:color="auto"/>
                  </w:tcBorders>
                  <w:shd w:val="clear" w:color="000000" w:fill="8EA9DB"/>
                  <w:vAlign w:val="center"/>
                  <w:hideMark/>
                </w:tcPr>
                <w:p w14:paraId="2D5AEFD9" w14:textId="7E507962" w:rsidR="00813FF9" w:rsidRPr="00AF7163" w:rsidRDefault="00A448B9" w:rsidP="00813FF9">
                  <w:pPr>
                    <w:widowControl/>
                    <w:jc w:val="center"/>
                    <w:rPr>
                      <w:b/>
                      <w:bCs/>
                      <w:color w:val="000000"/>
                      <w:szCs w:val="18"/>
                      <w:lang w:val="es-GT" w:eastAsia="es-GT"/>
                    </w:rPr>
                  </w:pPr>
                  <w:r w:rsidRPr="00AF7163">
                    <w:rPr>
                      <w:b/>
                      <w:bCs/>
                      <w:color w:val="000000"/>
                      <w:szCs w:val="18"/>
                      <w:lang w:val="es-GT" w:eastAsia="es-GT"/>
                    </w:rPr>
                    <w:t>Índice de rigor</w:t>
                  </w:r>
                  <w:r w:rsidR="00813FF9" w:rsidRPr="00AF7163">
                    <w:rPr>
                      <w:b/>
                      <w:bCs/>
                      <w:color w:val="000000"/>
                      <w:szCs w:val="18"/>
                      <w:lang w:val="es-GT" w:eastAsia="es-GT"/>
                    </w:rPr>
                    <w:t xml:space="preserve"> = 80.0</w:t>
                  </w:r>
                </w:p>
              </w:tc>
            </w:tr>
            <w:tr w:rsidR="00813FF9" w:rsidRPr="00AF7163" w14:paraId="18DAB0BC"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42695374" w14:textId="77777777" w:rsidR="00813FF9" w:rsidRPr="00AF7163" w:rsidRDefault="00813FF9" w:rsidP="00813FF9">
                  <w:pPr>
                    <w:widowControl/>
                    <w:rPr>
                      <w:color w:val="000000"/>
                      <w:szCs w:val="18"/>
                      <w:lang w:val="es-GT" w:eastAsia="es-GT"/>
                    </w:rPr>
                  </w:pPr>
                  <w:r w:rsidRPr="00AF7163">
                    <w:rPr>
                      <w:color w:val="000000"/>
                      <w:szCs w:val="18"/>
                      <w:lang w:val="es-GT" w:eastAsia="es-GT"/>
                    </w:rPr>
                    <w:t>Agricultura, ganadería, silvicultura y pesca</w:t>
                  </w:r>
                </w:p>
              </w:tc>
              <w:tc>
                <w:tcPr>
                  <w:tcW w:w="1018" w:type="dxa"/>
                  <w:tcBorders>
                    <w:top w:val="nil"/>
                    <w:left w:val="single" w:sz="4" w:space="0" w:color="auto"/>
                    <w:bottom w:val="nil"/>
                    <w:right w:val="nil"/>
                  </w:tcBorders>
                  <w:shd w:val="clear" w:color="000000" w:fill="FFFFFF"/>
                  <w:noWrap/>
                  <w:vAlign w:val="bottom"/>
                  <w:hideMark/>
                </w:tcPr>
                <w:p w14:paraId="5DB37410"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48786B5E"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131" w:type="dxa"/>
                  <w:tcBorders>
                    <w:top w:val="nil"/>
                    <w:left w:val="single" w:sz="4" w:space="0" w:color="auto"/>
                    <w:bottom w:val="nil"/>
                    <w:right w:val="single" w:sz="4" w:space="0" w:color="auto"/>
                  </w:tcBorders>
                  <w:shd w:val="clear" w:color="000000" w:fill="FFFFFF"/>
                  <w:noWrap/>
                  <w:vAlign w:val="bottom"/>
                  <w:hideMark/>
                </w:tcPr>
                <w:p w14:paraId="4EBBE205"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1.01</w:t>
                  </w:r>
                </w:p>
              </w:tc>
            </w:tr>
            <w:tr w:rsidR="00813FF9" w:rsidRPr="00AF7163" w14:paraId="385F762F"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18BAEAC0" w14:textId="77777777" w:rsidR="00813FF9" w:rsidRPr="00AF7163" w:rsidRDefault="00813FF9" w:rsidP="00813FF9">
                  <w:pPr>
                    <w:widowControl/>
                    <w:rPr>
                      <w:color w:val="000000"/>
                      <w:szCs w:val="18"/>
                      <w:lang w:val="es-GT" w:eastAsia="es-GT"/>
                    </w:rPr>
                  </w:pPr>
                  <w:r w:rsidRPr="00AF7163">
                    <w:rPr>
                      <w:color w:val="000000"/>
                      <w:szCs w:val="18"/>
                      <w:lang w:val="es-GT" w:eastAsia="es-GT"/>
                    </w:rPr>
                    <w:t>Explotación de minas y canteras</w:t>
                  </w:r>
                </w:p>
              </w:tc>
              <w:tc>
                <w:tcPr>
                  <w:tcW w:w="1018" w:type="dxa"/>
                  <w:tcBorders>
                    <w:top w:val="nil"/>
                    <w:left w:val="single" w:sz="4" w:space="0" w:color="auto"/>
                    <w:bottom w:val="nil"/>
                    <w:right w:val="nil"/>
                  </w:tcBorders>
                  <w:shd w:val="clear" w:color="000000" w:fill="FFFFFF"/>
                  <w:noWrap/>
                  <w:vAlign w:val="bottom"/>
                  <w:hideMark/>
                </w:tcPr>
                <w:p w14:paraId="55CC820B"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21A5C5FA"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0.99</w:t>
                  </w:r>
                </w:p>
              </w:tc>
              <w:tc>
                <w:tcPr>
                  <w:tcW w:w="1131" w:type="dxa"/>
                  <w:tcBorders>
                    <w:top w:val="nil"/>
                    <w:left w:val="single" w:sz="4" w:space="0" w:color="auto"/>
                    <w:bottom w:val="nil"/>
                    <w:right w:val="single" w:sz="4" w:space="0" w:color="auto"/>
                  </w:tcBorders>
                  <w:shd w:val="clear" w:color="000000" w:fill="FFFFFF"/>
                  <w:noWrap/>
                  <w:vAlign w:val="bottom"/>
                  <w:hideMark/>
                </w:tcPr>
                <w:p w14:paraId="6FA8C376"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0.98</w:t>
                  </w:r>
                </w:p>
              </w:tc>
            </w:tr>
            <w:tr w:rsidR="00813FF9" w:rsidRPr="00AF7163" w14:paraId="786DBADE"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4145CDB4" w14:textId="77777777" w:rsidR="00813FF9" w:rsidRPr="00AF7163" w:rsidRDefault="00813FF9" w:rsidP="00813FF9">
                  <w:pPr>
                    <w:widowControl/>
                    <w:rPr>
                      <w:color w:val="000000"/>
                      <w:szCs w:val="18"/>
                      <w:lang w:val="es-GT" w:eastAsia="es-GT"/>
                    </w:rPr>
                  </w:pPr>
                  <w:r w:rsidRPr="00AF7163">
                    <w:rPr>
                      <w:color w:val="000000"/>
                      <w:szCs w:val="18"/>
                      <w:lang w:val="es-GT" w:eastAsia="es-GT"/>
                    </w:rPr>
                    <w:t>Industrias manufactureras</w:t>
                  </w:r>
                </w:p>
              </w:tc>
              <w:tc>
                <w:tcPr>
                  <w:tcW w:w="1018" w:type="dxa"/>
                  <w:tcBorders>
                    <w:top w:val="nil"/>
                    <w:left w:val="single" w:sz="4" w:space="0" w:color="auto"/>
                    <w:bottom w:val="nil"/>
                    <w:right w:val="nil"/>
                  </w:tcBorders>
                  <w:shd w:val="clear" w:color="000000" w:fill="FFFFFF"/>
                  <w:noWrap/>
                  <w:vAlign w:val="bottom"/>
                  <w:hideMark/>
                </w:tcPr>
                <w:p w14:paraId="2DF14A0F"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1CB2E8DC"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0.98</w:t>
                  </w:r>
                </w:p>
              </w:tc>
              <w:tc>
                <w:tcPr>
                  <w:tcW w:w="1131" w:type="dxa"/>
                  <w:tcBorders>
                    <w:top w:val="nil"/>
                    <w:left w:val="single" w:sz="4" w:space="0" w:color="auto"/>
                    <w:bottom w:val="nil"/>
                    <w:right w:val="single" w:sz="4" w:space="0" w:color="auto"/>
                  </w:tcBorders>
                  <w:shd w:val="clear" w:color="000000" w:fill="FFFFFF"/>
                  <w:noWrap/>
                  <w:vAlign w:val="bottom"/>
                  <w:hideMark/>
                </w:tcPr>
                <w:p w14:paraId="169BF75F"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0.95</w:t>
                  </w:r>
                </w:p>
              </w:tc>
            </w:tr>
            <w:tr w:rsidR="00813FF9" w:rsidRPr="00AF7163" w14:paraId="54B315CC"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24A6E22B" w14:textId="77777777" w:rsidR="00813FF9" w:rsidRPr="00AF7163" w:rsidRDefault="00813FF9" w:rsidP="00813FF9">
                  <w:pPr>
                    <w:widowControl/>
                    <w:rPr>
                      <w:color w:val="000000"/>
                      <w:szCs w:val="18"/>
                      <w:lang w:val="es-GT" w:eastAsia="es-GT"/>
                    </w:rPr>
                  </w:pPr>
                  <w:r w:rsidRPr="00AF7163">
                    <w:rPr>
                      <w:color w:val="000000"/>
                      <w:szCs w:val="18"/>
                      <w:lang w:val="es-GT" w:eastAsia="es-GT"/>
                    </w:rPr>
                    <w:t>Suministro de electricidad, agua y etc.</w:t>
                  </w:r>
                </w:p>
              </w:tc>
              <w:tc>
                <w:tcPr>
                  <w:tcW w:w="1018" w:type="dxa"/>
                  <w:tcBorders>
                    <w:top w:val="nil"/>
                    <w:left w:val="single" w:sz="4" w:space="0" w:color="auto"/>
                    <w:bottom w:val="nil"/>
                    <w:right w:val="nil"/>
                  </w:tcBorders>
                  <w:shd w:val="clear" w:color="000000" w:fill="FFFFFF"/>
                  <w:noWrap/>
                  <w:vAlign w:val="bottom"/>
                  <w:hideMark/>
                </w:tcPr>
                <w:p w14:paraId="313F477D"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63A66544"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131" w:type="dxa"/>
                  <w:tcBorders>
                    <w:top w:val="nil"/>
                    <w:left w:val="single" w:sz="4" w:space="0" w:color="auto"/>
                    <w:bottom w:val="nil"/>
                    <w:right w:val="single" w:sz="4" w:space="0" w:color="auto"/>
                  </w:tcBorders>
                  <w:shd w:val="clear" w:color="000000" w:fill="FFFFFF"/>
                  <w:noWrap/>
                  <w:vAlign w:val="bottom"/>
                  <w:hideMark/>
                </w:tcPr>
                <w:p w14:paraId="0187E043"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0.99</w:t>
                  </w:r>
                </w:p>
              </w:tc>
            </w:tr>
            <w:tr w:rsidR="00813FF9" w:rsidRPr="00AF7163" w14:paraId="4A466D91"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75581A6F" w14:textId="77777777" w:rsidR="00813FF9" w:rsidRPr="00AF7163" w:rsidRDefault="00813FF9" w:rsidP="00813FF9">
                  <w:pPr>
                    <w:widowControl/>
                    <w:rPr>
                      <w:color w:val="000000"/>
                      <w:szCs w:val="18"/>
                      <w:lang w:val="es-GT" w:eastAsia="es-GT"/>
                    </w:rPr>
                  </w:pPr>
                  <w:r w:rsidRPr="00AF7163">
                    <w:rPr>
                      <w:color w:val="000000"/>
                      <w:szCs w:val="18"/>
                      <w:lang w:val="es-GT" w:eastAsia="es-GT"/>
                    </w:rPr>
                    <w:t>Construcción</w:t>
                  </w:r>
                </w:p>
              </w:tc>
              <w:tc>
                <w:tcPr>
                  <w:tcW w:w="1018" w:type="dxa"/>
                  <w:tcBorders>
                    <w:top w:val="nil"/>
                    <w:left w:val="single" w:sz="4" w:space="0" w:color="auto"/>
                    <w:bottom w:val="nil"/>
                    <w:right w:val="nil"/>
                  </w:tcBorders>
                  <w:shd w:val="clear" w:color="000000" w:fill="FFFFFF"/>
                  <w:noWrap/>
                  <w:vAlign w:val="bottom"/>
                  <w:hideMark/>
                </w:tcPr>
                <w:p w14:paraId="4FFB0C22"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6D0D5F46"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0.94</w:t>
                  </w:r>
                </w:p>
              </w:tc>
              <w:tc>
                <w:tcPr>
                  <w:tcW w:w="1131" w:type="dxa"/>
                  <w:tcBorders>
                    <w:top w:val="nil"/>
                    <w:left w:val="single" w:sz="4" w:space="0" w:color="auto"/>
                    <w:bottom w:val="nil"/>
                    <w:right w:val="single" w:sz="4" w:space="0" w:color="auto"/>
                  </w:tcBorders>
                  <w:shd w:val="clear" w:color="000000" w:fill="FFFFFF"/>
                  <w:noWrap/>
                  <w:vAlign w:val="bottom"/>
                  <w:hideMark/>
                </w:tcPr>
                <w:p w14:paraId="350CE1FD"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0.85</w:t>
                  </w:r>
                </w:p>
              </w:tc>
            </w:tr>
            <w:tr w:rsidR="00813FF9" w:rsidRPr="00AF7163" w14:paraId="436B3EB5"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0AE63888" w14:textId="09D81501" w:rsidR="00813FF9" w:rsidRPr="00AF7163" w:rsidRDefault="00813FF9" w:rsidP="00813FF9">
                  <w:pPr>
                    <w:widowControl/>
                    <w:rPr>
                      <w:color w:val="000000"/>
                      <w:szCs w:val="18"/>
                      <w:lang w:val="es-GT" w:eastAsia="es-GT"/>
                    </w:rPr>
                  </w:pPr>
                  <w:r w:rsidRPr="00AF7163">
                    <w:rPr>
                      <w:color w:val="000000"/>
                      <w:szCs w:val="18"/>
                      <w:lang w:val="es-GT" w:eastAsia="es-GT"/>
                    </w:rPr>
                    <w:t>Comercio al por mayor y al por menor (y rep. de vehículos)</w:t>
                  </w:r>
                </w:p>
              </w:tc>
              <w:tc>
                <w:tcPr>
                  <w:tcW w:w="1018" w:type="dxa"/>
                  <w:tcBorders>
                    <w:top w:val="nil"/>
                    <w:left w:val="single" w:sz="4" w:space="0" w:color="auto"/>
                    <w:bottom w:val="nil"/>
                    <w:right w:val="nil"/>
                  </w:tcBorders>
                  <w:shd w:val="clear" w:color="000000" w:fill="FFFFFF"/>
                  <w:noWrap/>
                  <w:vAlign w:val="bottom"/>
                  <w:hideMark/>
                </w:tcPr>
                <w:p w14:paraId="3D137F9D"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30138B71"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0.98</w:t>
                  </w:r>
                </w:p>
              </w:tc>
              <w:tc>
                <w:tcPr>
                  <w:tcW w:w="1131" w:type="dxa"/>
                  <w:tcBorders>
                    <w:top w:val="nil"/>
                    <w:left w:val="single" w:sz="4" w:space="0" w:color="auto"/>
                    <w:bottom w:val="nil"/>
                    <w:right w:val="single" w:sz="4" w:space="0" w:color="auto"/>
                  </w:tcBorders>
                  <w:shd w:val="clear" w:color="000000" w:fill="FFFFFF"/>
                  <w:noWrap/>
                  <w:vAlign w:val="bottom"/>
                  <w:hideMark/>
                </w:tcPr>
                <w:p w14:paraId="78D94CFB"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0.94</w:t>
                  </w:r>
                </w:p>
              </w:tc>
            </w:tr>
            <w:tr w:rsidR="00813FF9" w:rsidRPr="00AF7163" w14:paraId="4BAD06C0"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0451739C" w14:textId="77777777" w:rsidR="00813FF9" w:rsidRPr="00AF7163" w:rsidRDefault="00813FF9" w:rsidP="00813FF9">
                  <w:pPr>
                    <w:widowControl/>
                    <w:rPr>
                      <w:color w:val="000000"/>
                      <w:szCs w:val="18"/>
                      <w:lang w:val="es-GT" w:eastAsia="es-GT"/>
                    </w:rPr>
                  </w:pPr>
                  <w:r w:rsidRPr="00AF7163">
                    <w:rPr>
                      <w:color w:val="000000"/>
                      <w:szCs w:val="18"/>
                      <w:lang w:val="es-GT" w:eastAsia="es-GT"/>
                    </w:rPr>
                    <w:t>Transporte y almacenamiento</w:t>
                  </w:r>
                </w:p>
              </w:tc>
              <w:tc>
                <w:tcPr>
                  <w:tcW w:w="1018" w:type="dxa"/>
                  <w:tcBorders>
                    <w:top w:val="nil"/>
                    <w:left w:val="single" w:sz="4" w:space="0" w:color="auto"/>
                    <w:bottom w:val="nil"/>
                    <w:right w:val="nil"/>
                  </w:tcBorders>
                  <w:shd w:val="clear" w:color="000000" w:fill="FFFFFF"/>
                  <w:noWrap/>
                  <w:vAlign w:val="bottom"/>
                  <w:hideMark/>
                </w:tcPr>
                <w:p w14:paraId="43CCD095"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236AC4B7"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0.90</w:t>
                  </w:r>
                </w:p>
              </w:tc>
              <w:tc>
                <w:tcPr>
                  <w:tcW w:w="1131" w:type="dxa"/>
                  <w:tcBorders>
                    <w:top w:val="nil"/>
                    <w:left w:val="single" w:sz="4" w:space="0" w:color="auto"/>
                    <w:bottom w:val="nil"/>
                    <w:right w:val="single" w:sz="4" w:space="0" w:color="auto"/>
                  </w:tcBorders>
                  <w:shd w:val="clear" w:color="000000" w:fill="FFFFFF"/>
                  <w:noWrap/>
                  <w:vAlign w:val="bottom"/>
                  <w:hideMark/>
                </w:tcPr>
                <w:p w14:paraId="52095920"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0.76</w:t>
                  </w:r>
                </w:p>
              </w:tc>
            </w:tr>
            <w:tr w:rsidR="00813FF9" w:rsidRPr="00AF7163" w14:paraId="49D415D4"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47E8E3B1" w14:textId="77777777" w:rsidR="00813FF9" w:rsidRPr="00AF7163" w:rsidRDefault="00813FF9" w:rsidP="00813FF9">
                  <w:pPr>
                    <w:widowControl/>
                    <w:rPr>
                      <w:color w:val="000000"/>
                      <w:szCs w:val="18"/>
                      <w:lang w:val="es-GT" w:eastAsia="es-GT"/>
                    </w:rPr>
                  </w:pPr>
                  <w:r w:rsidRPr="00AF7163">
                    <w:rPr>
                      <w:color w:val="000000"/>
                      <w:szCs w:val="18"/>
                      <w:lang w:val="es-GT" w:eastAsia="es-GT"/>
                    </w:rPr>
                    <w:t>Actividades de alojamiento y de servicio de comidas</w:t>
                  </w:r>
                </w:p>
              </w:tc>
              <w:tc>
                <w:tcPr>
                  <w:tcW w:w="1018" w:type="dxa"/>
                  <w:tcBorders>
                    <w:top w:val="nil"/>
                    <w:left w:val="single" w:sz="4" w:space="0" w:color="auto"/>
                    <w:bottom w:val="nil"/>
                    <w:right w:val="nil"/>
                  </w:tcBorders>
                  <w:shd w:val="clear" w:color="000000" w:fill="FFFFFF"/>
                  <w:noWrap/>
                  <w:vAlign w:val="bottom"/>
                  <w:hideMark/>
                </w:tcPr>
                <w:p w14:paraId="4C73E560"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1533792E"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0.83</w:t>
                  </w:r>
                </w:p>
              </w:tc>
              <w:tc>
                <w:tcPr>
                  <w:tcW w:w="1131" w:type="dxa"/>
                  <w:tcBorders>
                    <w:top w:val="nil"/>
                    <w:left w:val="single" w:sz="4" w:space="0" w:color="auto"/>
                    <w:bottom w:val="nil"/>
                    <w:right w:val="single" w:sz="4" w:space="0" w:color="auto"/>
                  </w:tcBorders>
                  <w:shd w:val="clear" w:color="000000" w:fill="FFFFFF"/>
                  <w:noWrap/>
                  <w:vAlign w:val="bottom"/>
                  <w:hideMark/>
                </w:tcPr>
                <w:p w14:paraId="72BCA35D"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0.58</w:t>
                  </w:r>
                </w:p>
              </w:tc>
            </w:tr>
            <w:tr w:rsidR="00813FF9" w:rsidRPr="00AF7163" w14:paraId="0A23AE65"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68564758" w14:textId="77777777" w:rsidR="00813FF9" w:rsidRPr="00AF7163" w:rsidRDefault="00813FF9" w:rsidP="00813FF9">
                  <w:pPr>
                    <w:widowControl/>
                    <w:rPr>
                      <w:color w:val="000000"/>
                      <w:szCs w:val="18"/>
                      <w:lang w:val="es-GT" w:eastAsia="es-GT"/>
                    </w:rPr>
                  </w:pPr>
                  <w:r w:rsidRPr="00AF7163">
                    <w:rPr>
                      <w:color w:val="000000"/>
                      <w:szCs w:val="18"/>
                      <w:lang w:val="es-GT" w:eastAsia="es-GT"/>
                    </w:rPr>
                    <w:t>Información y comunicaciones</w:t>
                  </w:r>
                </w:p>
              </w:tc>
              <w:tc>
                <w:tcPr>
                  <w:tcW w:w="1018" w:type="dxa"/>
                  <w:tcBorders>
                    <w:top w:val="nil"/>
                    <w:left w:val="single" w:sz="4" w:space="0" w:color="auto"/>
                    <w:bottom w:val="nil"/>
                    <w:right w:val="nil"/>
                  </w:tcBorders>
                  <w:shd w:val="clear" w:color="000000" w:fill="FFFFFF"/>
                  <w:noWrap/>
                  <w:vAlign w:val="bottom"/>
                  <w:hideMark/>
                </w:tcPr>
                <w:p w14:paraId="50FBF94C"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6D97BBE3"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0.98</w:t>
                  </w:r>
                </w:p>
              </w:tc>
              <w:tc>
                <w:tcPr>
                  <w:tcW w:w="1131" w:type="dxa"/>
                  <w:tcBorders>
                    <w:top w:val="nil"/>
                    <w:left w:val="single" w:sz="4" w:space="0" w:color="auto"/>
                    <w:bottom w:val="nil"/>
                    <w:right w:val="single" w:sz="4" w:space="0" w:color="auto"/>
                  </w:tcBorders>
                  <w:shd w:val="clear" w:color="000000" w:fill="FFFFFF"/>
                  <w:noWrap/>
                  <w:vAlign w:val="bottom"/>
                  <w:hideMark/>
                </w:tcPr>
                <w:p w14:paraId="710FE727"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0.96</w:t>
                  </w:r>
                </w:p>
              </w:tc>
            </w:tr>
            <w:tr w:rsidR="00813FF9" w:rsidRPr="00AF7163" w14:paraId="444B4185"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15E60979" w14:textId="77777777" w:rsidR="00813FF9" w:rsidRPr="00AF7163" w:rsidRDefault="00813FF9" w:rsidP="00813FF9">
                  <w:pPr>
                    <w:widowControl/>
                    <w:rPr>
                      <w:color w:val="000000"/>
                      <w:szCs w:val="18"/>
                      <w:lang w:val="es-GT" w:eastAsia="es-GT"/>
                    </w:rPr>
                  </w:pPr>
                  <w:r w:rsidRPr="00AF7163">
                    <w:rPr>
                      <w:color w:val="000000"/>
                      <w:szCs w:val="18"/>
                      <w:lang w:val="es-GT" w:eastAsia="es-GT"/>
                    </w:rPr>
                    <w:t>Actividades financieras y de seguros</w:t>
                  </w:r>
                </w:p>
              </w:tc>
              <w:tc>
                <w:tcPr>
                  <w:tcW w:w="1018" w:type="dxa"/>
                  <w:tcBorders>
                    <w:top w:val="nil"/>
                    <w:left w:val="single" w:sz="4" w:space="0" w:color="auto"/>
                    <w:bottom w:val="nil"/>
                    <w:right w:val="nil"/>
                  </w:tcBorders>
                  <w:shd w:val="clear" w:color="000000" w:fill="FFFFFF"/>
                  <w:noWrap/>
                  <w:vAlign w:val="bottom"/>
                  <w:hideMark/>
                </w:tcPr>
                <w:p w14:paraId="350623F3"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479DF592"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0.98</w:t>
                  </w:r>
                </w:p>
              </w:tc>
              <w:tc>
                <w:tcPr>
                  <w:tcW w:w="1131" w:type="dxa"/>
                  <w:tcBorders>
                    <w:top w:val="nil"/>
                    <w:left w:val="single" w:sz="4" w:space="0" w:color="auto"/>
                    <w:bottom w:val="nil"/>
                    <w:right w:val="single" w:sz="4" w:space="0" w:color="auto"/>
                  </w:tcBorders>
                  <w:shd w:val="clear" w:color="000000" w:fill="FFFFFF"/>
                  <w:noWrap/>
                  <w:vAlign w:val="bottom"/>
                  <w:hideMark/>
                </w:tcPr>
                <w:p w14:paraId="11E2C925"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0.96</w:t>
                  </w:r>
                </w:p>
              </w:tc>
            </w:tr>
            <w:tr w:rsidR="00813FF9" w:rsidRPr="00AF7163" w14:paraId="24DC1810"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161D642F" w14:textId="77777777" w:rsidR="00813FF9" w:rsidRPr="00AF7163" w:rsidRDefault="00813FF9" w:rsidP="00813FF9">
                  <w:pPr>
                    <w:widowControl/>
                    <w:rPr>
                      <w:color w:val="000000"/>
                      <w:szCs w:val="18"/>
                      <w:lang w:val="es-GT" w:eastAsia="es-GT"/>
                    </w:rPr>
                  </w:pPr>
                  <w:r w:rsidRPr="00AF7163">
                    <w:rPr>
                      <w:color w:val="000000"/>
                      <w:szCs w:val="18"/>
                      <w:lang w:val="es-GT" w:eastAsia="es-GT"/>
                    </w:rPr>
                    <w:t>Actividades inmobiliarias</w:t>
                  </w:r>
                </w:p>
              </w:tc>
              <w:tc>
                <w:tcPr>
                  <w:tcW w:w="1018" w:type="dxa"/>
                  <w:tcBorders>
                    <w:top w:val="nil"/>
                    <w:left w:val="single" w:sz="4" w:space="0" w:color="auto"/>
                    <w:bottom w:val="nil"/>
                    <w:right w:val="nil"/>
                  </w:tcBorders>
                  <w:shd w:val="clear" w:color="000000" w:fill="FFFFFF"/>
                  <w:noWrap/>
                  <w:vAlign w:val="bottom"/>
                  <w:hideMark/>
                </w:tcPr>
                <w:p w14:paraId="009922E3"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0DDC20B4"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0.99</w:t>
                  </w:r>
                </w:p>
              </w:tc>
              <w:tc>
                <w:tcPr>
                  <w:tcW w:w="1131" w:type="dxa"/>
                  <w:tcBorders>
                    <w:top w:val="nil"/>
                    <w:left w:val="single" w:sz="4" w:space="0" w:color="auto"/>
                    <w:bottom w:val="nil"/>
                    <w:right w:val="single" w:sz="4" w:space="0" w:color="auto"/>
                  </w:tcBorders>
                  <w:shd w:val="clear" w:color="000000" w:fill="FFFFFF"/>
                  <w:noWrap/>
                  <w:vAlign w:val="bottom"/>
                  <w:hideMark/>
                </w:tcPr>
                <w:p w14:paraId="50DF62BF"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0.99</w:t>
                  </w:r>
                </w:p>
              </w:tc>
            </w:tr>
            <w:tr w:rsidR="00813FF9" w:rsidRPr="00AF7163" w14:paraId="2117C98F"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2A93D15D" w14:textId="77777777" w:rsidR="00813FF9" w:rsidRPr="00AF7163" w:rsidRDefault="00813FF9" w:rsidP="00813FF9">
                  <w:pPr>
                    <w:widowControl/>
                    <w:rPr>
                      <w:color w:val="000000"/>
                      <w:szCs w:val="18"/>
                      <w:lang w:val="es-GT" w:eastAsia="es-GT"/>
                    </w:rPr>
                  </w:pPr>
                  <w:r w:rsidRPr="00AF7163">
                    <w:rPr>
                      <w:color w:val="000000"/>
                      <w:szCs w:val="18"/>
                      <w:lang w:val="es-GT" w:eastAsia="es-GT"/>
                    </w:rPr>
                    <w:t>Actividades profesionales, científicas y técnicas</w:t>
                  </w:r>
                </w:p>
              </w:tc>
              <w:tc>
                <w:tcPr>
                  <w:tcW w:w="1018" w:type="dxa"/>
                  <w:tcBorders>
                    <w:top w:val="nil"/>
                    <w:left w:val="single" w:sz="4" w:space="0" w:color="auto"/>
                    <w:bottom w:val="nil"/>
                    <w:right w:val="nil"/>
                  </w:tcBorders>
                  <w:shd w:val="clear" w:color="000000" w:fill="FFFFFF"/>
                  <w:noWrap/>
                  <w:vAlign w:val="bottom"/>
                  <w:hideMark/>
                </w:tcPr>
                <w:p w14:paraId="03D3B56E"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6BE3EBDD"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0.97</w:t>
                  </w:r>
                </w:p>
              </w:tc>
              <w:tc>
                <w:tcPr>
                  <w:tcW w:w="1131" w:type="dxa"/>
                  <w:tcBorders>
                    <w:top w:val="nil"/>
                    <w:left w:val="single" w:sz="4" w:space="0" w:color="auto"/>
                    <w:bottom w:val="nil"/>
                    <w:right w:val="single" w:sz="4" w:space="0" w:color="auto"/>
                  </w:tcBorders>
                  <w:shd w:val="clear" w:color="000000" w:fill="FFFFFF"/>
                  <w:noWrap/>
                  <w:vAlign w:val="bottom"/>
                  <w:hideMark/>
                </w:tcPr>
                <w:p w14:paraId="21DC7240"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0.92</w:t>
                  </w:r>
                </w:p>
              </w:tc>
            </w:tr>
            <w:tr w:rsidR="00813FF9" w:rsidRPr="00AF7163" w14:paraId="187F8531"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289C314B" w14:textId="77777777" w:rsidR="00813FF9" w:rsidRPr="00AF7163" w:rsidRDefault="00813FF9" w:rsidP="00813FF9">
                  <w:pPr>
                    <w:widowControl/>
                    <w:rPr>
                      <w:color w:val="000000"/>
                      <w:szCs w:val="18"/>
                      <w:lang w:val="es-GT" w:eastAsia="es-GT"/>
                    </w:rPr>
                  </w:pPr>
                  <w:r w:rsidRPr="00AF7163">
                    <w:rPr>
                      <w:color w:val="000000"/>
                      <w:szCs w:val="18"/>
                      <w:lang w:val="es-GT" w:eastAsia="es-GT"/>
                    </w:rPr>
                    <w:t>Actividades de servicios administrativos y de apoyo</w:t>
                  </w:r>
                </w:p>
              </w:tc>
              <w:tc>
                <w:tcPr>
                  <w:tcW w:w="1018" w:type="dxa"/>
                  <w:tcBorders>
                    <w:top w:val="nil"/>
                    <w:left w:val="single" w:sz="4" w:space="0" w:color="auto"/>
                    <w:bottom w:val="nil"/>
                    <w:right w:val="nil"/>
                  </w:tcBorders>
                  <w:shd w:val="clear" w:color="000000" w:fill="FFFFFF"/>
                  <w:noWrap/>
                  <w:vAlign w:val="bottom"/>
                  <w:hideMark/>
                </w:tcPr>
                <w:p w14:paraId="0B1BC285"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43022B9A"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0.98</w:t>
                  </w:r>
                </w:p>
              </w:tc>
              <w:tc>
                <w:tcPr>
                  <w:tcW w:w="1131" w:type="dxa"/>
                  <w:tcBorders>
                    <w:top w:val="nil"/>
                    <w:left w:val="single" w:sz="4" w:space="0" w:color="auto"/>
                    <w:bottom w:val="nil"/>
                    <w:right w:val="single" w:sz="4" w:space="0" w:color="auto"/>
                  </w:tcBorders>
                  <w:shd w:val="clear" w:color="000000" w:fill="FFFFFF"/>
                  <w:noWrap/>
                  <w:vAlign w:val="bottom"/>
                  <w:hideMark/>
                </w:tcPr>
                <w:p w14:paraId="454F9121"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0.95</w:t>
                  </w:r>
                </w:p>
              </w:tc>
            </w:tr>
            <w:tr w:rsidR="00813FF9" w:rsidRPr="00AF7163" w14:paraId="22A8749E"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6F257959" w14:textId="77777777" w:rsidR="00813FF9" w:rsidRPr="00AF7163" w:rsidRDefault="00813FF9" w:rsidP="00813FF9">
                  <w:pPr>
                    <w:widowControl/>
                    <w:rPr>
                      <w:color w:val="000000"/>
                      <w:szCs w:val="18"/>
                      <w:lang w:val="es-GT" w:eastAsia="es-GT"/>
                    </w:rPr>
                  </w:pPr>
                  <w:r w:rsidRPr="00AF7163">
                    <w:rPr>
                      <w:color w:val="000000"/>
                      <w:szCs w:val="18"/>
                      <w:lang w:val="es-GT" w:eastAsia="es-GT"/>
                    </w:rPr>
                    <w:t>Administración pública y defensa</w:t>
                  </w:r>
                </w:p>
              </w:tc>
              <w:tc>
                <w:tcPr>
                  <w:tcW w:w="1018" w:type="dxa"/>
                  <w:tcBorders>
                    <w:top w:val="nil"/>
                    <w:left w:val="single" w:sz="4" w:space="0" w:color="auto"/>
                    <w:bottom w:val="nil"/>
                    <w:right w:val="nil"/>
                  </w:tcBorders>
                  <w:shd w:val="clear" w:color="000000" w:fill="FFFFFF"/>
                  <w:noWrap/>
                  <w:vAlign w:val="bottom"/>
                  <w:hideMark/>
                </w:tcPr>
                <w:p w14:paraId="0BAD2F4A"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0DFBE95A"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0.99</w:t>
                  </w:r>
                </w:p>
              </w:tc>
              <w:tc>
                <w:tcPr>
                  <w:tcW w:w="1131" w:type="dxa"/>
                  <w:tcBorders>
                    <w:top w:val="nil"/>
                    <w:left w:val="single" w:sz="4" w:space="0" w:color="auto"/>
                    <w:bottom w:val="nil"/>
                    <w:right w:val="single" w:sz="4" w:space="0" w:color="auto"/>
                  </w:tcBorders>
                  <w:shd w:val="clear" w:color="000000" w:fill="FFFFFF"/>
                  <w:noWrap/>
                  <w:vAlign w:val="bottom"/>
                  <w:hideMark/>
                </w:tcPr>
                <w:p w14:paraId="1433CF68"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0.97</w:t>
                  </w:r>
                </w:p>
              </w:tc>
            </w:tr>
            <w:tr w:rsidR="00813FF9" w:rsidRPr="00AF7163" w14:paraId="0CBA8D65"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338E8ED7" w14:textId="77777777" w:rsidR="00813FF9" w:rsidRPr="00AF7163" w:rsidRDefault="00813FF9" w:rsidP="00813FF9">
                  <w:pPr>
                    <w:widowControl/>
                    <w:rPr>
                      <w:color w:val="000000"/>
                      <w:szCs w:val="18"/>
                      <w:lang w:val="es-GT" w:eastAsia="es-GT"/>
                    </w:rPr>
                  </w:pPr>
                  <w:r w:rsidRPr="00AF7163">
                    <w:rPr>
                      <w:color w:val="000000"/>
                      <w:szCs w:val="18"/>
                      <w:lang w:val="es-GT" w:eastAsia="es-GT"/>
                    </w:rPr>
                    <w:t>Enseñanza</w:t>
                  </w:r>
                </w:p>
              </w:tc>
              <w:tc>
                <w:tcPr>
                  <w:tcW w:w="1018" w:type="dxa"/>
                  <w:tcBorders>
                    <w:top w:val="nil"/>
                    <w:left w:val="single" w:sz="4" w:space="0" w:color="auto"/>
                    <w:bottom w:val="nil"/>
                    <w:right w:val="nil"/>
                  </w:tcBorders>
                  <w:shd w:val="clear" w:color="000000" w:fill="FFFFFF"/>
                  <w:noWrap/>
                  <w:vAlign w:val="bottom"/>
                  <w:hideMark/>
                </w:tcPr>
                <w:p w14:paraId="7F0AA5D8"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56894435"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0.98</w:t>
                  </w:r>
                </w:p>
              </w:tc>
              <w:tc>
                <w:tcPr>
                  <w:tcW w:w="1131" w:type="dxa"/>
                  <w:tcBorders>
                    <w:top w:val="nil"/>
                    <w:left w:val="single" w:sz="4" w:space="0" w:color="auto"/>
                    <w:bottom w:val="nil"/>
                    <w:right w:val="single" w:sz="4" w:space="0" w:color="auto"/>
                  </w:tcBorders>
                  <w:shd w:val="clear" w:color="000000" w:fill="FFFFFF"/>
                  <w:noWrap/>
                  <w:vAlign w:val="bottom"/>
                  <w:hideMark/>
                </w:tcPr>
                <w:p w14:paraId="6B0A7F17"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0.94</w:t>
                  </w:r>
                </w:p>
              </w:tc>
            </w:tr>
            <w:tr w:rsidR="00813FF9" w:rsidRPr="00AF7163" w14:paraId="38637F93" w14:textId="77777777" w:rsidTr="00813FF9">
              <w:trPr>
                <w:trHeight w:val="231"/>
                <w:jc w:val="center"/>
              </w:trPr>
              <w:tc>
                <w:tcPr>
                  <w:tcW w:w="4845" w:type="dxa"/>
                  <w:tcBorders>
                    <w:top w:val="nil"/>
                    <w:left w:val="single" w:sz="4" w:space="0" w:color="auto"/>
                    <w:bottom w:val="nil"/>
                    <w:right w:val="nil"/>
                  </w:tcBorders>
                  <w:shd w:val="clear" w:color="000000" w:fill="FFFFFF"/>
                  <w:noWrap/>
                  <w:vAlign w:val="bottom"/>
                  <w:hideMark/>
                </w:tcPr>
                <w:p w14:paraId="6BCF0EDD" w14:textId="77777777" w:rsidR="00813FF9" w:rsidRPr="00AF7163" w:rsidRDefault="00813FF9" w:rsidP="00813FF9">
                  <w:pPr>
                    <w:widowControl/>
                    <w:rPr>
                      <w:color w:val="000000"/>
                      <w:szCs w:val="18"/>
                      <w:lang w:val="es-GT" w:eastAsia="es-GT"/>
                    </w:rPr>
                  </w:pPr>
                  <w:r w:rsidRPr="00AF7163">
                    <w:rPr>
                      <w:color w:val="000000"/>
                      <w:szCs w:val="18"/>
                      <w:lang w:val="es-GT" w:eastAsia="es-GT"/>
                    </w:rPr>
                    <w:t xml:space="preserve">Actividades de atención de la salud humana </w:t>
                  </w:r>
                </w:p>
              </w:tc>
              <w:tc>
                <w:tcPr>
                  <w:tcW w:w="1018" w:type="dxa"/>
                  <w:tcBorders>
                    <w:top w:val="nil"/>
                    <w:left w:val="single" w:sz="4" w:space="0" w:color="auto"/>
                    <w:bottom w:val="nil"/>
                    <w:right w:val="nil"/>
                  </w:tcBorders>
                  <w:shd w:val="clear" w:color="000000" w:fill="FFFFFF"/>
                  <w:noWrap/>
                  <w:vAlign w:val="bottom"/>
                  <w:hideMark/>
                </w:tcPr>
                <w:p w14:paraId="017A36D0"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nil"/>
                    <w:right w:val="nil"/>
                  </w:tcBorders>
                  <w:shd w:val="clear" w:color="000000" w:fill="FFFFFF"/>
                  <w:noWrap/>
                  <w:vAlign w:val="bottom"/>
                  <w:hideMark/>
                </w:tcPr>
                <w:p w14:paraId="48958D39"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0.97</w:t>
                  </w:r>
                </w:p>
              </w:tc>
              <w:tc>
                <w:tcPr>
                  <w:tcW w:w="1131" w:type="dxa"/>
                  <w:tcBorders>
                    <w:top w:val="nil"/>
                    <w:left w:val="single" w:sz="4" w:space="0" w:color="auto"/>
                    <w:bottom w:val="nil"/>
                    <w:right w:val="single" w:sz="4" w:space="0" w:color="auto"/>
                  </w:tcBorders>
                  <w:shd w:val="clear" w:color="000000" w:fill="FFFFFF"/>
                  <w:noWrap/>
                  <w:vAlign w:val="bottom"/>
                  <w:hideMark/>
                </w:tcPr>
                <w:p w14:paraId="2C579E5F"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0.92</w:t>
                  </w:r>
                </w:p>
              </w:tc>
            </w:tr>
            <w:tr w:rsidR="00813FF9" w:rsidRPr="00AF7163" w14:paraId="29216974" w14:textId="77777777" w:rsidTr="00813FF9">
              <w:trPr>
                <w:trHeight w:val="231"/>
                <w:jc w:val="center"/>
              </w:trPr>
              <w:tc>
                <w:tcPr>
                  <w:tcW w:w="4845" w:type="dxa"/>
                  <w:tcBorders>
                    <w:top w:val="nil"/>
                    <w:left w:val="single" w:sz="4" w:space="0" w:color="auto"/>
                    <w:bottom w:val="single" w:sz="4" w:space="0" w:color="auto"/>
                    <w:right w:val="nil"/>
                  </w:tcBorders>
                  <w:shd w:val="clear" w:color="000000" w:fill="FFFFFF"/>
                  <w:noWrap/>
                  <w:vAlign w:val="bottom"/>
                  <w:hideMark/>
                </w:tcPr>
                <w:p w14:paraId="5C21F4CE" w14:textId="77777777" w:rsidR="00813FF9" w:rsidRPr="00AF7163" w:rsidRDefault="00813FF9" w:rsidP="00813FF9">
                  <w:pPr>
                    <w:widowControl/>
                    <w:rPr>
                      <w:color w:val="000000"/>
                      <w:szCs w:val="18"/>
                      <w:lang w:val="es-GT" w:eastAsia="es-GT"/>
                    </w:rPr>
                  </w:pPr>
                  <w:r w:rsidRPr="00AF7163">
                    <w:rPr>
                      <w:color w:val="000000"/>
                      <w:szCs w:val="18"/>
                      <w:lang w:val="es-GT" w:eastAsia="es-GT"/>
                    </w:rPr>
                    <w:t>Otras actividades de servicios</w:t>
                  </w:r>
                </w:p>
              </w:tc>
              <w:tc>
                <w:tcPr>
                  <w:tcW w:w="1018" w:type="dxa"/>
                  <w:tcBorders>
                    <w:top w:val="nil"/>
                    <w:left w:val="single" w:sz="4" w:space="0" w:color="auto"/>
                    <w:bottom w:val="single" w:sz="4" w:space="0" w:color="auto"/>
                    <w:right w:val="nil"/>
                  </w:tcBorders>
                  <w:shd w:val="clear" w:color="000000" w:fill="FFFFFF"/>
                  <w:noWrap/>
                  <w:vAlign w:val="bottom"/>
                  <w:hideMark/>
                </w:tcPr>
                <w:p w14:paraId="1DB96AD7"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1.00</w:t>
                  </w:r>
                </w:p>
              </w:tc>
              <w:tc>
                <w:tcPr>
                  <w:tcW w:w="1018" w:type="dxa"/>
                  <w:tcBorders>
                    <w:top w:val="nil"/>
                    <w:left w:val="single" w:sz="4" w:space="0" w:color="auto"/>
                    <w:bottom w:val="single" w:sz="4" w:space="0" w:color="auto"/>
                    <w:right w:val="nil"/>
                  </w:tcBorders>
                  <w:shd w:val="clear" w:color="000000" w:fill="FFFFFF"/>
                  <w:noWrap/>
                  <w:vAlign w:val="bottom"/>
                  <w:hideMark/>
                </w:tcPr>
                <w:p w14:paraId="6D447213"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0.93</w:t>
                  </w:r>
                </w:p>
              </w:tc>
              <w:tc>
                <w:tcPr>
                  <w:tcW w:w="1131" w:type="dxa"/>
                  <w:tcBorders>
                    <w:top w:val="nil"/>
                    <w:left w:val="single" w:sz="4" w:space="0" w:color="auto"/>
                    <w:bottom w:val="single" w:sz="4" w:space="0" w:color="auto"/>
                    <w:right w:val="single" w:sz="4" w:space="0" w:color="auto"/>
                  </w:tcBorders>
                  <w:shd w:val="clear" w:color="000000" w:fill="FFFFFF"/>
                  <w:noWrap/>
                  <w:vAlign w:val="bottom"/>
                  <w:hideMark/>
                </w:tcPr>
                <w:p w14:paraId="75D9370A" w14:textId="77777777" w:rsidR="00813FF9" w:rsidRPr="00AF7163" w:rsidRDefault="00813FF9" w:rsidP="00813FF9">
                  <w:pPr>
                    <w:widowControl/>
                    <w:jc w:val="center"/>
                    <w:rPr>
                      <w:color w:val="000000"/>
                      <w:szCs w:val="18"/>
                      <w:lang w:val="es-GT" w:eastAsia="es-GT"/>
                    </w:rPr>
                  </w:pPr>
                  <w:r w:rsidRPr="00AF7163">
                    <w:rPr>
                      <w:color w:val="000000"/>
                      <w:szCs w:val="18"/>
                      <w:lang w:val="es-GT" w:eastAsia="es-GT"/>
                    </w:rPr>
                    <w:t>0.82</w:t>
                  </w:r>
                </w:p>
              </w:tc>
            </w:tr>
            <w:tr w:rsidR="00813FF9" w:rsidRPr="00AF7163" w14:paraId="486A827F" w14:textId="77777777" w:rsidTr="00813FF9">
              <w:trPr>
                <w:trHeight w:val="231"/>
                <w:jc w:val="center"/>
              </w:trPr>
              <w:tc>
                <w:tcPr>
                  <w:tcW w:w="4845" w:type="dxa"/>
                  <w:tcBorders>
                    <w:top w:val="nil"/>
                    <w:left w:val="single" w:sz="4" w:space="0" w:color="auto"/>
                    <w:bottom w:val="single" w:sz="4" w:space="0" w:color="auto"/>
                    <w:right w:val="nil"/>
                  </w:tcBorders>
                  <w:shd w:val="clear" w:color="000000" w:fill="FFFFFF"/>
                  <w:noWrap/>
                  <w:vAlign w:val="bottom"/>
                  <w:hideMark/>
                </w:tcPr>
                <w:p w14:paraId="01D7537F" w14:textId="77777777" w:rsidR="00813FF9" w:rsidRPr="00AF7163" w:rsidRDefault="00813FF9" w:rsidP="00813FF9">
                  <w:pPr>
                    <w:widowControl/>
                    <w:rPr>
                      <w:b/>
                      <w:bCs/>
                      <w:color w:val="000000"/>
                      <w:szCs w:val="18"/>
                      <w:lang w:val="es-GT" w:eastAsia="es-GT"/>
                    </w:rPr>
                  </w:pPr>
                  <w:r w:rsidRPr="00AF7163">
                    <w:rPr>
                      <w:b/>
                      <w:bCs/>
                      <w:color w:val="000000"/>
                      <w:szCs w:val="18"/>
                      <w:lang w:val="es-GT" w:eastAsia="es-GT"/>
                    </w:rPr>
                    <w:t>Crecimiento del PIB</w:t>
                  </w:r>
                </w:p>
              </w:tc>
              <w:tc>
                <w:tcPr>
                  <w:tcW w:w="1018" w:type="dxa"/>
                  <w:tcBorders>
                    <w:top w:val="nil"/>
                    <w:left w:val="single" w:sz="4" w:space="0" w:color="auto"/>
                    <w:bottom w:val="single" w:sz="4" w:space="0" w:color="auto"/>
                    <w:right w:val="nil"/>
                  </w:tcBorders>
                  <w:shd w:val="clear" w:color="000000" w:fill="FFFFFF"/>
                  <w:noWrap/>
                  <w:vAlign w:val="bottom"/>
                  <w:hideMark/>
                </w:tcPr>
                <w:p w14:paraId="3CAAE622" w14:textId="77777777" w:rsidR="00813FF9" w:rsidRPr="00AF7163" w:rsidRDefault="00813FF9" w:rsidP="00813FF9">
                  <w:pPr>
                    <w:widowControl/>
                    <w:jc w:val="center"/>
                    <w:rPr>
                      <w:b/>
                      <w:bCs/>
                      <w:color w:val="000000"/>
                      <w:szCs w:val="18"/>
                      <w:lang w:val="es-GT" w:eastAsia="es-GT"/>
                    </w:rPr>
                  </w:pPr>
                  <w:r w:rsidRPr="00AF7163">
                    <w:rPr>
                      <w:b/>
                      <w:bCs/>
                      <w:color w:val="000000"/>
                      <w:szCs w:val="18"/>
                      <w:lang w:val="es-GT" w:eastAsia="es-GT"/>
                    </w:rPr>
                    <w:t>3.5%</w:t>
                  </w:r>
                </w:p>
              </w:tc>
              <w:tc>
                <w:tcPr>
                  <w:tcW w:w="1018" w:type="dxa"/>
                  <w:tcBorders>
                    <w:top w:val="nil"/>
                    <w:left w:val="single" w:sz="4" w:space="0" w:color="auto"/>
                    <w:bottom w:val="single" w:sz="4" w:space="0" w:color="auto"/>
                    <w:right w:val="nil"/>
                  </w:tcBorders>
                  <w:shd w:val="clear" w:color="000000" w:fill="FFFFFF"/>
                  <w:noWrap/>
                  <w:vAlign w:val="bottom"/>
                  <w:hideMark/>
                </w:tcPr>
                <w:p w14:paraId="034B8CA3" w14:textId="77777777" w:rsidR="00813FF9" w:rsidRPr="00AF7163" w:rsidRDefault="00813FF9" w:rsidP="00813FF9">
                  <w:pPr>
                    <w:widowControl/>
                    <w:jc w:val="center"/>
                    <w:rPr>
                      <w:b/>
                      <w:bCs/>
                      <w:color w:val="000000"/>
                      <w:szCs w:val="18"/>
                      <w:lang w:val="es-GT" w:eastAsia="es-GT"/>
                    </w:rPr>
                  </w:pPr>
                  <w:r w:rsidRPr="00AF7163">
                    <w:rPr>
                      <w:b/>
                      <w:bCs/>
                      <w:color w:val="000000"/>
                      <w:szCs w:val="18"/>
                      <w:lang w:val="es-GT" w:eastAsia="es-GT"/>
                    </w:rPr>
                    <w:t>0.5%</w:t>
                  </w:r>
                </w:p>
              </w:tc>
              <w:tc>
                <w:tcPr>
                  <w:tcW w:w="1131" w:type="dxa"/>
                  <w:tcBorders>
                    <w:top w:val="nil"/>
                    <w:left w:val="single" w:sz="4" w:space="0" w:color="auto"/>
                    <w:bottom w:val="single" w:sz="4" w:space="0" w:color="auto"/>
                    <w:right w:val="single" w:sz="4" w:space="0" w:color="auto"/>
                  </w:tcBorders>
                  <w:shd w:val="clear" w:color="000000" w:fill="FFFFFF"/>
                  <w:noWrap/>
                  <w:vAlign w:val="bottom"/>
                  <w:hideMark/>
                </w:tcPr>
                <w:p w14:paraId="045EEB03" w14:textId="77777777" w:rsidR="00813FF9" w:rsidRPr="00AF7163" w:rsidRDefault="00813FF9" w:rsidP="00813FF9">
                  <w:pPr>
                    <w:widowControl/>
                    <w:jc w:val="center"/>
                    <w:rPr>
                      <w:b/>
                      <w:bCs/>
                      <w:color w:val="000000"/>
                      <w:szCs w:val="18"/>
                      <w:lang w:val="es-GT" w:eastAsia="es-GT"/>
                    </w:rPr>
                  </w:pPr>
                  <w:r w:rsidRPr="00AF7163">
                    <w:rPr>
                      <w:b/>
                      <w:bCs/>
                      <w:color w:val="000000"/>
                      <w:szCs w:val="18"/>
                      <w:lang w:val="es-GT" w:eastAsia="es-GT"/>
                    </w:rPr>
                    <w:t>-3.9%</w:t>
                  </w:r>
                </w:p>
              </w:tc>
            </w:tr>
          </w:tbl>
          <w:p w14:paraId="172448C6" w14:textId="77777777" w:rsidR="008C682C" w:rsidRDefault="008C682C" w:rsidP="00BC0D90">
            <w:pPr>
              <w:pStyle w:val="Sinespaciado"/>
              <w:ind w:right="49"/>
              <w:jc w:val="center"/>
              <w:rPr>
                <w:rFonts w:ascii="Times New Roman" w:hAnsi="Times New Roman"/>
                <w:bCs/>
                <w:sz w:val="24"/>
                <w:szCs w:val="24"/>
                <w:lang w:val="es-MX"/>
              </w:rPr>
            </w:pPr>
          </w:p>
        </w:tc>
      </w:tr>
      <w:tr w:rsidR="008C682C" w14:paraId="33A2620F" w14:textId="77777777" w:rsidTr="00BC0D90">
        <w:tc>
          <w:tcPr>
            <w:tcW w:w="9962" w:type="dxa"/>
          </w:tcPr>
          <w:p w14:paraId="6F5F3C8A" w14:textId="72AD70BC" w:rsidR="008C682C" w:rsidRPr="001E69B5" w:rsidRDefault="008C682C" w:rsidP="00BC0D90">
            <w:pPr>
              <w:pStyle w:val="Sinespaciado"/>
              <w:ind w:right="49"/>
              <w:jc w:val="both"/>
              <w:rPr>
                <w:rFonts w:ascii="Times New Roman" w:hAnsi="Times New Roman"/>
                <w:bCs/>
                <w:sz w:val="20"/>
                <w:lang w:val="es-MX"/>
              </w:rPr>
            </w:pPr>
            <w:r w:rsidRPr="008C682C">
              <w:rPr>
                <w:rFonts w:ascii="Times New Roman" w:hAnsi="Times New Roman"/>
                <w:bCs/>
                <w:sz w:val="16"/>
                <w:lang w:val="es-MX"/>
              </w:rPr>
              <w:t xml:space="preserve">     </w:t>
            </w:r>
            <w:r w:rsidR="00813FF9">
              <w:rPr>
                <w:rFonts w:ascii="Times New Roman" w:hAnsi="Times New Roman"/>
                <w:bCs/>
                <w:sz w:val="16"/>
                <w:lang w:val="es-MX"/>
              </w:rPr>
              <w:t xml:space="preserve">         </w:t>
            </w:r>
            <w:r w:rsidRPr="008C682C">
              <w:rPr>
                <w:rFonts w:ascii="Times New Roman" w:hAnsi="Times New Roman"/>
                <w:bCs/>
                <w:sz w:val="16"/>
                <w:lang w:val="es-MX"/>
              </w:rPr>
              <w:t xml:space="preserve"> Fuente: </w:t>
            </w:r>
            <w:r w:rsidR="00EF0CE5" w:rsidRPr="00EF0CE5">
              <w:rPr>
                <w:rFonts w:ascii="Times New Roman" w:hAnsi="Times New Roman"/>
                <w:bCs/>
                <w:sz w:val="16"/>
                <w:szCs w:val="11"/>
              </w:rPr>
              <w:t>Ministerio de Finanzas Públicas</w:t>
            </w:r>
          </w:p>
        </w:tc>
      </w:tr>
    </w:tbl>
    <w:p w14:paraId="7798B0E3" w14:textId="77777777" w:rsidR="008C682C" w:rsidRPr="00784F8A" w:rsidRDefault="008C682C" w:rsidP="008C682C">
      <w:pPr>
        <w:pStyle w:val="Sinespaciado"/>
        <w:ind w:right="49"/>
        <w:jc w:val="both"/>
        <w:rPr>
          <w:rFonts w:ascii="Times New Roman" w:hAnsi="Times New Roman"/>
          <w:bCs/>
          <w:lang w:val="es-MX"/>
        </w:rPr>
      </w:pPr>
    </w:p>
    <w:p w14:paraId="37C6F3B2" w14:textId="77777777" w:rsidR="008C682C" w:rsidRPr="00934738" w:rsidRDefault="008C682C" w:rsidP="008C682C">
      <w:pPr>
        <w:pStyle w:val="Sinespaciado"/>
        <w:ind w:left="567" w:right="49"/>
        <w:jc w:val="both"/>
        <w:rPr>
          <w:rFonts w:ascii="Times New Roman" w:hAnsi="Times New Roman"/>
          <w:bCs/>
          <w:sz w:val="24"/>
          <w:szCs w:val="24"/>
          <w:lang w:val="es-MX"/>
        </w:rPr>
      </w:pPr>
      <w:r w:rsidRPr="00934738">
        <w:rPr>
          <w:rFonts w:ascii="Times New Roman" w:hAnsi="Times New Roman"/>
          <w:bCs/>
          <w:sz w:val="24"/>
          <w:szCs w:val="24"/>
          <w:lang w:val="es-MX"/>
        </w:rPr>
        <w:t>Cabe destacar que las actividades de atención de la salud humana disminuyen en ambos escenarios a pesar de la demanda por este tipo de actividades derivadas de una pandemia, esto se debe a que el manejo de la pandemia y sus disposiciones recaen en mayor parte en el sector público y a pesar de que los servicios de actividades de no mercado aumentan, por otro lado las actividades de mercado como las consultas clínicas en general, servicios odontológicos, servicios psicológicos, entre otros, disminuyen por las medidas y el temor de los usuarios de estos servicios de ser contagiados y el confinamiento. Las actividades de salud humana de mercado representaron en promedio del 2013 al 2019 el 58.5% del total.</w:t>
      </w:r>
    </w:p>
    <w:p w14:paraId="667FB79F" w14:textId="77777777" w:rsidR="008C682C" w:rsidRPr="00934738" w:rsidRDefault="008C682C" w:rsidP="008C682C">
      <w:pPr>
        <w:pStyle w:val="Sinespaciado"/>
        <w:ind w:left="567" w:right="49"/>
        <w:jc w:val="both"/>
        <w:rPr>
          <w:rFonts w:ascii="Times New Roman" w:hAnsi="Times New Roman"/>
          <w:bCs/>
          <w:sz w:val="24"/>
          <w:szCs w:val="24"/>
          <w:lang w:val="es-MX"/>
        </w:rPr>
      </w:pPr>
    </w:p>
    <w:p w14:paraId="4CB4454C" w14:textId="77777777" w:rsidR="008C682C" w:rsidRPr="00934738" w:rsidRDefault="008C682C" w:rsidP="008C682C">
      <w:pPr>
        <w:pStyle w:val="Sinespaciado"/>
        <w:ind w:left="567" w:right="49"/>
        <w:jc w:val="both"/>
        <w:rPr>
          <w:rFonts w:ascii="Times New Roman" w:hAnsi="Times New Roman"/>
          <w:bCs/>
          <w:sz w:val="24"/>
          <w:szCs w:val="24"/>
          <w:lang w:val="es-MX"/>
        </w:rPr>
      </w:pPr>
      <w:r w:rsidRPr="00934738">
        <w:rPr>
          <w:rFonts w:ascii="Times New Roman" w:hAnsi="Times New Roman"/>
          <w:bCs/>
          <w:sz w:val="24"/>
          <w:szCs w:val="24"/>
          <w:lang w:val="es-MX"/>
        </w:rPr>
        <w:t xml:space="preserve">Con el fin de medir el impacto de estos escenarios del PIB real en la recaudación tributaria, fue necesario pronosticar también las posibles trayectorias de las importaciones FOB y del deflactor del PIB dado que estas tres variables explican la mayor parte de su comportamiento. Para realizar estos pronósticos se usaron modelos de cointegración y de corrección errores para estimar las relaciones de largo plazo y las elasticidades de corto plazo. En el caso de las importaciones entre las variables explicativas se consideraron el índice de tipo de cambio real y la renta (PIB real) y para el deflactor del PIB se consideró el deflactor de las importaciones, el deflactor de las exportaciones y el deflactor del consumo. </w:t>
      </w:r>
    </w:p>
    <w:p w14:paraId="318E38BA" w14:textId="63C50B16" w:rsidR="00E47A7B" w:rsidRDefault="00E47A7B" w:rsidP="00D87C90">
      <w:pPr>
        <w:pStyle w:val="Sinespaciado"/>
        <w:ind w:right="49"/>
        <w:jc w:val="both"/>
        <w:rPr>
          <w:rFonts w:ascii="Times New Roman" w:hAnsi="Times New Roman"/>
          <w:bCs/>
          <w:sz w:val="24"/>
          <w:szCs w:val="24"/>
          <w:lang w:val="es-MX"/>
        </w:rPr>
      </w:pPr>
    </w:p>
    <w:p w14:paraId="1947346B" w14:textId="78B80026" w:rsidR="00AF7163" w:rsidRDefault="00AF7163" w:rsidP="00D87C90">
      <w:pPr>
        <w:pStyle w:val="Sinespaciado"/>
        <w:ind w:right="49"/>
        <w:jc w:val="both"/>
        <w:rPr>
          <w:rFonts w:ascii="Times New Roman" w:hAnsi="Times New Roman"/>
          <w:bCs/>
          <w:sz w:val="24"/>
          <w:szCs w:val="24"/>
          <w:lang w:val="es-MX"/>
        </w:rPr>
      </w:pPr>
    </w:p>
    <w:p w14:paraId="45EABD52" w14:textId="1287FC46" w:rsidR="00AF7163" w:rsidRDefault="00AF7163" w:rsidP="00D87C90">
      <w:pPr>
        <w:pStyle w:val="Sinespaciado"/>
        <w:ind w:right="49"/>
        <w:jc w:val="both"/>
        <w:rPr>
          <w:rFonts w:ascii="Times New Roman" w:hAnsi="Times New Roman"/>
          <w:bCs/>
          <w:sz w:val="24"/>
          <w:szCs w:val="24"/>
          <w:lang w:val="es-MX"/>
        </w:rPr>
      </w:pPr>
    </w:p>
    <w:p w14:paraId="05E5C54D" w14:textId="1C3655B8" w:rsidR="00AF7163" w:rsidRDefault="00AF7163" w:rsidP="00D87C90">
      <w:pPr>
        <w:pStyle w:val="Sinespaciado"/>
        <w:ind w:right="49"/>
        <w:jc w:val="both"/>
        <w:rPr>
          <w:rFonts w:ascii="Times New Roman" w:hAnsi="Times New Roman"/>
          <w:bCs/>
          <w:sz w:val="24"/>
          <w:szCs w:val="24"/>
          <w:lang w:val="es-MX"/>
        </w:rPr>
      </w:pPr>
    </w:p>
    <w:p w14:paraId="6B832BE3" w14:textId="0940761D" w:rsidR="00AF7163" w:rsidRDefault="00AF7163" w:rsidP="00D87C90">
      <w:pPr>
        <w:pStyle w:val="Sinespaciado"/>
        <w:ind w:right="49"/>
        <w:jc w:val="both"/>
        <w:rPr>
          <w:rFonts w:ascii="Times New Roman" w:hAnsi="Times New Roman"/>
          <w:bCs/>
          <w:sz w:val="24"/>
          <w:szCs w:val="24"/>
          <w:lang w:val="es-MX"/>
        </w:rPr>
      </w:pPr>
    </w:p>
    <w:p w14:paraId="08FFEAEA" w14:textId="04B4F8E9" w:rsidR="00AF7163" w:rsidRDefault="00AF7163" w:rsidP="00D87C90">
      <w:pPr>
        <w:pStyle w:val="Sinespaciado"/>
        <w:ind w:right="49"/>
        <w:jc w:val="both"/>
        <w:rPr>
          <w:rFonts w:ascii="Times New Roman" w:hAnsi="Times New Roman"/>
          <w:bCs/>
          <w:sz w:val="24"/>
          <w:szCs w:val="24"/>
          <w:lang w:val="es-MX"/>
        </w:rPr>
      </w:pPr>
    </w:p>
    <w:p w14:paraId="2DBDC781" w14:textId="77777777" w:rsidR="00AF7163" w:rsidRDefault="00AF7163" w:rsidP="00D87C90">
      <w:pPr>
        <w:pStyle w:val="Sinespaciado"/>
        <w:ind w:right="49"/>
        <w:jc w:val="both"/>
        <w:rPr>
          <w:rFonts w:ascii="Times New Roman" w:hAnsi="Times New Roman"/>
          <w:bCs/>
          <w:sz w:val="24"/>
          <w:szCs w:val="24"/>
          <w:lang w:val="es-MX"/>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19"/>
      </w:tblGrid>
      <w:tr w:rsidR="008C682C" w14:paraId="33845445" w14:textId="77777777" w:rsidTr="00813FF9">
        <w:trPr>
          <w:trHeight w:val="526"/>
        </w:trPr>
        <w:tc>
          <w:tcPr>
            <w:tcW w:w="9380" w:type="dxa"/>
            <w:gridSpan w:val="2"/>
          </w:tcPr>
          <w:p w14:paraId="59808BE9" w14:textId="1E68C2A3" w:rsidR="008C682C" w:rsidRPr="00820823" w:rsidRDefault="00AF7163" w:rsidP="00BC0D90">
            <w:pPr>
              <w:pStyle w:val="Sinespaciado"/>
              <w:ind w:right="49"/>
              <w:jc w:val="center"/>
              <w:rPr>
                <w:rFonts w:ascii="Times New Roman" w:hAnsi="Times New Roman"/>
                <w:b/>
                <w:sz w:val="24"/>
                <w:szCs w:val="24"/>
                <w:lang w:val="es-MX"/>
              </w:rPr>
            </w:pPr>
            <w:r>
              <w:rPr>
                <w:rFonts w:ascii="Times New Roman" w:hAnsi="Times New Roman"/>
                <w:b/>
                <w:sz w:val="24"/>
                <w:szCs w:val="24"/>
                <w:lang w:val="es-MX"/>
              </w:rPr>
              <w:t>Gráfica 35</w:t>
            </w:r>
            <w:r w:rsidR="00814706">
              <w:rPr>
                <w:rFonts w:ascii="Times New Roman" w:hAnsi="Times New Roman"/>
                <w:b/>
                <w:sz w:val="24"/>
                <w:szCs w:val="24"/>
                <w:lang w:val="es-MX"/>
              </w:rPr>
              <w:t xml:space="preserve">.  </w:t>
            </w:r>
            <w:r w:rsidR="008C682C" w:rsidRPr="00820823">
              <w:rPr>
                <w:rFonts w:ascii="Times New Roman" w:hAnsi="Times New Roman"/>
                <w:b/>
                <w:sz w:val="24"/>
                <w:szCs w:val="24"/>
                <w:lang w:val="es-MX"/>
              </w:rPr>
              <w:t xml:space="preserve">Escenarios de </w:t>
            </w:r>
            <w:r w:rsidR="00AC52C0">
              <w:rPr>
                <w:rFonts w:ascii="Times New Roman" w:hAnsi="Times New Roman"/>
                <w:b/>
                <w:sz w:val="24"/>
                <w:szCs w:val="24"/>
                <w:lang w:val="es-MX"/>
              </w:rPr>
              <w:t xml:space="preserve">las tasas de crecimiento de </w:t>
            </w:r>
            <w:r w:rsidR="008C682C" w:rsidRPr="00820823">
              <w:rPr>
                <w:rFonts w:ascii="Times New Roman" w:hAnsi="Times New Roman"/>
                <w:b/>
                <w:sz w:val="24"/>
                <w:szCs w:val="24"/>
                <w:lang w:val="es-MX"/>
              </w:rPr>
              <w:t>las variables macroeconómicas ante un rebrote de Pandemia en 2022</w:t>
            </w:r>
          </w:p>
        </w:tc>
      </w:tr>
      <w:tr w:rsidR="008C682C" w14:paraId="7E759A83" w14:textId="77777777" w:rsidTr="00813FF9">
        <w:trPr>
          <w:trHeight w:val="263"/>
        </w:trPr>
        <w:tc>
          <w:tcPr>
            <w:tcW w:w="4724" w:type="dxa"/>
          </w:tcPr>
          <w:p w14:paraId="76A1A0BF" w14:textId="6FD91B50" w:rsidR="008C682C" w:rsidRDefault="008C682C" w:rsidP="00BC0D90">
            <w:pPr>
              <w:pStyle w:val="Sinespaciado"/>
              <w:ind w:right="49"/>
              <w:jc w:val="center"/>
              <w:rPr>
                <w:rFonts w:ascii="Times New Roman" w:hAnsi="Times New Roman"/>
                <w:bCs/>
                <w:sz w:val="24"/>
                <w:szCs w:val="24"/>
                <w:lang w:val="es-MX"/>
              </w:rPr>
            </w:pPr>
            <w:r>
              <w:rPr>
                <w:rFonts w:ascii="Times New Roman" w:hAnsi="Times New Roman"/>
                <w:bCs/>
                <w:sz w:val="24"/>
                <w:szCs w:val="24"/>
                <w:lang w:val="es-MX"/>
              </w:rPr>
              <w:t xml:space="preserve">Índice de rigor = </w:t>
            </w:r>
            <w:r w:rsidR="00813FF9">
              <w:rPr>
                <w:rFonts w:ascii="Times New Roman" w:hAnsi="Times New Roman"/>
                <w:bCs/>
                <w:sz w:val="24"/>
                <w:szCs w:val="24"/>
                <w:lang w:val="es-MX"/>
              </w:rPr>
              <w:t>65</w:t>
            </w:r>
            <w:r>
              <w:rPr>
                <w:rFonts w:ascii="Times New Roman" w:hAnsi="Times New Roman"/>
                <w:bCs/>
                <w:sz w:val="24"/>
                <w:szCs w:val="24"/>
                <w:lang w:val="es-MX"/>
              </w:rPr>
              <w:t>.0</w:t>
            </w:r>
          </w:p>
        </w:tc>
        <w:tc>
          <w:tcPr>
            <w:tcW w:w="4656" w:type="dxa"/>
          </w:tcPr>
          <w:p w14:paraId="31A0BCBE" w14:textId="64DA585C" w:rsidR="008C682C" w:rsidRDefault="008C682C" w:rsidP="00BC0D90">
            <w:pPr>
              <w:pStyle w:val="Sinespaciado"/>
              <w:ind w:right="49"/>
              <w:jc w:val="center"/>
              <w:rPr>
                <w:rFonts w:ascii="Times New Roman" w:hAnsi="Times New Roman"/>
                <w:bCs/>
                <w:sz w:val="24"/>
                <w:szCs w:val="24"/>
                <w:lang w:val="es-MX"/>
              </w:rPr>
            </w:pPr>
            <w:r>
              <w:rPr>
                <w:rFonts w:ascii="Times New Roman" w:hAnsi="Times New Roman"/>
                <w:bCs/>
                <w:sz w:val="24"/>
                <w:szCs w:val="24"/>
                <w:lang w:val="es-MX"/>
              </w:rPr>
              <w:t xml:space="preserve">Índice de rigor = </w:t>
            </w:r>
            <w:r w:rsidR="00813FF9">
              <w:rPr>
                <w:rFonts w:ascii="Times New Roman" w:hAnsi="Times New Roman"/>
                <w:bCs/>
                <w:sz w:val="24"/>
                <w:szCs w:val="24"/>
                <w:lang w:val="es-MX"/>
              </w:rPr>
              <w:t>80</w:t>
            </w:r>
            <w:r>
              <w:rPr>
                <w:rFonts w:ascii="Times New Roman" w:hAnsi="Times New Roman"/>
                <w:bCs/>
                <w:sz w:val="24"/>
                <w:szCs w:val="24"/>
                <w:lang w:val="es-MX"/>
              </w:rPr>
              <w:t>.0</w:t>
            </w:r>
          </w:p>
        </w:tc>
      </w:tr>
      <w:tr w:rsidR="008C682C" w14:paraId="3F72D228" w14:textId="77777777" w:rsidTr="00813FF9">
        <w:tblPrEx>
          <w:tblCellMar>
            <w:left w:w="70" w:type="dxa"/>
            <w:right w:w="70" w:type="dxa"/>
          </w:tblCellMar>
        </w:tblPrEx>
        <w:trPr>
          <w:trHeight w:val="3225"/>
        </w:trPr>
        <w:tc>
          <w:tcPr>
            <w:tcW w:w="4724" w:type="dxa"/>
          </w:tcPr>
          <w:p w14:paraId="00B59D76" w14:textId="1AF97505" w:rsidR="008C682C" w:rsidRPr="008C682C" w:rsidRDefault="00813FF9" w:rsidP="00BC0D90">
            <w:pPr>
              <w:pStyle w:val="Sinespaciado"/>
              <w:ind w:right="49"/>
              <w:jc w:val="both"/>
              <w:rPr>
                <w:rFonts w:ascii="Times New Roman" w:hAnsi="Times New Roman"/>
                <w:bCs/>
                <w:sz w:val="24"/>
                <w:szCs w:val="24"/>
                <w:lang w:val="es-MX"/>
              </w:rPr>
            </w:pPr>
            <w:r>
              <w:rPr>
                <w:noProof/>
                <w:lang w:val="es-GT"/>
              </w:rPr>
              <w:drawing>
                <wp:inline distT="0" distB="0" distL="0" distR="0" wp14:anchorId="6F0B0B25" wp14:editId="393D6890">
                  <wp:extent cx="2879797" cy="2032519"/>
                  <wp:effectExtent l="0" t="0" r="0" b="6350"/>
                  <wp:docPr id="24" name="Gráfico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DF0FEC1-7DA8-4BCA-A3CB-49E1067CC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56" w:type="dxa"/>
          </w:tcPr>
          <w:p w14:paraId="526673BC" w14:textId="4C51D145" w:rsidR="008C682C" w:rsidRDefault="00813FF9" w:rsidP="00BC0D90">
            <w:pPr>
              <w:pStyle w:val="Sinespaciado"/>
              <w:ind w:right="49"/>
              <w:jc w:val="both"/>
              <w:rPr>
                <w:rFonts w:ascii="Times New Roman" w:hAnsi="Times New Roman"/>
                <w:bCs/>
                <w:sz w:val="24"/>
                <w:szCs w:val="24"/>
                <w:lang w:val="es-MX"/>
              </w:rPr>
            </w:pPr>
            <w:r>
              <w:rPr>
                <w:noProof/>
                <w:lang w:val="es-GT"/>
              </w:rPr>
              <w:drawing>
                <wp:inline distT="0" distB="0" distL="0" distR="0" wp14:anchorId="79D613C9" wp14:editId="03E13388">
                  <wp:extent cx="2876565" cy="2034743"/>
                  <wp:effectExtent l="0" t="0" r="0" b="3810"/>
                  <wp:docPr id="25" name="Gráfico 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C0F7B34-1384-4A9B-9D7E-0699D87DA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8C682C" w14:paraId="02ACF73F" w14:textId="77777777" w:rsidTr="00813FF9">
        <w:trPr>
          <w:trHeight w:val="175"/>
        </w:trPr>
        <w:tc>
          <w:tcPr>
            <w:tcW w:w="9380" w:type="dxa"/>
            <w:gridSpan w:val="2"/>
          </w:tcPr>
          <w:p w14:paraId="32F52C30" w14:textId="38E4C9FE" w:rsidR="008C682C" w:rsidRPr="00820823" w:rsidRDefault="008C682C" w:rsidP="00BC0D90">
            <w:pPr>
              <w:pStyle w:val="Sinespaciado"/>
              <w:ind w:right="49"/>
              <w:jc w:val="both"/>
              <w:rPr>
                <w:rFonts w:ascii="Times New Roman" w:hAnsi="Times New Roman"/>
                <w:bCs/>
                <w:sz w:val="20"/>
                <w:lang w:val="es-MX"/>
              </w:rPr>
            </w:pPr>
            <w:r w:rsidRPr="00306F57">
              <w:rPr>
                <w:rFonts w:ascii="Times New Roman" w:hAnsi="Times New Roman"/>
                <w:bCs/>
                <w:sz w:val="16"/>
                <w:lang w:val="es-MX"/>
              </w:rPr>
              <w:t xml:space="preserve">Fuente: </w:t>
            </w:r>
            <w:r w:rsidR="00EF0CE5" w:rsidRPr="00EF0CE5">
              <w:rPr>
                <w:rFonts w:ascii="Times New Roman" w:hAnsi="Times New Roman"/>
                <w:bCs/>
                <w:sz w:val="16"/>
                <w:szCs w:val="11"/>
              </w:rPr>
              <w:t>Ministerio de Finanzas Públicas</w:t>
            </w:r>
          </w:p>
        </w:tc>
      </w:tr>
    </w:tbl>
    <w:p w14:paraId="4095DC24" w14:textId="77777777" w:rsidR="008C682C" w:rsidRDefault="008C682C" w:rsidP="008C682C">
      <w:pPr>
        <w:pStyle w:val="Sinespaciado"/>
        <w:ind w:right="49"/>
        <w:jc w:val="both"/>
        <w:rPr>
          <w:rFonts w:ascii="Times New Roman" w:hAnsi="Times New Roman"/>
          <w:bCs/>
          <w:lang w:val="es-MX"/>
        </w:rPr>
      </w:pPr>
    </w:p>
    <w:p w14:paraId="502B2A05" w14:textId="623B0312" w:rsidR="008C682C" w:rsidRDefault="008C682C" w:rsidP="008C682C">
      <w:pPr>
        <w:pStyle w:val="Sinespaciado"/>
        <w:ind w:left="567" w:right="49"/>
        <w:jc w:val="both"/>
        <w:rPr>
          <w:rFonts w:ascii="Times New Roman" w:hAnsi="Times New Roman"/>
          <w:bCs/>
          <w:sz w:val="24"/>
          <w:szCs w:val="24"/>
          <w:lang w:val="es-MX"/>
        </w:rPr>
      </w:pPr>
      <w:r w:rsidRPr="00934738">
        <w:rPr>
          <w:rFonts w:ascii="Times New Roman" w:hAnsi="Times New Roman"/>
          <w:bCs/>
          <w:sz w:val="24"/>
          <w:szCs w:val="24"/>
          <w:lang w:val="es-MX"/>
        </w:rPr>
        <w:t xml:space="preserve">La simulación con un escenario de rebrote de la pandemia y un nivel de índice de rigor en promedio de </w:t>
      </w:r>
      <w:r w:rsidR="00813FF9">
        <w:rPr>
          <w:rFonts w:ascii="Times New Roman" w:hAnsi="Times New Roman"/>
          <w:bCs/>
          <w:sz w:val="24"/>
          <w:szCs w:val="24"/>
          <w:lang w:val="es-MX"/>
        </w:rPr>
        <w:t>65</w:t>
      </w:r>
      <w:r w:rsidRPr="00934738">
        <w:rPr>
          <w:rFonts w:ascii="Times New Roman" w:hAnsi="Times New Roman"/>
          <w:bCs/>
          <w:sz w:val="24"/>
          <w:szCs w:val="24"/>
          <w:lang w:val="es-MX"/>
        </w:rPr>
        <w:t xml:space="preserve">.0 en el 2022, el PIB real disminuiría de un escenario base de </w:t>
      </w:r>
      <w:r w:rsidR="00813FF9">
        <w:rPr>
          <w:rFonts w:ascii="Times New Roman" w:hAnsi="Times New Roman"/>
          <w:bCs/>
          <w:sz w:val="24"/>
          <w:szCs w:val="24"/>
          <w:lang w:val="es-MX"/>
        </w:rPr>
        <w:t>3.5</w:t>
      </w:r>
      <w:r w:rsidRPr="00934738">
        <w:rPr>
          <w:rFonts w:ascii="Times New Roman" w:hAnsi="Times New Roman"/>
          <w:bCs/>
          <w:sz w:val="24"/>
          <w:szCs w:val="24"/>
          <w:lang w:val="es-MX"/>
        </w:rPr>
        <w:t xml:space="preserve">% a </w:t>
      </w:r>
      <w:r w:rsidR="00813FF9">
        <w:rPr>
          <w:rFonts w:ascii="Times New Roman" w:hAnsi="Times New Roman"/>
          <w:bCs/>
          <w:sz w:val="24"/>
          <w:szCs w:val="24"/>
          <w:lang w:val="es-MX"/>
        </w:rPr>
        <w:t>0.5</w:t>
      </w:r>
      <w:r w:rsidRPr="00934738">
        <w:rPr>
          <w:rFonts w:ascii="Times New Roman" w:hAnsi="Times New Roman"/>
          <w:bCs/>
          <w:sz w:val="24"/>
          <w:szCs w:val="24"/>
          <w:lang w:val="es-MX"/>
        </w:rPr>
        <w:t>%, según las respuesta de las actividades económicas ante las restricciones, el crecimiento de las importaciones FOB se ubicaría en -</w:t>
      </w:r>
      <w:r w:rsidR="00813FF9">
        <w:rPr>
          <w:rFonts w:ascii="Times New Roman" w:hAnsi="Times New Roman"/>
          <w:bCs/>
          <w:sz w:val="24"/>
          <w:szCs w:val="24"/>
          <w:lang w:val="es-MX"/>
        </w:rPr>
        <w:t>2.5</w:t>
      </w:r>
      <w:r w:rsidRPr="00934738">
        <w:rPr>
          <w:rFonts w:ascii="Times New Roman" w:hAnsi="Times New Roman"/>
          <w:bCs/>
          <w:sz w:val="24"/>
          <w:szCs w:val="24"/>
          <w:lang w:val="es-MX"/>
        </w:rPr>
        <w:t xml:space="preserve">% por la contracción de la demanda interna dado la baja en la renta y por la disminución de los precios internacionales de los productos de importación, la inflación del deflactor del PIB se encontraría en </w:t>
      </w:r>
      <w:r w:rsidR="00813FF9">
        <w:rPr>
          <w:rFonts w:ascii="Times New Roman" w:hAnsi="Times New Roman"/>
          <w:bCs/>
          <w:sz w:val="24"/>
          <w:szCs w:val="24"/>
          <w:lang w:val="es-MX"/>
        </w:rPr>
        <w:t>2.8</w:t>
      </w:r>
      <w:r w:rsidRPr="00934738">
        <w:rPr>
          <w:rFonts w:ascii="Times New Roman" w:hAnsi="Times New Roman"/>
          <w:bCs/>
          <w:sz w:val="24"/>
          <w:szCs w:val="24"/>
          <w:lang w:val="es-MX"/>
        </w:rPr>
        <w:t xml:space="preserve">% en este escenario. Sin embargo, si en este posible escenario el gobierno realiza un estímulo fiscal para mitigar los efectos en la economía a través del gasto público, por el equivalente al 1.0% del PIB, entonces el crecimiento económico se encontraría en </w:t>
      </w:r>
      <w:r w:rsidR="00197F59">
        <w:rPr>
          <w:rFonts w:ascii="Times New Roman" w:hAnsi="Times New Roman"/>
          <w:bCs/>
          <w:sz w:val="24"/>
          <w:szCs w:val="24"/>
          <w:lang w:val="es-MX"/>
        </w:rPr>
        <w:t>1.5</w:t>
      </w:r>
      <w:r w:rsidRPr="00934738">
        <w:rPr>
          <w:rFonts w:ascii="Times New Roman" w:hAnsi="Times New Roman"/>
          <w:bCs/>
          <w:sz w:val="24"/>
          <w:szCs w:val="24"/>
          <w:lang w:val="es-MX"/>
        </w:rPr>
        <w:t>%, las importaciones FOB tendrían una tasa de variación de -</w:t>
      </w:r>
      <w:r w:rsidR="00197F59">
        <w:rPr>
          <w:rFonts w:ascii="Times New Roman" w:hAnsi="Times New Roman"/>
          <w:bCs/>
          <w:sz w:val="24"/>
          <w:szCs w:val="24"/>
          <w:lang w:val="es-MX"/>
        </w:rPr>
        <w:t>1.1</w:t>
      </w:r>
      <w:r w:rsidRPr="00934738">
        <w:rPr>
          <w:rFonts w:ascii="Times New Roman" w:hAnsi="Times New Roman"/>
          <w:bCs/>
          <w:sz w:val="24"/>
          <w:szCs w:val="24"/>
          <w:lang w:val="es-MX"/>
        </w:rPr>
        <w:t xml:space="preserve">% y la inflación del deflactor del PIB en </w:t>
      </w:r>
      <w:r w:rsidR="00197F59">
        <w:rPr>
          <w:rFonts w:ascii="Times New Roman" w:hAnsi="Times New Roman"/>
          <w:bCs/>
          <w:sz w:val="24"/>
          <w:szCs w:val="24"/>
          <w:lang w:val="es-MX"/>
        </w:rPr>
        <w:t>2.9</w:t>
      </w:r>
      <w:r w:rsidRPr="00934738">
        <w:rPr>
          <w:rFonts w:ascii="Times New Roman" w:hAnsi="Times New Roman"/>
          <w:bCs/>
          <w:sz w:val="24"/>
          <w:szCs w:val="24"/>
          <w:lang w:val="es-MX"/>
        </w:rPr>
        <w:t>%.</w:t>
      </w:r>
    </w:p>
    <w:p w14:paraId="0CF1B54A" w14:textId="77777777" w:rsidR="00197F59" w:rsidRDefault="00197F59" w:rsidP="008C682C">
      <w:pPr>
        <w:pStyle w:val="Sinespaciado"/>
        <w:ind w:left="567" w:right="49"/>
        <w:jc w:val="both"/>
        <w:rPr>
          <w:rFonts w:ascii="Times New Roman" w:hAnsi="Times New Roman"/>
          <w:bCs/>
          <w:sz w:val="24"/>
          <w:szCs w:val="24"/>
          <w:lang w:val="es-MX"/>
        </w:rPr>
      </w:pPr>
    </w:p>
    <w:p w14:paraId="22F7E39A" w14:textId="580D2F6B" w:rsidR="008C682C" w:rsidRPr="00197F59" w:rsidRDefault="00197F59" w:rsidP="007667C3">
      <w:pPr>
        <w:pStyle w:val="Sinespaciado"/>
        <w:ind w:left="567" w:right="49"/>
        <w:jc w:val="both"/>
        <w:rPr>
          <w:rFonts w:ascii="Times New Roman" w:hAnsi="Times New Roman"/>
          <w:bCs/>
          <w:sz w:val="24"/>
          <w:szCs w:val="24"/>
          <w:lang w:val="es-MX"/>
        </w:rPr>
      </w:pPr>
      <w:r>
        <w:rPr>
          <w:rFonts w:ascii="Times New Roman" w:hAnsi="Times New Roman"/>
          <w:bCs/>
          <w:sz w:val="24"/>
          <w:szCs w:val="24"/>
          <w:lang w:val="es-MX"/>
        </w:rPr>
        <w:t>Por otro lado, en el caso que las medidas sean más severas</w:t>
      </w:r>
      <w:r w:rsidR="008E64AD">
        <w:rPr>
          <w:rFonts w:ascii="Times New Roman" w:hAnsi="Times New Roman"/>
          <w:bCs/>
          <w:sz w:val="24"/>
          <w:szCs w:val="24"/>
          <w:lang w:val="es-MX"/>
        </w:rPr>
        <w:t xml:space="preserve"> el </w:t>
      </w:r>
      <w:r w:rsidRPr="00934738">
        <w:rPr>
          <w:rFonts w:ascii="Times New Roman" w:hAnsi="Times New Roman"/>
          <w:bCs/>
          <w:sz w:val="24"/>
          <w:szCs w:val="24"/>
          <w:lang w:val="es-MX"/>
        </w:rPr>
        <w:t xml:space="preserve">índice de rigor en promedio </w:t>
      </w:r>
      <w:r w:rsidR="008E64AD">
        <w:rPr>
          <w:rFonts w:ascii="Times New Roman" w:hAnsi="Times New Roman"/>
          <w:bCs/>
          <w:sz w:val="24"/>
          <w:szCs w:val="24"/>
          <w:lang w:val="es-MX"/>
        </w:rPr>
        <w:t xml:space="preserve">sería </w:t>
      </w:r>
      <w:r w:rsidR="009F1B79">
        <w:rPr>
          <w:rFonts w:ascii="Times New Roman" w:hAnsi="Times New Roman"/>
          <w:bCs/>
          <w:sz w:val="24"/>
          <w:szCs w:val="24"/>
          <w:lang w:val="es-MX"/>
        </w:rPr>
        <w:t xml:space="preserve">de </w:t>
      </w:r>
      <w:r w:rsidR="009F1B79" w:rsidRPr="00934738">
        <w:rPr>
          <w:rFonts w:ascii="Times New Roman" w:hAnsi="Times New Roman"/>
          <w:bCs/>
          <w:sz w:val="24"/>
          <w:szCs w:val="24"/>
          <w:lang w:val="es-MX"/>
        </w:rPr>
        <w:t>80.0</w:t>
      </w:r>
      <w:r w:rsidRPr="00934738">
        <w:rPr>
          <w:rFonts w:ascii="Times New Roman" w:hAnsi="Times New Roman"/>
          <w:bCs/>
          <w:sz w:val="24"/>
          <w:szCs w:val="24"/>
          <w:lang w:val="es-MX"/>
        </w:rPr>
        <w:t xml:space="preserve"> en el 2022</w:t>
      </w:r>
      <w:r w:rsidR="008E64AD">
        <w:rPr>
          <w:rFonts w:ascii="Times New Roman" w:hAnsi="Times New Roman"/>
          <w:bCs/>
          <w:sz w:val="24"/>
          <w:szCs w:val="24"/>
          <w:lang w:val="es-MX"/>
        </w:rPr>
        <w:t xml:space="preserve">. En este caso </w:t>
      </w:r>
      <w:r w:rsidRPr="00934738">
        <w:rPr>
          <w:rFonts w:ascii="Times New Roman" w:hAnsi="Times New Roman"/>
          <w:bCs/>
          <w:sz w:val="24"/>
          <w:szCs w:val="24"/>
          <w:lang w:val="es-MX"/>
        </w:rPr>
        <w:t xml:space="preserve">el PIB real disminuiría de un escenario base de </w:t>
      </w:r>
      <w:r>
        <w:rPr>
          <w:rFonts w:ascii="Times New Roman" w:hAnsi="Times New Roman"/>
          <w:bCs/>
          <w:sz w:val="24"/>
          <w:szCs w:val="24"/>
          <w:lang w:val="es-MX"/>
        </w:rPr>
        <w:t>3.5</w:t>
      </w:r>
      <w:r w:rsidRPr="00934738">
        <w:rPr>
          <w:rFonts w:ascii="Times New Roman" w:hAnsi="Times New Roman"/>
          <w:bCs/>
          <w:sz w:val="24"/>
          <w:szCs w:val="24"/>
          <w:lang w:val="es-MX"/>
        </w:rPr>
        <w:t xml:space="preserve">% a </w:t>
      </w:r>
      <w:r w:rsidR="007667C3">
        <w:rPr>
          <w:rFonts w:ascii="Times New Roman" w:hAnsi="Times New Roman"/>
          <w:bCs/>
          <w:sz w:val="24"/>
          <w:szCs w:val="24"/>
          <w:lang w:val="es-MX"/>
        </w:rPr>
        <w:t>-3</w:t>
      </w:r>
      <w:r>
        <w:rPr>
          <w:rFonts w:ascii="Times New Roman" w:hAnsi="Times New Roman"/>
          <w:bCs/>
          <w:sz w:val="24"/>
          <w:szCs w:val="24"/>
          <w:lang w:val="es-MX"/>
        </w:rPr>
        <w:t>.</w:t>
      </w:r>
      <w:r w:rsidR="007667C3">
        <w:rPr>
          <w:rFonts w:ascii="Times New Roman" w:hAnsi="Times New Roman"/>
          <w:bCs/>
          <w:sz w:val="24"/>
          <w:szCs w:val="24"/>
          <w:lang w:val="es-MX"/>
        </w:rPr>
        <w:t>9</w:t>
      </w:r>
      <w:r w:rsidRPr="00934738">
        <w:rPr>
          <w:rFonts w:ascii="Times New Roman" w:hAnsi="Times New Roman"/>
          <w:bCs/>
          <w:sz w:val="24"/>
          <w:szCs w:val="24"/>
          <w:lang w:val="es-MX"/>
        </w:rPr>
        <w:t>, el crecimiento de las importaciones FOB se ubicaría en -</w:t>
      </w:r>
      <w:r w:rsidR="007667C3">
        <w:rPr>
          <w:rFonts w:ascii="Times New Roman" w:hAnsi="Times New Roman"/>
          <w:bCs/>
          <w:sz w:val="24"/>
          <w:szCs w:val="24"/>
          <w:lang w:val="es-MX"/>
        </w:rPr>
        <w:t>8</w:t>
      </w:r>
      <w:r>
        <w:rPr>
          <w:rFonts w:ascii="Times New Roman" w:hAnsi="Times New Roman"/>
          <w:bCs/>
          <w:sz w:val="24"/>
          <w:szCs w:val="24"/>
          <w:lang w:val="es-MX"/>
        </w:rPr>
        <w:t>.</w:t>
      </w:r>
      <w:r w:rsidR="007667C3">
        <w:rPr>
          <w:rFonts w:ascii="Times New Roman" w:hAnsi="Times New Roman"/>
          <w:bCs/>
          <w:sz w:val="24"/>
          <w:szCs w:val="24"/>
          <w:lang w:val="es-MX"/>
        </w:rPr>
        <w:t>9</w:t>
      </w:r>
      <w:r w:rsidRPr="00934738">
        <w:rPr>
          <w:rFonts w:ascii="Times New Roman" w:hAnsi="Times New Roman"/>
          <w:bCs/>
          <w:sz w:val="24"/>
          <w:szCs w:val="24"/>
          <w:lang w:val="es-MX"/>
        </w:rPr>
        <w:t>%</w:t>
      </w:r>
      <w:r w:rsidR="007667C3">
        <w:rPr>
          <w:rFonts w:ascii="Times New Roman" w:hAnsi="Times New Roman"/>
          <w:bCs/>
          <w:sz w:val="24"/>
          <w:szCs w:val="24"/>
          <w:lang w:val="es-MX"/>
        </w:rPr>
        <w:t xml:space="preserve"> y</w:t>
      </w:r>
      <w:r w:rsidRPr="00934738">
        <w:rPr>
          <w:rFonts w:ascii="Times New Roman" w:hAnsi="Times New Roman"/>
          <w:bCs/>
          <w:sz w:val="24"/>
          <w:szCs w:val="24"/>
          <w:lang w:val="es-MX"/>
        </w:rPr>
        <w:t xml:space="preserve"> la inflación del deflactor del PIB se encontraría en </w:t>
      </w:r>
      <w:r w:rsidR="007667C3">
        <w:rPr>
          <w:rFonts w:ascii="Times New Roman" w:hAnsi="Times New Roman"/>
          <w:bCs/>
          <w:sz w:val="24"/>
          <w:szCs w:val="24"/>
          <w:lang w:val="es-MX"/>
        </w:rPr>
        <w:t>2</w:t>
      </w:r>
      <w:r>
        <w:rPr>
          <w:rFonts w:ascii="Times New Roman" w:hAnsi="Times New Roman"/>
          <w:bCs/>
          <w:sz w:val="24"/>
          <w:szCs w:val="24"/>
          <w:lang w:val="es-MX"/>
        </w:rPr>
        <w:t>.</w:t>
      </w:r>
      <w:r w:rsidR="007667C3">
        <w:rPr>
          <w:rFonts w:ascii="Times New Roman" w:hAnsi="Times New Roman"/>
          <w:bCs/>
          <w:sz w:val="24"/>
          <w:szCs w:val="24"/>
          <w:lang w:val="es-MX"/>
        </w:rPr>
        <w:t>4</w:t>
      </w:r>
      <w:r w:rsidRPr="00934738">
        <w:rPr>
          <w:rFonts w:ascii="Times New Roman" w:hAnsi="Times New Roman"/>
          <w:bCs/>
          <w:sz w:val="24"/>
          <w:szCs w:val="24"/>
          <w:lang w:val="es-MX"/>
        </w:rPr>
        <w:t xml:space="preserve">% en este escenario. </w:t>
      </w:r>
      <w:r w:rsidR="007667C3">
        <w:rPr>
          <w:rFonts w:ascii="Times New Roman" w:hAnsi="Times New Roman"/>
          <w:bCs/>
          <w:sz w:val="24"/>
          <w:szCs w:val="24"/>
          <w:lang w:val="es-MX"/>
        </w:rPr>
        <w:t>En este caso, estímulo fiscal sería mayor para mitigar los efectos en la economía</w:t>
      </w:r>
      <w:r w:rsidRPr="00934738">
        <w:rPr>
          <w:rFonts w:ascii="Times New Roman" w:hAnsi="Times New Roman"/>
          <w:bCs/>
          <w:sz w:val="24"/>
          <w:szCs w:val="24"/>
          <w:lang w:val="es-MX"/>
        </w:rPr>
        <w:t xml:space="preserve">, por el equivalente al </w:t>
      </w:r>
      <w:r w:rsidR="007667C3">
        <w:rPr>
          <w:rFonts w:ascii="Times New Roman" w:hAnsi="Times New Roman"/>
          <w:bCs/>
          <w:sz w:val="24"/>
          <w:szCs w:val="24"/>
          <w:lang w:val="es-MX"/>
        </w:rPr>
        <w:t>2</w:t>
      </w:r>
      <w:r w:rsidRPr="00934738">
        <w:rPr>
          <w:rFonts w:ascii="Times New Roman" w:hAnsi="Times New Roman"/>
          <w:bCs/>
          <w:sz w:val="24"/>
          <w:szCs w:val="24"/>
          <w:lang w:val="es-MX"/>
        </w:rPr>
        <w:t>.</w:t>
      </w:r>
      <w:r w:rsidR="007667C3">
        <w:rPr>
          <w:rFonts w:ascii="Times New Roman" w:hAnsi="Times New Roman"/>
          <w:bCs/>
          <w:sz w:val="24"/>
          <w:szCs w:val="24"/>
          <w:lang w:val="es-MX"/>
        </w:rPr>
        <w:t>6</w:t>
      </w:r>
      <w:r w:rsidRPr="00934738">
        <w:rPr>
          <w:rFonts w:ascii="Times New Roman" w:hAnsi="Times New Roman"/>
          <w:bCs/>
          <w:sz w:val="24"/>
          <w:szCs w:val="24"/>
          <w:lang w:val="es-MX"/>
        </w:rPr>
        <w:t xml:space="preserve">% del PIB, entonces el crecimiento económico se encontraría en </w:t>
      </w:r>
      <w:r w:rsidR="007667C3">
        <w:rPr>
          <w:rFonts w:ascii="Times New Roman" w:hAnsi="Times New Roman"/>
          <w:bCs/>
          <w:sz w:val="24"/>
          <w:szCs w:val="24"/>
          <w:lang w:val="es-MX"/>
        </w:rPr>
        <w:t>-</w:t>
      </w:r>
      <w:r>
        <w:rPr>
          <w:rFonts w:ascii="Times New Roman" w:hAnsi="Times New Roman"/>
          <w:bCs/>
          <w:sz w:val="24"/>
          <w:szCs w:val="24"/>
          <w:lang w:val="es-MX"/>
        </w:rPr>
        <w:t>1.</w:t>
      </w:r>
      <w:r w:rsidR="007667C3">
        <w:rPr>
          <w:rFonts w:ascii="Times New Roman" w:hAnsi="Times New Roman"/>
          <w:bCs/>
          <w:sz w:val="24"/>
          <w:szCs w:val="24"/>
          <w:lang w:val="es-MX"/>
        </w:rPr>
        <w:t>3</w:t>
      </w:r>
      <w:r w:rsidRPr="00934738">
        <w:rPr>
          <w:rFonts w:ascii="Times New Roman" w:hAnsi="Times New Roman"/>
          <w:bCs/>
          <w:sz w:val="24"/>
          <w:szCs w:val="24"/>
          <w:lang w:val="es-MX"/>
        </w:rPr>
        <w:t>%, las importaciones FOB tendrían una tasa de variación de -</w:t>
      </w:r>
      <w:r w:rsidR="007667C3">
        <w:rPr>
          <w:rFonts w:ascii="Times New Roman" w:hAnsi="Times New Roman"/>
          <w:bCs/>
          <w:sz w:val="24"/>
          <w:szCs w:val="24"/>
          <w:lang w:val="es-MX"/>
        </w:rPr>
        <w:t>5</w:t>
      </w:r>
      <w:r>
        <w:rPr>
          <w:rFonts w:ascii="Times New Roman" w:hAnsi="Times New Roman"/>
          <w:bCs/>
          <w:sz w:val="24"/>
          <w:szCs w:val="24"/>
          <w:lang w:val="es-MX"/>
        </w:rPr>
        <w:t>.</w:t>
      </w:r>
      <w:r w:rsidR="007667C3">
        <w:rPr>
          <w:rFonts w:ascii="Times New Roman" w:hAnsi="Times New Roman"/>
          <w:bCs/>
          <w:sz w:val="24"/>
          <w:szCs w:val="24"/>
          <w:lang w:val="es-MX"/>
        </w:rPr>
        <w:t>5</w:t>
      </w:r>
      <w:r w:rsidRPr="00934738">
        <w:rPr>
          <w:rFonts w:ascii="Times New Roman" w:hAnsi="Times New Roman"/>
          <w:bCs/>
          <w:sz w:val="24"/>
          <w:szCs w:val="24"/>
          <w:lang w:val="es-MX"/>
        </w:rPr>
        <w:t xml:space="preserve">% y la inflación del deflactor del PIB en </w:t>
      </w:r>
      <w:r>
        <w:rPr>
          <w:rFonts w:ascii="Times New Roman" w:hAnsi="Times New Roman"/>
          <w:bCs/>
          <w:sz w:val="24"/>
          <w:szCs w:val="24"/>
          <w:lang w:val="es-MX"/>
        </w:rPr>
        <w:t>2.</w:t>
      </w:r>
      <w:r w:rsidR="007667C3">
        <w:rPr>
          <w:rFonts w:ascii="Times New Roman" w:hAnsi="Times New Roman"/>
          <w:bCs/>
          <w:sz w:val="24"/>
          <w:szCs w:val="24"/>
          <w:lang w:val="es-MX"/>
        </w:rPr>
        <w:t>7</w:t>
      </w:r>
      <w:r w:rsidRPr="00934738">
        <w:rPr>
          <w:rFonts w:ascii="Times New Roman" w:hAnsi="Times New Roman"/>
          <w:bCs/>
          <w:sz w:val="24"/>
          <w:szCs w:val="24"/>
          <w:lang w:val="es-MX"/>
        </w:rPr>
        <w:t>%.</w:t>
      </w:r>
    </w:p>
    <w:p w14:paraId="21E265D6" w14:textId="77777777" w:rsidR="00197F59" w:rsidRDefault="00197F59" w:rsidP="008C682C">
      <w:pPr>
        <w:pStyle w:val="Sinespaciado"/>
        <w:ind w:right="49"/>
        <w:jc w:val="both"/>
        <w:rPr>
          <w:rFonts w:ascii="Times New Roman" w:hAnsi="Times New Roman"/>
          <w:bCs/>
          <w:lang w:val="es-MX"/>
        </w:rPr>
      </w:pPr>
    </w:p>
    <w:p w14:paraId="1AE33FFF" w14:textId="77777777" w:rsidR="008C682C" w:rsidRPr="00934738" w:rsidRDefault="008C682C" w:rsidP="008C682C">
      <w:pPr>
        <w:pStyle w:val="Sinespaciado"/>
        <w:ind w:left="567" w:right="49"/>
        <w:jc w:val="both"/>
        <w:rPr>
          <w:rFonts w:ascii="Times New Roman" w:hAnsi="Times New Roman"/>
          <w:bCs/>
          <w:sz w:val="24"/>
          <w:szCs w:val="24"/>
          <w:lang w:val="es-MX"/>
        </w:rPr>
      </w:pPr>
      <w:r w:rsidRPr="00934738">
        <w:rPr>
          <w:rFonts w:ascii="Times New Roman" w:hAnsi="Times New Roman"/>
          <w:bCs/>
          <w:sz w:val="24"/>
          <w:szCs w:val="24"/>
          <w:lang w:val="es-MX"/>
        </w:rPr>
        <w:t>Para pronosticar la recaudación tributaria para cada escenario se consideraron los efectos de las variables macroeconómicas antes mencionadas y además efectos adicionales en la recaudación por el confinamiento y ajustes por recaudación extraordinaria (derivados del precio internacional del petróleo, el tipo de cambio y esfuerzos adicionales de la SAT). Al obtener los escenarios de la recaudación tributaria en base al PIB nominal se calculó la carga tributaria para cada escenario.</w:t>
      </w:r>
    </w:p>
    <w:p w14:paraId="1B1AE431" w14:textId="77777777" w:rsidR="008C682C" w:rsidRPr="00934738" w:rsidRDefault="008C682C" w:rsidP="008C682C">
      <w:pPr>
        <w:pStyle w:val="Sinespaciado"/>
        <w:ind w:left="567" w:right="49"/>
        <w:jc w:val="both"/>
        <w:rPr>
          <w:rFonts w:ascii="Times New Roman" w:hAnsi="Times New Roman"/>
          <w:bCs/>
          <w:sz w:val="24"/>
          <w:szCs w:val="24"/>
          <w:lang w:val="es-MX"/>
        </w:rPr>
      </w:pPr>
    </w:p>
    <w:p w14:paraId="71B0FB5F" w14:textId="11F8E4F2" w:rsidR="008C682C" w:rsidRPr="00934738" w:rsidRDefault="008C682C" w:rsidP="008C682C">
      <w:pPr>
        <w:pStyle w:val="Sinespaciado"/>
        <w:ind w:left="567" w:right="49"/>
        <w:jc w:val="both"/>
        <w:rPr>
          <w:rFonts w:ascii="Times New Roman" w:hAnsi="Times New Roman"/>
          <w:bCs/>
          <w:sz w:val="24"/>
          <w:szCs w:val="24"/>
          <w:lang w:val="es-MX"/>
        </w:rPr>
      </w:pPr>
      <w:r w:rsidRPr="00934738">
        <w:rPr>
          <w:rFonts w:ascii="Times New Roman" w:hAnsi="Times New Roman"/>
          <w:bCs/>
          <w:sz w:val="24"/>
          <w:szCs w:val="24"/>
          <w:lang w:val="es-MX"/>
        </w:rPr>
        <w:lastRenderedPageBreak/>
        <w:t>El escenario base para la carga tributaria del 2022 es de 10.</w:t>
      </w:r>
      <w:r w:rsidR="00F2012A">
        <w:rPr>
          <w:rFonts w:ascii="Times New Roman" w:hAnsi="Times New Roman"/>
          <w:bCs/>
          <w:sz w:val="24"/>
          <w:szCs w:val="24"/>
          <w:lang w:val="es-MX"/>
        </w:rPr>
        <w:t>7</w:t>
      </w:r>
      <w:r w:rsidRPr="00934738">
        <w:rPr>
          <w:rFonts w:ascii="Times New Roman" w:hAnsi="Times New Roman"/>
          <w:bCs/>
          <w:sz w:val="24"/>
          <w:szCs w:val="24"/>
          <w:lang w:val="es-MX"/>
        </w:rPr>
        <w:t xml:space="preserve">%, en el caso de un rebrote de pandemia en el 2022 con un nivel de índice de rigor promedio de </w:t>
      </w:r>
      <w:r w:rsidR="00F2012A">
        <w:rPr>
          <w:rFonts w:ascii="Times New Roman" w:hAnsi="Times New Roman"/>
          <w:bCs/>
          <w:sz w:val="24"/>
          <w:szCs w:val="24"/>
          <w:lang w:val="es-MX"/>
        </w:rPr>
        <w:t>65</w:t>
      </w:r>
      <w:r w:rsidRPr="00934738">
        <w:rPr>
          <w:rFonts w:ascii="Times New Roman" w:hAnsi="Times New Roman"/>
          <w:bCs/>
          <w:sz w:val="24"/>
          <w:szCs w:val="24"/>
          <w:lang w:val="es-MX"/>
        </w:rPr>
        <w:t xml:space="preserve">.0 la carga tributaria se encontraría en </w:t>
      </w:r>
      <w:r w:rsidR="00F2012A">
        <w:rPr>
          <w:rFonts w:ascii="Times New Roman" w:hAnsi="Times New Roman"/>
          <w:bCs/>
          <w:sz w:val="24"/>
          <w:szCs w:val="24"/>
          <w:lang w:val="es-MX"/>
        </w:rPr>
        <w:t>10</w:t>
      </w:r>
      <w:r w:rsidRPr="00934738">
        <w:rPr>
          <w:rFonts w:ascii="Times New Roman" w:hAnsi="Times New Roman"/>
          <w:bCs/>
          <w:sz w:val="24"/>
          <w:szCs w:val="24"/>
          <w:lang w:val="es-MX"/>
        </w:rPr>
        <w:t>.</w:t>
      </w:r>
      <w:r w:rsidR="00F2012A">
        <w:rPr>
          <w:rFonts w:ascii="Times New Roman" w:hAnsi="Times New Roman"/>
          <w:bCs/>
          <w:sz w:val="24"/>
          <w:szCs w:val="24"/>
          <w:lang w:val="es-MX"/>
        </w:rPr>
        <w:t>0</w:t>
      </w:r>
      <w:r w:rsidRPr="00934738">
        <w:rPr>
          <w:rFonts w:ascii="Times New Roman" w:hAnsi="Times New Roman"/>
          <w:bCs/>
          <w:sz w:val="24"/>
          <w:szCs w:val="24"/>
          <w:lang w:val="es-MX"/>
        </w:rPr>
        <w:t xml:space="preserve">% del PIB aproximadamente. No obstante, si el gobierno realiza el estímulo fiscal del 1.0% del PIB, derivado de los efectos positivos en la economía la recaudación tributaria sería de </w:t>
      </w:r>
      <w:r w:rsidR="00F2012A">
        <w:rPr>
          <w:rFonts w:ascii="Times New Roman" w:hAnsi="Times New Roman"/>
          <w:bCs/>
          <w:sz w:val="24"/>
          <w:szCs w:val="24"/>
          <w:lang w:val="es-MX"/>
        </w:rPr>
        <w:t>10</w:t>
      </w:r>
      <w:r w:rsidRPr="00934738">
        <w:rPr>
          <w:rFonts w:ascii="Times New Roman" w:hAnsi="Times New Roman"/>
          <w:bCs/>
          <w:sz w:val="24"/>
          <w:szCs w:val="24"/>
          <w:lang w:val="es-MX"/>
        </w:rPr>
        <w:t>.</w:t>
      </w:r>
      <w:r w:rsidR="00F2012A">
        <w:rPr>
          <w:rFonts w:ascii="Times New Roman" w:hAnsi="Times New Roman"/>
          <w:bCs/>
          <w:sz w:val="24"/>
          <w:szCs w:val="24"/>
          <w:lang w:val="es-MX"/>
        </w:rPr>
        <w:t>2</w:t>
      </w:r>
      <w:r w:rsidRPr="00934738">
        <w:rPr>
          <w:rFonts w:ascii="Times New Roman" w:hAnsi="Times New Roman"/>
          <w:bCs/>
          <w:sz w:val="24"/>
          <w:szCs w:val="24"/>
          <w:lang w:val="es-MX"/>
        </w:rPr>
        <w:t xml:space="preserve">%. Por otro lado, si las medidas de contención son más estrictas y el índice de rigor promedio es de </w:t>
      </w:r>
      <w:r w:rsidR="00F2012A">
        <w:rPr>
          <w:rFonts w:ascii="Times New Roman" w:hAnsi="Times New Roman"/>
          <w:bCs/>
          <w:sz w:val="24"/>
          <w:szCs w:val="24"/>
          <w:lang w:val="es-MX"/>
        </w:rPr>
        <w:t>80</w:t>
      </w:r>
      <w:r w:rsidRPr="00934738">
        <w:rPr>
          <w:rFonts w:ascii="Times New Roman" w:hAnsi="Times New Roman"/>
          <w:bCs/>
          <w:sz w:val="24"/>
          <w:szCs w:val="24"/>
          <w:lang w:val="es-MX"/>
        </w:rPr>
        <w:t>.0 la carga tributaria se ubicaría en torno al 9.</w:t>
      </w:r>
      <w:r w:rsidR="00F2012A">
        <w:rPr>
          <w:rFonts w:ascii="Times New Roman" w:hAnsi="Times New Roman"/>
          <w:bCs/>
          <w:sz w:val="24"/>
          <w:szCs w:val="24"/>
          <w:lang w:val="es-MX"/>
        </w:rPr>
        <w:t>8</w:t>
      </w:r>
      <w:r w:rsidRPr="00934738">
        <w:rPr>
          <w:rFonts w:ascii="Times New Roman" w:hAnsi="Times New Roman"/>
          <w:bCs/>
          <w:sz w:val="24"/>
          <w:szCs w:val="24"/>
          <w:lang w:val="es-MX"/>
        </w:rPr>
        <w:t>% y si el gobierno realiza un estímulo fiscal de 2.</w:t>
      </w:r>
      <w:r w:rsidR="00F2012A">
        <w:rPr>
          <w:rFonts w:ascii="Times New Roman" w:hAnsi="Times New Roman"/>
          <w:bCs/>
          <w:sz w:val="24"/>
          <w:szCs w:val="24"/>
          <w:lang w:val="es-MX"/>
        </w:rPr>
        <w:t>6</w:t>
      </w:r>
      <w:r w:rsidRPr="00934738">
        <w:rPr>
          <w:rFonts w:ascii="Times New Roman" w:hAnsi="Times New Roman"/>
          <w:bCs/>
          <w:sz w:val="24"/>
          <w:szCs w:val="24"/>
          <w:lang w:val="es-MX"/>
        </w:rPr>
        <w:t>% del PIB la carga tributaria podría situarse en 9.</w:t>
      </w:r>
      <w:r w:rsidR="00F2012A">
        <w:rPr>
          <w:rFonts w:ascii="Times New Roman" w:hAnsi="Times New Roman"/>
          <w:bCs/>
          <w:sz w:val="24"/>
          <w:szCs w:val="24"/>
          <w:lang w:val="es-MX"/>
        </w:rPr>
        <w:t>9</w:t>
      </w:r>
      <w:r w:rsidRPr="00934738">
        <w:rPr>
          <w:rFonts w:ascii="Times New Roman" w:hAnsi="Times New Roman"/>
          <w:bCs/>
          <w:sz w:val="24"/>
          <w:szCs w:val="24"/>
          <w:lang w:val="es-MX"/>
        </w:rPr>
        <w:t>%.</w:t>
      </w:r>
    </w:p>
    <w:p w14:paraId="2DA867F8" w14:textId="77777777" w:rsidR="008C682C" w:rsidRPr="00934738" w:rsidRDefault="008C682C" w:rsidP="008C682C">
      <w:pPr>
        <w:pStyle w:val="Sinespaciado"/>
        <w:ind w:left="567" w:right="49"/>
        <w:jc w:val="both"/>
        <w:rPr>
          <w:rFonts w:ascii="Times New Roman" w:hAnsi="Times New Roman"/>
          <w:bCs/>
          <w:sz w:val="24"/>
          <w:szCs w:val="24"/>
          <w:lang w:val="es-MX"/>
        </w:rPr>
      </w:pPr>
    </w:p>
    <w:p w14:paraId="30A963B2" w14:textId="322484AF" w:rsidR="008C682C" w:rsidRPr="00934738" w:rsidRDefault="008C682C" w:rsidP="008C682C">
      <w:pPr>
        <w:pStyle w:val="Sinespaciado"/>
        <w:ind w:left="567" w:right="49"/>
        <w:jc w:val="both"/>
        <w:rPr>
          <w:rFonts w:ascii="Times New Roman" w:hAnsi="Times New Roman"/>
          <w:bCs/>
          <w:sz w:val="24"/>
          <w:szCs w:val="24"/>
          <w:lang w:val="es-MX"/>
        </w:rPr>
      </w:pPr>
      <w:r w:rsidRPr="00934738">
        <w:rPr>
          <w:rFonts w:ascii="Times New Roman" w:hAnsi="Times New Roman"/>
          <w:bCs/>
          <w:sz w:val="24"/>
          <w:szCs w:val="24"/>
          <w:lang w:val="es-MX"/>
        </w:rPr>
        <w:t>Es importante indicar que la diferencia en puntos porcentuales de la carga tributaria podría ser considerada no sustantiva al momento de realizar el estímulo fiscal, sin embargo, esto se debe a que al realizar dicho est</w:t>
      </w:r>
      <w:r w:rsidR="00F2012A">
        <w:rPr>
          <w:rFonts w:ascii="Times New Roman" w:hAnsi="Times New Roman"/>
          <w:bCs/>
          <w:sz w:val="24"/>
          <w:szCs w:val="24"/>
          <w:lang w:val="es-MX"/>
        </w:rPr>
        <w:t>í</w:t>
      </w:r>
      <w:r w:rsidRPr="00934738">
        <w:rPr>
          <w:rFonts w:ascii="Times New Roman" w:hAnsi="Times New Roman"/>
          <w:bCs/>
          <w:sz w:val="24"/>
          <w:szCs w:val="24"/>
          <w:lang w:val="es-MX"/>
        </w:rPr>
        <w:t>mulo la carga tributaria mejora, pero la base del indicador que es el PIB nominal también aumenta lo que reduce la variación del indicador. Asimismo, se ha observado que en momentos de recesión la tasa de variación de la recaudación disminuye más que la tasa de variación del PIB nominal por distintos factores, uno de ellos puede ser el comportamiento de los contribuyentes, por preferencias de consumo intertemporal, ya que la reducción en sus ingresos puede motivar a que realicen los pagos que consideren prioritarios supeditando el pago de impuestos para el futuro, el cual puede incidir en el aumento de convenios de pago con la autoridad tributaria o la decisión simple de postergar el pago (incumplimiento tributario).</w:t>
      </w:r>
    </w:p>
    <w:p w14:paraId="6D626BE4" w14:textId="77777777" w:rsidR="008C682C" w:rsidRPr="00E21BEE" w:rsidRDefault="008C682C" w:rsidP="008C682C">
      <w:pPr>
        <w:pStyle w:val="Sinespaciado"/>
        <w:ind w:right="49"/>
        <w:jc w:val="both"/>
        <w:rPr>
          <w:rFonts w:ascii="Times New Roman" w:hAnsi="Times New Roman"/>
          <w:bCs/>
          <w:lang w:val="es-MX"/>
        </w:rPr>
      </w:pPr>
    </w:p>
    <w:tbl>
      <w:tblPr>
        <w:tblStyle w:val="Tablaconcuadrcula"/>
        <w:tblW w:w="937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8C682C" w14:paraId="5C6D1FED" w14:textId="77777777" w:rsidTr="009C0860">
        <w:trPr>
          <w:trHeight w:val="472"/>
        </w:trPr>
        <w:tc>
          <w:tcPr>
            <w:tcW w:w="9379" w:type="dxa"/>
          </w:tcPr>
          <w:p w14:paraId="73D20DED" w14:textId="1BE02ECD" w:rsidR="008C682C" w:rsidRPr="007377F4" w:rsidRDefault="00AF7163" w:rsidP="00BC0D90">
            <w:pPr>
              <w:pStyle w:val="Sinespaciado"/>
              <w:ind w:right="49"/>
              <w:jc w:val="center"/>
              <w:rPr>
                <w:rFonts w:ascii="Times New Roman" w:hAnsi="Times New Roman"/>
                <w:b/>
                <w:sz w:val="24"/>
                <w:szCs w:val="24"/>
                <w:lang w:val="es-MX"/>
              </w:rPr>
            </w:pPr>
            <w:r>
              <w:rPr>
                <w:rFonts w:ascii="Times New Roman" w:hAnsi="Times New Roman"/>
                <w:b/>
                <w:sz w:val="24"/>
                <w:szCs w:val="24"/>
                <w:lang w:val="es-MX"/>
              </w:rPr>
              <w:t>Gráfica 36</w:t>
            </w:r>
            <w:r w:rsidR="00814706">
              <w:rPr>
                <w:rFonts w:ascii="Times New Roman" w:hAnsi="Times New Roman"/>
                <w:b/>
                <w:sz w:val="24"/>
                <w:szCs w:val="24"/>
                <w:lang w:val="es-MX"/>
              </w:rPr>
              <w:t xml:space="preserve">.  </w:t>
            </w:r>
            <w:r w:rsidR="008C682C" w:rsidRPr="007377F4">
              <w:rPr>
                <w:rFonts w:ascii="Times New Roman" w:hAnsi="Times New Roman"/>
                <w:b/>
                <w:sz w:val="24"/>
                <w:szCs w:val="24"/>
                <w:lang w:val="es-MX"/>
              </w:rPr>
              <w:t xml:space="preserve">Carga tributaria de 2022 para distintos valores del índice de rigor </w:t>
            </w:r>
            <w:r w:rsidR="008C682C">
              <w:rPr>
                <w:rFonts w:ascii="Times New Roman" w:hAnsi="Times New Roman"/>
                <w:b/>
                <w:sz w:val="24"/>
                <w:szCs w:val="24"/>
                <w:lang w:val="es-MX"/>
              </w:rPr>
              <w:t>dado un rebrote de pandemia</w:t>
            </w:r>
          </w:p>
        </w:tc>
      </w:tr>
      <w:tr w:rsidR="008C682C" w14:paraId="6F7F420F" w14:textId="77777777" w:rsidTr="00F2012A">
        <w:tblPrEx>
          <w:tblCellMar>
            <w:left w:w="70" w:type="dxa"/>
            <w:right w:w="70" w:type="dxa"/>
          </w:tblCellMar>
        </w:tblPrEx>
        <w:trPr>
          <w:trHeight w:val="2425"/>
        </w:trPr>
        <w:tc>
          <w:tcPr>
            <w:tcW w:w="9379" w:type="dxa"/>
          </w:tcPr>
          <w:p w14:paraId="616EB76A" w14:textId="647D2253" w:rsidR="008C682C" w:rsidRDefault="00F2012A" w:rsidP="00BC0D90">
            <w:pPr>
              <w:pStyle w:val="Sinespaciado"/>
              <w:ind w:right="49"/>
              <w:jc w:val="both"/>
              <w:rPr>
                <w:rFonts w:ascii="Times New Roman" w:hAnsi="Times New Roman"/>
                <w:bCs/>
                <w:sz w:val="24"/>
                <w:szCs w:val="24"/>
                <w:lang w:val="es-MX"/>
              </w:rPr>
            </w:pPr>
            <w:r>
              <w:rPr>
                <w:noProof/>
                <w:lang w:val="es-GT"/>
              </w:rPr>
              <w:drawing>
                <wp:inline distT="0" distB="0" distL="0" distR="0" wp14:anchorId="2F9AA9FD" wp14:editId="7182AC5D">
                  <wp:extent cx="5760000" cy="1519200"/>
                  <wp:effectExtent l="0" t="0" r="0" b="5080"/>
                  <wp:docPr id="20" name="Gráfico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FEED031-B112-454A-B8E5-A4AF717F6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8C682C" w14:paraId="6E4FDD31" w14:textId="77777777" w:rsidTr="009C0860">
        <w:trPr>
          <w:trHeight w:val="194"/>
        </w:trPr>
        <w:tc>
          <w:tcPr>
            <w:tcW w:w="9379" w:type="dxa"/>
          </w:tcPr>
          <w:p w14:paraId="00163084" w14:textId="159DFC5C" w:rsidR="008C682C" w:rsidRPr="00EF0CE5" w:rsidRDefault="008C682C" w:rsidP="00BC0D90">
            <w:pPr>
              <w:pStyle w:val="Sinespaciado"/>
              <w:ind w:right="49"/>
              <w:jc w:val="both"/>
              <w:rPr>
                <w:rFonts w:ascii="Times New Roman" w:hAnsi="Times New Roman"/>
                <w:bCs/>
                <w:sz w:val="16"/>
                <w:szCs w:val="16"/>
                <w:lang w:val="es-MX"/>
              </w:rPr>
            </w:pPr>
            <w:r w:rsidRPr="00EF0CE5">
              <w:rPr>
                <w:rFonts w:ascii="Times New Roman" w:hAnsi="Times New Roman"/>
                <w:bCs/>
                <w:sz w:val="16"/>
                <w:szCs w:val="16"/>
                <w:lang w:val="es-MX"/>
              </w:rPr>
              <w:t xml:space="preserve">Fuente: </w:t>
            </w:r>
            <w:r w:rsidR="00EF0CE5" w:rsidRPr="00EF0CE5">
              <w:rPr>
                <w:rFonts w:ascii="Times New Roman" w:hAnsi="Times New Roman"/>
                <w:bCs/>
                <w:sz w:val="16"/>
                <w:szCs w:val="16"/>
              </w:rPr>
              <w:t>Ministerio de Finanzas Públicas</w:t>
            </w:r>
          </w:p>
        </w:tc>
      </w:tr>
    </w:tbl>
    <w:p w14:paraId="08E58536" w14:textId="77777777" w:rsidR="008C682C" w:rsidRDefault="008C682C" w:rsidP="008C682C">
      <w:pPr>
        <w:pStyle w:val="Sinespaciado"/>
        <w:ind w:right="49"/>
        <w:jc w:val="both"/>
        <w:rPr>
          <w:rFonts w:ascii="Times New Roman" w:hAnsi="Times New Roman"/>
          <w:bCs/>
          <w:sz w:val="24"/>
          <w:szCs w:val="24"/>
          <w:lang w:val="es-MX"/>
        </w:rPr>
      </w:pPr>
    </w:p>
    <w:p w14:paraId="683412CD" w14:textId="77777777" w:rsidR="00D30644" w:rsidRPr="00DE1D8D" w:rsidRDefault="008C682C" w:rsidP="008C682C">
      <w:pPr>
        <w:pStyle w:val="Sinespaciado"/>
        <w:ind w:left="567" w:right="49"/>
        <w:jc w:val="both"/>
        <w:rPr>
          <w:rFonts w:ascii="Times New Roman" w:hAnsi="Times New Roman"/>
          <w:color w:val="FF0000"/>
          <w:sz w:val="24"/>
          <w:szCs w:val="24"/>
          <w:lang w:val="es-MX"/>
        </w:rPr>
      </w:pPr>
      <w:r>
        <w:rPr>
          <w:rFonts w:ascii="Times New Roman" w:hAnsi="Times New Roman"/>
          <w:bCs/>
          <w:sz w:val="24"/>
          <w:szCs w:val="24"/>
          <w:lang w:val="es-MX"/>
        </w:rPr>
        <w:t>Los resultados obtenidos, muestran el grado de sensibilidad que los ingresos tributarios tienen ante cambios en las proyecciones macroeconómicas derivadas de un entorno menos favorable en términos de la evolución de la Pandemia en Guatemala y con sus principales socios comerciales, lo cual podría afectar nuevamente la situación fiscal del gobierno que tendría implicaciones en el gasto público, el resultado fiscal y en el nivel de endeudamiento.</w:t>
      </w:r>
    </w:p>
    <w:p w14:paraId="30C2266E" w14:textId="77777777" w:rsidR="00CE7C7D" w:rsidRDefault="00CE7C7D" w:rsidP="00D30644">
      <w:pPr>
        <w:autoSpaceDE w:val="0"/>
        <w:autoSpaceDN w:val="0"/>
        <w:adjustRightInd w:val="0"/>
        <w:spacing w:line="276" w:lineRule="auto"/>
        <w:jc w:val="both"/>
        <w:rPr>
          <w:rFonts w:eastAsia="OptimaLTStd"/>
          <w:color w:val="FF0000"/>
          <w:sz w:val="24"/>
          <w:szCs w:val="24"/>
        </w:rPr>
      </w:pPr>
    </w:p>
    <w:p w14:paraId="43449489" w14:textId="77777777" w:rsidR="00967F17" w:rsidRPr="004A1975" w:rsidRDefault="00663786" w:rsidP="00306F57">
      <w:pPr>
        <w:pStyle w:val="Ttulo1"/>
        <w:widowControl/>
        <w:numPr>
          <w:ilvl w:val="0"/>
          <w:numId w:val="5"/>
        </w:numPr>
        <w:ind w:right="49"/>
        <w:jc w:val="left"/>
        <w:rPr>
          <w:color w:val="1F3864" w:themeColor="accent1" w:themeShade="80"/>
          <w:sz w:val="28"/>
          <w:szCs w:val="24"/>
        </w:rPr>
      </w:pPr>
      <w:bookmarkStart w:id="61" w:name="_Toc83302170"/>
      <w:bookmarkStart w:id="62" w:name="_Toc46851807"/>
      <w:r w:rsidRPr="004A1975">
        <w:rPr>
          <w:color w:val="1F3864" w:themeColor="accent1" w:themeShade="80"/>
          <w:sz w:val="28"/>
          <w:szCs w:val="24"/>
        </w:rPr>
        <w:t>Riesgos Fiscales asociados a las Municipalidades</w:t>
      </w:r>
      <w:bookmarkEnd w:id="61"/>
    </w:p>
    <w:p w14:paraId="39032ED3" w14:textId="77777777" w:rsidR="00967F17" w:rsidRPr="00DE1D8D" w:rsidRDefault="00967F17" w:rsidP="00967F17">
      <w:pPr>
        <w:rPr>
          <w:color w:val="FF0000"/>
          <w:sz w:val="24"/>
          <w:szCs w:val="24"/>
        </w:rPr>
      </w:pPr>
    </w:p>
    <w:p w14:paraId="4A283370" w14:textId="77777777" w:rsidR="00306F57" w:rsidRPr="007A7F12" w:rsidRDefault="00663786" w:rsidP="00306F57">
      <w:pPr>
        <w:pStyle w:val="Ttulo1"/>
        <w:widowControl/>
        <w:numPr>
          <w:ilvl w:val="1"/>
          <w:numId w:val="5"/>
        </w:numPr>
        <w:ind w:left="993" w:right="49"/>
        <w:jc w:val="left"/>
        <w:rPr>
          <w:b w:val="0"/>
          <w:color w:val="1F3864" w:themeColor="accent1" w:themeShade="80"/>
          <w:sz w:val="24"/>
          <w:szCs w:val="24"/>
        </w:rPr>
      </w:pPr>
      <w:bookmarkStart w:id="63" w:name="_Toc83302171"/>
      <w:r>
        <w:rPr>
          <w:color w:val="1F3864" w:themeColor="accent1" w:themeShade="80"/>
          <w:sz w:val="24"/>
          <w:szCs w:val="24"/>
        </w:rPr>
        <w:t>Importancia del riesgo fiscal en las Municipalidades</w:t>
      </w:r>
      <w:bookmarkEnd w:id="63"/>
      <w:r w:rsidR="00306F57" w:rsidRPr="007A7F12">
        <w:rPr>
          <w:color w:val="1F3864" w:themeColor="accent1" w:themeShade="80"/>
          <w:sz w:val="24"/>
          <w:szCs w:val="24"/>
        </w:rPr>
        <w:t xml:space="preserve">   </w:t>
      </w:r>
    </w:p>
    <w:p w14:paraId="034A20EA" w14:textId="77777777" w:rsidR="00306F57" w:rsidRDefault="00306F57" w:rsidP="00306F57">
      <w:pPr>
        <w:pStyle w:val="Sinespaciado"/>
        <w:ind w:right="49"/>
        <w:jc w:val="both"/>
        <w:rPr>
          <w:rFonts w:ascii="Times New Roman" w:hAnsi="Times New Roman"/>
          <w:color w:val="FF0000"/>
          <w:sz w:val="24"/>
          <w:szCs w:val="24"/>
          <w:lang w:val="es-MX"/>
        </w:rPr>
      </w:pPr>
    </w:p>
    <w:bookmarkEnd w:id="62"/>
    <w:p w14:paraId="4DDD6096" w14:textId="77777777" w:rsidR="00306F57" w:rsidRDefault="00306F57" w:rsidP="00306F57">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 xml:space="preserve">La importancia de los riesgos fiscales asociados a las municipalidades se encuentra relacionado a la posibilidad o presunción que existe que el gobierno central tenga que salir en “rescate” de las municipalidades en caso presenten algún tipo de dificultad financiera, poniendo presión sobre los recursos del gobierno central, con el costo de oportunidad que tendría esa decisión. </w:t>
      </w:r>
    </w:p>
    <w:p w14:paraId="40CF4172" w14:textId="77777777" w:rsidR="00306F57" w:rsidRPr="00EB56BD" w:rsidRDefault="00306F57" w:rsidP="00306F57">
      <w:pPr>
        <w:pStyle w:val="Sinespaciado"/>
        <w:ind w:left="567" w:right="49"/>
        <w:jc w:val="both"/>
        <w:rPr>
          <w:rFonts w:ascii="Times New Roman" w:hAnsi="Times New Roman"/>
          <w:bCs/>
          <w:sz w:val="24"/>
          <w:szCs w:val="24"/>
          <w:lang w:val="es-MX"/>
        </w:rPr>
      </w:pPr>
    </w:p>
    <w:p w14:paraId="6A0E92EB" w14:textId="3C7B4DAD" w:rsidR="00306F57" w:rsidRDefault="00306F57" w:rsidP="00306F57">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 xml:space="preserve">Aunque no existe una obligación legal por Decreto que ampare dicha intervención, se podría inferir que el gobierno, previa autorización del Organismo Legislativo, evitaría que una municipalidad caiga en default y deje de cumplir con sus compromisos financieros, dado que, en este escenario hipotético significaría que la municipalidad no podría hacer frente a sus obligaciones financieras (pagos de deuda).  </w:t>
      </w:r>
    </w:p>
    <w:p w14:paraId="615FAA41" w14:textId="08D494BC" w:rsidR="00B7349E" w:rsidRDefault="00B7349E" w:rsidP="00306F57">
      <w:pPr>
        <w:pStyle w:val="Sinespaciado"/>
        <w:ind w:left="567" w:right="49"/>
        <w:jc w:val="both"/>
        <w:rPr>
          <w:rFonts w:ascii="Times New Roman" w:hAnsi="Times New Roman"/>
          <w:bCs/>
          <w:sz w:val="24"/>
          <w:szCs w:val="24"/>
          <w:lang w:val="es-MX"/>
        </w:rPr>
      </w:pPr>
    </w:p>
    <w:p w14:paraId="18C6792E" w14:textId="6C6D03B7" w:rsidR="00306F57" w:rsidRDefault="00B7349E" w:rsidP="00306F57">
      <w:pPr>
        <w:pStyle w:val="Sinespaciado"/>
        <w:ind w:left="567" w:right="49"/>
        <w:jc w:val="both"/>
        <w:rPr>
          <w:rFonts w:ascii="Times New Roman" w:hAnsi="Times New Roman"/>
          <w:bCs/>
          <w:sz w:val="24"/>
          <w:szCs w:val="24"/>
          <w:lang w:val="es-MX"/>
        </w:rPr>
      </w:pPr>
      <w:r w:rsidRPr="00B7349E">
        <w:rPr>
          <w:rFonts w:ascii="Times New Roman" w:hAnsi="Times New Roman"/>
          <w:bCs/>
          <w:sz w:val="24"/>
          <w:szCs w:val="24"/>
          <w:lang w:val="es-MX"/>
        </w:rPr>
        <w:t>Dentro del Manual de Transparencia Fiscal del Fondo Monetario Internacional (FMI), se reconoce la importancia de identificar los pasivos contingentes, compuestos por garantías explícitas e implícitas.</w:t>
      </w:r>
      <w:r>
        <w:rPr>
          <w:rFonts w:ascii="Times New Roman" w:hAnsi="Times New Roman"/>
          <w:bCs/>
          <w:sz w:val="24"/>
          <w:szCs w:val="24"/>
          <w:lang w:val="es-MX"/>
        </w:rPr>
        <w:t xml:space="preserve"> </w:t>
      </w:r>
      <w:r w:rsidR="00306F57" w:rsidRPr="00EB56BD">
        <w:rPr>
          <w:rFonts w:ascii="Times New Roman" w:hAnsi="Times New Roman"/>
          <w:bCs/>
          <w:sz w:val="24"/>
          <w:szCs w:val="24"/>
          <w:lang w:val="es-MX"/>
        </w:rPr>
        <w:t>En el caso de las municipalidades, existe una garantía implícita. Por ello es importante identificar el riesgo fiscal derivado de las municipalidades, principalmente por préstamos y deudas acumuladas, dado que una vez que la municipalidad no puede hacerse cargo, dichas obligaciones pasarían a ser parte de la deuda del gobierno, convirtiéndose en un pasivo explícito, ya que el gobierno central asu</w:t>
      </w:r>
      <w:r>
        <w:rPr>
          <w:rFonts w:ascii="Times New Roman" w:hAnsi="Times New Roman"/>
          <w:bCs/>
          <w:sz w:val="24"/>
          <w:szCs w:val="24"/>
          <w:lang w:val="es-MX"/>
        </w:rPr>
        <w:t xml:space="preserve">miría esos compromisos de pago, </w:t>
      </w:r>
      <w:r w:rsidRPr="00B7349E">
        <w:rPr>
          <w:rFonts w:ascii="Times New Roman" w:hAnsi="Times New Roman"/>
          <w:bCs/>
          <w:sz w:val="24"/>
          <w:szCs w:val="24"/>
          <w:lang w:val="es-MX"/>
        </w:rPr>
        <w:t>esta expectativa podría materializarse más aún si el gobierno ha acudido anteriormente al rescate de las municipalidades</w:t>
      </w:r>
      <w:r>
        <w:rPr>
          <w:rFonts w:ascii="Times New Roman" w:hAnsi="Times New Roman"/>
          <w:bCs/>
          <w:sz w:val="24"/>
          <w:szCs w:val="24"/>
          <w:lang w:val="es-MX"/>
        </w:rPr>
        <w:t>.</w:t>
      </w:r>
    </w:p>
    <w:p w14:paraId="1123A2EB" w14:textId="77777777" w:rsidR="00306F57" w:rsidRPr="00EB56BD" w:rsidRDefault="00306F57" w:rsidP="00306F57">
      <w:pPr>
        <w:pStyle w:val="Sinespaciado"/>
        <w:ind w:left="567" w:right="49"/>
        <w:jc w:val="both"/>
        <w:rPr>
          <w:rFonts w:ascii="Times New Roman" w:hAnsi="Times New Roman"/>
          <w:bCs/>
          <w:sz w:val="24"/>
          <w:szCs w:val="24"/>
          <w:lang w:val="es-MX"/>
        </w:rPr>
      </w:pPr>
    </w:p>
    <w:p w14:paraId="1F2DD69B" w14:textId="448AD688" w:rsidR="00306F57" w:rsidRDefault="00306F57" w:rsidP="00306F57">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 xml:space="preserve">El territorio de Guatemala está organizado por 8 regiones administrativas, 22 departamentos y 340 municipios. A pesar de que la mayoría de los municipios en Guatemala se consideran pequeños en cuanto a la administración de recursos y por extensión territorial, es importante tener en cuenta el efecto que podría tener un eventual cese de obligaciones en varios municipios, riesgo que debe ser identificado por parte del Gobierno Central.  </w:t>
      </w:r>
    </w:p>
    <w:p w14:paraId="3C8ECBDB" w14:textId="77777777" w:rsidR="00306F57" w:rsidRDefault="00306F57" w:rsidP="00306F57">
      <w:pPr>
        <w:pStyle w:val="Sinespaciado"/>
        <w:ind w:left="567" w:right="49"/>
        <w:jc w:val="both"/>
        <w:rPr>
          <w:rFonts w:ascii="Times New Roman" w:hAnsi="Times New Roman"/>
          <w:bCs/>
          <w:sz w:val="24"/>
          <w:szCs w:val="24"/>
          <w:lang w:val="es-MX"/>
        </w:rPr>
      </w:pPr>
    </w:p>
    <w:p w14:paraId="4A805159" w14:textId="0F5B5F24" w:rsidR="00960298" w:rsidRDefault="009C1215" w:rsidP="004A1975">
      <w:pPr>
        <w:pStyle w:val="Ttulo1"/>
        <w:widowControl/>
        <w:numPr>
          <w:ilvl w:val="1"/>
          <w:numId w:val="5"/>
        </w:numPr>
        <w:ind w:left="993" w:right="49"/>
        <w:jc w:val="both"/>
        <w:rPr>
          <w:color w:val="1F3864" w:themeColor="accent1" w:themeShade="80"/>
          <w:sz w:val="24"/>
          <w:szCs w:val="24"/>
        </w:rPr>
      </w:pPr>
      <w:bookmarkStart w:id="64" w:name="_Toc83302172"/>
      <w:r>
        <w:rPr>
          <w:color w:val="1F3864" w:themeColor="accent1" w:themeShade="80"/>
          <w:sz w:val="24"/>
          <w:szCs w:val="24"/>
        </w:rPr>
        <w:t xml:space="preserve">Identificación y </w:t>
      </w:r>
      <w:r w:rsidR="00960298">
        <w:rPr>
          <w:color w:val="1F3864" w:themeColor="accent1" w:themeShade="80"/>
          <w:sz w:val="24"/>
          <w:szCs w:val="24"/>
        </w:rPr>
        <w:t>Evaluación</w:t>
      </w:r>
      <w:bookmarkEnd w:id="64"/>
      <w:r w:rsidR="00960298">
        <w:rPr>
          <w:color w:val="1F3864" w:themeColor="accent1" w:themeShade="80"/>
          <w:sz w:val="24"/>
          <w:szCs w:val="24"/>
        </w:rPr>
        <w:t xml:space="preserve"> </w:t>
      </w:r>
    </w:p>
    <w:p w14:paraId="137FB187" w14:textId="77777777" w:rsidR="009C1215" w:rsidRPr="009C1215" w:rsidRDefault="009C1215" w:rsidP="009C1215"/>
    <w:p w14:paraId="25950CEB" w14:textId="4E6B12EA" w:rsidR="009C1215" w:rsidRDefault="009C1215" w:rsidP="009C1215">
      <w:pPr>
        <w:pStyle w:val="Sinespaciado"/>
        <w:ind w:left="561" w:right="49"/>
        <w:jc w:val="both"/>
        <w:rPr>
          <w:rFonts w:ascii="Times New Roman" w:hAnsi="Times New Roman"/>
          <w:bCs/>
          <w:sz w:val="24"/>
          <w:szCs w:val="24"/>
          <w:lang w:val="es-MX"/>
        </w:rPr>
      </w:pPr>
      <w:r w:rsidRPr="00EB56BD">
        <w:rPr>
          <w:rFonts w:ascii="Times New Roman" w:hAnsi="Times New Roman"/>
          <w:bCs/>
          <w:sz w:val="24"/>
          <w:szCs w:val="24"/>
          <w:lang w:val="es-MX"/>
        </w:rPr>
        <w:t>Para el efect</w:t>
      </w:r>
      <w:r w:rsidR="00AA3AFE">
        <w:rPr>
          <w:rFonts w:ascii="Times New Roman" w:hAnsi="Times New Roman"/>
          <w:bCs/>
          <w:sz w:val="24"/>
          <w:szCs w:val="24"/>
          <w:lang w:val="es-MX"/>
        </w:rPr>
        <w:t xml:space="preserve">o se tomaron en consideración cuatro </w:t>
      </w:r>
      <w:r w:rsidRPr="00EB56BD">
        <w:rPr>
          <w:rFonts w:ascii="Times New Roman" w:hAnsi="Times New Roman"/>
          <w:bCs/>
          <w:sz w:val="24"/>
          <w:szCs w:val="24"/>
          <w:lang w:val="es-MX"/>
        </w:rPr>
        <w:t>indicadores, para realizar una evaluación global y a nivel municipal de posibles fuentes de riesgos fiscales.</w:t>
      </w:r>
    </w:p>
    <w:p w14:paraId="621D584E" w14:textId="77777777" w:rsidR="009C1215" w:rsidRPr="00EB56BD" w:rsidRDefault="009C1215" w:rsidP="009C1215">
      <w:pPr>
        <w:pStyle w:val="Sinespaciado"/>
        <w:ind w:left="561" w:right="49"/>
        <w:jc w:val="both"/>
        <w:rPr>
          <w:rFonts w:ascii="Times New Roman" w:hAnsi="Times New Roman"/>
          <w:bCs/>
          <w:sz w:val="24"/>
          <w:szCs w:val="24"/>
          <w:lang w:val="es-MX"/>
        </w:rPr>
      </w:pPr>
    </w:p>
    <w:p w14:paraId="1AD18660" w14:textId="0A1AFA44" w:rsidR="009C1215" w:rsidRDefault="009C1215" w:rsidP="009C1215">
      <w:pPr>
        <w:pStyle w:val="Sinespaciado"/>
        <w:ind w:left="561" w:right="49"/>
        <w:jc w:val="both"/>
        <w:rPr>
          <w:rFonts w:ascii="Times New Roman" w:hAnsi="Times New Roman"/>
          <w:bCs/>
          <w:sz w:val="24"/>
          <w:szCs w:val="24"/>
          <w:lang w:val="es-MX"/>
        </w:rPr>
      </w:pPr>
      <w:r w:rsidRPr="00EB56BD">
        <w:rPr>
          <w:rFonts w:ascii="Times New Roman" w:hAnsi="Times New Roman"/>
          <w:bCs/>
          <w:sz w:val="24"/>
          <w:szCs w:val="24"/>
          <w:lang w:val="es-MX"/>
        </w:rPr>
        <w:t>Con los resultados obtenidos de los indicadores seleccionados, es posible tener indicadores de alerta para la toma de decisiones de aquellas municipalidades que se encuentran mal evaluadas, permitiendo identificar aquellas que necesitan una mejora en cuento a disciplina fiscal, transparencia y rendición de cuentas.</w:t>
      </w:r>
    </w:p>
    <w:p w14:paraId="47FFBF52" w14:textId="4FA69044" w:rsidR="00AA3AFE" w:rsidRDefault="00AA3AFE" w:rsidP="009C1215">
      <w:pPr>
        <w:pStyle w:val="Sinespaciado"/>
        <w:ind w:left="561" w:right="49"/>
        <w:jc w:val="both"/>
        <w:rPr>
          <w:rFonts w:ascii="Times New Roman" w:hAnsi="Times New Roman"/>
          <w:bCs/>
          <w:sz w:val="24"/>
          <w:szCs w:val="24"/>
          <w:lang w:val="es-MX"/>
        </w:rPr>
      </w:pPr>
    </w:p>
    <w:p w14:paraId="43F9554C" w14:textId="3DB02CFA" w:rsidR="00AA3AFE" w:rsidRPr="00AA3AFE" w:rsidRDefault="00AA3AFE" w:rsidP="00AA3AFE">
      <w:pPr>
        <w:pStyle w:val="Sinespaciado"/>
        <w:ind w:left="561" w:right="49"/>
        <w:jc w:val="both"/>
        <w:rPr>
          <w:rFonts w:ascii="Times New Roman" w:hAnsi="Times New Roman"/>
          <w:bCs/>
          <w:sz w:val="24"/>
          <w:szCs w:val="24"/>
          <w:lang w:val="es-MX"/>
        </w:rPr>
      </w:pPr>
      <w:r w:rsidRPr="00AA3AFE">
        <w:rPr>
          <w:rFonts w:ascii="Times New Roman" w:hAnsi="Times New Roman"/>
          <w:bCs/>
          <w:sz w:val="24"/>
          <w:szCs w:val="24"/>
          <w:lang w:val="es-MX"/>
        </w:rPr>
        <w:t>No obstante, es importante realizar el descargo de responsabilidad, dado que los datos presentados por las municipalidades en los sistemas pueden estar afectados por numerosos factores, tales como problemas de registro, calidad de los datos y acceso a la información.</w:t>
      </w:r>
    </w:p>
    <w:p w14:paraId="731CC2C6" w14:textId="77777777" w:rsidR="009C1215" w:rsidRPr="00EB56BD" w:rsidRDefault="009C1215" w:rsidP="009C1215">
      <w:pPr>
        <w:pStyle w:val="Sinespaciado"/>
        <w:ind w:left="561" w:right="49"/>
        <w:jc w:val="both"/>
        <w:rPr>
          <w:rFonts w:ascii="Times New Roman" w:hAnsi="Times New Roman"/>
          <w:bCs/>
          <w:sz w:val="24"/>
          <w:szCs w:val="24"/>
          <w:lang w:val="es-MX"/>
        </w:rPr>
      </w:pPr>
    </w:p>
    <w:p w14:paraId="7E43C9AC" w14:textId="77777777" w:rsidR="00960298" w:rsidRPr="00960298" w:rsidRDefault="00960298" w:rsidP="004A1975">
      <w:pPr>
        <w:pStyle w:val="Ttulo1"/>
        <w:widowControl/>
        <w:numPr>
          <w:ilvl w:val="2"/>
          <w:numId w:val="5"/>
        </w:numPr>
        <w:ind w:left="1276" w:right="49"/>
        <w:jc w:val="both"/>
        <w:rPr>
          <w:color w:val="1F3864" w:themeColor="accent1" w:themeShade="80"/>
          <w:sz w:val="24"/>
          <w:szCs w:val="24"/>
        </w:rPr>
      </w:pPr>
      <w:bookmarkStart w:id="65" w:name="_Toc83302173"/>
      <w:r>
        <w:rPr>
          <w:color w:val="1F3864" w:themeColor="accent1" w:themeShade="80"/>
          <w:sz w:val="24"/>
          <w:szCs w:val="24"/>
        </w:rPr>
        <w:t>Autonomía Financiera de las Municipalidades</w:t>
      </w:r>
      <w:bookmarkEnd w:id="65"/>
    </w:p>
    <w:p w14:paraId="099CCFE3" w14:textId="77777777" w:rsidR="00D30644" w:rsidRDefault="00D30644" w:rsidP="00D30644">
      <w:pPr>
        <w:jc w:val="both"/>
        <w:rPr>
          <w:rFonts w:eastAsia="OptimaLTStd"/>
          <w:color w:val="FF0000"/>
          <w:sz w:val="24"/>
          <w:szCs w:val="24"/>
          <w:lang w:val="es-ES"/>
        </w:rPr>
      </w:pPr>
    </w:p>
    <w:p w14:paraId="6F88BE00" w14:textId="77777777" w:rsidR="00080B01" w:rsidRDefault="00080B01" w:rsidP="00080B01">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Dentro de la Constitución Política de la República de Guatemala, se establece en el artículo 253 que los municipios son instituciones autónomas, teniendo entre sus competencias obtener y disponer de sus recursos, es decir la gestión financiera del municipio, así como atender los servicios públicos locales, el ordenamiento territorial de su jurisdicción y el cumplimiento de sus fines propios.</w:t>
      </w:r>
    </w:p>
    <w:p w14:paraId="6BEDF75D" w14:textId="77777777" w:rsidR="00080B01" w:rsidRPr="00EB56BD" w:rsidRDefault="00080B01" w:rsidP="00080B01">
      <w:pPr>
        <w:pStyle w:val="Sinespaciado"/>
        <w:ind w:left="567" w:right="49"/>
        <w:jc w:val="both"/>
        <w:rPr>
          <w:rFonts w:ascii="Times New Roman" w:hAnsi="Times New Roman"/>
          <w:bCs/>
          <w:sz w:val="24"/>
          <w:szCs w:val="24"/>
          <w:lang w:val="es-MX"/>
        </w:rPr>
      </w:pPr>
    </w:p>
    <w:p w14:paraId="66A667B2" w14:textId="6756D91F" w:rsidR="00AA3AFE" w:rsidRDefault="00080B01" w:rsidP="00080B01">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 xml:space="preserve">Asimismo, el artículo 257 de la Constitución Política de la República de Guatemala regula la asignación para las municipalidades, de esa cuenta el Organismo Ejecutivo incluye anualmente </w:t>
      </w:r>
      <w:r w:rsidRPr="00EB56BD">
        <w:rPr>
          <w:rFonts w:ascii="Times New Roman" w:hAnsi="Times New Roman"/>
          <w:bCs/>
          <w:sz w:val="24"/>
          <w:szCs w:val="24"/>
          <w:lang w:val="es-MX"/>
        </w:rPr>
        <w:lastRenderedPageBreak/>
        <w:t>en el Presupuesto General del Estado, un diez por ciento (10.0%) para las Municipalidades del país. Otras fuentes importantes de sus recursos provienen de</w:t>
      </w:r>
      <w:r>
        <w:rPr>
          <w:rFonts w:ascii="Times New Roman" w:hAnsi="Times New Roman"/>
          <w:bCs/>
          <w:sz w:val="24"/>
          <w:szCs w:val="24"/>
          <w:lang w:val="es-MX"/>
        </w:rPr>
        <w:t>l</w:t>
      </w:r>
      <w:r w:rsidRPr="00EB56BD">
        <w:rPr>
          <w:rFonts w:ascii="Times New Roman" w:hAnsi="Times New Roman"/>
          <w:bCs/>
          <w:sz w:val="24"/>
          <w:szCs w:val="24"/>
          <w:lang w:val="es-MX"/>
        </w:rPr>
        <w:t xml:space="preserve"> IVA- Paz, circulación de vehículos, entre otros.  </w:t>
      </w:r>
      <w:r w:rsidR="00AA3AFE" w:rsidRPr="00AA3AFE">
        <w:rPr>
          <w:rFonts w:ascii="Times New Roman" w:hAnsi="Times New Roman"/>
          <w:bCs/>
          <w:sz w:val="24"/>
          <w:szCs w:val="24"/>
          <w:lang w:val="es-MX"/>
        </w:rPr>
        <w:t xml:space="preserve">Dichos </w:t>
      </w:r>
      <w:r w:rsidR="00AA3AFE">
        <w:rPr>
          <w:rFonts w:ascii="Times New Roman" w:hAnsi="Times New Roman"/>
          <w:bCs/>
          <w:sz w:val="24"/>
          <w:szCs w:val="24"/>
          <w:lang w:val="es-MX"/>
        </w:rPr>
        <w:t>recursos son trasladados por el Gobierno C</w:t>
      </w:r>
      <w:r w:rsidR="00AA3AFE" w:rsidRPr="00AA3AFE">
        <w:rPr>
          <w:rFonts w:ascii="Times New Roman" w:hAnsi="Times New Roman"/>
          <w:bCs/>
          <w:sz w:val="24"/>
          <w:szCs w:val="24"/>
          <w:lang w:val="es-MX"/>
        </w:rPr>
        <w:t>entral a las Municipalidades a través de transferencias y algunas municipalidades muestran una alta dependencia de estas transferencias, esto se constituye un factor negativo dado que desalienta los esfuerzos de las municipalidades por una mejora en la administración de los gastos y búsqueda de recursos propios.</w:t>
      </w:r>
    </w:p>
    <w:p w14:paraId="09DA5F3B" w14:textId="77777777" w:rsidR="00AA3AFE" w:rsidRDefault="00AA3AFE" w:rsidP="00080B01">
      <w:pPr>
        <w:pStyle w:val="Sinespaciado"/>
        <w:ind w:left="567" w:right="49"/>
        <w:jc w:val="both"/>
        <w:rPr>
          <w:rFonts w:ascii="Times New Roman" w:hAnsi="Times New Roman"/>
          <w:bCs/>
          <w:sz w:val="24"/>
          <w:szCs w:val="24"/>
          <w:lang w:val="es-MX"/>
        </w:rPr>
      </w:pPr>
    </w:p>
    <w:p w14:paraId="2337A43F" w14:textId="2DD3D01F" w:rsidR="00080B01" w:rsidRDefault="00080B01" w:rsidP="00080B01">
      <w:pPr>
        <w:pStyle w:val="Sinespaciado"/>
        <w:ind w:left="567" w:right="49"/>
        <w:jc w:val="both"/>
        <w:rPr>
          <w:rFonts w:ascii="Times New Roman" w:hAnsi="Times New Roman"/>
          <w:sz w:val="24"/>
        </w:rPr>
      </w:pPr>
      <w:r w:rsidRPr="00EB56BD">
        <w:rPr>
          <w:rFonts w:ascii="Times New Roman" w:hAnsi="Times New Roman"/>
          <w:bCs/>
          <w:sz w:val="24"/>
          <w:szCs w:val="24"/>
          <w:lang w:val="es-MX"/>
        </w:rPr>
        <w:t>Es por ello que</w:t>
      </w:r>
      <w:r>
        <w:rPr>
          <w:rFonts w:ascii="Times New Roman" w:hAnsi="Times New Roman"/>
          <w:bCs/>
          <w:sz w:val="24"/>
          <w:szCs w:val="24"/>
          <w:lang w:val="es-MX"/>
        </w:rPr>
        <w:t>,</w:t>
      </w:r>
      <w:r w:rsidRPr="00EB56BD">
        <w:rPr>
          <w:rFonts w:ascii="Times New Roman" w:hAnsi="Times New Roman"/>
          <w:bCs/>
          <w:sz w:val="24"/>
          <w:szCs w:val="24"/>
          <w:lang w:val="es-MX"/>
        </w:rPr>
        <w:t xml:space="preserve"> se considera importante medir los ingresos propios municipales con relación al total de los ingresos percibidos en el período, dado que de esta forma se puede determinar la capacidad y esfuerzo de las municipalidades por agenciarse de recursos propios</w:t>
      </w:r>
      <w:r w:rsidR="00AA3AFE">
        <w:rPr>
          <w:rFonts w:ascii="Times New Roman" w:hAnsi="Times New Roman"/>
          <w:bCs/>
          <w:sz w:val="24"/>
          <w:szCs w:val="24"/>
          <w:lang w:val="es-MX"/>
        </w:rPr>
        <w:t xml:space="preserve">, los cuales de acuerdo </w:t>
      </w:r>
      <w:r w:rsidR="00AA3AFE" w:rsidRPr="00AA3AFE">
        <w:rPr>
          <w:rFonts w:ascii="Times New Roman" w:hAnsi="Times New Roman"/>
          <w:bCs/>
          <w:sz w:val="24"/>
          <w:szCs w:val="24"/>
          <w:lang w:val="es-MX"/>
        </w:rPr>
        <w:t xml:space="preserve">al Código Municipal provienen de recaudación de tasas, arbitrios, servicios municipales, contribuciones por mejoras, contribuciones por la explotación comercial de los recursos del municipios, entre otros.  </w:t>
      </w:r>
    </w:p>
    <w:p w14:paraId="3BDEDB1D" w14:textId="77777777" w:rsidR="00080B01" w:rsidRPr="00AA3AFE" w:rsidRDefault="00080B01" w:rsidP="00960298">
      <w:pPr>
        <w:pStyle w:val="Sinespaciado"/>
        <w:ind w:left="567" w:right="49"/>
        <w:jc w:val="both"/>
        <w:rPr>
          <w:rFonts w:ascii="Times New Roman" w:hAnsi="Times New Roman"/>
          <w:bCs/>
          <w:sz w:val="24"/>
          <w:szCs w:val="24"/>
        </w:rPr>
      </w:pPr>
    </w:p>
    <w:p w14:paraId="5FDFE971" w14:textId="4F16E1BC" w:rsidR="00960298" w:rsidRDefault="00960298" w:rsidP="00960298">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 xml:space="preserve">Las municipalidades en su conjunto mantienen un bajo nivel de autonomía financiera, lo cual implica una alta dependencia de las transferencias que reciben de la administración central. En promedio, para el período 2016-2020 todas las municipalidades representan cerca del 30.1%, aunque en términos generales no ha habido mucha fluctuación entre los años indicados. </w:t>
      </w:r>
    </w:p>
    <w:p w14:paraId="2C0B73D0" w14:textId="77777777" w:rsidR="00960298" w:rsidRDefault="00960298" w:rsidP="00960298">
      <w:pPr>
        <w:pStyle w:val="Sinespaciado"/>
        <w:ind w:left="567" w:right="49"/>
        <w:jc w:val="both"/>
        <w:rPr>
          <w:rFonts w:ascii="Times New Roman" w:hAnsi="Times New Roman"/>
          <w:bCs/>
          <w:sz w:val="24"/>
          <w:szCs w:val="24"/>
          <w:lang w:val="es-MX"/>
        </w:rPr>
      </w:pPr>
    </w:p>
    <w:p w14:paraId="4E66AB48" w14:textId="1864FED9" w:rsidR="00960298" w:rsidRPr="00960298" w:rsidRDefault="00AF7163" w:rsidP="00960298">
      <w:pPr>
        <w:pStyle w:val="Sinespaciado"/>
        <w:ind w:left="567" w:right="49"/>
        <w:jc w:val="center"/>
        <w:rPr>
          <w:rFonts w:ascii="Times New Roman" w:hAnsi="Times New Roman"/>
          <w:b/>
          <w:bCs/>
          <w:sz w:val="24"/>
          <w:szCs w:val="24"/>
          <w:lang w:val="es-GT"/>
        </w:rPr>
      </w:pPr>
      <w:r>
        <w:rPr>
          <w:rFonts w:ascii="Times New Roman" w:hAnsi="Times New Roman"/>
          <w:b/>
          <w:bCs/>
          <w:sz w:val="24"/>
          <w:szCs w:val="24"/>
          <w:lang w:val="es-MX"/>
        </w:rPr>
        <w:t>Gráfica 37</w:t>
      </w:r>
      <w:r w:rsidR="00814706">
        <w:rPr>
          <w:rFonts w:ascii="Times New Roman" w:hAnsi="Times New Roman"/>
          <w:b/>
          <w:bCs/>
          <w:sz w:val="24"/>
          <w:szCs w:val="24"/>
          <w:lang w:val="es-MX"/>
        </w:rPr>
        <w:t xml:space="preserve">.  </w:t>
      </w:r>
      <w:r w:rsidR="00960298" w:rsidRPr="00960298">
        <w:rPr>
          <w:rFonts w:ascii="Times New Roman" w:hAnsi="Times New Roman"/>
          <w:b/>
          <w:bCs/>
          <w:sz w:val="24"/>
          <w:szCs w:val="24"/>
          <w:lang w:val="es-MX"/>
        </w:rPr>
        <w:t>Autonomía Financiera de las Municipalidades</w:t>
      </w:r>
      <w:r w:rsidR="00960298">
        <w:rPr>
          <w:noProof/>
          <w:sz w:val="24"/>
          <w:szCs w:val="24"/>
          <w:lang w:val="es-GT" w:eastAsia="es-GT"/>
        </w:rPr>
        <w:drawing>
          <wp:inline distT="0" distB="0" distL="0" distR="0" wp14:anchorId="2B3AC51D" wp14:editId="72085E15">
            <wp:extent cx="4994031" cy="1995854"/>
            <wp:effectExtent l="0" t="0" r="0" b="444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3C5D640" w14:textId="77777777" w:rsidR="00960298" w:rsidRPr="00960298" w:rsidRDefault="00960298" w:rsidP="00960298">
      <w:pPr>
        <w:autoSpaceDE w:val="0"/>
        <w:autoSpaceDN w:val="0"/>
        <w:adjustRightInd w:val="0"/>
        <w:ind w:left="708" w:firstLine="708"/>
        <w:rPr>
          <w:sz w:val="16"/>
          <w:szCs w:val="24"/>
        </w:rPr>
      </w:pPr>
      <w:r w:rsidRPr="00960298">
        <w:rPr>
          <w:sz w:val="16"/>
          <w:szCs w:val="24"/>
        </w:rPr>
        <w:t>Fuente: Sicoin GL</w:t>
      </w:r>
    </w:p>
    <w:p w14:paraId="7F26E314" w14:textId="77777777" w:rsidR="00C67259" w:rsidRDefault="00C67259" w:rsidP="00960298">
      <w:pPr>
        <w:pStyle w:val="Sinespaciado"/>
        <w:ind w:left="567" w:right="49"/>
        <w:jc w:val="both"/>
        <w:rPr>
          <w:rFonts w:ascii="Times New Roman" w:hAnsi="Times New Roman"/>
          <w:bCs/>
          <w:sz w:val="24"/>
          <w:szCs w:val="24"/>
          <w:lang w:val="es-MX"/>
        </w:rPr>
      </w:pPr>
    </w:p>
    <w:p w14:paraId="490237FD" w14:textId="7EF103AC" w:rsidR="00960298" w:rsidRPr="00EB56BD" w:rsidRDefault="00960298" w:rsidP="00960298">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Para el 2020 se observa que, de 330 municipalidades, 97% tienen una autonomía financiera menor al 50% y solamente 10 municipalidades (3%) logran una dependencia mayoritaria de sus ingresos propios, el cual es explicado por los niveles de recaudación de impuestos (principalmente el IUSI) y de sus ingresos no tributarios, especialmente por las tasas municipales como el alumbrado público.</w:t>
      </w:r>
    </w:p>
    <w:p w14:paraId="752AC6B0" w14:textId="77777777" w:rsidR="00960298" w:rsidRPr="00FB437F" w:rsidRDefault="00960298" w:rsidP="00960298">
      <w:pPr>
        <w:rPr>
          <w:sz w:val="24"/>
          <w:szCs w:val="24"/>
        </w:rPr>
      </w:pPr>
    </w:p>
    <w:p w14:paraId="05154FB8" w14:textId="77777777" w:rsidR="00960298" w:rsidRPr="00EB56BD" w:rsidRDefault="00960298" w:rsidP="00960298">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Las municipalidades con una autonomía financiera mayor al 60% son: Guatemala con 82.6%, seguido de Quetzaltenango 77.6%, Mixco 74%, Villa Nueva 66.8% y Santa Catarina Pínula 63.9%; mientras que las municipalidades más destacadas por poseer ingresos propios muy limitados en 2020 son: San Gaspar Ixchil con un 1.3%, San Mateo Ixtatan con 1.6%, Tectitan con el 1.8%, Santa María Chiquimula con el 2.0% y Santa María Visitación con el 2.2%.</w:t>
      </w:r>
    </w:p>
    <w:p w14:paraId="1D9FEA09" w14:textId="77777777" w:rsidR="00960298" w:rsidRDefault="00960298" w:rsidP="00960298">
      <w:pPr>
        <w:jc w:val="both"/>
        <w:rPr>
          <w:sz w:val="24"/>
          <w:szCs w:val="24"/>
        </w:rPr>
      </w:pPr>
    </w:p>
    <w:p w14:paraId="1ADB40D7" w14:textId="1481A150" w:rsidR="00960298" w:rsidRDefault="00960298" w:rsidP="00960298">
      <w:pPr>
        <w:jc w:val="both"/>
        <w:rPr>
          <w:sz w:val="24"/>
          <w:szCs w:val="24"/>
        </w:rPr>
      </w:pPr>
    </w:p>
    <w:p w14:paraId="4C164178" w14:textId="3F876E0A" w:rsidR="00AA3AFE" w:rsidRDefault="00AA3AFE" w:rsidP="00960298">
      <w:pPr>
        <w:jc w:val="both"/>
        <w:rPr>
          <w:sz w:val="24"/>
          <w:szCs w:val="24"/>
        </w:rPr>
      </w:pPr>
    </w:p>
    <w:p w14:paraId="49954728" w14:textId="2BE69474" w:rsidR="00AA3AFE" w:rsidRDefault="00AA3AFE" w:rsidP="00960298">
      <w:pPr>
        <w:jc w:val="both"/>
        <w:rPr>
          <w:sz w:val="24"/>
          <w:szCs w:val="24"/>
        </w:rPr>
      </w:pPr>
    </w:p>
    <w:p w14:paraId="47D9FCC2" w14:textId="3F0DE7AE" w:rsidR="00092C79" w:rsidRDefault="00092C79" w:rsidP="00960298">
      <w:pPr>
        <w:jc w:val="both"/>
        <w:rPr>
          <w:sz w:val="24"/>
          <w:szCs w:val="24"/>
        </w:rPr>
      </w:pPr>
    </w:p>
    <w:p w14:paraId="6853395E" w14:textId="01718ECA" w:rsidR="00960298" w:rsidRPr="00FB437F" w:rsidRDefault="00960298" w:rsidP="00960298">
      <w:pPr>
        <w:jc w:val="both"/>
        <w:rPr>
          <w:sz w:val="24"/>
          <w:szCs w:val="24"/>
        </w:rPr>
      </w:pPr>
    </w:p>
    <w:tbl>
      <w:tblPr>
        <w:tblStyle w:val="Tablaconcuadrcula"/>
        <w:tblpPr w:leftFromText="141" w:rightFromText="141" w:vertAnchor="text" w:horzAnchor="margin" w:tblpXSpec="center"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80"/>
      </w:tblGrid>
      <w:tr w:rsidR="00960298" w:rsidRPr="002955CD" w14:paraId="208222D2" w14:textId="77777777" w:rsidTr="00F931C0">
        <w:tc>
          <w:tcPr>
            <w:tcW w:w="8940" w:type="dxa"/>
            <w:gridSpan w:val="2"/>
          </w:tcPr>
          <w:p w14:paraId="5BCCAD01" w14:textId="5FA61D94" w:rsidR="00960298" w:rsidRPr="002955CD" w:rsidRDefault="00AF7163" w:rsidP="00F931C0">
            <w:pPr>
              <w:jc w:val="center"/>
              <w:rPr>
                <w:b/>
                <w:bCs/>
                <w:sz w:val="24"/>
                <w:szCs w:val="24"/>
              </w:rPr>
            </w:pPr>
            <w:r>
              <w:rPr>
                <w:b/>
                <w:bCs/>
                <w:sz w:val="24"/>
                <w:szCs w:val="24"/>
              </w:rPr>
              <w:t>Gráfica 38</w:t>
            </w:r>
            <w:r w:rsidR="00814706">
              <w:rPr>
                <w:b/>
                <w:bCs/>
                <w:sz w:val="24"/>
                <w:szCs w:val="24"/>
              </w:rPr>
              <w:t xml:space="preserve">.  </w:t>
            </w:r>
            <w:r w:rsidR="00960298" w:rsidRPr="002955CD">
              <w:rPr>
                <w:b/>
                <w:bCs/>
                <w:sz w:val="24"/>
                <w:szCs w:val="24"/>
              </w:rPr>
              <w:t>Principales Municipalidades</w:t>
            </w:r>
          </w:p>
          <w:p w14:paraId="5615E1BE" w14:textId="77777777" w:rsidR="00960298" w:rsidRPr="002955CD" w:rsidRDefault="00960298" w:rsidP="00F931C0">
            <w:pPr>
              <w:jc w:val="center"/>
              <w:rPr>
                <w:sz w:val="24"/>
                <w:szCs w:val="24"/>
              </w:rPr>
            </w:pPr>
            <w:r w:rsidRPr="00960298">
              <w:rPr>
                <w:sz w:val="22"/>
                <w:szCs w:val="24"/>
              </w:rPr>
              <w:t>para el año 2020</w:t>
            </w:r>
          </w:p>
        </w:tc>
      </w:tr>
      <w:tr w:rsidR="00960298" w:rsidRPr="002955CD" w14:paraId="46AE7637" w14:textId="77777777" w:rsidTr="00F931C0">
        <w:tblPrEx>
          <w:tblCellMar>
            <w:left w:w="70" w:type="dxa"/>
            <w:right w:w="70" w:type="dxa"/>
          </w:tblCellMar>
        </w:tblPrEx>
        <w:tc>
          <w:tcPr>
            <w:tcW w:w="4460" w:type="dxa"/>
          </w:tcPr>
          <w:p w14:paraId="3B7EA23D" w14:textId="77777777" w:rsidR="00960298" w:rsidRPr="002955CD" w:rsidRDefault="00960298" w:rsidP="00F931C0">
            <w:pPr>
              <w:rPr>
                <w:sz w:val="24"/>
                <w:szCs w:val="24"/>
              </w:rPr>
            </w:pPr>
            <w:r>
              <w:rPr>
                <w:noProof/>
                <w:sz w:val="24"/>
                <w:szCs w:val="24"/>
                <w:lang w:val="es-GT" w:eastAsia="es-GT"/>
              </w:rPr>
              <w:drawing>
                <wp:inline distT="0" distB="0" distL="0" distR="0" wp14:anchorId="4D284DE0" wp14:editId="5E97CB6A">
                  <wp:extent cx="2737485" cy="1723292"/>
                  <wp:effectExtent l="0" t="0" r="5715"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480" w:type="dxa"/>
          </w:tcPr>
          <w:p w14:paraId="0422D0BC" w14:textId="77777777" w:rsidR="00960298" w:rsidRPr="002955CD" w:rsidRDefault="00960298" w:rsidP="00F931C0">
            <w:pPr>
              <w:rPr>
                <w:sz w:val="24"/>
                <w:szCs w:val="24"/>
              </w:rPr>
            </w:pPr>
            <w:r>
              <w:rPr>
                <w:noProof/>
                <w:sz w:val="24"/>
                <w:szCs w:val="24"/>
                <w:lang w:val="es-GT" w:eastAsia="es-GT"/>
              </w:rPr>
              <w:drawing>
                <wp:inline distT="0" distB="0" distL="0" distR="0" wp14:anchorId="26DE68D4" wp14:editId="0063835E">
                  <wp:extent cx="2737485" cy="1682261"/>
                  <wp:effectExtent l="0" t="0" r="5715"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2DFA057B" w14:textId="77777777" w:rsidR="00960298" w:rsidRDefault="00960298" w:rsidP="001C560F">
      <w:pPr>
        <w:ind w:left="709"/>
        <w:rPr>
          <w:sz w:val="18"/>
          <w:szCs w:val="24"/>
        </w:rPr>
      </w:pPr>
      <w:r>
        <w:rPr>
          <w:sz w:val="18"/>
          <w:szCs w:val="24"/>
        </w:rPr>
        <w:t xml:space="preserve">                       </w:t>
      </w:r>
      <w:r w:rsidRPr="0012440D">
        <w:rPr>
          <w:sz w:val="18"/>
          <w:szCs w:val="24"/>
        </w:rPr>
        <w:t>Fuente: Sicoin</w:t>
      </w:r>
      <w:r w:rsidR="00B03324">
        <w:rPr>
          <w:sz w:val="18"/>
          <w:szCs w:val="24"/>
        </w:rPr>
        <w:t xml:space="preserve"> </w:t>
      </w:r>
      <w:r w:rsidRPr="0012440D">
        <w:rPr>
          <w:sz w:val="18"/>
          <w:szCs w:val="24"/>
        </w:rPr>
        <w:t>GL</w:t>
      </w:r>
    </w:p>
    <w:p w14:paraId="0C1F918F" w14:textId="66055DE3" w:rsidR="00AE0D98" w:rsidRDefault="00AE0D98" w:rsidP="00F931C0">
      <w:pPr>
        <w:rPr>
          <w:color w:val="1F3864" w:themeColor="accent1" w:themeShade="80"/>
          <w:sz w:val="24"/>
          <w:szCs w:val="24"/>
        </w:rPr>
      </w:pPr>
    </w:p>
    <w:p w14:paraId="7C2D8975" w14:textId="2C40D399" w:rsidR="00AE0D98" w:rsidRPr="0083128A" w:rsidRDefault="00AE0D98" w:rsidP="0083128A">
      <w:pPr>
        <w:pStyle w:val="Ttulo1"/>
        <w:widowControl/>
        <w:numPr>
          <w:ilvl w:val="1"/>
          <w:numId w:val="5"/>
        </w:numPr>
        <w:ind w:left="993" w:right="49"/>
        <w:jc w:val="both"/>
        <w:rPr>
          <w:color w:val="1F3864" w:themeColor="accent1" w:themeShade="80"/>
          <w:sz w:val="24"/>
          <w:szCs w:val="24"/>
        </w:rPr>
      </w:pPr>
      <w:bookmarkStart w:id="66" w:name="_Toc83302174"/>
      <w:r w:rsidRPr="0083128A">
        <w:rPr>
          <w:color w:val="1F3864" w:themeColor="accent1" w:themeShade="80"/>
          <w:sz w:val="24"/>
          <w:szCs w:val="24"/>
        </w:rPr>
        <w:t>Inversión Real Directa por habitante de las Municipalidades</w:t>
      </w:r>
      <w:bookmarkEnd w:id="66"/>
    </w:p>
    <w:p w14:paraId="4E0263DB" w14:textId="77777777" w:rsidR="00036D21" w:rsidRPr="00036D21" w:rsidRDefault="00036D21" w:rsidP="00036D21">
      <w:pPr>
        <w:pStyle w:val="Sinespaciado"/>
        <w:ind w:left="567" w:right="49"/>
        <w:jc w:val="both"/>
        <w:rPr>
          <w:rFonts w:ascii="Times New Roman" w:hAnsi="Times New Roman"/>
          <w:bCs/>
          <w:sz w:val="24"/>
          <w:szCs w:val="24"/>
          <w:lang w:val="es-MX"/>
        </w:rPr>
      </w:pPr>
    </w:p>
    <w:p w14:paraId="044D50C4" w14:textId="77777777" w:rsidR="00036D21" w:rsidRPr="00036D21" w:rsidRDefault="00036D21" w:rsidP="00036D21">
      <w:pPr>
        <w:pStyle w:val="Sinespaciado"/>
        <w:ind w:left="567" w:right="49"/>
        <w:jc w:val="both"/>
        <w:rPr>
          <w:rFonts w:ascii="Times New Roman" w:hAnsi="Times New Roman"/>
          <w:bCs/>
          <w:sz w:val="24"/>
          <w:szCs w:val="24"/>
          <w:lang w:val="es-MX"/>
        </w:rPr>
      </w:pPr>
      <w:r w:rsidRPr="00036D21">
        <w:rPr>
          <w:rFonts w:ascii="Times New Roman" w:hAnsi="Times New Roman"/>
          <w:bCs/>
          <w:sz w:val="24"/>
          <w:szCs w:val="24"/>
          <w:lang w:val="es-MX"/>
        </w:rPr>
        <w:t xml:space="preserve">La descentralización que se ha promovido desde la década de los noventa por medio del Decreto 14-2002 Ley General de Descentralización, busca descentralizar de manera progresiva y regulada las competencias del Organismo Ejecutivo para optimizar la actuación del Estado y obedece a la cercanía y relación de las municipalidades con la población local y bajo el supuesto que las municipalidades pueden satisfacer de mejor forma las aspiraciones, demandas y necesidades que surgen a nivel local.  </w:t>
      </w:r>
    </w:p>
    <w:p w14:paraId="1E5E29E5" w14:textId="77777777" w:rsidR="00036D21" w:rsidRDefault="00036D21" w:rsidP="00036D21">
      <w:pPr>
        <w:pStyle w:val="Sinespaciado"/>
        <w:ind w:left="567" w:right="49"/>
        <w:jc w:val="both"/>
        <w:rPr>
          <w:rFonts w:ascii="Times New Roman" w:hAnsi="Times New Roman"/>
          <w:bCs/>
          <w:sz w:val="24"/>
          <w:szCs w:val="24"/>
          <w:lang w:val="es-MX"/>
        </w:rPr>
      </w:pPr>
    </w:p>
    <w:p w14:paraId="252025C1" w14:textId="365B3516" w:rsidR="00036D21" w:rsidRPr="00036D21" w:rsidRDefault="00036D21" w:rsidP="00036D21">
      <w:pPr>
        <w:pStyle w:val="Sinespaciado"/>
        <w:ind w:left="567" w:right="49"/>
        <w:jc w:val="both"/>
        <w:rPr>
          <w:rFonts w:ascii="Times New Roman" w:hAnsi="Times New Roman"/>
          <w:bCs/>
          <w:sz w:val="24"/>
          <w:szCs w:val="24"/>
          <w:lang w:val="es-MX"/>
        </w:rPr>
      </w:pPr>
      <w:r w:rsidRPr="00036D21">
        <w:rPr>
          <w:rFonts w:ascii="Times New Roman" w:hAnsi="Times New Roman"/>
          <w:bCs/>
          <w:sz w:val="24"/>
          <w:szCs w:val="24"/>
          <w:lang w:val="es-MX"/>
        </w:rPr>
        <w:t>Una fuente de riesgo fiscal para el gobierno central puede derivarse de la falta de correspondencia entre las responsabilidades que tienen las municipalidades en proveer bienes y servicios de calidad a la población y los recursos a su disposición, en la medida que estas demandas no sean suplidas por las municipalidades, existirá una mayor presión por parte de la población local</w:t>
      </w:r>
      <w:r w:rsidR="00C576B0">
        <w:rPr>
          <w:rFonts w:ascii="Times New Roman" w:hAnsi="Times New Roman"/>
          <w:bCs/>
          <w:sz w:val="24"/>
          <w:szCs w:val="24"/>
          <w:lang w:val="es-MX"/>
        </w:rPr>
        <w:t xml:space="preserve"> para que el gobierno central asigne una mayor cantidad</w:t>
      </w:r>
      <w:r w:rsidRPr="00036D21">
        <w:rPr>
          <w:rFonts w:ascii="Times New Roman" w:hAnsi="Times New Roman"/>
          <w:bCs/>
          <w:sz w:val="24"/>
          <w:szCs w:val="24"/>
          <w:lang w:val="es-MX"/>
        </w:rPr>
        <w:t xml:space="preserve"> de recursos. Otro escenario posible es la migración interna, obligando con ello a que la demanda de necesidades sea cubierta por otra municipalidad con la consecuente presión que existirá hacia los recursos de esa municipalidad y por ende hacia el gobierno central.</w:t>
      </w:r>
    </w:p>
    <w:p w14:paraId="0C250C06" w14:textId="77777777" w:rsidR="00036D21" w:rsidRDefault="00036D21" w:rsidP="00036D21">
      <w:pPr>
        <w:pStyle w:val="Sinespaciado"/>
        <w:ind w:left="567" w:right="49"/>
        <w:jc w:val="both"/>
        <w:rPr>
          <w:rFonts w:ascii="Times New Roman" w:hAnsi="Times New Roman"/>
          <w:bCs/>
          <w:sz w:val="24"/>
          <w:szCs w:val="24"/>
          <w:lang w:val="es-MX"/>
        </w:rPr>
      </w:pPr>
    </w:p>
    <w:p w14:paraId="0495872F" w14:textId="457929D9" w:rsidR="00036D21" w:rsidRPr="00036D21" w:rsidRDefault="00036D21" w:rsidP="00036D21">
      <w:pPr>
        <w:pStyle w:val="Sinespaciado"/>
        <w:ind w:left="567" w:right="49"/>
        <w:jc w:val="both"/>
        <w:rPr>
          <w:rFonts w:ascii="Times New Roman" w:hAnsi="Times New Roman"/>
          <w:bCs/>
          <w:sz w:val="24"/>
          <w:szCs w:val="24"/>
          <w:lang w:val="es-MX"/>
        </w:rPr>
      </w:pPr>
      <w:r w:rsidRPr="00036D21">
        <w:rPr>
          <w:rFonts w:ascii="Times New Roman" w:hAnsi="Times New Roman"/>
          <w:bCs/>
          <w:sz w:val="24"/>
          <w:szCs w:val="24"/>
          <w:lang w:val="es-MX"/>
        </w:rPr>
        <w:t>Asimismo, este indicador mide la inversión real directa por habitante que la municipalidad ha realizado, poniendo en evidencia el esfuerzo de la municipalidad por poner a disposición de la población una mayor cantidad de obras públicas.</w:t>
      </w:r>
      <w:r w:rsidR="00C576B0">
        <w:rPr>
          <w:rFonts w:ascii="Times New Roman" w:hAnsi="Times New Roman"/>
          <w:bCs/>
          <w:sz w:val="24"/>
          <w:szCs w:val="24"/>
          <w:lang w:val="es-MX"/>
        </w:rPr>
        <w:t xml:space="preserve"> </w:t>
      </w:r>
      <w:r w:rsidRPr="00036D21">
        <w:rPr>
          <w:rFonts w:ascii="Times New Roman" w:hAnsi="Times New Roman"/>
          <w:bCs/>
          <w:sz w:val="24"/>
          <w:szCs w:val="24"/>
          <w:lang w:val="es-MX"/>
        </w:rPr>
        <w:t xml:space="preserve">Una mayor ejecución en inversión real directa significa una mejora en la calidad de vida, a través de facilitar las principales actividades productivas de los municipios, favoreciendo el empleo, asegurando los medios de vida de la población local, y como consecuencia, </w:t>
      </w:r>
      <w:r w:rsidR="00C576B0">
        <w:rPr>
          <w:rFonts w:ascii="Times New Roman" w:hAnsi="Times New Roman"/>
          <w:bCs/>
          <w:sz w:val="24"/>
          <w:szCs w:val="24"/>
          <w:lang w:val="es-MX"/>
        </w:rPr>
        <w:t xml:space="preserve">se </w:t>
      </w:r>
      <w:r w:rsidRPr="00036D21">
        <w:rPr>
          <w:rFonts w:ascii="Times New Roman" w:hAnsi="Times New Roman"/>
          <w:bCs/>
          <w:sz w:val="24"/>
          <w:szCs w:val="24"/>
          <w:lang w:val="es-MX"/>
        </w:rPr>
        <w:t>propicia el desarrollo local.</w:t>
      </w:r>
    </w:p>
    <w:p w14:paraId="332AE5D5" w14:textId="77777777" w:rsidR="00036D21" w:rsidRDefault="00036D21" w:rsidP="00AE0D98">
      <w:pPr>
        <w:pStyle w:val="Sinespaciado"/>
        <w:ind w:left="567" w:right="49"/>
        <w:jc w:val="both"/>
        <w:rPr>
          <w:rFonts w:ascii="Times New Roman" w:hAnsi="Times New Roman"/>
          <w:bCs/>
          <w:sz w:val="24"/>
          <w:szCs w:val="24"/>
          <w:lang w:val="es-MX"/>
        </w:rPr>
      </w:pPr>
    </w:p>
    <w:p w14:paraId="79FF5A84" w14:textId="5DE094B2" w:rsidR="00AE0D98" w:rsidRPr="00AE0D98" w:rsidRDefault="00AE0D98" w:rsidP="00AE0D98">
      <w:pPr>
        <w:pStyle w:val="Sinespaciado"/>
        <w:ind w:left="567" w:right="49"/>
        <w:jc w:val="both"/>
        <w:rPr>
          <w:rFonts w:ascii="Times New Roman" w:hAnsi="Times New Roman"/>
          <w:bCs/>
          <w:sz w:val="24"/>
          <w:szCs w:val="24"/>
          <w:lang w:val="es-MX"/>
        </w:rPr>
      </w:pPr>
      <w:r w:rsidRPr="00AE0D98">
        <w:rPr>
          <w:rFonts w:ascii="Times New Roman" w:hAnsi="Times New Roman"/>
          <w:bCs/>
          <w:sz w:val="24"/>
          <w:szCs w:val="24"/>
          <w:lang w:val="es-MX"/>
        </w:rPr>
        <w:t>Durante el 2020, las municipalidades invirtieron en promedio un monto de Q473.0 por cada uno de los habitantes de Guatemala. Cabe mencionar que esta cifra es menor a lo observado en 2019 cuando fue de Q586.9 por habitante, pero por encima del valor promedio observado entre 2016-</w:t>
      </w:r>
      <w:r w:rsidRPr="00AE0D98">
        <w:rPr>
          <w:rFonts w:ascii="Times New Roman" w:hAnsi="Times New Roman"/>
          <w:bCs/>
          <w:sz w:val="24"/>
          <w:szCs w:val="24"/>
          <w:lang w:val="es-MX"/>
        </w:rPr>
        <w:lastRenderedPageBreak/>
        <w:t xml:space="preserve">2020 de Q466.8. Este gasto en inversión real directa consiste principalmente en formación bruta de capital fijo, el cual incluye la construcción de calles, parques, plazas, caminos, puentes o cualquier obra pública destinada para utilidad o comodidad común. </w:t>
      </w:r>
    </w:p>
    <w:p w14:paraId="65028BC2" w14:textId="3772C6AE" w:rsidR="00AE0D98" w:rsidRDefault="00AE0D98" w:rsidP="00AE0D98">
      <w:pPr>
        <w:jc w:val="right"/>
        <w:rPr>
          <w:sz w:val="18"/>
          <w:szCs w:val="24"/>
        </w:rPr>
      </w:pPr>
    </w:p>
    <w:p w14:paraId="5A833021" w14:textId="77F128CD" w:rsidR="00AE0D98" w:rsidRDefault="00AE0D98" w:rsidP="00AE0D98">
      <w:pPr>
        <w:jc w:val="right"/>
        <w:rPr>
          <w:sz w:val="18"/>
          <w:szCs w:val="24"/>
        </w:rPr>
      </w:pPr>
      <w:r w:rsidRPr="00AE0D98">
        <w:rPr>
          <w:bCs/>
          <w:noProof/>
          <w:sz w:val="24"/>
          <w:szCs w:val="24"/>
          <w:lang w:val="es-GT" w:eastAsia="es-GT"/>
        </w:rPr>
        <w:drawing>
          <wp:anchor distT="0" distB="0" distL="114300" distR="114300" simplePos="0" relativeHeight="251741184" behindDoc="0" locked="0" layoutInCell="1" allowOverlap="1" wp14:anchorId="327E424D" wp14:editId="4DCDDB4C">
            <wp:simplePos x="0" y="0"/>
            <wp:positionH relativeFrom="column">
              <wp:posOffset>1108710</wp:posOffset>
            </wp:positionH>
            <wp:positionV relativeFrom="paragraph">
              <wp:posOffset>41275</wp:posOffset>
            </wp:positionV>
            <wp:extent cx="4772025" cy="2590800"/>
            <wp:effectExtent l="0" t="0" r="0" b="0"/>
            <wp:wrapSquare wrapText="bothSides"/>
            <wp:docPr id="251" name="Gráfico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64280FE-E8DA-4A91-9D50-C3BAC04BA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662E0C80" w14:textId="1DF4DECB" w:rsidR="00AE0D98" w:rsidRDefault="00AE0D98" w:rsidP="00AE0D98">
      <w:pPr>
        <w:jc w:val="right"/>
        <w:rPr>
          <w:sz w:val="18"/>
          <w:szCs w:val="24"/>
        </w:rPr>
      </w:pPr>
    </w:p>
    <w:p w14:paraId="3E3BEE77" w14:textId="12802560" w:rsidR="00AE0D98" w:rsidRDefault="00AE0D98" w:rsidP="00AE0D98">
      <w:pPr>
        <w:jc w:val="right"/>
        <w:rPr>
          <w:sz w:val="18"/>
          <w:szCs w:val="24"/>
        </w:rPr>
      </w:pPr>
    </w:p>
    <w:p w14:paraId="02AD5897" w14:textId="24B078C0" w:rsidR="00AE0D98" w:rsidRDefault="00AE0D98" w:rsidP="00AE0D98">
      <w:pPr>
        <w:jc w:val="right"/>
        <w:rPr>
          <w:sz w:val="18"/>
          <w:szCs w:val="24"/>
        </w:rPr>
      </w:pPr>
    </w:p>
    <w:p w14:paraId="7804E1C2" w14:textId="77777777" w:rsidR="00AE0D98" w:rsidRDefault="00AE0D98" w:rsidP="00AE0D98">
      <w:pPr>
        <w:jc w:val="right"/>
        <w:rPr>
          <w:sz w:val="18"/>
          <w:szCs w:val="24"/>
        </w:rPr>
      </w:pPr>
    </w:p>
    <w:p w14:paraId="68708E39" w14:textId="77777777" w:rsidR="00AE0D98" w:rsidRDefault="00AE0D98" w:rsidP="00AE0D98">
      <w:pPr>
        <w:jc w:val="right"/>
        <w:rPr>
          <w:sz w:val="18"/>
          <w:szCs w:val="24"/>
        </w:rPr>
      </w:pPr>
    </w:p>
    <w:p w14:paraId="2076D52E" w14:textId="77777777" w:rsidR="00AE0D98" w:rsidRDefault="00AE0D98" w:rsidP="00AE0D98">
      <w:pPr>
        <w:jc w:val="right"/>
        <w:rPr>
          <w:sz w:val="18"/>
          <w:szCs w:val="24"/>
        </w:rPr>
      </w:pPr>
    </w:p>
    <w:p w14:paraId="1107500D" w14:textId="77777777" w:rsidR="00AE0D98" w:rsidRDefault="00AE0D98" w:rsidP="00AE0D98">
      <w:pPr>
        <w:jc w:val="right"/>
        <w:rPr>
          <w:sz w:val="18"/>
          <w:szCs w:val="24"/>
        </w:rPr>
      </w:pPr>
    </w:p>
    <w:p w14:paraId="35E07BE4" w14:textId="77777777" w:rsidR="00AE0D98" w:rsidRDefault="00AE0D98" w:rsidP="00AE0D98">
      <w:pPr>
        <w:jc w:val="right"/>
        <w:rPr>
          <w:sz w:val="18"/>
          <w:szCs w:val="24"/>
        </w:rPr>
      </w:pPr>
    </w:p>
    <w:p w14:paraId="4488BB6A" w14:textId="77777777" w:rsidR="00AE0D98" w:rsidRDefault="00AE0D98" w:rsidP="00AE0D98">
      <w:pPr>
        <w:jc w:val="right"/>
        <w:rPr>
          <w:sz w:val="18"/>
          <w:szCs w:val="24"/>
        </w:rPr>
      </w:pPr>
    </w:p>
    <w:p w14:paraId="087FFDAF" w14:textId="77777777" w:rsidR="00AE0D98" w:rsidRDefault="00AE0D98" w:rsidP="00AE0D98">
      <w:pPr>
        <w:jc w:val="right"/>
        <w:rPr>
          <w:sz w:val="18"/>
          <w:szCs w:val="24"/>
        </w:rPr>
      </w:pPr>
    </w:p>
    <w:p w14:paraId="484550AA" w14:textId="77777777" w:rsidR="00AE0D98" w:rsidRDefault="00AE0D98" w:rsidP="00AE0D98">
      <w:pPr>
        <w:jc w:val="right"/>
        <w:rPr>
          <w:sz w:val="18"/>
          <w:szCs w:val="24"/>
        </w:rPr>
      </w:pPr>
    </w:p>
    <w:p w14:paraId="6B7D6058" w14:textId="77777777" w:rsidR="00AE0D98" w:rsidRDefault="00AE0D98" w:rsidP="00AE0D98">
      <w:pPr>
        <w:jc w:val="right"/>
        <w:rPr>
          <w:sz w:val="18"/>
          <w:szCs w:val="24"/>
        </w:rPr>
      </w:pPr>
    </w:p>
    <w:p w14:paraId="54CDB10E" w14:textId="77777777" w:rsidR="00AE0D98" w:rsidRDefault="00AE0D98" w:rsidP="00AE0D98">
      <w:pPr>
        <w:jc w:val="right"/>
        <w:rPr>
          <w:sz w:val="18"/>
          <w:szCs w:val="24"/>
        </w:rPr>
      </w:pPr>
    </w:p>
    <w:p w14:paraId="01E41EB4" w14:textId="77777777" w:rsidR="00AE0D98" w:rsidRDefault="00AE0D98" w:rsidP="00AE0D98">
      <w:pPr>
        <w:jc w:val="right"/>
        <w:rPr>
          <w:sz w:val="18"/>
          <w:szCs w:val="24"/>
        </w:rPr>
      </w:pPr>
    </w:p>
    <w:p w14:paraId="4B7F9536" w14:textId="77777777" w:rsidR="00AE0D98" w:rsidRDefault="00AE0D98" w:rsidP="00AE0D98">
      <w:pPr>
        <w:jc w:val="right"/>
        <w:rPr>
          <w:sz w:val="18"/>
          <w:szCs w:val="24"/>
        </w:rPr>
      </w:pPr>
    </w:p>
    <w:p w14:paraId="732309AD" w14:textId="77777777" w:rsidR="00AE0D98" w:rsidRDefault="00AE0D98" w:rsidP="00AE0D98">
      <w:pPr>
        <w:jc w:val="right"/>
        <w:rPr>
          <w:sz w:val="18"/>
          <w:szCs w:val="24"/>
        </w:rPr>
      </w:pPr>
    </w:p>
    <w:p w14:paraId="0846510A" w14:textId="77777777" w:rsidR="00AE0D98" w:rsidRDefault="00AE0D98" w:rsidP="00AE0D98">
      <w:pPr>
        <w:jc w:val="right"/>
        <w:rPr>
          <w:sz w:val="18"/>
          <w:szCs w:val="24"/>
        </w:rPr>
      </w:pPr>
    </w:p>
    <w:p w14:paraId="4F1BCC1D" w14:textId="77777777" w:rsidR="00AE0D98" w:rsidRPr="00AE0D98" w:rsidRDefault="00AE0D98" w:rsidP="00AE0D98">
      <w:pPr>
        <w:pStyle w:val="Sinespaciado"/>
        <w:ind w:left="567" w:right="49"/>
        <w:jc w:val="both"/>
        <w:rPr>
          <w:rFonts w:ascii="Times New Roman" w:hAnsi="Times New Roman"/>
          <w:bCs/>
          <w:sz w:val="24"/>
          <w:szCs w:val="24"/>
          <w:lang w:val="es-MX"/>
        </w:rPr>
      </w:pPr>
    </w:p>
    <w:p w14:paraId="0924EFEC" w14:textId="77777777" w:rsidR="00AE0D98" w:rsidRDefault="00AE0D98" w:rsidP="00AE0D98">
      <w:pPr>
        <w:pStyle w:val="Sinespaciado"/>
        <w:ind w:left="567" w:right="49"/>
        <w:jc w:val="both"/>
        <w:rPr>
          <w:rFonts w:ascii="Times New Roman" w:hAnsi="Times New Roman"/>
          <w:bCs/>
          <w:sz w:val="18"/>
          <w:szCs w:val="18"/>
          <w:lang w:val="es-MX"/>
        </w:rPr>
      </w:pPr>
    </w:p>
    <w:p w14:paraId="54407476" w14:textId="45018042" w:rsidR="00AE0D98" w:rsidRPr="00AE0D98" w:rsidRDefault="00AE0D98" w:rsidP="00B51A48">
      <w:pPr>
        <w:pStyle w:val="Sinespaciado"/>
        <w:ind w:left="1983" w:right="49" w:firstLine="141"/>
        <w:jc w:val="both"/>
        <w:rPr>
          <w:rFonts w:ascii="Times New Roman" w:hAnsi="Times New Roman"/>
          <w:bCs/>
          <w:sz w:val="18"/>
          <w:szCs w:val="18"/>
          <w:lang w:val="es-MX"/>
        </w:rPr>
      </w:pPr>
      <w:r w:rsidRPr="00AE0D98">
        <w:rPr>
          <w:rFonts w:ascii="Times New Roman" w:hAnsi="Times New Roman"/>
          <w:bCs/>
          <w:sz w:val="18"/>
          <w:szCs w:val="18"/>
          <w:lang w:val="es-MX"/>
        </w:rPr>
        <w:t xml:space="preserve">Fuente: </w:t>
      </w:r>
      <w:r>
        <w:rPr>
          <w:rFonts w:ascii="Times New Roman" w:hAnsi="Times New Roman"/>
          <w:bCs/>
          <w:sz w:val="18"/>
          <w:szCs w:val="18"/>
          <w:lang w:val="es-MX"/>
        </w:rPr>
        <w:t>S</w:t>
      </w:r>
      <w:r w:rsidRPr="00AE0D98">
        <w:rPr>
          <w:rFonts w:ascii="Times New Roman" w:hAnsi="Times New Roman"/>
          <w:bCs/>
          <w:sz w:val="18"/>
          <w:szCs w:val="18"/>
          <w:lang w:val="es-MX"/>
        </w:rPr>
        <w:t>icoin</w:t>
      </w:r>
      <w:r w:rsidR="002B7978">
        <w:rPr>
          <w:rFonts w:ascii="Times New Roman" w:hAnsi="Times New Roman"/>
          <w:bCs/>
          <w:sz w:val="18"/>
          <w:szCs w:val="18"/>
          <w:lang w:val="es-MX"/>
        </w:rPr>
        <w:t xml:space="preserve"> </w:t>
      </w:r>
      <w:r w:rsidRPr="00AE0D98">
        <w:rPr>
          <w:rFonts w:ascii="Times New Roman" w:hAnsi="Times New Roman"/>
          <w:bCs/>
          <w:sz w:val="18"/>
          <w:szCs w:val="18"/>
          <w:lang w:val="es-MX"/>
        </w:rPr>
        <w:t>GL</w:t>
      </w:r>
    </w:p>
    <w:p w14:paraId="1E17C31E" w14:textId="77777777" w:rsidR="00AE0D98" w:rsidRPr="00567C11" w:rsidRDefault="00AE0D98" w:rsidP="00AE0D98">
      <w:pPr>
        <w:jc w:val="center"/>
        <w:rPr>
          <w:sz w:val="24"/>
          <w:szCs w:val="24"/>
        </w:rPr>
      </w:pPr>
    </w:p>
    <w:p w14:paraId="5D7578DC" w14:textId="77777777" w:rsidR="00AE0D98" w:rsidRPr="00AE0D98" w:rsidRDefault="00AE0D98" w:rsidP="00AE0D98">
      <w:pPr>
        <w:pStyle w:val="Sinespaciado"/>
        <w:ind w:left="567" w:right="49"/>
        <w:jc w:val="both"/>
        <w:rPr>
          <w:rFonts w:ascii="Times New Roman" w:hAnsi="Times New Roman"/>
          <w:bCs/>
          <w:sz w:val="24"/>
          <w:szCs w:val="24"/>
          <w:lang w:val="es-MX"/>
        </w:rPr>
      </w:pPr>
      <w:r w:rsidRPr="00AE0D98">
        <w:rPr>
          <w:rFonts w:ascii="Times New Roman" w:hAnsi="Times New Roman"/>
          <w:bCs/>
          <w:sz w:val="24"/>
          <w:szCs w:val="24"/>
          <w:lang w:val="es-MX"/>
        </w:rPr>
        <w:t>Un total de 132 municipalidades (39%) tienen una inversión real directa por habitante menor al promedio del grupo institucional, mientras que 184 municipalidades (54%) realiza una inversión de hasta Q1,600 por cada habitante, 22 municipalidades (6.6%) tienen una inversión de hasta Q4,000 por habitante y solamente 2 municipalidades (0.6%) alcanzan una inversión mayor a Q6,000 por habitante.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4393"/>
      </w:tblGrid>
      <w:tr w:rsidR="00AE0D98" w:rsidRPr="002955CD" w14:paraId="5E64AD65" w14:textId="77777777" w:rsidTr="003C74C1">
        <w:tc>
          <w:tcPr>
            <w:tcW w:w="8828" w:type="dxa"/>
            <w:gridSpan w:val="2"/>
          </w:tcPr>
          <w:p w14:paraId="1B74BA3F" w14:textId="77777777" w:rsidR="00AE0D98" w:rsidRDefault="00AE0D98" w:rsidP="003C74C1">
            <w:pPr>
              <w:jc w:val="center"/>
              <w:rPr>
                <w:b/>
                <w:bCs/>
                <w:sz w:val="24"/>
                <w:szCs w:val="24"/>
              </w:rPr>
            </w:pPr>
          </w:p>
          <w:p w14:paraId="7EAA8182" w14:textId="3A92BAEB" w:rsidR="00AE0D98" w:rsidRPr="002955CD" w:rsidRDefault="00AF7163" w:rsidP="003C74C1">
            <w:pPr>
              <w:jc w:val="center"/>
              <w:rPr>
                <w:b/>
                <w:bCs/>
                <w:sz w:val="24"/>
                <w:szCs w:val="24"/>
              </w:rPr>
            </w:pPr>
            <w:r>
              <w:rPr>
                <w:b/>
                <w:bCs/>
                <w:sz w:val="24"/>
                <w:szCs w:val="24"/>
              </w:rPr>
              <w:t xml:space="preserve">Gráfica 40.  </w:t>
            </w:r>
            <w:r w:rsidR="00AE0D98" w:rsidRPr="002955CD">
              <w:rPr>
                <w:b/>
                <w:bCs/>
                <w:sz w:val="24"/>
                <w:szCs w:val="24"/>
              </w:rPr>
              <w:t>Principales Municipalidades</w:t>
            </w:r>
          </w:p>
          <w:p w14:paraId="6E376683" w14:textId="77777777" w:rsidR="00AE0D98" w:rsidRPr="002955CD" w:rsidRDefault="00AE0D98" w:rsidP="003C74C1">
            <w:pPr>
              <w:jc w:val="center"/>
              <w:rPr>
                <w:sz w:val="24"/>
                <w:szCs w:val="24"/>
              </w:rPr>
            </w:pPr>
            <w:r>
              <w:rPr>
                <w:sz w:val="24"/>
                <w:szCs w:val="24"/>
              </w:rPr>
              <w:t>p</w:t>
            </w:r>
            <w:r w:rsidRPr="002955CD">
              <w:rPr>
                <w:sz w:val="24"/>
                <w:szCs w:val="24"/>
              </w:rPr>
              <w:t>ara el año 2020</w:t>
            </w:r>
          </w:p>
        </w:tc>
      </w:tr>
      <w:tr w:rsidR="00AE0D98" w:rsidRPr="002955CD" w14:paraId="4488A5F8" w14:textId="77777777" w:rsidTr="003C74C1">
        <w:tblPrEx>
          <w:tblCellMar>
            <w:left w:w="70" w:type="dxa"/>
            <w:right w:w="70" w:type="dxa"/>
          </w:tblCellMar>
        </w:tblPrEx>
        <w:tc>
          <w:tcPr>
            <w:tcW w:w="4435" w:type="dxa"/>
          </w:tcPr>
          <w:p w14:paraId="575CD4A1" w14:textId="60599A52" w:rsidR="00AE0D98" w:rsidRPr="002955CD" w:rsidRDefault="00AE0D98" w:rsidP="003C74C1">
            <w:pPr>
              <w:rPr>
                <w:sz w:val="24"/>
                <w:szCs w:val="24"/>
              </w:rPr>
            </w:pPr>
          </w:p>
        </w:tc>
        <w:tc>
          <w:tcPr>
            <w:tcW w:w="4393" w:type="dxa"/>
          </w:tcPr>
          <w:p w14:paraId="1F5615A2" w14:textId="688227E9" w:rsidR="00AE0D98" w:rsidRPr="002955CD" w:rsidRDefault="00AE0D98" w:rsidP="003C74C1">
            <w:pPr>
              <w:rPr>
                <w:sz w:val="24"/>
                <w:szCs w:val="24"/>
              </w:rPr>
            </w:pPr>
            <w:r>
              <w:rPr>
                <w:noProof/>
                <w:sz w:val="18"/>
                <w:szCs w:val="24"/>
                <w:lang w:val="es-GT" w:eastAsia="es-GT"/>
              </w:rPr>
              <mc:AlternateContent>
                <mc:Choice Requires="wpg">
                  <w:drawing>
                    <wp:anchor distT="0" distB="0" distL="114300" distR="114300" simplePos="0" relativeHeight="251740159" behindDoc="1" locked="0" layoutInCell="1" allowOverlap="1" wp14:anchorId="21CF3870" wp14:editId="71D65D0D">
                      <wp:simplePos x="0" y="0"/>
                      <wp:positionH relativeFrom="column">
                        <wp:posOffset>-2456815</wp:posOffset>
                      </wp:positionH>
                      <wp:positionV relativeFrom="paragraph">
                        <wp:posOffset>140335</wp:posOffset>
                      </wp:positionV>
                      <wp:extent cx="5502910" cy="2807335"/>
                      <wp:effectExtent l="0" t="0" r="2540" b="0"/>
                      <wp:wrapNone/>
                      <wp:docPr id="255" name="Group 255"/>
                      <wp:cNvGraphicFramePr/>
                      <a:graphic xmlns:a="http://schemas.openxmlformats.org/drawingml/2006/main">
                        <a:graphicData uri="http://schemas.microsoft.com/office/word/2010/wordprocessingGroup">
                          <wpg:wgp>
                            <wpg:cNvGrpSpPr/>
                            <wpg:grpSpPr>
                              <a:xfrm>
                                <a:off x="0" y="0"/>
                                <a:ext cx="5502910" cy="2807335"/>
                                <a:chOff x="0" y="0"/>
                                <a:chExt cx="5502910" cy="2807335"/>
                              </a:xfrm>
                            </wpg:grpSpPr>
                            <wpg:graphicFrame>
                              <wpg:cNvPr id="254" name="Gráfico 2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FD85309-44CF-4B03-B3AE-3C22E7D55753}"/>
                                  </a:ext>
                                </a:extLst>
                              </wpg:cNvPr>
                              <wpg:cNvFrPr/>
                              <wpg:xfrm>
                                <a:off x="2838450" y="0"/>
                                <a:ext cx="2664460" cy="2807335"/>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253" name="Gráfico 2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54E274B-6F9C-4D97-869D-A537DEC1D6EC}"/>
                                  </a:ext>
                                </a:extLst>
                              </wpg:cNvPr>
                              <wpg:cNvFrPr/>
                              <wpg:xfrm>
                                <a:off x="0" y="0"/>
                                <a:ext cx="2727325" cy="2807335"/>
                              </wpg:xfrm>
                              <a:graphic>
                                <a:graphicData uri="http://schemas.openxmlformats.org/drawingml/2006/chart">
                                  <c:chart xmlns:c="http://schemas.openxmlformats.org/drawingml/2006/chart" xmlns:r="http://schemas.openxmlformats.org/officeDocument/2006/relationships" r:id="rId58"/>
                                </a:graphicData>
                              </a:graphic>
                            </wpg:graphicFrame>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17F51579" id="Group 255" o:spid="_x0000_s1026" style="position:absolute;margin-left:-193.45pt;margin-top:11.05pt;width:433.3pt;height:221.05pt;z-index:-251576321" coordsize="55029,28073"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6" o:spid="_x0000_s1027" type="#_x0000_t75" style="position:absolute;left:28407;width:26639;height:28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">
                        <v:imagedata r:id="rId59" o:title=""/>
                        <o:lock v:ext="edit" aspectratio="f"/>
                      </v:shape>
                      <v:shape id="Gráfico 25" o:spid="_x0000_s1028" type="#_x0000_t75" style="position:absolute;width:27249;height:28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">
                        <v:imagedata r:id="rId60" o:title=""/>
                        <o:lock v:ext="edit" aspectratio="f"/>
                      </v:shape>
                    </v:group>
                  </w:pict>
                </mc:Fallback>
              </mc:AlternateContent>
            </w:r>
          </w:p>
        </w:tc>
      </w:tr>
    </w:tbl>
    <w:p w14:paraId="36D57ED6" w14:textId="77777777" w:rsidR="00AE0D98" w:rsidRDefault="00AE0D98" w:rsidP="00AE0D98">
      <w:pPr>
        <w:pStyle w:val="Sinespaciado"/>
        <w:ind w:left="425" w:right="49"/>
        <w:jc w:val="both"/>
        <w:rPr>
          <w:rFonts w:ascii="Times New Roman" w:hAnsi="Times New Roman"/>
          <w:bCs/>
          <w:sz w:val="18"/>
          <w:szCs w:val="24"/>
          <w:lang w:val="es-MX"/>
        </w:rPr>
      </w:pPr>
    </w:p>
    <w:p w14:paraId="02CF1421" w14:textId="77777777" w:rsidR="00AE0D98" w:rsidRDefault="00AE0D98" w:rsidP="00AE0D98">
      <w:pPr>
        <w:pStyle w:val="Sinespaciado"/>
        <w:ind w:left="425" w:right="49"/>
        <w:jc w:val="both"/>
        <w:rPr>
          <w:rFonts w:ascii="Times New Roman" w:hAnsi="Times New Roman"/>
          <w:bCs/>
          <w:sz w:val="18"/>
          <w:szCs w:val="24"/>
          <w:lang w:val="es-MX"/>
        </w:rPr>
      </w:pPr>
    </w:p>
    <w:p w14:paraId="16A5700E" w14:textId="77777777" w:rsidR="00AE0D98" w:rsidRDefault="00AE0D98" w:rsidP="00AE0D98">
      <w:pPr>
        <w:pStyle w:val="Sinespaciado"/>
        <w:ind w:left="425" w:right="49"/>
        <w:jc w:val="both"/>
        <w:rPr>
          <w:rFonts w:ascii="Times New Roman" w:hAnsi="Times New Roman"/>
          <w:bCs/>
          <w:sz w:val="18"/>
          <w:szCs w:val="24"/>
          <w:lang w:val="es-MX"/>
        </w:rPr>
      </w:pPr>
    </w:p>
    <w:p w14:paraId="574158AB" w14:textId="77777777" w:rsidR="00AE0D98" w:rsidRDefault="00AE0D98" w:rsidP="00AE0D98">
      <w:pPr>
        <w:pStyle w:val="Sinespaciado"/>
        <w:ind w:left="425" w:right="49"/>
        <w:jc w:val="both"/>
        <w:rPr>
          <w:rFonts w:ascii="Times New Roman" w:hAnsi="Times New Roman"/>
          <w:bCs/>
          <w:sz w:val="18"/>
          <w:szCs w:val="24"/>
          <w:lang w:val="es-MX"/>
        </w:rPr>
      </w:pPr>
    </w:p>
    <w:p w14:paraId="36BE47F2" w14:textId="77777777" w:rsidR="00AE0D98" w:rsidRDefault="00AE0D98" w:rsidP="00AE0D98">
      <w:pPr>
        <w:pStyle w:val="Sinespaciado"/>
        <w:ind w:left="425" w:right="49"/>
        <w:jc w:val="both"/>
        <w:rPr>
          <w:rFonts w:ascii="Times New Roman" w:hAnsi="Times New Roman"/>
          <w:bCs/>
          <w:sz w:val="18"/>
          <w:szCs w:val="24"/>
          <w:lang w:val="es-MX"/>
        </w:rPr>
      </w:pPr>
    </w:p>
    <w:p w14:paraId="255696D9" w14:textId="77777777" w:rsidR="00AE0D98" w:rsidRDefault="00AE0D98" w:rsidP="00AE0D98">
      <w:pPr>
        <w:pStyle w:val="Sinespaciado"/>
        <w:ind w:left="425" w:right="49"/>
        <w:jc w:val="both"/>
        <w:rPr>
          <w:rFonts w:ascii="Times New Roman" w:hAnsi="Times New Roman"/>
          <w:bCs/>
          <w:sz w:val="18"/>
          <w:szCs w:val="24"/>
          <w:lang w:val="es-MX"/>
        </w:rPr>
      </w:pPr>
    </w:p>
    <w:p w14:paraId="17125534" w14:textId="77777777" w:rsidR="00AE0D98" w:rsidRDefault="00AE0D98" w:rsidP="00AE0D98">
      <w:pPr>
        <w:pStyle w:val="Sinespaciado"/>
        <w:ind w:left="425" w:right="49"/>
        <w:jc w:val="both"/>
        <w:rPr>
          <w:rFonts w:ascii="Times New Roman" w:hAnsi="Times New Roman"/>
          <w:bCs/>
          <w:sz w:val="18"/>
          <w:szCs w:val="24"/>
          <w:lang w:val="es-MX"/>
        </w:rPr>
      </w:pPr>
    </w:p>
    <w:p w14:paraId="61364ABE" w14:textId="77777777" w:rsidR="00AE0D98" w:rsidRDefault="00AE0D98" w:rsidP="00AE0D98">
      <w:pPr>
        <w:pStyle w:val="Sinespaciado"/>
        <w:ind w:left="425" w:right="49"/>
        <w:jc w:val="both"/>
        <w:rPr>
          <w:rFonts w:ascii="Times New Roman" w:hAnsi="Times New Roman"/>
          <w:bCs/>
          <w:sz w:val="18"/>
          <w:szCs w:val="24"/>
          <w:lang w:val="es-MX"/>
        </w:rPr>
      </w:pPr>
    </w:p>
    <w:p w14:paraId="73455AD8" w14:textId="77777777" w:rsidR="00AE0D98" w:rsidRDefault="00AE0D98" w:rsidP="00AE0D98">
      <w:pPr>
        <w:pStyle w:val="Sinespaciado"/>
        <w:ind w:left="425" w:right="49"/>
        <w:jc w:val="both"/>
        <w:rPr>
          <w:rFonts w:ascii="Times New Roman" w:hAnsi="Times New Roman"/>
          <w:bCs/>
          <w:sz w:val="18"/>
          <w:szCs w:val="24"/>
          <w:lang w:val="es-MX"/>
        </w:rPr>
      </w:pPr>
    </w:p>
    <w:p w14:paraId="28AEBE79" w14:textId="77777777" w:rsidR="00AE0D98" w:rsidRDefault="00AE0D98" w:rsidP="00AE0D98">
      <w:pPr>
        <w:pStyle w:val="Sinespaciado"/>
        <w:ind w:left="425" w:right="49"/>
        <w:jc w:val="both"/>
        <w:rPr>
          <w:rFonts w:ascii="Times New Roman" w:hAnsi="Times New Roman"/>
          <w:bCs/>
          <w:sz w:val="18"/>
          <w:szCs w:val="24"/>
          <w:lang w:val="es-MX"/>
        </w:rPr>
      </w:pPr>
    </w:p>
    <w:p w14:paraId="5D4D891B" w14:textId="77777777" w:rsidR="00AE0D98" w:rsidRDefault="00AE0D98" w:rsidP="00AE0D98">
      <w:pPr>
        <w:pStyle w:val="Sinespaciado"/>
        <w:ind w:left="425" w:right="49"/>
        <w:jc w:val="both"/>
        <w:rPr>
          <w:rFonts w:ascii="Times New Roman" w:hAnsi="Times New Roman"/>
          <w:bCs/>
          <w:sz w:val="18"/>
          <w:szCs w:val="24"/>
          <w:lang w:val="es-MX"/>
        </w:rPr>
      </w:pPr>
    </w:p>
    <w:p w14:paraId="22B57A72" w14:textId="77777777" w:rsidR="00AE0D98" w:rsidRDefault="00AE0D98" w:rsidP="00AE0D98">
      <w:pPr>
        <w:pStyle w:val="Sinespaciado"/>
        <w:ind w:left="425" w:right="49"/>
        <w:jc w:val="both"/>
        <w:rPr>
          <w:rFonts w:ascii="Times New Roman" w:hAnsi="Times New Roman"/>
          <w:bCs/>
          <w:sz w:val="18"/>
          <w:szCs w:val="24"/>
          <w:lang w:val="es-MX"/>
        </w:rPr>
      </w:pPr>
    </w:p>
    <w:p w14:paraId="73A60624" w14:textId="77777777" w:rsidR="00AE0D98" w:rsidRDefault="00AE0D98" w:rsidP="00AE0D98">
      <w:pPr>
        <w:pStyle w:val="Sinespaciado"/>
        <w:ind w:left="425" w:right="49"/>
        <w:jc w:val="both"/>
        <w:rPr>
          <w:rFonts w:ascii="Times New Roman" w:hAnsi="Times New Roman"/>
          <w:bCs/>
          <w:sz w:val="18"/>
          <w:szCs w:val="24"/>
          <w:lang w:val="es-MX"/>
        </w:rPr>
      </w:pPr>
    </w:p>
    <w:p w14:paraId="4C79BC6F" w14:textId="77777777" w:rsidR="00AE0D98" w:rsidRDefault="00AE0D98" w:rsidP="00AE0D98">
      <w:pPr>
        <w:pStyle w:val="Sinespaciado"/>
        <w:ind w:left="425" w:right="49"/>
        <w:jc w:val="both"/>
        <w:rPr>
          <w:rFonts w:ascii="Times New Roman" w:hAnsi="Times New Roman"/>
          <w:bCs/>
          <w:sz w:val="18"/>
          <w:szCs w:val="24"/>
          <w:lang w:val="es-MX"/>
        </w:rPr>
      </w:pPr>
    </w:p>
    <w:p w14:paraId="0C8677EB" w14:textId="77777777" w:rsidR="00AE0D98" w:rsidRDefault="00AE0D98" w:rsidP="00AE0D98">
      <w:pPr>
        <w:pStyle w:val="Sinespaciado"/>
        <w:ind w:left="425" w:right="49"/>
        <w:jc w:val="both"/>
        <w:rPr>
          <w:rFonts w:ascii="Times New Roman" w:hAnsi="Times New Roman"/>
          <w:bCs/>
          <w:sz w:val="18"/>
          <w:szCs w:val="24"/>
          <w:lang w:val="es-MX"/>
        </w:rPr>
      </w:pPr>
    </w:p>
    <w:p w14:paraId="69007870" w14:textId="77777777" w:rsidR="00AE0D98" w:rsidRDefault="00AE0D98" w:rsidP="00AE0D98">
      <w:pPr>
        <w:pStyle w:val="Sinespaciado"/>
        <w:ind w:left="425" w:right="49"/>
        <w:jc w:val="both"/>
        <w:rPr>
          <w:rFonts w:ascii="Times New Roman" w:hAnsi="Times New Roman"/>
          <w:bCs/>
          <w:sz w:val="18"/>
          <w:szCs w:val="24"/>
          <w:lang w:val="es-MX"/>
        </w:rPr>
      </w:pPr>
    </w:p>
    <w:p w14:paraId="2527145E" w14:textId="77777777" w:rsidR="00AE0D98" w:rsidRDefault="00AE0D98" w:rsidP="00AE0D98">
      <w:pPr>
        <w:pStyle w:val="Sinespaciado"/>
        <w:ind w:left="425" w:right="49"/>
        <w:jc w:val="both"/>
        <w:rPr>
          <w:rFonts w:ascii="Times New Roman" w:hAnsi="Times New Roman"/>
          <w:bCs/>
          <w:sz w:val="18"/>
          <w:szCs w:val="24"/>
          <w:lang w:val="es-MX"/>
        </w:rPr>
      </w:pPr>
    </w:p>
    <w:p w14:paraId="350FD908" w14:textId="77777777" w:rsidR="00AE0D98" w:rsidRDefault="00AE0D98" w:rsidP="00AE0D98">
      <w:pPr>
        <w:pStyle w:val="Sinespaciado"/>
        <w:ind w:left="425" w:right="49"/>
        <w:jc w:val="both"/>
        <w:rPr>
          <w:rFonts w:ascii="Times New Roman" w:hAnsi="Times New Roman"/>
          <w:bCs/>
          <w:sz w:val="18"/>
          <w:szCs w:val="24"/>
          <w:lang w:val="es-MX"/>
        </w:rPr>
      </w:pPr>
    </w:p>
    <w:p w14:paraId="49EF324F" w14:textId="77777777" w:rsidR="00AE0D98" w:rsidRDefault="00AE0D98" w:rsidP="00AE0D98">
      <w:pPr>
        <w:pStyle w:val="Sinespaciado"/>
        <w:ind w:left="425" w:right="49"/>
        <w:jc w:val="both"/>
        <w:rPr>
          <w:rFonts w:ascii="Times New Roman" w:hAnsi="Times New Roman"/>
          <w:bCs/>
          <w:sz w:val="18"/>
          <w:szCs w:val="24"/>
          <w:lang w:val="es-MX"/>
        </w:rPr>
      </w:pPr>
    </w:p>
    <w:p w14:paraId="3574C802" w14:textId="77777777" w:rsidR="00AE0D98" w:rsidRDefault="00AE0D98" w:rsidP="00AE0D98">
      <w:pPr>
        <w:pStyle w:val="Sinespaciado"/>
        <w:ind w:left="425" w:right="49"/>
        <w:jc w:val="both"/>
        <w:rPr>
          <w:rFonts w:ascii="Times New Roman" w:hAnsi="Times New Roman"/>
          <w:bCs/>
          <w:sz w:val="18"/>
          <w:szCs w:val="24"/>
          <w:lang w:val="es-MX"/>
        </w:rPr>
      </w:pPr>
    </w:p>
    <w:p w14:paraId="77DED1D2" w14:textId="77777777" w:rsidR="00AE0D98" w:rsidRDefault="00AE0D98" w:rsidP="00AE0D98">
      <w:pPr>
        <w:pStyle w:val="Sinespaciado"/>
        <w:ind w:left="425" w:right="49"/>
        <w:jc w:val="both"/>
        <w:rPr>
          <w:rFonts w:ascii="Times New Roman" w:hAnsi="Times New Roman"/>
          <w:bCs/>
          <w:sz w:val="18"/>
          <w:szCs w:val="24"/>
          <w:lang w:val="es-MX"/>
        </w:rPr>
      </w:pPr>
    </w:p>
    <w:p w14:paraId="4953E4D3" w14:textId="16158750" w:rsidR="00AE0D98" w:rsidRPr="00AE0D98" w:rsidRDefault="00AE0D98" w:rsidP="00B51A48">
      <w:pPr>
        <w:pStyle w:val="Sinespaciado"/>
        <w:ind w:left="425" w:right="49" w:firstLine="283"/>
        <w:jc w:val="both"/>
        <w:rPr>
          <w:rFonts w:ascii="Times New Roman" w:hAnsi="Times New Roman"/>
          <w:bCs/>
          <w:sz w:val="18"/>
          <w:szCs w:val="24"/>
          <w:lang w:val="es-MX"/>
        </w:rPr>
      </w:pPr>
      <w:r w:rsidRPr="00AE0D98">
        <w:rPr>
          <w:rFonts w:ascii="Times New Roman" w:hAnsi="Times New Roman"/>
          <w:bCs/>
          <w:sz w:val="18"/>
          <w:szCs w:val="24"/>
          <w:lang w:val="es-MX"/>
        </w:rPr>
        <w:t>Fuente: Sicoin</w:t>
      </w:r>
      <w:r w:rsidR="002B7978">
        <w:rPr>
          <w:rFonts w:ascii="Times New Roman" w:hAnsi="Times New Roman"/>
          <w:bCs/>
          <w:sz w:val="18"/>
          <w:szCs w:val="24"/>
          <w:lang w:val="es-MX"/>
        </w:rPr>
        <w:t xml:space="preserve"> </w:t>
      </w:r>
      <w:r w:rsidRPr="00AE0D98">
        <w:rPr>
          <w:rFonts w:ascii="Times New Roman" w:hAnsi="Times New Roman"/>
          <w:bCs/>
          <w:sz w:val="18"/>
          <w:szCs w:val="24"/>
          <w:lang w:val="es-MX"/>
        </w:rPr>
        <w:t>GL</w:t>
      </w:r>
    </w:p>
    <w:p w14:paraId="7870CB4C" w14:textId="77594E9E" w:rsidR="00AE0D98" w:rsidRDefault="00AE0D98" w:rsidP="00AE0D98">
      <w:pPr>
        <w:pStyle w:val="Ttulo1"/>
        <w:widowControl/>
        <w:ind w:left="567" w:right="49"/>
        <w:jc w:val="both"/>
        <w:rPr>
          <w:color w:val="1F3864" w:themeColor="accent1" w:themeShade="80"/>
          <w:sz w:val="24"/>
          <w:szCs w:val="24"/>
        </w:rPr>
      </w:pPr>
    </w:p>
    <w:p w14:paraId="3829EE3F" w14:textId="0C499275" w:rsidR="00113F85" w:rsidRDefault="00113F85" w:rsidP="00113F85"/>
    <w:p w14:paraId="7D84490C" w14:textId="208D282E" w:rsidR="00113F85" w:rsidRDefault="00113F85" w:rsidP="00113F85"/>
    <w:p w14:paraId="2D34C8CC" w14:textId="7006E84F" w:rsidR="00113F85" w:rsidRDefault="00113F85" w:rsidP="00113F85"/>
    <w:p w14:paraId="4F4A1780" w14:textId="77777777" w:rsidR="00113F85" w:rsidRPr="0083128A" w:rsidRDefault="00113F85" w:rsidP="0083128A">
      <w:pPr>
        <w:pStyle w:val="Ttulo1"/>
        <w:widowControl/>
        <w:numPr>
          <w:ilvl w:val="1"/>
          <w:numId w:val="5"/>
        </w:numPr>
        <w:ind w:left="993" w:right="49"/>
        <w:jc w:val="both"/>
        <w:rPr>
          <w:color w:val="1F3864" w:themeColor="accent1" w:themeShade="80"/>
          <w:sz w:val="24"/>
          <w:szCs w:val="24"/>
        </w:rPr>
      </w:pPr>
      <w:bookmarkStart w:id="67" w:name="_Toc83302175"/>
      <w:r w:rsidRPr="0083128A">
        <w:rPr>
          <w:color w:val="1F3864" w:themeColor="accent1" w:themeShade="80"/>
          <w:sz w:val="24"/>
          <w:szCs w:val="24"/>
        </w:rPr>
        <w:t>Liquidez Financiera</w:t>
      </w:r>
      <w:bookmarkEnd w:id="67"/>
    </w:p>
    <w:p w14:paraId="42154180" w14:textId="77777777" w:rsidR="0083128A" w:rsidRDefault="0083128A" w:rsidP="00113F85">
      <w:pPr>
        <w:pStyle w:val="Sinespaciado"/>
        <w:ind w:left="425" w:right="49"/>
        <w:jc w:val="both"/>
        <w:rPr>
          <w:rFonts w:ascii="Times New Roman" w:hAnsi="Times New Roman"/>
          <w:bCs/>
          <w:sz w:val="24"/>
          <w:szCs w:val="24"/>
          <w:lang w:val="es-MX"/>
        </w:rPr>
      </w:pPr>
    </w:p>
    <w:p w14:paraId="6874759F" w14:textId="20B7B130" w:rsidR="00113F85" w:rsidRPr="00113F85" w:rsidRDefault="00113F85" w:rsidP="00113F85">
      <w:pPr>
        <w:pStyle w:val="Sinespaciado"/>
        <w:ind w:left="425" w:right="49"/>
        <w:jc w:val="both"/>
        <w:rPr>
          <w:rFonts w:ascii="Times New Roman" w:hAnsi="Times New Roman"/>
          <w:bCs/>
          <w:sz w:val="24"/>
          <w:szCs w:val="24"/>
          <w:lang w:val="es-MX"/>
        </w:rPr>
      </w:pPr>
      <w:r w:rsidRPr="00113F85">
        <w:rPr>
          <w:rFonts w:ascii="Times New Roman" w:hAnsi="Times New Roman"/>
          <w:bCs/>
          <w:sz w:val="24"/>
          <w:szCs w:val="24"/>
          <w:lang w:val="es-MX"/>
        </w:rPr>
        <w:t>Dentro del artículo 99 del Código Municipal, se reconoce que las finanzas del municipio comprenden el conjunto de bienes, ingresos y obligaciones que conforman el activo y el pasivo del municipio.</w:t>
      </w:r>
    </w:p>
    <w:p w14:paraId="56D132B9" w14:textId="77777777" w:rsidR="00113F85" w:rsidRPr="00113F85" w:rsidRDefault="00113F85" w:rsidP="00113F85">
      <w:pPr>
        <w:pStyle w:val="Sinespaciado"/>
        <w:ind w:left="425" w:right="49"/>
        <w:jc w:val="both"/>
        <w:rPr>
          <w:rFonts w:ascii="Times New Roman" w:hAnsi="Times New Roman"/>
          <w:bCs/>
          <w:sz w:val="24"/>
          <w:szCs w:val="24"/>
          <w:lang w:val="es-MX"/>
        </w:rPr>
      </w:pPr>
    </w:p>
    <w:p w14:paraId="3293B481" w14:textId="29E98526" w:rsidR="00113F85" w:rsidRPr="00113F85" w:rsidRDefault="00113F85" w:rsidP="00113F85">
      <w:pPr>
        <w:pStyle w:val="Sinespaciado"/>
        <w:ind w:left="425" w:right="49"/>
        <w:jc w:val="both"/>
        <w:rPr>
          <w:rFonts w:ascii="Times New Roman" w:hAnsi="Times New Roman"/>
          <w:bCs/>
          <w:sz w:val="24"/>
          <w:szCs w:val="24"/>
          <w:lang w:val="es-MX"/>
        </w:rPr>
      </w:pPr>
      <w:r w:rsidRPr="00113F85">
        <w:rPr>
          <w:rFonts w:ascii="Times New Roman" w:hAnsi="Times New Roman"/>
          <w:bCs/>
          <w:sz w:val="24"/>
          <w:szCs w:val="24"/>
          <w:lang w:val="es-MX"/>
        </w:rPr>
        <w:t>El indicador de liquidez financiera considera los activos corrientes versus pasivos corrientes, los cuales determinan la capacidad que tiene una municipalidad para poder hacer frente a sus obligaciones de pago de corto plazo respaldándose para ello en sus activos corrientes, es decir, en los activos que tienen una mayor facilidad de convertirse en efectivo. En este indicador se consideran los activos como caja y bancos, inversiones temporales, cuentas por cobrar a corto plazo, entre otros; por su parte, los pasivos corrientes están compuestos de las cuentas por pagar de corto plazo, obligaciones de deuda pública de corto plazo. Una mayor disponibilidad de activos significa una mejor gestión</w:t>
      </w:r>
      <w:r w:rsidR="00B45A31">
        <w:rPr>
          <w:rFonts w:ascii="Times New Roman" w:hAnsi="Times New Roman"/>
          <w:bCs/>
          <w:sz w:val="24"/>
          <w:szCs w:val="24"/>
          <w:lang w:val="es-MX"/>
        </w:rPr>
        <w:t xml:space="preserve"> en liquidez financiera</w:t>
      </w:r>
      <w:r w:rsidRPr="00113F85">
        <w:rPr>
          <w:rFonts w:ascii="Times New Roman" w:hAnsi="Times New Roman"/>
          <w:bCs/>
          <w:sz w:val="24"/>
          <w:szCs w:val="24"/>
          <w:lang w:val="es-MX"/>
        </w:rPr>
        <w:t>, dado que los pasivos podrían ser cubiertos respaldándose en los activos.</w:t>
      </w:r>
    </w:p>
    <w:p w14:paraId="26A0B0F2" w14:textId="1117543B" w:rsidR="00113F85" w:rsidRDefault="00113F85" w:rsidP="00113F85"/>
    <w:p w14:paraId="22B86CFE" w14:textId="233B7975" w:rsidR="000667E0" w:rsidRPr="000667E0" w:rsidRDefault="000667E0" w:rsidP="000667E0">
      <w:pPr>
        <w:pStyle w:val="Sinespaciado"/>
        <w:ind w:left="425" w:right="49"/>
        <w:jc w:val="both"/>
        <w:rPr>
          <w:rFonts w:ascii="Times New Roman" w:hAnsi="Times New Roman"/>
          <w:bCs/>
          <w:sz w:val="24"/>
          <w:szCs w:val="24"/>
          <w:lang w:val="es-MX"/>
        </w:rPr>
      </w:pPr>
      <w:r w:rsidRPr="000667E0">
        <w:rPr>
          <w:rFonts w:ascii="Times New Roman" w:hAnsi="Times New Roman"/>
          <w:bCs/>
          <w:sz w:val="24"/>
          <w:szCs w:val="24"/>
          <w:lang w:val="es-MX"/>
        </w:rPr>
        <w:t>El nivel de liquidez financiera de las municipalidades, como grupo institucional, es relativamente alta. El promedio entre 2016 y 2020 indica que el activo corriente ha sido de 14.7 veces mayor respecto a los pasivos corrientes. Cabe mencionar que para 2020, el indicador fue de 14.8 veces mayor pese a la situación vivida por la pandemia del Covid-19 y siendo un incremento respecto a lo observado el año previo.</w:t>
      </w:r>
    </w:p>
    <w:p w14:paraId="29BCC51C" w14:textId="77777777" w:rsidR="000667E0" w:rsidRDefault="000667E0" w:rsidP="000667E0">
      <w:pPr>
        <w:pStyle w:val="Sinespaciado"/>
        <w:ind w:left="425" w:right="49"/>
        <w:jc w:val="both"/>
        <w:rPr>
          <w:rFonts w:ascii="Times New Roman" w:hAnsi="Times New Roman"/>
          <w:bCs/>
          <w:sz w:val="24"/>
          <w:szCs w:val="24"/>
          <w:lang w:val="es-MX"/>
        </w:rPr>
      </w:pPr>
    </w:p>
    <w:p w14:paraId="3AA24997" w14:textId="3D2D5C2C" w:rsidR="000667E0" w:rsidRPr="000667E0" w:rsidRDefault="000667E0" w:rsidP="000667E0">
      <w:pPr>
        <w:pStyle w:val="Sinespaciado"/>
        <w:ind w:left="425" w:right="49"/>
        <w:jc w:val="both"/>
        <w:rPr>
          <w:rFonts w:ascii="Times New Roman" w:hAnsi="Times New Roman"/>
          <w:bCs/>
          <w:sz w:val="24"/>
          <w:szCs w:val="24"/>
          <w:lang w:val="es-MX"/>
        </w:rPr>
      </w:pPr>
      <w:r>
        <w:rPr>
          <w:noProof/>
          <w:lang w:val="es-GT" w:eastAsia="es-GT"/>
        </w:rPr>
        <w:drawing>
          <wp:anchor distT="0" distB="0" distL="114300" distR="114300" simplePos="0" relativeHeight="251743232" behindDoc="0" locked="0" layoutInCell="1" allowOverlap="1" wp14:anchorId="1035D476" wp14:editId="10661924">
            <wp:simplePos x="0" y="0"/>
            <wp:positionH relativeFrom="column">
              <wp:posOffset>746760</wp:posOffset>
            </wp:positionH>
            <wp:positionV relativeFrom="paragraph">
              <wp:posOffset>66675</wp:posOffset>
            </wp:positionV>
            <wp:extent cx="5057775" cy="2571750"/>
            <wp:effectExtent l="0" t="0" r="0" b="0"/>
            <wp:wrapSquare wrapText="bothSides"/>
            <wp:docPr id="59" name="Gráfico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D8E7DB3-6CBA-46BE-826B-5BDF61EE3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4F1EADE9" w14:textId="24A28851" w:rsidR="000667E0" w:rsidRDefault="000667E0" w:rsidP="000667E0">
      <w:pPr>
        <w:pStyle w:val="Sinespaciado"/>
        <w:ind w:left="425" w:right="49"/>
        <w:jc w:val="both"/>
        <w:rPr>
          <w:rFonts w:ascii="Times New Roman" w:hAnsi="Times New Roman"/>
          <w:bCs/>
          <w:sz w:val="24"/>
          <w:szCs w:val="24"/>
          <w:lang w:val="es-MX"/>
        </w:rPr>
      </w:pPr>
    </w:p>
    <w:p w14:paraId="0A5446FF" w14:textId="3DA5FCF1" w:rsidR="000667E0" w:rsidRDefault="000667E0" w:rsidP="000667E0">
      <w:pPr>
        <w:pStyle w:val="Sinespaciado"/>
        <w:ind w:left="425" w:right="49"/>
        <w:jc w:val="both"/>
        <w:rPr>
          <w:rFonts w:ascii="Times New Roman" w:hAnsi="Times New Roman"/>
          <w:bCs/>
          <w:sz w:val="24"/>
          <w:szCs w:val="24"/>
          <w:lang w:val="es-MX"/>
        </w:rPr>
      </w:pPr>
    </w:p>
    <w:p w14:paraId="23E57E12" w14:textId="03F9BAF1" w:rsidR="000667E0" w:rsidRDefault="000667E0" w:rsidP="000667E0">
      <w:pPr>
        <w:pStyle w:val="Sinespaciado"/>
        <w:ind w:left="425" w:right="49"/>
        <w:jc w:val="both"/>
        <w:rPr>
          <w:rFonts w:ascii="Times New Roman" w:hAnsi="Times New Roman"/>
          <w:bCs/>
          <w:sz w:val="24"/>
          <w:szCs w:val="24"/>
          <w:lang w:val="es-MX"/>
        </w:rPr>
      </w:pPr>
    </w:p>
    <w:p w14:paraId="1E8574B6" w14:textId="4B0E4B26" w:rsidR="000667E0" w:rsidRDefault="000667E0" w:rsidP="000667E0">
      <w:pPr>
        <w:pStyle w:val="Sinespaciado"/>
        <w:ind w:left="425" w:right="49"/>
        <w:jc w:val="both"/>
        <w:rPr>
          <w:rFonts w:ascii="Times New Roman" w:hAnsi="Times New Roman"/>
          <w:bCs/>
          <w:sz w:val="24"/>
          <w:szCs w:val="24"/>
          <w:lang w:val="es-MX"/>
        </w:rPr>
      </w:pPr>
    </w:p>
    <w:p w14:paraId="7E65C9BE" w14:textId="505A3676" w:rsidR="000667E0" w:rsidRDefault="000667E0" w:rsidP="000667E0">
      <w:pPr>
        <w:pStyle w:val="Sinespaciado"/>
        <w:ind w:left="425" w:right="49"/>
        <w:jc w:val="both"/>
        <w:rPr>
          <w:rFonts w:ascii="Times New Roman" w:hAnsi="Times New Roman"/>
          <w:bCs/>
          <w:sz w:val="24"/>
          <w:szCs w:val="24"/>
          <w:lang w:val="es-MX"/>
        </w:rPr>
      </w:pPr>
    </w:p>
    <w:p w14:paraId="2FE82775" w14:textId="34B96FB5" w:rsidR="000667E0" w:rsidRDefault="000667E0" w:rsidP="000667E0">
      <w:pPr>
        <w:pStyle w:val="Sinespaciado"/>
        <w:ind w:left="425" w:right="49"/>
        <w:jc w:val="both"/>
        <w:rPr>
          <w:rFonts w:ascii="Times New Roman" w:hAnsi="Times New Roman"/>
          <w:bCs/>
          <w:sz w:val="24"/>
          <w:szCs w:val="24"/>
          <w:lang w:val="es-MX"/>
        </w:rPr>
      </w:pPr>
    </w:p>
    <w:p w14:paraId="48FF41F4" w14:textId="20D272DF" w:rsidR="000667E0" w:rsidRDefault="000667E0" w:rsidP="000667E0">
      <w:pPr>
        <w:pStyle w:val="Sinespaciado"/>
        <w:ind w:left="425" w:right="49"/>
        <w:jc w:val="both"/>
        <w:rPr>
          <w:rFonts w:ascii="Times New Roman" w:hAnsi="Times New Roman"/>
          <w:bCs/>
          <w:sz w:val="24"/>
          <w:szCs w:val="24"/>
          <w:lang w:val="es-MX"/>
        </w:rPr>
      </w:pPr>
    </w:p>
    <w:p w14:paraId="448D9899" w14:textId="0A78613F" w:rsidR="000667E0" w:rsidRDefault="000667E0" w:rsidP="000667E0">
      <w:pPr>
        <w:pStyle w:val="Sinespaciado"/>
        <w:ind w:left="425" w:right="49"/>
        <w:jc w:val="both"/>
        <w:rPr>
          <w:rFonts w:ascii="Times New Roman" w:hAnsi="Times New Roman"/>
          <w:bCs/>
          <w:sz w:val="24"/>
          <w:szCs w:val="24"/>
          <w:lang w:val="es-MX"/>
        </w:rPr>
      </w:pPr>
    </w:p>
    <w:p w14:paraId="47377525" w14:textId="21480801" w:rsidR="000667E0" w:rsidRDefault="000667E0" w:rsidP="000667E0">
      <w:pPr>
        <w:pStyle w:val="Sinespaciado"/>
        <w:ind w:left="425" w:right="49"/>
        <w:jc w:val="both"/>
        <w:rPr>
          <w:rFonts w:ascii="Times New Roman" w:hAnsi="Times New Roman"/>
          <w:bCs/>
          <w:sz w:val="24"/>
          <w:szCs w:val="24"/>
          <w:lang w:val="es-MX"/>
        </w:rPr>
      </w:pPr>
    </w:p>
    <w:p w14:paraId="6367CCDA" w14:textId="50AA5B5A" w:rsidR="000667E0" w:rsidRDefault="000667E0" w:rsidP="000667E0">
      <w:pPr>
        <w:pStyle w:val="Sinespaciado"/>
        <w:ind w:left="425" w:right="49"/>
        <w:jc w:val="both"/>
        <w:rPr>
          <w:rFonts w:ascii="Times New Roman" w:hAnsi="Times New Roman"/>
          <w:bCs/>
          <w:sz w:val="24"/>
          <w:szCs w:val="24"/>
          <w:lang w:val="es-MX"/>
        </w:rPr>
      </w:pPr>
    </w:p>
    <w:p w14:paraId="327F7917" w14:textId="77777777" w:rsidR="000667E0" w:rsidRPr="000667E0" w:rsidRDefault="000667E0" w:rsidP="000667E0">
      <w:pPr>
        <w:pStyle w:val="Sinespaciado"/>
        <w:ind w:left="425" w:right="49"/>
        <w:jc w:val="both"/>
        <w:rPr>
          <w:rFonts w:ascii="Times New Roman" w:hAnsi="Times New Roman"/>
          <w:bCs/>
          <w:sz w:val="24"/>
          <w:szCs w:val="24"/>
          <w:lang w:val="es-MX"/>
        </w:rPr>
      </w:pPr>
    </w:p>
    <w:p w14:paraId="32A09D96" w14:textId="2ED8570B" w:rsidR="000667E0" w:rsidRDefault="000667E0" w:rsidP="00113F85"/>
    <w:p w14:paraId="3C900375" w14:textId="77777777" w:rsidR="000667E0" w:rsidRDefault="000667E0" w:rsidP="00113F85"/>
    <w:p w14:paraId="58839105" w14:textId="074FDE06" w:rsidR="000667E0" w:rsidRDefault="000667E0" w:rsidP="00113F85"/>
    <w:p w14:paraId="1E054594" w14:textId="77777777" w:rsidR="000667E0" w:rsidRDefault="000667E0" w:rsidP="00113F85"/>
    <w:p w14:paraId="5D660157" w14:textId="3080FBFB" w:rsidR="00113F85" w:rsidRDefault="000667E0" w:rsidP="00B51A48">
      <w:pPr>
        <w:pStyle w:val="Sinespaciado"/>
        <w:ind w:left="1133" w:right="49" w:firstLine="283"/>
        <w:jc w:val="both"/>
        <w:rPr>
          <w:rFonts w:ascii="Times New Roman" w:hAnsi="Times New Roman"/>
          <w:bCs/>
          <w:sz w:val="18"/>
          <w:szCs w:val="24"/>
          <w:lang w:val="es-MX"/>
        </w:rPr>
      </w:pPr>
      <w:r w:rsidRPr="000667E0">
        <w:rPr>
          <w:rFonts w:ascii="Times New Roman" w:hAnsi="Times New Roman"/>
          <w:bCs/>
          <w:sz w:val="18"/>
          <w:szCs w:val="24"/>
          <w:lang w:val="es-MX"/>
        </w:rPr>
        <w:t>Fuente:</w:t>
      </w:r>
      <w:r>
        <w:rPr>
          <w:rFonts w:ascii="Times New Roman" w:hAnsi="Times New Roman"/>
          <w:bCs/>
          <w:sz w:val="18"/>
          <w:szCs w:val="24"/>
          <w:lang w:val="es-MX"/>
        </w:rPr>
        <w:t xml:space="preserve">  </w:t>
      </w:r>
      <w:r w:rsidRPr="000667E0">
        <w:rPr>
          <w:rFonts w:ascii="Times New Roman" w:hAnsi="Times New Roman"/>
          <w:bCs/>
          <w:sz w:val="18"/>
          <w:szCs w:val="24"/>
          <w:lang w:val="es-MX"/>
        </w:rPr>
        <w:t>Sicoin</w:t>
      </w:r>
      <w:r w:rsidR="00B51A48">
        <w:rPr>
          <w:rFonts w:ascii="Times New Roman" w:hAnsi="Times New Roman"/>
          <w:bCs/>
          <w:sz w:val="18"/>
          <w:szCs w:val="24"/>
          <w:lang w:val="es-MX"/>
        </w:rPr>
        <w:t xml:space="preserve"> </w:t>
      </w:r>
      <w:r w:rsidRPr="000667E0">
        <w:rPr>
          <w:rFonts w:ascii="Times New Roman" w:hAnsi="Times New Roman"/>
          <w:bCs/>
          <w:sz w:val="18"/>
          <w:szCs w:val="24"/>
          <w:lang w:val="es-MX"/>
        </w:rPr>
        <w:t>GL</w:t>
      </w:r>
    </w:p>
    <w:p w14:paraId="3A986192" w14:textId="04B5BD17" w:rsidR="000667E0" w:rsidRDefault="000667E0" w:rsidP="000667E0">
      <w:pPr>
        <w:pStyle w:val="Sinespaciado"/>
        <w:ind w:left="425" w:right="49"/>
        <w:jc w:val="both"/>
        <w:rPr>
          <w:rFonts w:ascii="Times New Roman" w:hAnsi="Times New Roman"/>
          <w:bCs/>
          <w:sz w:val="18"/>
          <w:szCs w:val="24"/>
          <w:lang w:val="es-MX"/>
        </w:rPr>
      </w:pPr>
    </w:p>
    <w:p w14:paraId="4B23D93F" w14:textId="222F8632" w:rsidR="000667E0" w:rsidRDefault="000667E0" w:rsidP="000667E0">
      <w:pPr>
        <w:pStyle w:val="Sinespaciado"/>
        <w:ind w:left="425" w:right="49"/>
        <w:jc w:val="both"/>
        <w:rPr>
          <w:rFonts w:ascii="Times New Roman" w:hAnsi="Times New Roman"/>
          <w:bCs/>
          <w:sz w:val="18"/>
          <w:szCs w:val="24"/>
          <w:lang w:val="es-MX"/>
        </w:rPr>
      </w:pPr>
    </w:p>
    <w:p w14:paraId="22E5E082" w14:textId="77777777" w:rsidR="000667E0" w:rsidRDefault="000667E0" w:rsidP="000667E0">
      <w:pPr>
        <w:pStyle w:val="Sinespaciado"/>
        <w:ind w:left="425" w:right="49"/>
        <w:jc w:val="both"/>
        <w:rPr>
          <w:rFonts w:ascii="Times New Roman" w:hAnsi="Times New Roman"/>
          <w:bCs/>
          <w:sz w:val="24"/>
          <w:szCs w:val="24"/>
          <w:lang w:val="es-MX"/>
        </w:rPr>
      </w:pPr>
      <w:r w:rsidRPr="000667E0">
        <w:rPr>
          <w:rFonts w:ascii="Times New Roman" w:hAnsi="Times New Roman"/>
          <w:bCs/>
          <w:sz w:val="24"/>
          <w:szCs w:val="24"/>
          <w:lang w:val="es-MX"/>
        </w:rPr>
        <w:t xml:space="preserve">En términos de liquidez se puede considerar como un nivel adecuado cuando una entidad tenga un valor mayor a uno y tomado esto en consideración, es oportuno mencionar que durante el 2020 solamente 3 municipalidades (0.9%) poseen un indicador menor o igual a 1, mientras que 7 </w:t>
      </w:r>
      <w:r w:rsidRPr="000667E0">
        <w:rPr>
          <w:rFonts w:ascii="Times New Roman" w:hAnsi="Times New Roman"/>
          <w:bCs/>
          <w:sz w:val="24"/>
          <w:szCs w:val="24"/>
          <w:lang w:val="es-MX"/>
        </w:rPr>
        <w:lastRenderedPageBreak/>
        <w:t>entidades (2.1%) tienen un indicador entre 1.1 y 2 veces mayor. Por su parte, 105 municipalidades (30.9%) tienen un indicador al menos 16 veces mayor de sus activos corrientes respecto sus pasivos corrientes y las restantes 225 municipalidades (66.2%) tienen un indicador mayor a 16.1 de los cuales, cabe mencionar, 9 de ellas no presentaron cifras de pasivos corrientes y por lo tanto no fueron incluidas en la gráfica.</w:t>
      </w:r>
    </w:p>
    <w:p w14:paraId="143BF872" w14:textId="20249747" w:rsidR="000667E0" w:rsidRDefault="000667E0" w:rsidP="000667E0">
      <w:pPr>
        <w:pStyle w:val="Sinespaciado"/>
        <w:ind w:left="425" w:right="49"/>
        <w:jc w:val="both"/>
        <w:rPr>
          <w:rFonts w:ascii="Times New Roman" w:hAnsi="Times New Roman"/>
          <w:bCs/>
          <w:sz w:val="18"/>
          <w:szCs w:val="24"/>
          <w:lang w:val="es-MX"/>
        </w:rPr>
      </w:pPr>
    </w:p>
    <w:p w14:paraId="36CC538A" w14:textId="55C48A23" w:rsidR="000667E0" w:rsidRDefault="000667E0" w:rsidP="000667E0">
      <w:pPr>
        <w:pStyle w:val="Sinespaciado"/>
        <w:ind w:left="425" w:right="49"/>
        <w:jc w:val="both"/>
        <w:rPr>
          <w:rFonts w:ascii="Times New Roman" w:hAnsi="Times New Roman"/>
          <w:bCs/>
          <w:sz w:val="18"/>
          <w:szCs w:val="24"/>
          <w:lang w:val="es-MX"/>
        </w:rPr>
      </w:pPr>
      <w:r w:rsidRPr="002955CD">
        <w:rPr>
          <w:noProof/>
          <w:lang w:val="es-GT" w:eastAsia="es-GT"/>
        </w:rPr>
        <w:drawing>
          <wp:inline distT="0" distB="0" distL="0" distR="0" wp14:anchorId="6FF448DD" wp14:editId="0731E389">
            <wp:extent cx="6086475" cy="2828925"/>
            <wp:effectExtent l="0" t="0" r="0" b="0"/>
            <wp:docPr id="66" name="Gráfico 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220C70F-F956-47F6-AA5C-15C5F9C8B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E43F744" w14:textId="33AFD017" w:rsidR="000667E0" w:rsidRDefault="000667E0" w:rsidP="00B51A48">
      <w:pPr>
        <w:pStyle w:val="Sinespaciado"/>
        <w:ind w:left="425" w:right="49" w:firstLine="283"/>
        <w:jc w:val="both"/>
        <w:rPr>
          <w:rFonts w:ascii="Times New Roman" w:hAnsi="Times New Roman"/>
          <w:sz w:val="18"/>
          <w:szCs w:val="24"/>
        </w:rPr>
      </w:pPr>
      <w:r w:rsidRPr="0012440D">
        <w:rPr>
          <w:rFonts w:ascii="Times New Roman" w:hAnsi="Times New Roman"/>
          <w:sz w:val="18"/>
          <w:szCs w:val="24"/>
        </w:rPr>
        <w:t>Fuente: Sicoin</w:t>
      </w:r>
      <w:r w:rsidR="00B51A48">
        <w:rPr>
          <w:rFonts w:ascii="Times New Roman" w:hAnsi="Times New Roman"/>
          <w:sz w:val="18"/>
          <w:szCs w:val="24"/>
        </w:rPr>
        <w:t xml:space="preserve"> </w:t>
      </w:r>
      <w:r w:rsidRPr="0012440D">
        <w:rPr>
          <w:rFonts w:ascii="Times New Roman" w:hAnsi="Times New Roman"/>
          <w:sz w:val="18"/>
          <w:szCs w:val="24"/>
        </w:rPr>
        <w:t>GL</w:t>
      </w:r>
    </w:p>
    <w:p w14:paraId="4CAF1FB0" w14:textId="6C61C6FC" w:rsidR="000667E0" w:rsidRDefault="000667E0" w:rsidP="000667E0">
      <w:pPr>
        <w:pStyle w:val="Sinespaciado"/>
        <w:ind w:left="425" w:right="49"/>
        <w:jc w:val="both"/>
        <w:rPr>
          <w:rFonts w:ascii="Times New Roman" w:hAnsi="Times New Roman"/>
          <w:sz w:val="18"/>
          <w:szCs w:val="24"/>
        </w:rPr>
      </w:pPr>
    </w:p>
    <w:p w14:paraId="7E1B9067" w14:textId="65DBC617" w:rsidR="000667E0" w:rsidRDefault="000667E0" w:rsidP="000667E0">
      <w:pPr>
        <w:pStyle w:val="Sinespaciado"/>
        <w:ind w:left="425" w:right="49"/>
        <w:jc w:val="both"/>
        <w:rPr>
          <w:rFonts w:ascii="Times New Roman" w:hAnsi="Times New Roman"/>
          <w:bCs/>
          <w:sz w:val="24"/>
          <w:szCs w:val="24"/>
          <w:lang w:val="es-MX"/>
        </w:rPr>
      </w:pPr>
      <w:r w:rsidRPr="000667E0">
        <w:rPr>
          <w:rFonts w:ascii="Times New Roman" w:hAnsi="Times New Roman"/>
          <w:bCs/>
          <w:sz w:val="24"/>
          <w:szCs w:val="24"/>
          <w:lang w:val="es-MX"/>
        </w:rPr>
        <w:t>Entre las municipalidades que se destacan por tener un nivel de liquidez considerado como bajo son: la municipalidad de Cantel con 0.7 veces mayor sus activos corrientes respecto a sus pasivos corrientes, seguido de la municipalidad de Pastores con 0.8 veces y la municipalidad de San José (Peten) con 1 vez más. Cabe señalar que, mientras más bajo sea su liquidez tendrá</w:t>
      </w:r>
      <w:r w:rsidR="00B45A31">
        <w:rPr>
          <w:rFonts w:ascii="Times New Roman" w:hAnsi="Times New Roman"/>
          <w:bCs/>
          <w:sz w:val="24"/>
          <w:szCs w:val="24"/>
          <w:lang w:val="es-MX"/>
        </w:rPr>
        <w:t>n</w:t>
      </w:r>
      <w:r w:rsidRPr="000667E0">
        <w:rPr>
          <w:rFonts w:ascii="Times New Roman" w:hAnsi="Times New Roman"/>
          <w:bCs/>
          <w:sz w:val="24"/>
          <w:szCs w:val="24"/>
          <w:lang w:val="es-MX"/>
        </w:rPr>
        <w:t xml:space="preserve"> un mayor riesgo financiero dado que contará con una limitada capacidad para hacer frente a compromisos de pago en el corto plazo como podría ser el pago de nómina y, por lo tanto, es importante que este indicador se encuentre por encima de 1 para tener una mayor disponibilidad de activos corrientes en caso de eventualidades.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430"/>
      </w:tblGrid>
      <w:tr w:rsidR="00B45A31" w:rsidRPr="002955CD" w14:paraId="7B765A3E" w14:textId="77777777" w:rsidTr="003C74C1">
        <w:tc>
          <w:tcPr>
            <w:tcW w:w="8830" w:type="dxa"/>
            <w:gridSpan w:val="2"/>
          </w:tcPr>
          <w:p w14:paraId="638234B6" w14:textId="754D16A6" w:rsidR="00B45A31" w:rsidRPr="002955CD" w:rsidRDefault="00AF7163" w:rsidP="003C74C1">
            <w:pPr>
              <w:jc w:val="center"/>
              <w:rPr>
                <w:b/>
                <w:bCs/>
                <w:sz w:val="24"/>
                <w:szCs w:val="24"/>
              </w:rPr>
            </w:pPr>
            <w:r>
              <w:rPr>
                <w:b/>
                <w:bCs/>
                <w:sz w:val="24"/>
                <w:szCs w:val="24"/>
              </w:rPr>
              <w:t xml:space="preserve">Gráfica 43.  </w:t>
            </w:r>
            <w:r w:rsidR="00B45A31" w:rsidRPr="002955CD">
              <w:rPr>
                <w:b/>
                <w:bCs/>
                <w:sz w:val="24"/>
                <w:szCs w:val="24"/>
              </w:rPr>
              <w:t>Principales Municipalidades</w:t>
            </w:r>
          </w:p>
          <w:p w14:paraId="152D071B" w14:textId="77777777" w:rsidR="00B45A31" w:rsidRPr="002955CD" w:rsidRDefault="00B45A31" w:rsidP="003C74C1">
            <w:pPr>
              <w:jc w:val="center"/>
              <w:rPr>
                <w:sz w:val="24"/>
                <w:szCs w:val="24"/>
              </w:rPr>
            </w:pPr>
            <w:r>
              <w:rPr>
                <w:szCs w:val="24"/>
              </w:rPr>
              <w:t>p</w:t>
            </w:r>
            <w:r w:rsidRPr="004B314E">
              <w:rPr>
                <w:szCs w:val="24"/>
              </w:rPr>
              <w:t>ara el año 2020</w:t>
            </w:r>
          </w:p>
        </w:tc>
      </w:tr>
      <w:tr w:rsidR="00B45A31" w:rsidRPr="002955CD" w14:paraId="0E325217" w14:textId="77777777" w:rsidTr="003C74C1">
        <w:tblPrEx>
          <w:tblCellMar>
            <w:left w:w="70" w:type="dxa"/>
            <w:right w:w="70" w:type="dxa"/>
          </w:tblCellMar>
        </w:tblPrEx>
        <w:tc>
          <w:tcPr>
            <w:tcW w:w="4400" w:type="dxa"/>
          </w:tcPr>
          <w:p w14:paraId="0670E8A6" w14:textId="1E7CFAE0" w:rsidR="00B45A31" w:rsidRPr="002955CD" w:rsidRDefault="00B45A31" w:rsidP="003C74C1">
            <w:pPr>
              <w:rPr>
                <w:sz w:val="24"/>
                <w:szCs w:val="24"/>
              </w:rPr>
            </w:pPr>
          </w:p>
        </w:tc>
        <w:tc>
          <w:tcPr>
            <w:tcW w:w="4430" w:type="dxa"/>
          </w:tcPr>
          <w:p w14:paraId="3499DFFA" w14:textId="00E43F37" w:rsidR="00B45A31" w:rsidRPr="002955CD" w:rsidRDefault="00B45A31" w:rsidP="003C74C1">
            <w:pPr>
              <w:rPr>
                <w:sz w:val="24"/>
                <w:szCs w:val="24"/>
              </w:rPr>
            </w:pPr>
            <w:r>
              <w:rPr>
                <w:bCs/>
                <w:noProof/>
                <w:sz w:val="24"/>
                <w:szCs w:val="24"/>
                <w:lang w:val="es-GT" w:eastAsia="es-GT"/>
              </w:rPr>
              <mc:AlternateContent>
                <mc:Choice Requires="wpg">
                  <w:drawing>
                    <wp:anchor distT="0" distB="0" distL="114300" distR="114300" simplePos="0" relativeHeight="251746304" behindDoc="0" locked="0" layoutInCell="1" allowOverlap="1" wp14:anchorId="01608093" wp14:editId="01DC424C">
                      <wp:simplePos x="0" y="0"/>
                      <wp:positionH relativeFrom="column">
                        <wp:posOffset>-2518410</wp:posOffset>
                      </wp:positionH>
                      <wp:positionV relativeFrom="paragraph">
                        <wp:posOffset>160655</wp:posOffset>
                      </wp:positionV>
                      <wp:extent cx="5529580" cy="2532380"/>
                      <wp:effectExtent l="0" t="0" r="0" b="1270"/>
                      <wp:wrapNone/>
                      <wp:docPr id="79" name="Group 79"/>
                      <wp:cNvGraphicFramePr/>
                      <a:graphic xmlns:a="http://schemas.openxmlformats.org/drawingml/2006/main">
                        <a:graphicData uri="http://schemas.microsoft.com/office/word/2010/wordprocessingGroup">
                          <wpg:wgp>
                            <wpg:cNvGrpSpPr/>
                            <wpg:grpSpPr>
                              <a:xfrm>
                                <a:off x="0" y="0"/>
                                <a:ext cx="5529580" cy="2532380"/>
                                <a:chOff x="0" y="0"/>
                                <a:chExt cx="5529580" cy="2532380"/>
                              </a:xfrm>
                            </wpg:grpSpPr>
                            <wpg:graphicFrame>
                              <wpg:cNvPr id="69" name="Gráfico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295D3F7-B1A2-4204-93AA-420045F7DA8E}"/>
                                  </a:ext>
                                </a:extLst>
                              </wpg:cNvPr>
                              <wpg:cNvFrPr/>
                              <wpg:xfrm>
                                <a:off x="2809875" y="57150"/>
                                <a:ext cx="2719705" cy="2475230"/>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67" name="Gráfico 3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78AA7DC-4FC2-496E-BE61-F8A8D5C13F60}"/>
                                  </a:ext>
                                </a:extLst>
                              </wpg:cNvPr>
                              <wpg:cNvFrPr/>
                              <wpg:xfrm>
                                <a:off x="0" y="0"/>
                                <a:ext cx="2703830" cy="2475865"/>
                              </wpg:xfrm>
                              <a:graphic>
                                <a:graphicData uri="http://schemas.openxmlformats.org/drawingml/2006/chart">
                                  <c:chart xmlns:c="http://schemas.openxmlformats.org/drawingml/2006/chart" xmlns:r="http://schemas.openxmlformats.org/officeDocument/2006/relationships" r:id="rId64"/>
                                </a:graphicData>
                              </a:graphic>
                            </wpg:graphicFrame>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71E63386" id="Group 79" o:spid="_x0000_s1026" style="position:absolute;margin-left:-198.3pt;margin-top:12.65pt;width:435.4pt;height:199.4pt;z-index:251746304" coordsize="55295,25323"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">
                      <v:shape id="Gráfico 9" o:spid="_x0000_s1027" type="#_x0000_t75" style="position:absolute;left:28041;top:548;width:27249;height:24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">
                        <v:imagedata r:id="rId65" o:title=""/>
                        <o:lock v:ext="edit" aspectratio="f"/>
                      </v:shape>
                      <v:shape id="Gráfico 32" o:spid="_x0000_s1028" type="#_x0000_t75" style="position:absolute;width:27066;height:24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">
                        <v:imagedata r:id="rId66" o:title=""/>
                        <o:lock v:ext="edit" aspectratio="f"/>
                      </v:shape>
                    </v:group>
                  </w:pict>
                </mc:Fallback>
              </mc:AlternateContent>
            </w:r>
          </w:p>
        </w:tc>
      </w:tr>
    </w:tbl>
    <w:p w14:paraId="56C9DDAE" w14:textId="77777777" w:rsidR="00B45A31" w:rsidRDefault="00B45A31" w:rsidP="00B45A31">
      <w:pPr>
        <w:rPr>
          <w:sz w:val="18"/>
          <w:szCs w:val="24"/>
        </w:rPr>
      </w:pPr>
    </w:p>
    <w:p w14:paraId="220FC135" w14:textId="77777777" w:rsidR="00B45A31" w:rsidRDefault="00B45A31" w:rsidP="00B45A31">
      <w:pPr>
        <w:rPr>
          <w:sz w:val="18"/>
          <w:szCs w:val="24"/>
        </w:rPr>
      </w:pPr>
    </w:p>
    <w:p w14:paraId="7193AF58" w14:textId="77777777" w:rsidR="00B45A31" w:rsidRDefault="00B45A31" w:rsidP="00B45A31">
      <w:pPr>
        <w:rPr>
          <w:sz w:val="18"/>
          <w:szCs w:val="24"/>
        </w:rPr>
      </w:pPr>
    </w:p>
    <w:p w14:paraId="7BFE343F" w14:textId="77777777" w:rsidR="00B45A31" w:rsidRDefault="00B45A31" w:rsidP="00B45A31">
      <w:pPr>
        <w:rPr>
          <w:sz w:val="18"/>
          <w:szCs w:val="24"/>
        </w:rPr>
      </w:pPr>
    </w:p>
    <w:p w14:paraId="7C2A58D3" w14:textId="77777777" w:rsidR="00B45A31" w:rsidRDefault="00B45A31" w:rsidP="00B45A31">
      <w:pPr>
        <w:rPr>
          <w:sz w:val="18"/>
          <w:szCs w:val="24"/>
        </w:rPr>
      </w:pPr>
    </w:p>
    <w:p w14:paraId="4251313C" w14:textId="77777777" w:rsidR="00B45A31" w:rsidRDefault="00B45A31" w:rsidP="00B45A31">
      <w:pPr>
        <w:rPr>
          <w:sz w:val="18"/>
          <w:szCs w:val="24"/>
        </w:rPr>
      </w:pPr>
    </w:p>
    <w:p w14:paraId="398E295B" w14:textId="77777777" w:rsidR="00B45A31" w:rsidRDefault="00B45A31" w:rsidP="00B45A31">
      <w:pPr>
        <w:rPr>
          <w:sz w:val="18"/>
          <w:szCs w:val="24"/>
        </w:rPr>
      </w:pPr>
    </w:p>
    <w:p w14:paraId="1563311F" w14:textId="77777777" w:rsidR="00B45A31" w:rsidRDefault="00B45A31" w:rsidP="00B45A31">
      <w:pPr>
        <w:rPr>
          <w:sz w:val="18"/>
          <w:szCs w:val="24"/>
        </w:rPr>
      </w:pPr>
    </w:p>
    <w:p w14:paraId="26FE15D7" w14:textId="77777777" w:rsidR="00B45A31" w:rsidRDefault="00B45A31" w:rsidP="00B45A31">
      <w:pPr>
        <w:rPr>
          <w:sz w:val="18"/>
          <w:szCs w:val="24"/>
        </w:rPr>
      </w:pPr>
    </w:p>
    <w:p w14:paraId="44D3EF0F" w14:textId="77777777" w:rsidR="00B45A31" w:rsidRDefault="00B45A31" w:rsidP="00B45A31">
      <w:pPr>
        <w:rPr>
          <w:sz w:val="18"/>
          <w:szCs w:val="24"/>
        </w:rPr>
      </w:pPr>
    </w:p>
    <w:p w14:paraId="0F0A88C3" w14:textId="77777777" w:rsidR="00B45A31" w:rsidRDefault="00B45A31" w:rsidP="00B45A31">
      <w:pPr>
        <w:rPr>
          <w:sz w:val="18"/>
          <w:szCs w:val="24"/>
        </w:rPr>
      </w:pPr>
    </w:p>
    <w:p w14:paraId="09AD6856" w14:textId="77777777" w:rsidR="00B45A31" w:rsidRDefault="00B45A31" w:rsidP="00B45A31">
      <w:pPr>
        <w:rPr>
          <w:sz w:val="18"/>
          <w:szCs w:val="24"/>
        </w:rPr>
      </w:pPr>
    </w:p>
    <w:p w14:paraId="3D17D9F7" w14:textId="77777777" w:rsidR="00B45A31" w:rsidRDefault="00B45A31" w:rsidP="00B45A31">
      <w:pPr>
        <w:rPr>
          <w:sz w:val="18"/>
          <w:szCs w:val="24"/>
        </w:rPr>
      </w:pPr>
    </w:p>
    <w:p w14:paraId="4D93ACAC" w14:textId="77777777" w:rsidR="00B45A31" w:rsidRDefault="00B45A31" w:rsidP="00B45A31">
      <w:pPr>
        <w:rPr>
          <w:sz w:val="18"/>
          <w:szCs w:val="24"/>
        </w:rPr>
      </w:pPr>
    </w:p>
    <w:p w14:paraId="38AF5D26" w14:textId="77777777" w:rsidR="00B45A31" w:rsidRDefault="00B45A31" w:rsidP="00B45A31">
      <w:pPr>
        <w:rPr>
          <w:sz w:val="18"/>
          <w:szCs w:val="24"/>
        </w:rPr>
      </w:pPr>
    </w:p>
    <w:p w14:paraId="2EB99466" w14:textId="77777777" w:rsidR="00B45A31" w:rsidRDefault="00B45A31" w:rsidP="00B45A31">
      <w:pPr>
        <w:rPr>
          <w:sz w:val="18"/>
          <w:szCs w:val="24"/>
        </w:rPr>
      </w:pPr>
    </w:p>
    <w:p w14:paraId="538EE438" w14:textId="77777777" w:rsidR="00B45A31" w:rsidRDefault="00B45A31" w:rsidP="00B45A31">
      <w:pPr>
        <w:rPr>
          <w:sz w:val="18"/>
          <w:szCs w:val="24"/>
        </w:rPr>
      </w:pPr>
    </w:p>
    <w:p w14:paraId="3CD49385" w14:textId="77777777" w:rsidR="00B45A31" w:rsidRDefault="00B45A31" w:rsidP="00B45A31">
      <w:pPr>
        <w:rPr>
          <w:sz w:val="18"/>
          <w:szCs w:val="24"/>
        </w:rPr>
      </w:pPr>
    </w:p>
    <w:p w14:paraId="16ECE42D" w14:textId="77777777" w:rsidR="00B45A31" w:rsidRDefault="00B45A31" w:rsidP="00B45A31">
      <w:pPr>
        <w:rPr>
          <w:sz w:val="18"/>
          <w:szCs w:val="24"/>
        </w:rPr>
      </w:pPr>
    </w:p>
    <w:p w14:paraId="3B83EEC8" w14:textId="0511D1FB" w:rsidR="00B45A31" w:rsidRDefault="00B45A31" w:rsidP="00B51A48">
      <w:pPr>
        <w:pStyle w:val="Sinespaciado"/>
        <w:ind w:left="425" w:right="49" w:firstLine="136"/>
        <w:jc w:val="both"/>
        <w:rPr>
          <w:rFonts w:ascii="Times New Roman" w:hAnsi="Times New Roman"/>
          <w:sz w:val="18"/>
          <w:szCs w:val="24"/>
        </w:rPr>
      </w:pPr>
      <w:r w:rsidRPr="0012440D">
        <w:rPr>
          <w:rFonts w:ascii="Times New Roman" w:hAnsi="Times New Roman"/>
          <w:sz w:val="18"/>
          <w:szCs w:val="24"/>
        </w:rPr>
        <w:t>Fuente: Sicoin</w:t>
      </w:r>
      <w:r w:rsidR="00B51A48">
        <w:rPr>
          <w:rFonts w:ascii="Times New Roman" w:hAnsi="Times New Roman"/>
          <w:sz w:val="18"/>
          <w:szCs w:val="24"/>
        </w:rPr>
        <w:t xml:space="preserve"> </w:t>
      </w:r>
      <w:r w:rsidRPr="0012440D">
        <w:rPr>
          <w:rFonts w:ascii="Times New Roman" w:hAnsi="Times New Roman"/>
          <w:sz w:val="18"/>
          <w:szCs w:val="24"/>
        </w:rPr>
        <w:t>GL</w:t>
      </w:r>
    </w:p>
    <w:p w14:paraId="02BD0BE9" w14:textId="45DFB10E" w:rsidR="0088715A" w:rsidRDefault="00623D5B" w:rsidP="0083128A">
      <w:pPr>
        <w:pStyle w:val="Ttulo1"/>
        <w:widowControl/>
        <w:numPr>
          <w:ilvl w:val="1"/>
          <w:numId w:val="5"/>
        </w:numPr>
        <w:ind w:left="993" w:right="49"/>
        <w:jc w:val="both"/>
        <w:rPr>
          <w:color w:val="1F3864" w:themeColor="accent1" w:themeShade="80"/>
          <w:sz w:val="24"/>
          <w:szCs w:val="24"/>
        </w:rPr>
      </w:pPr>
      <w:bookmarkStart w:id="68" w:name="_Toc83302176"/>
      <w:r>
        <w:rPr>
          <w:color w:val="1F3864" w:themeColor="accent1" w:themeShade="80"/>
          <w:sz w:val="24"/>
          <w:szCs w:val="24"/>
        </w:rPr>
        <w:t>Obligaciones Financieras</w:t>
      </w:r>
      <w:r w:rsidR="00080B01">
        <w:rPr>
          <w:color w:val="1F3864" w:themeColor="accent1" w:themeShade="80"/>
          <w:sz w:val="24"/>
          <w:szCs w:val="24"/>
        </w:rPr>
        <w:t xml:space="preserve"> </w:t>
      </w:r>
      <w:r w:rsidR="008B5B25">
        <w:rPr>
          <w:color w:val="1F3864" w:themeColor="accent1" w:themeShade="80"/>
          <w:sz w:val="24"/>
          <w:szCs w:val="24"/>
        </w:rPr>
        <w:t xml:space="preserve">por Pagar de las </w:t>
      </w:r>
      <w:r w:rsidR="00080B01">
        <w:rPr>
          <w:color w:val="1F3864" w:themeColor="accent1" w:themeShade="80"/>
          <w:sz w:val="24"/>
          <w:szCs w:val="24"/>
        </w:rPr>
        <w:t>Municipal</w:t>
      </w:r>
      <w:r w:rsidR="008B5B25">
        <w:rPr>
          <w:color w:val="1F3864" w:themeColor="accent1" w:themeShade="80"/>
          <w:sz w:val="24"/>
          <w:szCs w:val="24"/>
        </w:rPr>
        <w:t>idades</w:t>
      </w:r>
      <w:bookmarkEnd w:id="68"/>
    </w:p>
    <w:p w14:paraId="732DDDCB" w14:textId="77777777" w:rsidR="0076021D" w:rsidRDefault="0076021D" w:rsidP="0076021D">
      <w:pPr>
        <w:pStyle w:val="Sinespaciado"/>
        <w:ind w:right="49"/>
        <w:jc w:val="both"/>
        <w:rPr>
          <w:rFonts w:ascii="Times New Roman" w:hAnsi="Times New Roman"/>
          <w:bCs/>
          <w:sz w:val="24"/>
          <w:szCs w:val="24"/>
          <w:lang w:val="es-MX"/>
        </w:rPr>
      </w:pPr>
    </w:p>
    <w:p w14:paraId="325D3ECD" w14:textId="3440662A" w:rsidR="00AA3AFE" w:rsidRDefault="00AA3AFE" w:rsidP="0076021D">
      <w:pPr>
        <w:pStyle w:val="Sinespaciado"/>
        <w:ind w:left="425" w:right="49"/>
        <w:jc w:val="both"/>
        <w:rPr>
          <w:rFonts w:ascii="Times New Roman" w:hAnsi="Times New Roman"/>
          <w:bCs/>
          <w:sz w:val="24"/>
          <w:szCs w:val="24"/>
          <w:lang w:val="es-MX"/>
        </w:rPr>
      </w:pPr>
      <w:r w:rsidRPr="00AA3AFE">
        <w:rPr>
          <w:rFonts w:ascii="Times New Roman" w:hAnsi="Times New Roman"/>
          <w:bCs/>
          <w:sz w:val="24"/>
          <w:szCs w:val="24"/>
          <w:lang w:val="es-MX"/>
        </w:rPr>
        <w:t>Las municipalidades, dado que tienen responsabilidades de gasto y capacidad de endeudamiento, ejercen esta capacidad al margen del gobiern</w:t>
      </w:r>
      <w:r>
        <w:rPr>
          <w:rFonts w:ascii="Times New Roman" w:hAnsi="Times New Roman"/>
          <w:bCs/>
          <w:sz w:val="24"/>
          <w:szCs w:val="24"/>
          <w:lang w:val="es-MX"/>
        </w:rPr>
        <w:t>o central, es decir no necesitan</w:t>
      </w:r>
      <w:r w:rsidRPr="00AA3AFE">
        <w:rPr>
          <w:rFonts w:ascii="Times New Roman" w:hAnsi="Times New Roman"/>
          <w:bCs/>
          <w:sz w:val="24"/>
          <w:szCs w:val="24"/>
          <w:lang w:val="es-MX"/>
        </w:rPr>
        <w:t xml:space="preserve"> la autorización del gobierno o del Congreso de la República para contraer deuda. Sin embargo, si una municipalidad necesita negociar un préstamo con algún organismo financiero internacional deberá contar con la garantía del gobierno central y deberá ser aprobado por el Congreso de la República.    </w:t>
      </w:r>
    </w:p>
    <w:p w14:paraId="150023AB" w14:textId="2BE0B3E3" w:rsidR="00AA3AFE" w:rsidRDefault="00AA3AFE" w:rsidP="0076021D">
      <w:pPr>
        <w:pStyle w:val="Sinespaciado"/>
        <w:ind w:left="425" w:right="49"/>
        <w:jc w:val="both"/>
        <w:rPr>
          <w:rFonts w:ascii="Times New Roman" w:hAnsi="Times New Roman"/>
          <w:bCs/>
          <w:sz w:val="24"/>
          <w:szCs w:val="24"/>
          <w:lang w:val="es-MX"/>
        </w:rPr>
      </w:pPr>
    </w:p>
    <w:p w14:paraId="6661E527" w14:textId="36D14569" w:rsidR="002303EC" w:rsidRPr="002303EC" w:rsidRDefault="002303EC" w:rsidP="002303EC">
      <w:pPr>
        <w:pStyle w:val="Sinespaciado"/>
        <w:ind w:left="425" w:right="49"/>
        <w:jc w:val="both"/>
        <w:rPr>
          <w:rFonts w:ascii="Times New Roman" w:hAnsi="Times New Roman"/>
          <w:bCs/>
          <w:sz w:val="24"/>
          <w:szCs w:val="24"/>
          <w:lang w:val="es-MX"/>
        </w:rPr>
      </w:pPr>
      <w:r>
        <w:rPr>
          <w:rFonts w:ascii="Times New Roman" w:hAnsi="Times New Roman"/>
          <w:bCs/>
          <w:sz w:val="24"/>
          <w:szCs w:val="24"/>
          <w:lang w:val="es-MX"/>
        </w:rPr>
        <w:t xml:space="preserve">A pesar que las obligaciones financieras por pagar </w:t>
      </w:r>
      <w:r w:rsidRPr="002303EC">
        <w:rPr>
          <w:rFonts w:ascii="Times New Roman" w:hAnsi="Times New Roman"/>
          <w:bCs/>
          <w:sz w:val="24"/>
          <w:szCs w:val="24"/>
          <w:lang w:val="es-MX"/>
        </w:rPr>
        <w:t xml:space="preserve">de las municipalidades no </w:t>
      </w:r>
      <w:r>
        <w:rPr>
          <w:rFonts w:ascii="Times New Roman" w:hAnsi="Times New Roman"/>
          <w:bCs/>
          <w:sz w:val="24"/>
          <w:szCs w:val="24"/>
          <w:lang w:val="es-MX"/>
        </w:rPr>
        <w:t>se</w:t>
      </w:r>
      <w:r w:rsidRPr="002303EC">
        <w:rPr>
          <w:rFonts w:ascii="Times New Roman" w:hAnsi="Times New Roman"/>
          <w:bCs/>
          <w:sz w:val="24"/>
          <w:szCs w:val="24"/>
          <w:lang w:val="es-MX"/>
        </w:rPr>
        <w:t xml:space="preserve"> considera</w:t>
      </w:r>
      <w:r>
        <w:rPr>
          <w:rFonts w:ascii="Times New Roman" w:hAnsi="Times New Roman"/>
          <w:bCs/>
          <w:sz w:val="24"/>
          <w:szCs w:val="24"/>
          <w:lang w:val="es-MX"/>
        </w:rPr>
        <w:t>n</w:t>
      </w:r>
      <w:r w:rsidRPr="002303EC">
        <w:rPr>
          <w:rFonts w:ascii="Times New Roman" w:hAnsi="Times New Roman"/>
          <w:bCs/>
          <w:sz w:val="24"/>
          <w:szCs w:val="24"/>
          <w:lang w:val="es-MX"/>
        </w:rPr>
        <w:t xml:space="preserve"> como </w:t>
      </w:r>
      <w:r>
        <w:rPr>
          <w:rFonts w:ascii="Times New Roman" w:hAnsi="Times New Roman"/>
          <w:bCs/>
          <w:sz w:val="24"/>
          <w:szCs w:val="24"/>
          <w:lang w:val="es-MX"/>
        </w:rPr>
        <w:t>una obligación</w:t>
      </w:r>
      <w:r w:rsidRPr="002303EC">
        <w:rPr>
          <w:rFonts w:ascii="Times New Roman" w:hAnsi="Times New Roman"/>
          <w:bCs/>
          <w:sz w:val="24"/>
          <w:szCs w:val="24"/>
          <w:lang w:val="es-MX"/>
        </w:rPr>
        <w:t xml:space="preserve"> del gobiern</w:t>
      </w:r>
      <w:r>
        <w:rPr>
          <w:rFonts w:ascii="Times New Roman" w:hAnsi="Times New Roman"/>
          <w:bCs/>
          <w:sz w:val="24"/>
          <w:szCs w:val="24"/>
          <w:lang w:val="es-MX"/>
        </w:rPr>
        <w:t>o central, este es</w:t>
      </w:r>
      <w:r w:rsidRPr="002303EC">
        <w:rPr>
          <w:rFonts w:ascii="Times New Roman" w:hAnsi="Times New Roman"/>
          <w:bCs/>
          <w:sz w:val="24"/>
          <w:szCs w:val="24"/>
          <w:lang w:val="es-MX"/>
        </w:rPr>
        <w:t xml:space="preserve"> un pasivo contingente implícito, dado que en ca</w:t>
      </w:r>
      <w:r>
        <w:rPr>
          <w:rFonts w:ascii="Times New Roman" w:hAnsi="Times New Roman"/>
          <w:bCs/>
          <w:sz w:val="24"/>
          <w:szCs w:val="24"/>
          <w:lang w:val="es-MX"/>
        </w:rPr>
        <w:t>so se alcance un nivel alto de obligaciones financieras</w:t>
      </w:r>
      <w:r w:rsidRPr="002303EC">
        <w:rPr>
          <w:rFonts w:ascii="Times New Roman" w:hAnsi="Times New Roman"/>
          <w:bCs/>
          <w:sz w:val="24"/>
          <w:szCs w:val="24"/>
          <w:lang w:val="es-MX"/>
        </w:rPr>
        <w:t xml:space="preserve"> que sea insostenible para las finanzas de una o varias municipalidades, podría solicitarse al gobierno central una intervención para su rescate, intervención que debe ser aprobada por el Congreso de la República para su financiación, situación que debiera ser acompañada con acuerdos que garanticen un mejor manejo de las finanzas municipales, así como capacitaciones y acompañamiento estrecho por parte del gobierno central.</w:t>
      </w:r>
    </w:p>
    <w:p w14:paraId="08318AED" w14:textId="77777777" w:rsidR="00AA3AFE" w:rsidRDefault="00AA3AFE" w:rsidP="0076021D">
      <w:pPr>
        <w:pStyle w:val="Sinespaciado"/>
        <w:ind w:left="425" w:right="49"/>
        <w:jc w:val="both"/>
        <w:rPr>
          <w:rFonts w:ascii="Times New Roman" w:hAnsi="Times New Roman"/>
          <w:bCs/>
          <w:sz w:val="24"/>
          <w:szCs w:val="24"/>
          <w:lang w:val="es-MX"/>
        </w:rPr>
      </w:pPr>
    </w:p>
    <w:p w14:paraId="7D50E6F5" w14:textId="5DC413FE" w:rsidR="0076021D" w:rsidRDefault="00BB1E10" w:rsidP="0076021D">
      <w:pPr>
        <w:pStyle w:val="Sinespaciado"/>
        <w:ind w:left="425" w:right="49"/>
        <w:jc w:val="both"/>
        <w:rPr>
          <w:rFonts w:ascii="Times New Roman" w:hAnsi="Times New Roman"/>
          <w:bCs/>
          <w:sz w:val="24"/>
          <w:szCs w:val="24"/>
          <w:lang w:val="es-MX"/>
        </w:rPr>
      </w:pPr>
      <w:r w:rsidRPr="00EB56BD">
        <w:rPr>
          <w:rFonts w:ascii="Times New Roman" w:hAnsi="Times New Roman"/>
          <w:bCs/>
          <w:sz w:val="24"/>
          <w:szCs w:val="24"/>
          <w:lang w:val="es-MX"/>
        </w:rPr>
        <w:t>Las obligaciones financieras incluyen</w:t>
      </w:r>
      <w:r w:rsidR="0076021D" w:rsidRPr="00EB56BD">
        <w:rPr>
          <w:rFonts w:ascii="Times New Roman" w:hAnsi="Times New Roman"/>
          <w:bCs/>
          <w:sz w:val="24"/>
          <w:szCs w:val="24"/>
          <w:lang w:val="es-MX"/>
        </w:rPr>
        <w:t xml:space="preserve"> el pago de deuda por concepto de préstamos</w:t>
      </w:r>
      <w:r w:rsidR="000D1357">
        <w:rPr>
          <w:rFonts w:ascii="Times New Roman" w:hAnsi="Times New Roman"/>
          <w:bCs/>
          <w:sz w:val="24"/>
          <w:szCs w:val="24"/>
          <w:lang w:val="es-MX"/>
        </w:rPr>
        <w:t xml:space="preserve"> (endeudamiento)</w:t>
      </w:r>
      <w:r w:rsidR="0076021D" w:rsidRPr="00EB56BD">
        <w:rPr>
          <w:rFonts w:ascii="Times New Roman" w:hAnsi="Times New Roman"/>
          <w:bCs/>
          <w:sz w:val="24"/>
          <w:szCs w:val="24"/>
          <w:lang w:val="es-MX"/>
        </w:rPr>
        <w:t xml:space="preserve"> y otras obligaciones por pagar</w:t>
      </w:r>
      <w:r>
        <w:rPr>
          <w:rFonts w:ascii="Times New Roman" w:hAnsi="Times New Roman"/>
          <w:bCs/>
          <w:sz w:val="24"/>
          <w:szCs w:val="24"/>
          <w:lang w:val="es-MX"/>
        </w:rPr>
        <w:t>.</w:t>
      </w:r>
      <w:r w:rsidR="00A71B8F">
        <w:rPr>
          <w:rFonts w:ascii="Times New Roman" w:hAnsi="Times New Roman"/>
          <w:bCs/>
          <w:sz w:val="24"/>
          <w:szCs w:val="24"/>
          <w:lang w:val="es-MX"/>
        </w:rPr>
        <w:t xml:space="preserve"> El primero </w:t>
      </w:r>
      <w:r w:rsidR="009F6205">
        <w:rPr>
          <w:rFonts w:ascii="Times New Roman" w:hAnsi="Times New Roman"/>
          <w:bCs/>
          <w:sz w:val="24"/>
          <w:szCs w:val="24"/>
          <w:lang w:val="es-MX"/>
        </w:rPr>
        <w:t>es</w:t>
      </w:r>
      <w:r w:rsidR="00A71B8F" w:rsidRPr="00EB56BD">
        <w:rPr>
          <w:rFonts w:ascii="Times New Roman" w:hAnsi="Times New Roman"/>
          <w:bCs/>
          <w:sz w:val="24"/>
          <w:szCs w:val="24"/>
          <w:lang w:val="es-MX"/>
        </w:rPr>
        <w:t xml:space="preserve"> el porcentaje del saldo de préstamos respecto al to</w:t>
      </w:r>
      <w:r w:rsidR="002303EC">
        <w:rPr>
          <w:rFonts w:ascii="Times New Roman" w:hAnsi="Times New Roman"/>
          <w:bCs/>
          <w:sz w:val="24"/>
          <w:szCs w:val="24"/>
          <w:lang w:val="es-MX"/>
        </w:rPr>
        <w:t>tal de los ingresos percibidos</w:t>
      </w:r>
      <w:r w:rsidR="00A71B8F" w:rsidRPr="00EB56BD">
        <w:rPr>
          <w:rFonts w:ascii="Times New Roman" w:hAnsi="Times New Roman"/>
          <w:bCs/>
          <w:sz w:val="24"/>
          <w:szCs w:val="24"/>
          <w:lang w:val="es-MX"/>
        </w:rPr>
        <w:t xml:space="preserve"> durante el período fiscal</w:t>
      </w:r>
      <w:r w:rsidR="0003443A">
        <w:rPr>
          <w:rFonts w:ascii="Times New Roman" w:hAnsi="Times New Roman"/>
          <w:bCs/>
          <w:sz w:val="24"/>
          <w:szCs w:val="24"/>
          <w:lang w:val="es-MX"/>
        </w:rPr>
        <w:t xml:space="preserve"> mientras que l</w:t>
      </w:r>
      <w:r w:rsidR="0003443A" w:rsidRPr="0003443A">
        <w:rPr>
          <w:rFonts w:ascii="Times New Roman" w:hAnsi="Times New Roman"/>
          <w:bCs/>
          <w:sz w:val="24"/>
          <w:szCs w:val="24"/>
          <w:lang w:val="es-MX"/>
        </w:rPr>
        <w:t>as otras obligaciones por pagar brindan información complementaria para tener una mejor noción</w:t>
      </w:r>
      <w:r w:rsidR="00BB284B">
        <w:rPr>
          <w:rFonts w:ascii="Times New Roman" w:hAnsi="Times New Roman"/>
          <w:bCs/>
          <w:sz w:val="24"/>
          <w:szCs w:val="24"/>
          <w:lang w:val="es-MX"/>
        </w:rPr>
        <w:t xml:space="preserve"> sobre los compromisos </w:t>
      </w:r>
      <w:r w:rsidR="00F1240A">
        <w:rPr>
          <w:rFonts w:ascii="Times New Roman" w:hAnsi="Times New Roman"/>
          <w:bCs/>
          <w:sz w:val="24"/>
          <w:szCs w:val="24"/>
          <w:lang w:val="es-MX"/>
        </w:rPr>
        <w:t>financieros</w:t>
      </w:r>
      <w:r w:rsidR="00BB284B">
        <w:rPr>
          <w:rFonts w:ascii="Times New Roman" w:hAnsi="Times New Roman"/>
          <w:bCs/>
          <w:sz w:val="24"/>
          <w:szCs w:val="24"/>
          <w:lang w:val="es-MX"/>
        </w:rPr>
        <w:t>,</w:t>
      </w:r>
      <w:r w:rsidR="0003443A" w:rsidRPr="0003443A">
        <w:rPr>
          <w:rFonts w:ascii="Times New Roman" w:hAnsi="Times New Roman"/>
          <w:bCs/>
          <w:sz w:val="24"/>
          <w:szCs w:val="24"/>
          <w:lang w:val="es-MX"/>
        </w:rPr>
        <w:t xml:space="preserve"> </w:t>
      </w:r>
      <w:r w:rsidR="00F1240A">
        <w:rPr>
          <w:rFonts w:ascii="Times New Roman" w:hAnsi="Times New Roman"/>
          <w:bCs/>
          <w:sz w:val="24"/>
          <w:szCs w:val="24"/>
          <w:lang w:val="es-MX"/>
        </w:rPr>
        <w:t xml:space="preserve">conformado por </w:t>
      </w:r>
      <w:r w:rsidR="00C87230">
        <w:rPr>
          <w:rFonts w:ascii="Times New Roman" w:hAnsi="Times New Roman"/>
          <w:bCs/>
          <w:sz w:val="24"/>
          <w:szCs w:val="24"/>
          <w:lang w:val="es-MX"/>
        </w:rPr>
        <w:t>o</w:t>
      </w:r>
      <w:r w:rsidR="0003443A" w:rsidRPr="0003443A">
        <w:rPr>
          <w:rFonts w:ascii="Times New Roman" w:hAnsi="Times New Roman"/>
          <w:bCs/>
          <w:sz w:val="24"/>
          <w:szCs w:val="24"/>
          <w:lang w:val="es-MX"/>
        </w:rPr>
        <w:t xml:space="preserve">bligaciones generadas </w:t>
      </w:r>
      <w:r w:rsidR="005E7D43">
        <w:rPr>
          <w:rFonts w:ascii="Times New Roman" w:hAnsi="Times New Roman"/>
          <w:bCs/>
          <w:sz w:val="24"/>
          <w:szCs w:val="24"/>
          <w:lang w:val="es-MX"/>
        </w:rPr>
        <w:t>en</w:t>
      </w:r>
      <w:r w:rsidR="0003443A" w:rsidRPr="0003443A">
        <w:rPr>
          <w:rFonts w:ascii="Times New Roman" w:hAnsi="Times New Roman"/>
          <w:bCs/>
          <w:sz w:val="24"/>
          <w:szCs w:val="24"/>
          <w:lang w:val="es-MX"/>
        </w:rPr>
        <w:t xml:space="preserve"> cuentas comerciales </w:t>
      </w:r>
      <w:r w:rsidR="00B961F0">
        <w:rPr>
          <w:rFonts w:ascii="Times New Roman" w:hAnsi="Times New Roman"/>
          <w:bCs/>
          <w:sz w:val="24"/>
          <w:szCs w:val="24"/>
          <w:lang w:val="es-MX"/>
        </w:rPr>
        <w:t xml:space="preserve">a </w:t>
      </w:r>
      <w:r w:rsidR="0003443A" w:rsidRPr="0003443A">
        <w:rPr>
          <w:rFonts w:ascii="Times New Roman" w:hAnsi="Times New Roman"/>
          <w:bCs/>
          <w:sz w:val="24"/>
          <w:szCs w:val="24"/>
          <w:lang w:val="es-MX"/>
        </w:rPr>
        <w:t>pagar con proveedores, retenciones pendientes de pago y otras cuentas por pagar.</w:t>
      </w:r>
      <w:r w:rsidR="00C87230">
        <w:rPr>
          <w:rFonts w:ascii="Times New Roman" w:hAnsi="Times New Roman"/>
          <w:bCs/>
          <w:sz w:val="24"/>
          <w:szCs w:val="24"/>
          <w:lang w:val="es-MX"/>
        </w:rPr>
        <w:t xml:space="preserve"> El resultado </w:t>
      </w:r>
      <w:r w:rsidR="00A71B8F" w:rsidRPr="00EB56BD">
        <w:rPr>
          <w:rFonts w:ascii="Times New Roman" w:hAnsi="Times New Roman"/>
          <w:bCs/>
          <w:sz w:val="24"/>
          <w:szCs w:val="24"/>
          <w:lang w:val="es-MX"/>
        </w:rPr>
        <w:t>de</w:t>
      </w:r>
      <w:r w:rsidR="006170AA">
        <w:rPr>
          <w:rFonts w:ascii="Times New Roman" w:hAnsi="Times New Roman"/>
          <w:bCs/>
          <w:sz w:val="24"/>
          <w:szCs w:val="24"/>
          <w:lang w:val="es-MX"/>
        </w:rPr>
        <w:t xml:space="preserve"> </w:t>
      </w:r>
      <w:r w:rsidR="00636743">
        <w:rPr>
          <w:rFonts w:ascii="Times New Roman" w:hAnsi="Times New Roman"/>
          <w:bCs/>
          <w:sz w:val="24"/>
          <w:szCs w:val="24"/>
          <w:lang w:val="es-MX"/>
        </w:rPr>
        <w:t>ambos</w:t>
      </w:r>
      <w:r w:rsidR="00A71B8F" w:rsidRPr="00EB56BD">
        <w:rPr>
          <w:rFonts w:ascii="Times New Roman" w:hAnsi="Times New Roman"/>
          <w:bCs/>
          <w:sz w:val="24"/>
          <w:szCs w:val="24"/>
          <w:lang w:val="es-MX"/>
        </w:rPr>
        <w:t xml:space="preserve"> indicador</w:t>
      </w:r>
      <w:r w:rsidR="006170AA">
        <w:rPr>
          <w:rFonts w:ascii="Times New Roman" w:hAnsi="Times New Roman"/>
          <w:bCs/>
          <w:sz w:val="24"/>
          <w:szCs w:val="24"/>
          <w:lang w:val="es-MX"/>
        </w:rPr>
        <w:t>es</w:t>
      </w:r>
      <w:r w:rsidR="00A71B8F" w:rsidRPr="00EB56BD">
        <w:rPr>
          <w:rFonts w:ascii="Times New Roman" w:hAnsi="Times New Roman"/>
          <w:bCs/>
          <w:sz w:val="24"/>
          <w:szCs w:val="24"/>
          <w:lang w:val="es-MX"/>
        </w:rPr>
        <w:t xml:space="preserve"> arrojaría luz sobre el riesgo de insostenibilidad de las finanzas públicas municipales</w:t>
      </w:r>
      <w:r w:rsidR="00636743">
        <w:rPr>
          <w:rFonts w:ascii="Times New Roman" w:hAnsi="Times New Roman"/>
          <w:bCs/>
          <w:sz w:val="24"/>
          <w:szCs w:val="24"/>
          <w:lang w:val="es-MX"/>
        </w:rPr>
        <w:t>.</w:t>
      </w:r>
    </w:p>
    <w:p w14:paraId="23B952B2" w14:textId="77777777" w:rsidR="0076021D" w:rsidRDefault="0076021D" w:rsidP="005F331D">
      <w:pPr>
        <w:pStyle w:val="Sinespaciado"/>
        <w:ind w:right="49"/>
        <w:jc w:val="both"/>
        <w:rPr>
          <w:rFonts w:ascii="Times New Roman" w:hAnsi="Times New Roman"/>
          <w:bCs/>
          <w:sz w:val="24"/>
          <w:szCs w:val="24"/>
          <w:lang w:val="es-MX"/>
        </w:rPr>
      </w:pPr>
    </w:p>
    <w:p w14:paraId="17A63CBA" w14:textId="2AD82794" w:rsidR="0076021D" w:rsidRPr="00BB4A07" w:rsidRDefault="0076021D" w:rsidP="005F331D">
      <w:pPr>
        <w:pStyle w:val="Sinespaciado"/>
        <w:ind w:left="785" w:right="49"/>
        <w:jc w:val="center"/>
        <w:rPr>
          <w:rFonts w:ascii="Times New Roman" w:hAnsi="Times New Roman"/>
          <w:b/>
          <w:bCs/>
          <w:sz w:val="24"/>
          <w:szCs w:val="24"/>
          <w:lang w:val="es-MX"/>
        </w:rPr>
      </w:pPr>
      <w:r>
        <w:rPr>
          <w:rFonts w:ascii="Times New Roman" w:hAnsi="Times New Roman"/>
          <w:b/>
          <w:bCs/>
          <w:sz w:val="24"/>
          <w:szCs w:val="24"/>
          <w:lang w:val="es-MX"/>
        </w:rPr>
        <w:t xml:space="preserve">Gráfica </w:t>
      </w:r>
      <w:r w:rsidR="00AF7163">
        <w:rPr>
          <w:rFonts w:ascii="Times New Roman" w:hAnsi="Times New Roman"/>
          <w:b/>
          <w:bCs/>
          <w:sz w:val="24"/>
          <w:szCs w:val="24"/>
          <w:lang w:val="es-MX"/>
        </w:rPr>
        <w:t>44</w:t>
      </w:r>
      <w:r>
        <w:rPr>
          <w:rFonts w:ascii="Times New Roman" w:hAnsi="Times New Roman"/>
          <w:b/>
          <w:bCs/>
          <w:sz w:val="24"/>
          <w:szCs w:val="24"/>
          <w:lang w:val="es-MX"/>
        </w:rPr>
        <w:t xml:space="preserve">.  </w:t>
      </w:r>
      <w:r w:rsidRPr="00BB4A07">
        <w:rPr>
          <w:rFonts w:ascii="Times New Roman" w:hAnsi="Times New Roman"/>
          <w:b/>
          <w:bCs/>
          <w:sz w:val="24"/>
          <w:szCs w:val="24"/>
          <w:lang w:val="es-MX"/>
        </w:rPr>
        <w:t>Obligaciones financieras de las Municipalidades</w:t>
      </w:r>
    </w:p>
    <w:p w14:paraId="1148B4EB" w14:textId="77777777" w:rsidR="00F77D9D" w:rsidRPr="00BB5E60" w:rsidRDefault="00F77D9D" w:rsidP="00F77D9D">
      <w:pPr>
        <w:jc w:val="center"/>
        <w:rPr>
          <w:sz w:val="22"/>
          <w:szCs w:val="24"/>
        </w:rPr>
      </w:pPr>
      <w:r w:rsidRPr="00BB5E60">
        <w:rPr>
          <w:sz w:val="22"/>
          <w:szCs w:val="24"/>
        </w:rPr>
        <w:t>Como porcentaje de sus ingresos totales</w:t>
      </w:r>
    </w:p>
    <w:p w14:paraId="0D7ACC07" w14:textId="4736CB15" w:rsidR="0076021D" w:rsidRPr="0076021D" w:rsidRDefault="00C50211" w:rsidP="005F331D">
      <w:pPr>
        <w:pStyle w:val="Prrafodelista"/>
        <w:autoSpaceDE w:val="0"/>
        <w:autoSpaceDN w:val="0"/>
        <w:adjustRightInd w:val="0"/>
        <w:ind w:left="785"/>
        <w:jc w:val="center"/>
        <w:rPr>
          <w:sz w:val="24"/>
          <w:szCs w:val="24"/>
        </w:rPr>
      </w:pPr>
      <w:r>
        <w:rPr>
          <w:noProof/>
          <w:sz w:val="18"/>
          <w:szCs w:val="24"/>
          <w:lang w:val="es-GT" w:eastAsia="es-GT"/>
        </w:rPr>
        <w:drawing>
          <wp:inline distT="0" distB="0" distL="0" distR="0" wp14:anchorId="1C19B328" wp14:editId="6EFE7727">
            <wp:extent cx="5486400" cy="2164472"/>
            <wp:effectExtent l="0" t="0" r="0" b="762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409422C" w14:textId="77C5D9D8" w:rsidR="00ED500C" w:rsidRPr="0012440D" w:rsidRDefault="00ED500C" w:rsidP="00ED500C">
      <w:pPr>
        <w:tabs>
          <w:tab w:val="left" w:pos="7513"/>
        </w:tabs>
        <w:rPr>
          <w:sz w:val="18"/>
          <w:szCs w:val="24"/>
        </w:rPr>
      </w:pPr>
      <w:r>
        <w:rPr>
          <w:sz w:val="18"/>
          <w:szCs w:val="24"/>
        </w:rPr>
        <w:t xml:space="preserve">               </w:t>
      </w:r>
      <w:r w:rsidR="00B51A48">
        <w:rPr>
          <w:sz w:val="18"/>
          <w:szCs w:val="24"/>
        </w:rPr>
        <w:t xml:space="preserve">                      </w:t>
      </w:r>
      <w:r w:rsidRPr="0012440D">
        <w:rPr>
          <w:sz w:val="18"/>
          <w:szCs w:val="24"/>
        </w:rPr>
        <w:t>Fuente: Sicoin</w:t>
      </w:r>
      <w:r>
        <w:rPr>
          <w:sz w:val="18"/>
          <w:szCs w:val="24"/>
        </w:rPr>
        <w:t xml:space="preserve"> </w:t>
      </w:r>
      <w:r w:rsidRPr="0012440D">
        <w:rPr>
          <w:sz w:val="18"/>
          <w:szCs w:val="24"/>
        </w:rPr>
        <w:t>GL</w:t>
      </w:r>
    </w:p>
    <w:p w14:paraId="6EE25E84" w14:textId="77777777" w:rsidR="0076021D" w:rsidRPr="0076021D" w:rsidRDefault="0076021D" w:rsidP="0076021D"/>
    <w:p w14:paraId="77E31101" w14:textId="05922B57" w:rsidR="00BB5E60" w:rsidRDefault="00080B01" w:rsidP="00BB5E60">
      <w:pPr>
        <w:pStyle w:val="Sinespaciado"/>
        <w:ind w:left="567" w:right="49"/>
        <w:jc w:val="both"/>
        <w:rPr>
          <w:rFonts w:ascii="Times New Roman" w:hAnsi="Times New Roman"/>
          <w:bCs/>
          <w:sz w:val="24"/>
          <w:szCs w:val="24"/>
          <w:lang w:val="es-MX"/>
        </w:rPr>
      </w:pPr>
      <w:r>
        <w:rPr>
          <w:rFonts w:ascii="Times New Roman" w:hAnsi="Times New Roman"/>
          <w:bCs/>
          <w:sz w:val="24"/>
          <w:szCs w:val="24"/>
          <w:lang w:val="es-MX"/>
        </w:rPr>
        <w:lastRenderedPageBreak/>
        <w:t>L</w:t>
      </w:r>
      <w:r w:rsidR="00BB5E60" w:rsidRPr="00EB56BD">
        <w:rPr>
          <w:rFonts w:ascii="Times New Roman" w:hAnsi="Times New Roman"/>
          <w:bCs/>
          <w:sz w:val="24"/>
          <w:szCs w:val="24"/>
          <w:lang w:val="es-MX"/>
        </w:rPr>
        <w:t>as municipalidades</w:t>
      </w:r>
      <w:r w:rsidR="005F4089">
        <w:rPr>
          <w:rFonts w:ascii="Times New Roman" w:hAnsi="Times New Roman"/>
          <w:bCs/>
          <w:sz w:val="24"/>
          <w:szCs w:val="24"/>
          <w:lang w:val="es-MX"/>
        </w:rPr>
        <w:t>,</w:t>
      </w:r>
      <w:r w:rsidR="00BB5E60" w:rsidRPr="00EB56BD">
        <w:rPr>
          <w:rFonts w:ascii="Times New Roman" w:hAnsi="Times New Roman"/>
          <w:bCs/>
          <w:sz w:val="24"/>
          <w:szCs w:val="24"/>
          <w:lang w:val="es-MX"/>
        </w:rPr>
        <w:t xml:space="preserve"> como grupo institucional, </w:t>
      </w:r>
      <w:r w:rsidR="00AD169C">
        <w:rPr>
          <w:rFonts w:ascii="Times New Roman" w:hAnsi="Times New Roman"/>
          <w:bCs/>
          <w:sz w:val="24"/>
          <w:szCs w:val="24"/>
          <w:lang w:val="es-MX"/>
        </w:rPr>
        <w:t>tienen un endeudamiento</w:t>
      </w:r>
      <w:r w:rsidR="00BB5E60" w:rsidRPr="00EB56BD">
        <w:rPr>
          <w:rFonts w:ascii="Times New Roman" w:hAnsi="Times New Roman"/>
          <w:bCs/>
          <w:sz w:val="24"/>
          <w:szCs w:val="24"/>
          <w:lang w:val="es-MX"/>
        </w:rPr>
        <w:t xml:space="preserve"> relativamente moderado, situándose en</w:t>
      </w:r>
      <w:r w:rsidR="00264EED">
        <w:rPr>
          <w:rFonts w:ascii="Times New Roman" w:hAnsi="Times New Roman"/>
          <w:bCs/>
          <w:sz w:val="24"/>
          <w:szCs w:val="24"/>
          <w:lang w:val="es-MX"/>
        </w:rPr>
        <w:t xml:space="preserve"> promedio en</w:t>
      </w:r>
      <w:r w:rsidR="00BB5E60" w:rsidRPr="00EB56BD">
        <w:rPr>
          <w:rFonts w:ascii="Times New Roman" w:hAnsi="Times New Roman"/>
          <w:bCs/>
          <w:sz w:val="24"/>
          <w:szCs w:val="24"/>
          <w:lang w:val="es-MX"/>
        </w:rPr>
        <w:t xml:space="preserve"> torno al 9.5% de sus ingresos totales para el periodo de 2016 a 2020. Sin embargo, a nivel individual existen algunas entidades cuyos saldos de deuda son relativamente altos con relación a sus niveles de ingreso. Asimismo, es importante señalar que de acuerdo con la información del SICOIN GL, hay 260 municipalidades que en 2020 no reflejan monto alguno de endeudamiento, esto indica que sus finanzas no están comprometidas y tienen espacio fiscal para atender inversiones prioritarias en el futuro.</w:t>
      </w:r>
    </w:p>
    <w:p w14:paraId="407B8BDE" w14:textId="47A4575B" w:rsidR="00B51A48" w:rsidRDefault="00B51A48" w:rsidP="00B51A48">
      <w:pPr>
        <w:pStyle w:val="Sinespaciado"/>
        <w:ind w:right="49"/>
        <w:jc w:val="both"/>
        <w:rPr>
          <w:rFonts w:ascii="Times New Roman" w:hAnsi="Times New Roman"/>
          <w:bCs/>
          <w:sz w:val="24"/>
          <w:szCs w:val="24"/>
          <w:lang w:val="es-MX"/>
        </w:rPr>
      </w:pPr>
    </w:p>
    <w:p w14:paraId="4E36CC2E" w14:textId="2306E08E" w:rsidR="00BF0870" w:rsidRDefault="00AF7163" w:rsidP="00BF0870">
      <w:pPr>
        <w:pStyle w:val="Sinespaciado"/>
        <w:ind w:left="567" w:right="49"/>
        <w:jc w:val="center"/>
        <w:rPr>
          <w:rFonts w:ascii="Times New Roman" w:hAnsi="Times New Roman"/>
          <w:b/>
          <w:bCs/>
          <w:sz w:val="24"/>
          <w:szCs w:val="24"/>
          <w:lang w:val="es-MX"/>
        </w:rPr>
      </w:pPr>
      <w:r>
        <w:rPr>
          <w:rFonts w:ascii="Times New Roman" w:hAnsi="Times New Roman"/>
          <w:b/>
          <w:bCs/>
          <w:sz w:val="24"/>
          <w:szCs w:val="24"/>
          <w:lang w:val="es-MX"/>
        </w:rPr>
        <w:t>Gráfica 45</w:t>
      </w:r>
      <w:r w:rsidR="00BF0870">
        <w:rPr>
          <w:rFonts w:ascii="Times New Roman" w:hAnsi="Times New Roman"/>
          <w:b/>
          <w:bCs/>
          <w:sz w:val="24"/>
          <w:szCs w:val="24"/>
          <w:lang w:val="es-MX"/>
        </w:rPr>
        <w:t xml:space="preserve">.  </w:t>
      </w:r>
      <w:r w:rsidR="00BF0870" w:rsidRPr="00BB4A07">
        <w:rPr>
          <w:rFonts w:ascii="Times New Roman" w:hAnsi="Times New Roman"/>
          <w:b/>
          <w:bCs/>
          <w:sz w:val="24"/>
          <w:szCs w:val="24"/>
          <w:lang w:val="es-MX"/>
        </w:rPr>
        <w:t>Endeudamiento Financiero de las Municipalidades</w:t>
      </w:r>
    </w:p>
    <w:p w14:paraId="2743CE0A" w14:textId="77777777" w:rsidR="00BF0870" w:rsidRPr="00BB4A07" w:rsidRDefault="00BF0870" w:rsidP="00BF0870">
      <w:pPr>
        <w:pStyle w:val="Sinespaciado"/>
        <w:ind w:left="567" w:right="49"/>
        <w:jc w:val="center"/>
        <w:rPr>
          <w:rFonts w:ascii="Times New Roman" w:hAnsi="Times New Roman"/>
          <w:bCs/>
          <w:szCs w:val="24"/>
          <w:lang w:val="es-MX"/>
        </w:rPr>
      </w:pPr>
      <w:r w:rsidRPr="00BB4A07">
        <w:rPr>
          <w:rFonts w:ascii="Times New Roman" w:hAnsi="Times New Roman"/>
          <w:bCs/>
          <w:szCs w:val="24"/>
          <w:lang w:val="es-MX"/>
        </w:rPr>
        <w:t>Para el año 2020</w:t>
      </w:r>
    </w:p>
    <w:p w14:paraId="6F441A7D" w14:textId="77777777" w:rsidR="00BF0870" w:rsidRPr="00EB56BD" w:rsidRDefault="00BF0870" w:rsidP="00BF0870">
      <w:pPr>
        <w:pStyle w:val="Sinespaciado"/>
        <w:ind w:left="567" w:right="49"/>
        <w:jc w:val="both"/>
        <w:rPr>
          <w:rFonts w:ascii="Times New Roman" w:hAnsi="Times New Roman"/>
          <w:bCs/>
          <w:sz w:val="24"/>
          <w:szCs w:val="24"/>
          <w:lang w:val="es-MX"/>
        </w:rPr>
      </w:pPr>
      <w:r>
        <w:rPr>
          <w:noProof/>
          <w:lang w:val="es-GT" w:eastAsia="es-GT"/>
        </w:rPr>
        <w:drawing>
          <wp:inline distT="0" distB="0" distL="0" distR="0" wp14:anchorId="34AD56A5" wp14:editId="230BCB09">
            <wp:extent cx="5496560" cy="1695450"/>
            <wp:effectExtent l="0" t="0" r="8890" b="0"/>
            <wp:docPr id="51" name="Gráfico 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8C15F42-976B-4D5F-9CF6-1E6E8FE75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2B92AD8" w14:textId="77777777" w:rsidR="00BF0870" w:rsidRPr="0012440D" w:rsidRDefault="00BF0870" w:rsidP="00BF0870">
      <w:pPr>
        <w:tabs>
          <w:tab w:val="left" w:pos="7513"/>
        </w:tabs>
        <w:rPr>
          <w:sz w:val="18"/>
          <w:szCs w:val="24"/>
        </w:rPr>
      </w:pPr>
      <w:r>
        <w:rPr>
          <w:sz w:val="18"/>
          <w:szCs w:val="24"/>
        </w:rPr>
        <w:t xml:space="preserve">               </w:t>
      </w:r>
      <w:r w:rsidRPr="0012440D">
        <w:rPr>
          <w:sz w:val="18"/>
          <w:szCs w:val="24"/>
        </w:rPr>
        <w:t>Fuente: Sicoin</w:t>
      </w:r>
      <w:r>
        <w:rPr>
          <w:sz w:val="18"/>
          <w:szCs w:val="24"/>
        </w:rPr>
        <w:t xml:space="preserve"> </w:t>
      </w:r>
      <w:r w:rsidRPr="0012440D">
        <w:rPr>
          <w:sz w:val="18"/>
          <w:szCs w:val="24"/>
        </w:rPr>
        <w:t>GL</w:t>
      </w:r>
    </w:p>
    <w:p w14:paraId="6950721E" w14:textId="77777777" w:rsidR="00BF0870" w:rsidRDefault="00BF0870" w:rsidP="00BB5E60">
      <w:pPr>
        <w:pStyle w:val="Sinespaciado"/>
        <w:ind w:left="567" w:right="49"/>
        <w:jc w:val="both"/>
        <w:rPr>
          <w:rFonts w:ascii="Times New Roman" w:hAnsi="Times New Roman"/>
          <w:bCs/>
          <w:sz w:val="24"/>
          <w:szCs w:val="24"/>
          <w:lang w:val="es-MX"/>
        </w:rPr>
      </w:pPr>
    </w:p>
    <w:p w14:paraId="550CA2BD" w14:textId="77777777" w:rsidR="00BB5E60" w:rsidRPr="00EB56BD" w:rsidRDefault="00BB5E60" w:rsidP="00BB5E60">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Es oportuno indicar que en el año 2020 se observa un incremento de 2.2 puntos porcentuales respecto a 2019, pero existen dos causas que en buena medida explican esta situación, el primero de estos son las circunstancias vividas por la Pandemia del Covid-19 que tuvo repercusiones negativas en todo ámbito y la segunda causa se debe a que en 2020 fue el inicio una nueva administración de alcaldes electos para el periodo 2020-2024.</w:t>
      </w:r>
    </w:p>
    <w:p w14:paraId="60CBFDBB" w14:textId="77777777" w:rsidR="00BB5E60" w:rsidRDefault="00BB5E60" w:rsidP="00BB5E60">
      <w:pPr>
        <w:jc w:val="center"/>
        <w:rPr>
          <w:sz w:val="18"/>
          <w:szCs w:val="24"/>
        </w:rPr>
      </w:pPr>
    </w:p>
    <w:p w14:paraId="0511986B" w14:textId="77777777" w:rsidR="00BB5E60" w:rsidRDefault="00BB5E60" w:rsidP="00BB5E60">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 xml:space="preserve">Según las cifras para el año 2020, la deuda de las municipalidades por concepto de préstamos asciende a Q1,096.4 millones, un total de 260 municipalidades (76.5%) no presentan deudas con préstamos en el corto y largo plazo, teniendo un indicador equivalente al 0% de sus ingresos totales, mientras que 39 municipalidades (11.5%) muestran un endeudamiento de hasta el 10% de sus ingresos. Cabe mencionar que un total de 41 municipalidades (12%) presentan un endeudamiento superior al 10.1% de los ingresos totales y de estas, algunas llegan a tener un valor de deuda que supera el 50% de sus ingresos totales. </w:t>
      </w:r>
    </w:p>
    <w:p w14:paraId="48180CBF" w14:textId="77777777" w:rsidR="00BB5E60" w:rsidRDefault="00BB5E60" w:rsidP="00BB5E60">
      <w:pPr>
        <w:tabs>
          <w:tab w:val="left" w:pos="7513"/>
        </w:tabs>
        <w:jc w:val="both"/>
        <w:rPr>
          <w:sz w:val="24"/>
          <w:szCs w:val="24"/>
        </w:rPr>
      </w:pPr>
    </w:p>
    <w:p w14:paraId="7021EC04" w14:textId="66AF136B" w:rsidR="00BB5E60" w:rsidRPr="00C67259" w:rsidRDefault="00BB5E60" w:rsidP="00C67259">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Las municipalidades que presentan el mayor endeudamiento por préstamos con relación a sus ingresos totales son: Teculután con un nivel endeudamiento equivalente al 77.7%, seguido de Catarina con 77.4%, luego se encuentra San Antonio Ilotenango con 59%, El Jícaro con 57.8%, San Lorenzo (Suchitepéquez) con 55.5% y el municipio de Guatemala con 48.6% respecto a los ingresos totales. Cabe mencionar que, el valor de la deuda de las diez municipalidades con el mayor endeudamiento financiero asciende a Q824.5 millones y representa el 75.2% del valor total de la deuda (por préstamos) de todo el grupo institucional. También es oportuno indicar que solamente la deuda de la municipalidad de Guatemala representa el 54.4% del valor total</w:t>
      </w:r>
      <w:r w:rsidR="00F17B0F">
        <w:rPr>
          <w:rFonts w:ascii="Times New Roman" w:hAnsi="Times New Roman"/>
          <w:bCs/>
          <w:sz w:val="24"/>
          <w:szCs w:val="24"/>
          <w:lang w:val="es-MX"/>
        </w:rPr>
        <w:t>.</w:t>
      </w:r>
    </w:p>
    <w:p w14:paraId="240C43BD" w14:textId="15199578" w:rsidR="009C0860" w:rsidRDefault="009C0860" w:rsidP="00BB5E60">
      <w:pPr>
        <w:tabs>
          <w:tab w:val="left" w:pos="7513"/>
        </w:tabs>
        <w:jc w:val="both"/>
        <w:rPr>
          <w:sz w:val="24"/>
          <w:szCs w:val="24"/>
        </w:rPr>
      </w:pPr>
    </w:p>
    <w:p w14:paraId="1187E1FB" w14:textId="31EC4BE4" w:rsidR="00B51A48" w:rsidRDefault="00B51A48" w:rsidP="00BB5E60">
      <w:pPr>
        <w:tabs>
          <w:tab w:val="left" w:pos="7513"/>
        </w:tabs>
        <w:jc w:val="both"/>
        <w:rPr>
          <w:sz w:val="24"/>
          <w:szCs w:val="24"/>
        </w:rPr>
      </w:pPr>
    </w:p>
    <w:p w14:paraId="51284098" w14:textId="25691DCA" w:rsidR="00B51A48" w:rsidRDefault="00B51A48" w:rsidP="00BB5E60">
      <w:pPr>
        <w:tabs>
          <w:tab w:val="left" w:pos="7513"/>
        </w:tabs>
        <w:jc w:val="both"/>
        <w:rPr>
          <w:sz w:val="24"/>
          <w:szCs w:val="24"/>
        </w:rPr>
      </w:pPr>
    </w:p>
    <w:p w14:paraId="4CA8A4A0" w14:textId="642C4C58" w:rsidR="00B51A48" w:rsidRDefault="00B51A48" w:rsidP="00BB5E60">
      <w:pPr>
        <w:tabs>
          <w:tab w:val="left" w:pos="7513"/>
        </w:tabs>
        <w:jc w:val="both"/>
        <w:rPr>
          <w:sz w:val="24"/>
          <w:szCs w:val="24"/>
        </w:rPr>
      </w:pPr>
    </w:p>
    <w:p w14:paraId="1279AC41" w14:textId="3472602E" w:rsidR="00B51A48" w:rsidRDefault="00B51A48" w:rsidP="00BB5E60">
      <w:pPr>
        <w:tabs>
          <w:tab w:val="left" w:pos="7513"/>
        </w:tabs>
        <w:jc w:val="both"/>
        <w:rPr>
          <w:sz w:val="24"/>
          <w:szCs w:val="24"/>
        </w:rPr>
      </w:pPr>
    </w:p>
    <w:p w14:paraId="22E094F6" w14:textId="5AF9FBA1" w:rsidR="00B51A48" w:rsidRDefault="00B51A48" w:rsidP="00BB5E60">
      <w:pPr>
        <w:tabs>
          <w:tab w:val="left" w:pos="7513"/>
        </w:tabs>
        <w:jc w:val="both"/>
        <w:rPr>
          <w:sz w:val="24"/>
          <w:szCs w:val="24"/>
        </w:rPr>
      </w:pPr>
    </w:p>
    <w:p w14:paraId="433740A1" w14:textId="6C15B10B" w:rsidR="00B51A48" w:rsidRDefault="00B51A48" w:rsidP="00BB5E60">
      <w:pPr>
        <w:tabs>
          <w:tab w:val="left" w:pos="7513"/>
        </w:tabs>
        <w:jc w:val="both"/>
        <w:rPr>
          <w:sz w:val="24"/>
          <w:szCs w:val="24"/>
        </w:rPr>
      </w:pPr>
    </w:p>
    <w:p w14:paraId="1735F440" w14:textId="77777777" w:rsidR="00B51A48" w:rsidRDefault="00B51A48" w:rsidP="00BB5E60">
      <w:pPr>
        <w:tabs>
          <w:tab w:val="left" w:pos="7513"/>
        </w:tabs>
        <w:jc w:val="both"/>
        <w:rPr>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410"/>
      </w:tblGrid>
      <w:tr w:rsidR="00BB5E60" w:rsidRPr="002955CD" w14:paraId="1816C14F" w14:textId="77777777" w:rsidTr="009C0860">
        <w:trPr>
          <w:trHeight w:val="369"/>
          <w:jc w:val="center"/>
        </w:trPr>
        <w:tc>
          <w:tcPr>
            <w:tcW w:w="8770" w:type="dxa"/>
            <w:gridSpan w:val="2"/>
          </w:tcPr>
          <w:p w14:paraId="60685069" w14:textId="4103E60F" w:rsidR="00BB5E60" w:rsidRPr="002955CD" w:rsidRDefault="00AF7163" w:rsidP="00BC0D90">
            <w:pPr>
              <w:jc w:val="center"/>
              <w:rPr>
                <w:b/>
                <w:bCs/>
                <w:sz w:val="24"/>
                <w:szCs w:val="24"/>
              </w:rPr>
            </w:pPr>
            <w:r>
              <w:rPr>
                <w:b/>
                <w:bCs/>
                <w:sz w:val="24"/>
                <w:szCs w:val="24"/>
              </w:rPr>
              <w:t>Gráfica 46</w:t>
            </w:r>
            <w:r w:rsidR="00814706">
              <w:rPr>
                <w:b/>
                <w:bCs/>
                <w:sz w:val="24"/>
                <w:szCs w:val="24"/>
              </w:rPr>
              <w:t xml:space="preserve">.  </w:t>
            </w:r>
            <w:r w:rsidR="00BB5E60" w:rsidRPr="002955CD">
              <w:rPr>
                <w:b/>
                <w:bCs/>
                <w:sz w:val="24"/>
                <w:szCs w:val="24"/>
              </w:rPr>
              <w:t>Principales Municipalidades</w:t>
            </w:r>
          </w:p>
          <w:p w14:paraId="1CE1A8D5" w14:textId="77777777" w:rsidR="00BB5E60" w:rsidRPr="002955CD" w:rsidRDefault="00BB5E60" w:rsidP="00BC0D90">
            <w:pPr>
              <w:jc w:val="center"/>
              <w:rPr>
                <w:sz w:val="24"/>
                <w:szCs w:val="24"/>
              </w:rPr>
            </w:pPr>
            <w:r>
              <w:rPr>
                <w:szCs w:val="24"/>
              </w:rPr>
              <w:t>p</w:t>
            </w:r>
            <w:r w:rsidRPr="004B314E">
              <w:rPr>
                <w:szCs w:val="24"/>
              </w:rPr>
              <w:t>ara el año 2020</w:t>
            </w:r>
          </w:p>
        </w:tc>
      </w:tr>
      <w:tr w:rsidR="00BB5E60" w:rsidRPr="002955CD" w14:paraId="57B52D74" w14:textId="77777777" w:rsidTr="009C0860">
        <w:tblPrEx>
          <w:tblCellMar>
            <w:left w:w="70" w:type="dxa"/>
            <w:right w:w="70" w:type="dxa"/>
          </w:tblCellMar>
        </w:tblPrEx>
        <w:trPr>
          <w:trHeight w:val="2799"/>
          <w:jc w:val="center"/>
        </w:trPr>
        <w:tc>
          <w:tcPr>
            <w:tcW w:w="4361" w:type="dxa"/>
          </w:tcPr>
          <w:p w14:paraId="3C02A394" w14:textId="77777777" w:rsidR="00BB5E60" w:rsidRPr="002955CD" w:rsidRDefault="00BB5E60" w:rsidP="00BC0D90">
            <w:pPr>
              <w:rPr>
                <w:sz w:val="24"/>
                <w:szCs w:val="24"/>
              </w:rPr>
            </w:pPr>
            <w:r>
              <w:rPr>
                <w:noProof/>
                <w:lang w:val="es-GT" w:eastAsia="es-GT"/>
              </w:rPr>
              <w:drawing>
                <wp:inline distT="0" distB="0" distL="0" distR="0" wp14:anchorId="643819CF" wp14:editId="1678DBA2">
                  <wp:extent cx="2625725" cy="2011680"/>
                  <wp:effectExtent l="0" t="0" r="3175" b="7620"/>
                  <wp:docPr id="52" name="Gráfico 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D1801F4-D943-46B2-861A-FDACDD592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408" w:type="dxa"/>
          </w:tcPr>
          <w:p w14:paraId="4C4A413A" w14:textId="77777777" w:rsidR="00BB5E60" w:rsidRPr="002955CD" w:rsidRDefault="00BB5E60" w:rsidP="00BC0D90">
            <w:pPr>
              <w:rPr>
                <w:sz w:val="24"/>
                <w:szCs w:val="24"/>
              </w:rPr>
            </w:pPr>
            <w:r w:rsidRPr="002955CD">
              <w:rPr>
                <w:noProof/>
                <w:sz w:val="24"/>
                <w:szCs w:val="24"/>
                <w:lang w:val="es-GT" w:eastAsia="es-GT"/>
              </w:rPr>
              <w:drawing>
                <wp:inline distT="0" distB="0" distL="0" distR="0" wp14:anchorId="403402D0" wp14:editId="358E94A4">
                  <wp:extent cx="2711450" cy="2011680"/>
                  <wp:effectExtent l="0" t="0" r="0" b="7620"/>
                  <wp:docPr id="53" name="Gráfico 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71A5204-2955-4CCB-A8F1-B946505C1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5C9D9DBF" w14:textId="77777777" w:rsidR="00BB5E60" w:rsidRPr="0012440D" w:rsidRDefault="00BB5E60" w:rsidP="00BB5E60">
      <w:pPr>
        <w:tabs>
          <w:tab w:val="left" w:pos="7513"/>
        </w:tabs>
        <w:rPr>
          <w:sz w:val="18"/>
          <w:szCs w:val="24"/>
        </w:rPr>
      </w:pPr>
      <w:r>
        <w:rPr>
          <w:sz w:val="18"/>
          <w:szCs w:val="24"/>
        </w:rPr>
        <w:t xml:space="preserve">            </w:t>
      </w:r>
      <w:r w:rsidRPr="0012440D">
        <w:rPr>
          <w:sz w:val="18"/>
          <w:szCs w:val="24"/>
        </w:rPr>
        <w:t>Fuente: Sicoin</w:t>
      </w:r>
      <w:r w:rsidR="00B03324">
        <w:rPr>
          <w:sz w:val="18"/>
          <w:szCs w:val="24"/>
        </w:rPr>
        <w:t xml:space="preserve"> </w:t>
      </w:r>
      <w:r w:rsidRPr="0012440D">
        <w:rPr>
          <w:sz w:val="18"/>
          <w:szCs w:val="24"/>
        </w:rPr>
        <w:t>GL</w:t>
      </w:r>
    </w:p>
    <w:p w14:paraId="25B983BA" w14:textId="77777777" w:rsidR="00BB5E60" w:rsidRDefault="00BB5E60" w:rsidP="00BB5E60">
      <w:pPr>
        <w:pStyle w:val="Sinespaciado"/>
        <w:ind w:left="567" w:right="49"/>
        <w:jc w:val="both"/>
        <w:rPr>
          <w:rFonts w:ascii="Times New Roman" w:hAnsi="Times New Roman"/>
          <w:bCs/>
          <w:sz w:val="24"/>
          <w:szCs w:val="24"/>
          <w:lang w:val="es-MX"/>
        </w:rPr>
      </w:pPr>
    </w:p>
    <w:p w14:paraId="759144B3" w14:textId="2934858A" w:rsidR="00BB4A07" w:rsidRDefault="00440E9B" w:rsidP="00BB4A07">
      <w:pPr>
        <w:pStyle w:val="Sinespaciado"/>
        <w:ind w:left="567" w:right="49"/>
        <w:jc w:val="both"/>
        <w:rPr>
          <w:rFonts w:ascii="Times New Roman" w:hAnsi="Times New Roman"/>
          <w:bCs/>
          <w:sz w:val="24"/>
          <w:szCs w:val="24"/>
          <w:lang w:val="es-MX"/>
        </w:rPr>
      </w:pPr>
      <w:r>
        <w:rPr>
          <w:rFonts w:ascii="Times New Roman" w:hAnsi="Times New Roman"/>
          <w:bCs/>
          <w:sz w:val="24"/>
          <w:szCs w:val="24"/>
          <w:lang w:val="es-MX"/>
        </w:rPr>
        <w:t xml:space="preserve">En cuanto a las otras obligaciones financieras por pagar, </w:t>
      </w:r>
      <w:r w:rsidR="00BB4A07" w:rsidRPr="00EB56BD">
        <w:rPr>
          <w:rFonts w:ascii="Times New Roman" w:hAnsi="Times New Roman"/>
          <w:bCs/>
          <w:sz w:val="24"/>
          <w:szCs w:val="24"/>
          <w:lang w:val="es-MX"/>
        </w:rPr>
        <w:t>para 2020 estas ascendieron a Q911.4 millones en todo el sector.</w:t>
      </w:r>
      <w:r>
        <w:rPr>
          <w:rFonts w:ascii="Times New Roman" w:hAnsi="Times New Roman"/>
          <w:bCs/>
          <w:sz w:val="24"/>
          <w:szCs w:val="24"/>
          <w:lang w:val="es-MX"/>
        </w:rPr>
        <w:t xml:space="preserve"> </w:t>
      </w:r>
      <w:r w:rsidR="00BB4A07" w:rsidRPr="00EB56BD">
        <w:rPr>
          <w:rFonts w:ascii="Times New Roman" w:hAnsi="Times New Roman"/>
          <w:bCs/>
          <w:sz w:val="24"/>
          <w:szCs w:val="24"/>
          <w:lang w:val="es-MX"/>
        </w:rPr>
        <w:t xml:space="preserve">Las otras obligaciones de pago que han tenido las municipalidades, como conjunto, se encuentran en </w:t>
      </w:r>
      <w:r w:rsidR="00320B91">
        <w:rPr>
          <w:rFonts w:ascii="Times New Roman" w:hAnsi="Times New Roman"/>
          <w:bCs/>
          <w:sz w:val="24"/>
          <w:szCs w:val="24"/>
          <w:lang w:val="es-MX"/>
        </w:rPr>
        <w:t xml:space="preserve">promedio en </w:t>
      </w:r>
      <w:r w:rsidR="00BB4A07" w:rsidRPr="00EB56BD">
        <w:rPr>
          <w:rFonts w:ascii="Times New Roman" w:hAnsi="Times New Roman"/>
          <w:bCs/>
          <w:sz w:val="24"/>
          <w:szCs w:val="24"/>
          <w:lang w:val="es-MX"/>
        </w:rPr>
        <w:t>torno al 6.7% de sus ingresos totales para el periodo de 2016-2020. Pese a lo observado a nivel grupal, en términos individuales existen algunas entidades cuyos niveles son relativamente altos.</w:t>
      </w:r>
    </w:p>
    <w:p w14:paraId="2875BE66" w14:textId="14DFAB8B" w:rsidR="00BB4A07" w:rsidRDefault="00BB4A07" w:rsidP="00BB4A07">
      <w:pPr>
        <w:tabs>
          <w:tab w:val="left" w:pos="7513"/>
        </w:tabs>
        <w:jc w:val="center"/>
        <w:rPr>
          <w:sz w:val="18"/>
          <w:szCs w:val="24"/>
        </w:rPr>
      </w:pPr>
    </w:p>
    <w:p w14:paraId="24AD5935" w14:textId="4B10AD70" w:rsidR="00BB4A07" w:rsidRDefault="00BB4A07" w:rsidP="00BB4A07">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t>En el año 2020, solamente 8 municipalidades (2.4%) reportaron no contar con otras obligaciones por pagar teniendo un indicador del 0% respecto a sus ingresos totales. Mientras que 276 municipalidades (81.2%) tienen un indicador de hasta 5% del valor de sus obligaciones de pago respecto al ingreso total, mientras que 39 municipalidades (11.5%) tienen un indicador entre 5.1% y 10% de sus ingresos totales. Por su parte, existen 17 municipalidades (5%) poseen un total de obligaciones de pago superior al 10.1% de sus ingresos totales.</w:t>
      </w:r>
    </w:p>
    <w:p w14:paraId="59DA6FB0" w14:textId="77777777" w:rsidR="00320B91" w:rsidRPr="00EB56BD" w:rsidRDefault="00320B91" w:rsidP="00BB4A07">
      <w:pPr>
        <w:pStyle w:val="Sinespaciado"/>
        <w:ind w:left="567" w:right="49"/>
        <w:jc w:val="both"/>
        <w:rPr>
          <w:rFonts w:ascii="Times New Roman" w:hAnsi="Times New Roman"/>
          <w:bCs/>
          <w:sz w:val="24"/>
          <w:szCs w:val="24"/>
          <w:lang w:val="es-MX"/>
        </w:rPr>
      </w:pPr>
    </w:p>
    <w:p w14:paraId="29440439" w14:textId="77777777" w:rsidR="00BB4A07" w:rsidRPr="006172EB" w:rsidRDefault="00BB4A07" w:rsidP="00BB4A07">
      <w:pPr>
        <w:tabs>
          <w:tab w:val="left" w:pos="3335"/>
        </w:tabs>
        <w:jc w:val="center"/>
        <w:rPr>
          <w:sz w:val="24"/>
          <w:szCs w:val="24"/>
        </w:rPr>
      </w:pPr>
      <w:r w:rsidRPr="002955CD">
        <w:rPr>
          <w:noProof/>
          <w:lang w:val="es-GT" w:eastAsia="es-GT"/>
        </w:rPr>
        <w:drawing>
          <wp:inline distT="0" distB="0" distL="0" distR="0" wp14:anchorId="2B7A99E3" wp14:editId="1F74D961">
            <wp:extent cx="5496560" cy="1811216"/>
            <wp:effectExtent l="0" t="0" r="8890" b="0"/>
            <wp:docPr id="55" name="Gráfico 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287C1E2-A496-4127-B5D2-3569131A0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162BA80" w14:textId="77777777" w:rsidR="00BB4A07" w:rsidRPr="000C6A35" w:rsidRDefault="00BB4A07" w:rsidP="00BB4A07">
      <w:pPr>
        <w:tabs>
          <w:tab w:val="left" w:pos="3335"/>
        </w:tabs>
        <w:rPr>
          <w:sz w:val="18"/>
          <w:szCs w:val="24"/>
        </w:rPr>
      </w:pPr>
      <w:r>
        <w:rPr>
          <w:sz w:val="18"/>
          <w:szCs w:val="24"/>
        </w:rPr>
        <w:t xml:space="preserve">                            </w:t>
      </w:r>
      <w:r w:rsidRPr="000C6A35">
        <w:rPr>
          <w:sz w:val="18"/>
          <w:szCs w:val="24"/>
        </w:rPr>
        <w:t>Fuente: Sicoin</w:t>
      </w:r>
      <w:r w:rsidR="00B03324">
        <w:rPr>
          <w:sz w:val="18"/>
          <w:szCs w:val="24"/>
        </w:rPr>
        <w:t xml:space="preserve"> </w:t>
      </w:r>
      <w:r w:rsidRPr="000C6A35">
        <w:rPr>
          <w:sz w:val="18"/>
          <w:szCs w:val="24"/>
        </w:rPr>
        <w:t>GL</w:t>
      </w:r>
    </w:p>
    <w:p w14:paraId="33999864" w14:textId="77777777" w:rsidR="00BB4A07" w:rsidRDefault="00BB4A07" w:rsidP="00BB4A07">
      <w:pPr>
        <w:pStyle w:val="Sinespaciado"/>
        <w:ind w:left="567" w:right="49"/>
        <w:jc w:val="both"/>
        <w:rPr>
          <w:rFonts w:ascii="Times New Roman" w:hAnsi="Times New Roman"/>
          <w:bCs/>
          <w:sz w:val="24"/>
          <w:szCs w:val="24"/>
          <w:lang w:val="es-MX"/>
        </w:rPr>
      </w:pPr>
    </w:p>
    <w:p w14:paraId="267810A4" w14:textId="4E25F4FE" w:rsidR="00BB4A07" w:rsidRDefault="00BB4A07" w:rsidP="00BB4A07">
      <w:pPr>
        <w:pStyle w:val="Sinespaciado"/>
        <w:ind w:left="567" w:right="49"/>
        <w:jc w:val="both"/>
        <w:rPr>
          <w:rFonts w:ascii="Times New Roman" w:hAnsi="Times New Roman"/>
          <w:bCs/>
          <w:sz w:val="24"/>
          <w:szCs w:val="24"/>
          <w:lang w:val="es-MX"/>
        </w:rPr>
      </w:pPr>
      <w:r w:rsidRPr="00EB56BD">
        <w:rPr>
          <w:rFonts w:ascii="Times New Roman" w:hAnsi="Times New Roman"/>
          <w:bCs/>
          <w:sz w:val="24"/>
          <w:szCs w:val="24"/>
          <w:lang w:val="es-MX"/>
        </w:rPr>
        <w:lastRenderedPageBreak/>
        <w:t>Las municipalidades con el mayor nivel de otras obligaciones por pagar con relación a sus ingresos totales son: Escuintla con 41.</w:t>
      </w:r>
      <w:r w:rsidR="0083488F">
        <w:rPr>
          <w:rFonts w:ascii="Times New Roman" w:hAnsi="Times New Roman"/>
          <w:bCs/>
          <w:sz w:val="24"/>
          <w:szCs w:val="24"/>
          <w:lang w:val="es-MX"/>
        </w:rPr>
        <w:t>3</w:t>
      </w:r>
      <w:r w:rsidRPr="00EB56BD">
        <w:rPr>
          <w:rFonts w:ascii="Times New Roman" w:hAnsi="Times New Roman"/>
          <w:bCs/>
          <w:sz w:val="24"/>
          <w:szCs w:val="24"/>
          <w:lang w:val="es-MX"/>
        </w:rPr>
        <w:t>%, seguido de San Pedro Ayampuc con 39.</w:t>
      </w:r>
      <w:r w:rsidR="0083488F">
        <w:rPr>
          <w:rFonts w:ascii="Times New Roman" w:hAnsi="Times New Roman"/>
          <w:bCs/>
          <w:sz w:val="24"/>
          <w:szCs w:val="24"/>
          <w:lang w:val="es-MX"/>
        </w:rPr>
        <w:t>6</w:t>
      </w:r>
      <w:r w:rsidRPr="00EB56BD">
        <w:rPr>
          <w:rFonts w:ascii="Times New Roman" w:hAnsi="Times New Roman"/>
          <w:bCs/>
          <w:sz w:val="24"/>
          <w:szCs w:val="24"/>
          <w:lang w:val="es-MX"/>
        </w:rPr>
        <w:t>%, luego el municipio de Guatemala con 38.9%, Ayutla con un equivalente al 31</w:t>
      </w:r>
      <w:r w:rsidR="0083488F">
        <w:rPr>
          <w:rFonts w:ascii="Times New Roman" w:hAnsi="Times New Roman"/>
          <w:bCs/>
          <w:sz w:val="24"/>
          <w:szCs w:val="24"/>
          <w:lang w:val="es-MX"/>
        </w:rPr>
        <w:t>.1</w:t>
      </w:r>
      <w:r w:rsidRPr="00EB56BD">
        <w:rPr>
          <w:rFonts w:ascii="Times New Roman" w:hAnsi="Times New Roman"/>
          <w:bCs/>
          <w:sz w:val="24"/>
          <w:szCs w:val="24"/>
          <w:lang w:val="es-MX"/>
        </w:rPr>
        <w:t>% y Santo Domingo Suchitepéquez con el 22.5%. Las diez municipalidades con el mayor nivel de otras obligaciones por pagar respecto a sus ingresos totales representan el 71.4% del valor total de las otras obligaciones que posee todo el grupo institucional y sobresale que la municipalidad de Guatemala representa el 52.3% del total.</w:t>
      </w:r>
    </w:p>
    <w:p w14:paraId="2C9A39BB" w14:textId="77777777" w:rsidR="00C67259" w:rsidRDefault="00C67259" w:rsidP="00BB4A07">
      <w:pPr>
        <w:pStyle w:val="Sinespaciado"/>
        <w:ind w:left="567" w:right="49"/>
        <w:jc w:val="both"/>
        <w:rPr>
          <w:rFonts w:ascii="Times New Roman" w:hAnsi="Times New Roman"/>
          <w:bCs/>
          <w:sz w:val="24"/>
          <w:szCs w:val="24"/>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BB4A07" w:rsidRPr="002955CD" w14:paraId="13A6EFFC" w14:textId="77777777" w:rsidTr="009C0860">
        <w:trPr>
          <w:trHeight w:val="491"/>
          <w:jc w:val="center"/>
        </w:trPr>
        <w:tc>
          <w:tcPr>
            <w:tcW w:w="8840" w:type="dxa"/>
            <w:gridSpan w:val="2"/>
          </w:tcPr>
          <w:p w14:paraId="4CB61207" w14:textId="4AF716F3" w:rsidR="00BB4A07" w:rsidRPr="002955CD" w:rsidRDefault="00AF7163" w:rsidP="00BC0D90">
            <w:pPr>
              <w:jc w:val="center"/>
              <w:rPr>
                <w:b/>
                <w:bCs/>
                <w:sz w:val="24"/>
                <w:szCs w:val="24"/>
              </w:rPr>
            </w:pPr>
            <w:r>
              <w:rPr>
                <w:b/>
                <w:bCs/>
                <w:sz w:val="24"/>
                <w:szCs w:val="24"/>
              </w:rPr>
              <w:t>Gráfica 48</w:t>
            </w:r>
            <w:r w:rsidR="00814706">
              <w:rPr>
                <w:b/>
                <w:bCs/>
                <w:sz w:val="24"/>
                <w:szCs w:val="24"/>
              </w:rPr>
              <w:t xml:space="preserve">.  </w:t>
            </w:r>
            <w:r w:rsidR="00BB4A07" w:rsidRPr="002955CD">
              <w:rPr>
                <w:b/>
                <w:bCs/>
                <w:sz w:val="24"/>
                <w:szCs w:val="24"/>
              </w:rPr>
              <w:t>Principales Municipalidades</w:t>
            </w:r>
          </w:p>
          <w:p w14:paraId="7FDE7121" w14:textId="77777777" w:rsidR="00BB4A07" w:rsidRPr="002955CD" w:rsidRDefault="00BB4A07" w:rsidP="00BC0D90">
            <w:pPr>
              <w:jc w:val="center"/>
              <w:rPr>
                <w:sz w:val="24"/>
                <w:szCs w:val="24"/>
              </w:rPr>
            </w:pPr>
            <w:r>
              <w:rPr>
                <w:sz w:val="24"/>
                <w:szCs w:val="24"/>
              </w:rPr>
              <w:t>p</w:t>
            </w:r>
            <w:r w:rsidRPr="002955CD">
              <w:rPr>
                <w:sz w:val="24"/>
                <w:szCs w:val="24"/>
              </w:rPr>
              <w:t>ara el año 2020</w:t>
            </w:r>
          </w:p>
        </w:tc>
      </w:tr>
      <w:tr w:rsidR="00BB4A07" w:rsidRPr="002955CD" w14:paraId="33ADE666" w14:textId="77777777" w:rsidTr="009C0860">
        <w:tblPrEx>
          <w:tblCellMar>
            <w:left w:w="70" w:type="dxa"/>
            <w:right w:w="70" w:type="dxa"/>
          </w:tblCellMar>
        </w:tblPrEx>
        <w:trPr>
          <w:trHeight w:val="3467"/>
          <w:jc w:val="center"/>
        </w:trPr>
        <w:tc>
          <w:tcPr>
            <w:tcW w:w="4430" w:type="dxa"/>
          </w:tcPr>
          <w:p w14:paraId="065146BB" w14:textId="77777777" w:rsidR="00BB4A07" w:rsidRPr="002955CD" w:rsidRDefault="00BB4A07" w:rsidP="00BC0D90">
            <w:pPr>
              <w:rPr>
                <w:sz w:val="24"/>
                <w:szCs w:val="24"/>
              </w:rPr>
            </w:pPr>
            <w:r>
              <w:rPr>
                <w:noProof/>
                <w:lang w:val="es-GT" w:eastAsia="es-GT"/>
              </w:rPr>
              <w:drawing>
                <wp:inline distT="0" distB="0" distL="0" distR="0" wp14:anchorId="3881C01A" wp14:editId="4355D951">
                  <wp:extent cx="2723515" cy="2223777"/>
                  <wp:effectExtent l="0" t="0" r="635" b="5080"/>
                  <wp:docPr id="56" name="Gráfico 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3415CC8-0810-49FD-9981-422F87E48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410" w:type="dxa"/>
          </w:tcPr>
          <w:p w14:paraId="77131F8A" w14:textId="77777777" w:rsidR="00BB4A07" w:rsidRPr="002955CD" w:rsidRDefault="00BB4A07" w:rsidP="00BC0D90">
            <w:pPr>
              <w:rPr>
                <w:sz w:val="24"/>
                <w:szCs w:val="24"/>
              </w:rPr>
            </w:pPr>
            <w:r w:rsidRPr="002955CD">
              <w:rPr>
                <w:noProof/>
                <w:sz w:val="24"/>
                <w:szCs w:val="24"/>
                <w:lang w:val="es-GT" w:eastAsia="es-GT"/>
              </w:rPr>
              <w:drawing>
                <wp:anchor distT="0" distB="0" distL="114300" distR="114300" simplePos="0" relativeHeight="251719680" behindDoc="0" locked="0" layoutInCell="1" allowOverlap="1" wp14:anchorId="53B6F5BF" wp14:editId="4F7ED8DC">
                  <wp:simplePos x="0" y="0"/>
                  <wp:positionH relativeFrom="column">
                    <wp:posOffset>1905</wp:posOffset>
                  </wp:positionH>
                  <wp:positionV relativeFrom="paragraph">
                    <wp:posOffset>0</wp:posOffset>
                  </wp:positionV>
                  <wp:extent cx="2711450" cy="2104390"/>
                  <wp:effectExtent l="0" t="0" r="0" b="0"/>
                  <wp:wrapSquare wrapText="bothSides"/>
                  <wp:docPr id="57" name="Gráfico 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71A5204-2955-4CCB-A8F1-B946505C1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tc>
      </w:tr>
    </w:tbl>
    <w:p w14:paraId="316C94DF" w14:textId="7EBFA68A" w:rsidR="00BB4A07" w:rsidRDefault="00BB4A07" w:rsidP="00BB4A07">
      <w:pPr>
        <w:tabs>
          <w:tab w:val="left" w:pos="3335"/>
        </w:tabs>
        <w:rPr>
          <w:sz w:val="18"/>
          <w:szCs w:val="24"/>
        </w:rPr>
      </w:pPr>
      <w:r>
        <w:rPr>
          <w:sz w:val="18"/>
          <w:szCs w:val="24"/>
        </w:rPr>
        <w:t xml:space="preserve">              </w:t>
      </w:r>
      <w:r w:rsidRPr="00DB2262">
        <w:rPr>
          <w:sz w:val="18"/>
          <w:szCs w:val="24"/>
        </w:rPr>
        <w:t>Fuente: Sicoin</w:t>
      </w:r>
      <w:r w:rsidR="00B03324">
        <w:rPr>
          <w:sz w:val="18"/>
          <w:szCs w:val="24"/>
        </w:rPr>
        <w:t xml:space="preserve"> </w:t>
      </w:r>
      <w:r w:rsidRPr="00DB2262">
        <w:rPr>
          <w:sz w:val="18"/>
          <w:szCs w:val="24"/>
        </w:rPr>
        <w:t>GL</w:t>
      </w:r>
    </w:p>
    <w:p w14:paraId="2587368B" w14:textId="77777777" w:rsidR="00320B91" w:rsidRDefault="00320B91" w:rsidP="00BB4A07">
      <w:pPr>
        <w:tabs>
          <w:tab w:val="left" w:pos="3335"/>
        </w:tabs>
        <w:rPr>
          <w:sz w:val="18"/>
          <w:szCs w:val="24"/>
        </w:rPr>
      </w:pPr>
    </w:p>
    <w:p w14:paraId="2D98033C" w14:textId="451D5A53" w:rsidR="0088715A" w:rsidRDefault="00914B27" w:rsidP="00914B27">
      <w:pPr>
        <w:pStyle w:val="Ttulo1"/>
        <w:widowControl/>
        <w:numPr>
          <w:ilvl w:val="1"/>
          <w:numId w:val="5"/>
        </w:numPr>
        <w:ind w:left="993" w:right="49"/>
        <w:jc w:val="both"/>
        <w:rPr>
          <w:color w:val="1F3864" w:themeColor="accent1" w:themeShade="80"/>
          <w:sz w:val="24"/>
          <w:szCs w:val="24"/>
        </w:rPr>
      </w:pPr>
      <w:bookmarkStart w:id="69" w:name="_Toc83302177"/>
      <w:r w:rsidRPr="00914B27">
        <w:rPr>
          <w:color w:val="1F3864" w:themeColor="accent1" w:themeShade="80"/>
          <w:sz w:val="24"/>
          <w:szCs w:val="24"/>
        </w:rPr>
        <w:t>Evaluación a nivel global</w:t>
      </w:r>
      <w:bookmarkEnd w:id="69"/>
    </w:p>
    <w:p w14:paraId="121EEB5C" w14:textId="77777777" w:rsidR="006E1C2E" w:rsidRPr="006E1C2E" w:rsidRDefault="006E1C2E" w:rsidP="006E1C2E"/>
    <w:p w14:paraId="6E4D95F5" w14:textId="1F9F0559" w:rsidR="009812B2" w:rsidRDefault="009812B2" w:rsidP="009812B2">
      <w:pPr>
        <w:pStyle w:val="Sinespaciado"/>
        <w:ind w:left="425" w:right="49"/>
        <w:jc w:val="both"/>
        <w:rPr>
          <w:rFonts w:ascii="Times New Roman" w:hAnsi="Times New Roman"/>
          <w:bCs/>
          <w:sz w:val="24"/>
          <w:szCs w:val="24"/>
          <w:lang w:val="es-MX"/>
        </w:rPr>
      </w:pPr>
      <w:r w:rsidRPr="00EB56BD">
        <w:rPr>
          <w:rFonts w:ascii="Times New Roman" w:hAnsi="Times New Roman"/>
          <w:bCs/>
          <w:sz w:val="24"/>
          <w:szCs w:val="24"/>
          <w:lang w:val="es-MX"/>
        </w:rPr>
        <w:t>Las obligaciones financieras de las municipalidades en el período 2016-2020 (incluye el pago de deuda por concepto de préstamos y otras obligaciones por pagar) en promedio han sido equivalentes al 0.37% del PIB, habiéndose experimentado una reducción entre el 2016 y 2019.  Sin embargo, hay un ligero incremento de 0.05 puntos porcentuales en 2020 (0.33% del PIB) con respecto al año previo, debido a los factores que se consideraron con anterioridad. No obstante, el nivel de 2020 está por debajo del promedio 2016-2019. Asimismo, es importante señalar que, un alto componente de estas obligaciones está representado por las cuentas por pagar con proveedores o contratistas, nivel que se ha mantenido en los últimos años. Sin embargo, la deuda a través de préstamos ha mostrado una reducción gradual en términos del PIB.</w:t>
      </w:r>
    </w:p>
    <w:p w14:paraId="329CDE55" w14:textId="77777777" w:rsidR="00AF7163" w:rsidRDefault="00AF7163" w:rsidP="009812B2">
      <w:pPr>
        <w:pStyle w:val="Sinespaciado"/>
        <w:ind w:left="425" w:right="49"/>
        <w:jc w:val="both"/>
        <w:rPr>
          <w:rFonts w:ascii="Times New Roman" w:hAnsi="Times New Roman"/>
          <w:bCs/>
          <w:sz w:val="24"/>
          <w:szCs w:val="24"/>
          <w:lang w:val="es-MX"/>
        </w:rPr>
      </w:pPr>
    </w:p>
    <w:p w14:paraId="674AFCD4" w14:textId="639B3B78" w:rsidR="009812B2" w:rsidRPr="00BB4A07" w:rsidRDefault="009812B2" w:rsidP="009812B2">
      <w:pPr>
        <w:pStyle w:val="Sinespaciado"/>
        <w:ind w:left="785" w:right="49"/>
        <w:jc w:val="center"/>
        <w:rPr>
          <w:rFonts w:ascii="Times New Roman" w:hAnsi="Times New Roman"/>
          <w:b/>
          <w:bCs/>
          <w:sz w:val="24"/>
          <w:szCs w:val="24"/>
          <w:lang w:val="es-MX"/>
        </w:rPr>
      </w:pPr>
      <w:r>
        <w:rPr>
          <w:rFonts w:ascii="Times New Roman" w:hAnsi="Times New Roman"/>
          <w:b/>
          <w:bCs/>
          <w:sz w:val="24"/>
          <w:szCs w:val="24"/>
          <w:lang w:val="es-MX"/>
        </w:rPr>
        <w:t xml:space="preserve">Gráfica </w:t>
      </w:r>
      <w:r w:rsidR="00AF7163">
        <w:rPr>
          <w:rFonts w:ascii="Times New Roman" w:hAnsi="Times New Roman"/>
          <w:b/>
          <w:bCs/>
          <w:sz w:val="24"/>
          <w:szCs w:val="24"/>
          <w:lang w:val="es-MX"/>
        </w:rPr>
        <w:t>49</w:t>
      </w:r>
      <w:r>
        <w:rPr>
          <w:rFonts w:ascii="Times New Roman" w:hAnsi="Times New Roman"/>
          <w:b/>
          <w:bCs/>
          <w:sz w:val="24"/>
          <w:szCs w:val="24"/>
          <w:lang w:val="es-MX"/>
        </w:rPr>
        <w:t xml:space="preserve">.  </w:t>
      </w:r>
      <w:r w:rsidRPr="00BB4A07">
        <w:rPr>
          <w:rFonts w:ascii="Times New Roman" w:hAnsi="Times New Roman"/>
          <w:b/>
          <w:bCs/>
          <w:sz w:val="24"/>
          <w:szCs w:val="24"/>
          <w:lang w:val="es-MX"/>
        </w:rPr>
        <w:t>Obligaciones financieras de las Municipalidades</w:t>
      </w:r>
    </w:p>
    <w:p w14:paraId="42D239C4" w14:textId="77777777" w:rsidR="009812B2" w:rsidRPr="00BB4A07" w:rsidRDefault="009812B2" w:rsidP="009812B2">
      <w:pPr>
        <w:pStyle w:val="Sinespaciado"/>
        <w:ind w:left="425" w:right="49"/>
        <w:jc w:val="center"/>
        <w:rPr>
          <w:rFonts w:ascii="Times New Roman" w:hAnsi="Times New Roman"/>
          <w:bCs/>
          <w:szCs w:val="24"/>
          <w:lang w:val="es-MX"/>
        </w:rPr>
      </w:pPr>
      <w:r w:rsidRPr="00BB4A07">
        <w:rPr>
          <w:rFonts w:ascii="Times New Roman" w:hAnsi="Times New Roman"/>
          <w:bCs/>
          <w:szCs w:val="24"/>
          <w:lang w:val="es-MX"/>
        </w:rPr>
        <w:t>Como porcentaje del PIB</w:t>
      </w:r>
    </w:p>
    <w:p w14:paraId="15FEEB7F" w14:textId="77777777" w:rsidR="009812B2" w:rsidRPr="009812B2" w:rsidRDefault="009812B2" w:rsidP="009812B2">
      <w:pPr>
        <w:autoSpaceDE w:val="0"/>
        <w:autoSpaceDN w:val="0"/>
        <w:adjustRightInd w:val="0"/>
        <w:ind w:left="425"/>
        <w:jc w:val="center"/>
        <w:rPr>
          <w:sz w:val="24"/>
          <w:szCs w:val="24"/>
        </w:rPr>
      </w:pPr>
      <w:r>
        <w:rPr>
          <w:noProof/>
          <w:lang w:val="es-GT" w:eastAsia="es-GT"/>
        </w:rPr>
        <w:lastRenderedPageBreak/>
        <w:drawing>
          <wp:inline distT="0" distB="0" distL="0" distR="0" wp14:anchorId="7C96823A" wp14:editId="505240FE">
            <wp:extent cx="5380355" cy="1758461"/>
            <wp:effectExtent l="0" t="0" r="0" b="0"/>
            <wp:docPr id="58" name="Gráfico 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F9D3210" w14:textId="012A7B4E" w:rsidR="009812B2" w:rsidRDefault="009812B2" w:rsidP="009812B2">
      <w:pPr>
        <w:ind w:left="425"/>
        <w:jc w:val="both"/>
        <w:rPr>
          <w:sz w:val="16"/>
          <w:szCs w:val="24"/>
        </w:rPr>
      </w:pPr>
      <w:r w:rsidRPr="009812B2">
        <w:rPr>
          <w:sz w:val="22"/>
          <w:szCs w:val="24"/>
        </w:rPr>
        <w:t xml:space="preserve">            </w:t>
      </w:r>
      <w:r w:rsidRPr="009812B2">
        <w:rPr>
          <w:sz w:val="16"/>
          <w:szCs w:val="24"/>
        </w:rPr>
        <w:t>Fuente: Elaborado por la Dirección de Análisis y Política Fiscal con datos del Banco de Guatemala y de Sicoin GL.</w:t>
      </w:r>
    </w:p>
    <w:p w14:paraId="55C91CC7" w14:textId="6C7FBBED" w:rsidR="000E2BC1" w:rsidRDefault="000E2BC1" w:rsidP="009812B2">
      <w:pPr>
        <w:ind w:left="425"/>
        <w:jc w:val="both"/>
        <w:rPr>
          <w:sz w:val="16"/>
          <w:szCs w:val="24"/>
        </w:rPr>
      </w:pPr>
    </w:p>
    <w:p w14:paraId="7B5953FA" w14:textId="5F48D2B2" w:rsidR="000E2BC1" w:rsidRDefault="000E2BC1" w:rsidP="009812B2">
      <w:pPr>
        <w:ind w:left="425"/>
        <w:jc w:val="both"/>
        <w:rPr>
          <w:sz w:val="16"/>
          <w:szCs w:val="24"/>
        </w:rPr>
      </w:pPr>
    </w:p>
    <w:p w14:paraId="2EE7B0CF" w14:textId="6F1078AC" w:rsidR="00914B27" w:rsidRPr="00914B27" w:rsidRDefault="00914B27" w:rsidP="00914B27">
      <w:pPr>
        <w:rPr>
          <w:rFonts w:eastAsia="OptimaLTStd"/>
        </w:rPr>
      </w:pPr>
    </w:p>
    <w:p w14:paraId="76DF86F1" w14:textId="77777777" w:rsidR="00BB4A07" w:rsidRDefault="00BB4A07" w:rsidP="00F00ACB">
      <w:pPr>
        <w:pStyle w:val="Ttulo1"/>
        <w:widowControl/>
        <w:numPr>
          <w:ilvl w:val="1"/>
          <w:numId w:val="5"/>
        </w:numPr>
        <w:ind w:left="993" w:right="49"/>
        <w:jc w:val="both"/>
        <w:rPr>
          <w:color w:val="1F3864" w:themeColor="accent1" w:themeShade="80"/>
          <w:sz w:val="24"/>
          <w:szCs w:val="24"/>
        </w:rPr>
      </w:pPr>
      <w:bookmarkStart w:id="70" w:name="_Toc83302178"/>
      <w:r>
        <w:rPr>
          <w:color w:val="1F3864" w:themeColor="accent1" w:themeShade="80"/>
          <w:sz w:val="24"/>
          <w:szCs w:val="24"/>
        </w:rPr>
        <w:t>Importancia de la normativa vigente en la deuda municipal</w:t>
      </w:r>
      <w:bookmarkEnd w:id="70"/>
    </w:p>
    <w:p w14:paraId="7848C2FC" w14:textId="0DA3CCD9" w:rsidR="0088715A" w:rsidRDefault="0088715A" w:rsidP="00BB5E60">
      <w:pPr>
        <w:ind w:left="567"/>
        <w:jc w:val="both"/>
        <w:rPr>
          <w:rFonts w:eastAsia="OptimaLTStd"/>
          <w:color w:val="FF0000"/>
          <w:sz w:val="24"/>
          <w:szCs w:val="24"/>
          <w:lang w:val="es-ES"/>
        </w:rPr>
      </w:pPr>
    </w:p>
    <w:p w14:paraId="5FF64F5C" w14:textId="0227C6FD" w:rsidR="000E2BC1" w:rsidRPr="000E2BC1" w:rsidRDefault="000E2BC1" w:rsidP="000E2BC1">
      <w:pPr>
        <w:ind w:left="567"/>
        <w:jc w:val="both"/>
        <w:rPr>
          <w:rFonts w:eastAsia="OptimaLTStd"/>
          <w:sz w:val="24"/>
          <w:szCs w:val="24"/>
          <w:lang w:val="es-ES"/>
        </w:rPr>
      </w:pPr>
      <w:r w:rsidRPr="000E2BC1">
        <w:rPr>
          <w:rFonts w:eastAsia="OptimaLTStd"/>
          <w:sz w:val="24"/>
          <w:szCs w:val="24"/>
          <w:lang w:val="es-ES"/>
        </w:rPr>
        <w:t xml:space="preserve">El principal riesgo fiscal asociado a las municipalidades se encuentra asociado a la posibilidad de que el gobierno central acuda al rescate de las municipalidades en caso presenten dificultades, a pesar de que no exista una obligación legal que medie de por medio, estando relacionado principalmente al endeudamiento municipal. </w:t>
      </w:r>
    </w:p>
    <w:p w14:paraId="23F5AFFF" w14:textId="51958D9B" w:rsidR="000E2BC1" w:rsidRDefault="000E2BC1" w:rsidP="00BB5E60">
      <w:pPr>
        <w:ind w:left="567"/>
        <w:jc w:val="both"/>
        <w:rPr>
          <w:rFonts w:eastAsia="OptimaLTStd"/>
          <w:color w:val="FF0000"/>
          <w:sz w:val="24"/>
          <w:szCs w:val="24"/>
          <w:lang w:val="es-ES"/>
        </w:rPr>
      </w:pPr>
    </w:p>
    <w:p w14:paraId="1A6D2C12" w14:textId="77777777" w:rsidR="004C5FE3" w:rsidRDefault="004C5FE3" w:rsidP="004C5FE3">
      <w:pPr>
        <w:autoSpaceDE w:val="0"/>
        <w:autoSpaceDN w:val="0"/>
        <w:adjustRightInd w:val="0"/>
        <w:ind w:left="561"/>
        <w:jc w:val="both"/>
        <w:rPr>
          <w:bCs/>
          <w:sz w:val="24"/>
          <w:szCs w:val="24"/>
        </w:rPr>
      </w:pPr>
      <w:r w:rsidRPr="00115CCC">
        <w:rPr>
          <w:bCs/>
          <w:sz w:val="24"/>
          <w:szCs w:val="24"/>
        </w:rPr>
        <w:t>Dentro del marco legal vigente se encuentran ciertas medidas de supervisión de las finanzas municipales que coadyuvan a la correcta disciplina fiscal dentro de las municipalidades. Algunas formas de protegerse contra e</w:t>
      </w:r>
      <w:r>
        <w:rPr>
          <w:bCs/>
          <w:sz w:val="24"/>
          <w:szCs w:val="24"/>
        </w:rPr>
        <w:t xml:space="preserve">l </w:t>
      </w:r>
      <w:r w:rsidRPr="00115CCC">
        <w:rPr>
          <w:bCs/>
          <w:sz w:val="24"/>
          <w:szCs w:val="24"/>
        </w:rPr>
        <w:t xml:space="preserve">riesgo </w:t>
      </w:r>
      <w:r>
        <w:rPr>
          <w:bCs/>
          <w:sz w:val="24"/>
          <w:szCs w:val="24"/>
        </w:rPr>
        <w:t xml:space="preserve">del impago de obligaciones financieras se encuentran contenidas </w:t>
      </w:r>
      <w:r w:rsidRPr="00115CCC">
        <w:rPr>
          <w:bCs/>
          <w:sz w:val="24"/>
          <w:szCs w:val="24"/>
        </w:rPr>
        <w:t>en el Decreto 12-2002 Código Municipal y el Decreto 1132 Ley Orgánica del Instituto de Fomento Municipal.</w:t>
      </w:r>
    </w:p>
    <w:p w14:paraId="69405F04" w14:textId="77777777" w:rsidR="004C5FE3" w:rsidRDefault="004C5FE3" w:rsidP="004C5FE3">
      <w:pPr>
        <w:autoSpaceDE w:val="0"/>
        <w:autoSpaceDN w:val="0"/>
        <w:adjustRightInd w:val="0"/>
        <w:jc w:val="both"/>
        <w:rPr>
          <w:bCs/>
          <w:sz w:val="24"/>
          <w:szCs w:val="24"/>
        </w:rPr>
      </w:pPr>
    </w:p>
    <w:p w14:paraId="658A0A4C" w14:textId="77777777" w:rsidR="004C5FE3" w:rsidRDefault="004C5FE3" w:rsidP="004C5FE3">
      <w:pPr>
        <w:autoSpaceDE w:val="0"/>
        <w:autoSpaceDN w:val="0"/>
        <w:adjustRightInd w:val="0"/>
        <w:ind w:left="561"/>
        <w:jc w:val="both"/>
        <w:rPr>
          <w:sz w:val="24"/>
          <w:szCs w:val="24"/>
        </w:rPr>
      </w:pPr>
      <w:r>
        <w:rPr>
          <w:bCs/>
          <w:sz w:val="24"/>
          <w:szCs w:val="24"/>
        </w:rPr>
        <w:t xml:space="preserve">Dentro del Código Municipal, el artículo 110 </w:t>
      </w:r>
      <w:r>
        <w:rPr>
          <w:sz w:val="24"/>
          <w:szCs w:val="24"/>
        </w:rPr>
        <w:t xml:space="preserve">fue modificado por medio del Decreto 22-2010, limita el endeudamiento municipal. Las municipalidades están facultadas a contratar préstamos observando el principio de la capacidad de pago para no afectar las finanzas municipales y asegurar a su vez, que el endeudamiento en el que incurren no afecta ni compromete las finanzas públicas nacionales. Asimismo, las </w:t>
      </w:r>
      <w:r w:rsidRPr="00983470">
        <w:rPr>
          <w:sz w:val="24"/>
          <w:szCs w:val="24"/>
        </w:rPr>
        <w:t>municipalidades</w:t>
      </w:r>
      <w:r>
        <w:rPr>
          <w:sz w:val="24"/>
          <w:szCs w:val="24"/>
        </w:rPr>
        <w:t xml:space="preserve"> no</w:t>
      </w:r>
      <w:r w:rsidRPr="00983470">
        <w:rPr>
          <w:sz w:val="24"/>
          <w:szCs w:val="24"/>
        </w:rPr>
        <w:t xml:space="preserve"> podrán contraer obligaciones crediticias </w:t>
      </w:r>
      <w:r>
        <w:rPr>
          <w:sz w:val="24"/>
          <w:szCs w:val="24"/>
        </w:rPr>
        <w:t>cuyo plazo de amortización sea mayor que el período de gobierno del Concejo Municipal (cuatro años), siempre que sea apoyado por estudios técnicos de factibilidad</w:t>
      </w:r>
      <w:r w:rsidRPr="00983470">
        <w:rPr>
          <w:sz w:val="24"/>
          <w:szCs w:val="24"/>
        </w:rPr>
        <w:t>.</w:t>
      </w:r>
      <w:r>
        <w:rPr>
          <w:sz w:val="24"/>
          <w:szCs w:val="24"/>
        </w:rPr>
        <w:t xml:space="preserve"> Adicionalmente, </w:t>
      </w:r>
      <w:r w:rsidRPr="000440C1">
        <w:rPr>
          <w:sz w:val="24"/>
          <w:szCs w:val="24"/>
        </w:rPr>
        <w:t>podrán emitir, negociar y colocar títulos-valores en el mercado nacional o en el exterior, para cuyo efecto deberán contar previamente con las opiniones del Organismo Ejecutivo y de la Junta Monetaria.</w:t>
      </w:r>
    </w:p>
    <w:p w14:paraId="7BB9EA62" w14:textId="77777777" w:rsidR="004C5FE3" w:rsidRDefault="004C5FE3" w:rsidP="004C5FE3">
      <w:pPr>
        <w:autoSpaceDE w:val="0"/>
        <w:autoSpaceDN w:val="0"/>
        <w:adjustRightInd w:val="0"/>
        <w:jc w:val="both"/>
        <w:rPr>
          <w:sz w:val="24"/>
          <w:szCs w:val="24"/>
        </w:rPr>
      </w:pPr>
    </w:p>
    <w:p w14:paraId="45BFF54A" w14:textId="77777777" w:rsidR="00FF73C3" w:rsidRPr="00FF73C3" w:rsidRDefault="00FF73C3" w:rsidP="00FF73C3">
      <w:pPr>
        <w:autoSpaceDE w:val="0"/>
        <w:autoSpaceDN w:val="0"/>
        <w:adjustRightInd w:val="0"/>
        <w:ind w:left="561"/>
        <w:jc w:val="both"/>
        <w:rPr>
          <w:sz w:val="24"/>
          <w:szCs w:val="24"/>
        </w:rPr>
      </w:pPr>
      <w:r w:rsidRPr="00FF73C3">
        <w:rPr>
          <w:sz w:val="24"/>
          <w:szCs w:val="24"/>
        </w:rPr>
        <w:t>Otra forma de mitigar el riesgo es el monitoreo de las finanzas municipales y la sanción de comportamientos inadecuados, en especial en lo referente al endeudamiento, para lo cual está establecido que el Concejo Municipal presente mensualmente, a través del módulo de deuda del Sistema Integrado de Administración Financiera, el detalle de los préstamos internos y externos vigentes y el saldo de la deuda contratada. La Dirección de Crédito Público del Ministerio de Finanzas Públicas, es la encargada de velar porque las municipalidades mantengan la información actualizada; cuando se determine que una municipalidad no está cumpliendo dicha obligación, se lo comunicará a la Contraloría General de Cuentas para que aplique la sanción legalmente correspondiente.</w:t>
      </w:r>
    </w:p>
    <w:p w14:paraId="7031F551" w14:textId="77777777" w:rsidR="00FF73C3" w:rsidRPr="00FF73C3" w:rsidRDefault="00FF73C3" w:rsidP="00FF73C3">
      <w:pPr>
        <w:autoSpaceDE w:val="0"/>
        <w:autoSpaceDN w:val="0"/>
        <w:adjustRightInd w:val="0"/>
        <w:ind w:left="561"/>
        <w:jc w:val="both"/>
        <w:rPr>
          <w:sz w:val="24"/>
          <w:szCs w:val="24"/>
        </w:rPr>
      </w:pPr>
    </w:p>
    <w:p w14:paraId="4E3A0271" w14:textId="479D11AC" w:rsidR="00FF73C3" w:rsidRDefault="00FF73C3" w:rsidP="00FF73C3">
      <w:pPr>
        <w:autoSpaceDE w:val="0"/>
        <w:autoSpaceDN w:val="0"/>
        <w:adjustRightInd w:val="0"/>
        <w:ind w:left="561"/>
        <w:jc w:val="both"/>
        <w:rPr>
          <w:sz w:val="24"/>
          <w:szCs w:val="24"/>
        </w:rPr>
      </w:pPr>
      <w:r w:rsidRPr="00FF73C3">
        <w:rPr>
          <w:sz w:val="24"/>
          <w:szCs w:val="24"/>
        </w:rPr>
        <w:lastRenderedPageBreak/>
        <w:t>Asimismo, la difusión de la situación financiera de las municipalidades es una forma de protegerse, dentro del Código Municipal como parte de la rendición de cuentas, se contempla que, en febrero de cada año, los Concejos Municipales que hagan uso de los préstamos internos o externos, deben informar a la población sobre los destinos y ejecución de los recursos, a través de los Consejos Municipales de Desarrollo y de los medios de comunicación que estén disponibles, siendo una forma de auditoria social.</w:t>
      </w:r>
    </w:p>
    <w:p w14:paraId="64003142" w14:textId="77777777" w:rsidR="00FF73C3" w:rsidRDefault="00FF73C3" w:rsidP="004C5FE3">
      <w:pPr>
        <w:autoSpaceDE w:val="0"/>
        <w:autoSpaceDN w:val="0"/>
        <w:adjustRightInd w:val="0"/>
        <w:ind w:left="561"/>
        <w:jc w:val="both"/>
        <w:rPr>
          <w:sz w:val="24"/>
          <w:szCs w:val="24"/>
        </w:rPr>
      </w:pPr>
    </w:p>
    <w:p w14:paraId="68AF2E73" w14:textId="4FF24ACF" w:rsidR="004C5FE3" w:rsidRDefault="004C5FE3" w:rsidP="004C5FE3">
      <w:pPr>
        <w:autoSpaceDE w:val="0"/>
        <w:autoSpaceDN w:val="0"/>
        <w:adjustRightInd w:val="0"/>
        <w:ind w:left="561"/>
        <w:jc w:val="both"/>
        <w:rPr>
          <w:sz w:val="24"/>
          <w:szCs w:val="24"/>
        </w:rPr>
      </w:pPr>
      <w:r>
        <w:rPr>
          <w:sz w:val="24"/>
          <w:szCs w:val="24"/>
        </w:rPr>
        <w:t>Estas disposiciones contenidas en el Código Municipal aumentan la percepción de riesgo por parte de las autoridades ediles y por ello podría inducirlos a una mayor cautela al momento de contraer deuda, ejerciendo una política de endeudamiento municipal limitada por la capacidad de pago y por el período específico que le concierne al Concejo Municipal electo.</w:t>
      </w:r>
    </w:p>
    <w:p w14:paraId="2395D476" w14:textId="77777777" w:rsidR="004C5FE3" w:rsidRDefault="004C5FE3" w:rsidP="004C5FE3">
      <w:pPr>
        <w:autoSpaceDE w:val="0"/>
        <w:autoSpaceDN w:val="0"/>
        <w:adjustRightInd w:val="0"/>
        <w:jc w:val="both"/>
        <w:rPr>
          <w:sz w:val="24"/>
          <w:szCs w:val="24"/>
          <w:highlight w:val="yellow"/>
        </w:rPr>
      </w:pPr>
    </w:p>
    <w:p w14:paraId="073255B2" w14:textId="7FDB8D81" w:rsidR="0053708E" w:rsidRDefault="004C5FE3" w:rsidP="0068552A">
      <w:pPr>
        <w:ind w:left="561"/>
        <w:jc w:val="both"/>
        <w:rPr>
          <w:sz w:val="24"/>
          <w:szCs w:val="24"/>
        </w:rPr>
      </w:pPr>
      <w:r w:rsidRPr="006B2451">
        <w:rPr>
          <w:sz w:val="24"/>
          <w:szCs w:val="24"/>
        </w:rPr>
        <w:t xml:space="preserve">Por su parte, </w:t>
      </w:r>
      <w:r w:rsidR="00752BFD">
        <w:rPr>
          <w:sz w:val="24"/>
          <w:szCs w:val="24"/>
        </w:rPr>
        <w:t>e</w:t>
      </w:r>
      <w:r w:rsidRPr="006B2451">
        <w:rPr>
          <w:sz w:val="24"/>
          <w:szCs w:val="24"/>
        </w:rPr>
        <w:t>l I</w:t>
      </w:r>
      <w:r w:rsidR="00FF73C3">
        <w:rPr>
          <w:sz w:val="24"/>
          <w:szCs w:val="24"/>
        </w:rPr>
        <w:t xml:space="preserve">nstituto de </w:t>
      </w:r>
      <w:r w:rsidRPr="006B2451">
        <w:rPr>
          <w:sz w:val="24"/>
          <w:szCs w:val="24"/>
        </w:rPr>
        <w:t>F</w:t>
      </w:r>
      <w:r w:rsidR="00FF73C3">
        <w:rPr>
          <w:sz w:val="24"/>
          <w:szCs w:val="24"/>
        </w:rPr>
        <w:t xml:space="preserve">omento </w:t>
      </w:r>
      <w:r w:rsidRPr="006B2451">
        <w:rPr>
          <w:sz w:val="24"/>
          <w:szCs w:val="24"/>
        </w:rPr>
        <w:t>M</w:t>
      </w:r>
      <w:r w:rsidR="00FF73C3">
        <w:rPr>
          <w:sz w:val="24"/>
          <w:szCs w:val="24"/>
        </w:rPr>
        <w:t>unicipal (INFOM)</w:t>
      </w:r>
      <w:r w:rsidRPr="006B2451">
        <w:rPr>
          <w:sz w:val="24"/>
          <w:szCs w:val="24"/>
        </w:rPr>
        <w:t xml:space="preserve"> como parte de su objetivo de promover el progreso de las municipalidades, </w:t>
      </w:r>
      <w:r w:rsidR="00FF73C3" w:rsidRPr="00FF73C3">
        <w:rPr>
          <w:sz w:val="24"/>
          <w:szCs w:val="24"/>
        </w:rPr>
        <w:t>a través de asistencia técnica, administrativa y financiera de divers</w:t>
      </w:r>
      <w:r w:rsidR="00FF73C3">
        <w:rPr>
          <w:sz w:val="24"/>
          <w:szCs w:val="24"/>
        </w:rPr>
        <w:t xml:space="preserve">a índole, </w:t>
      </w:r>
      <w:r w:rsidRPr="006B2451">
        <w:rPr>
          <w:sz w:val="24"/>
          <w:szCs w:val="24"/>
        </w:rPr>
        <w:t xml:space="preserve">otorga préstamos para que realicen obras y servicios públicos. Los préstamos que se otorgan no requieren la aprobación por parte del Ejecutivo, ni el dictamen de la Junta Monetaria. Previo a atender la solicitud por parte de la municipalidad, se debe suscribir un Convenio Interinstitucional, para que el INFOM este facultado para realizar descuentos provenientes del Aporte Constitucional, Iva-Paz u otro aporte, como garantía del préstamo contratado. </w:t>
      </w:r>
    </w:p>
    <w:p w14:paraId="24D086A6" w14:textId="6F2AEA24" w:rsidR="00FF73C3" w:rsidRDefault="00FF73C3" w:rsidP="0068552A">
      <w:pPr>
        <w:ind w:left="561"/>
        <w:jc w:val="both"/>
        <w:rPr>
          <w:sz w:val="24"/>
          <w:szCs w:val="24"/>
        </w:rPr>
      </w:pPr>
    </w:p>
    <w:p w14:paraId="00D1330C" w14:textId="034E974A" w:rsidR="00FF73C3" w:rsidRPr="00FF73C3" w:rsidRDefault="00FF73C3" w:rsidP="00FF73C3">
      <w:pPr>
        <w:ind w:left="561"/>
        <w:jc w:val="both"/>
        <w:rPr>
          <w:sz w:val="24"/>
          <w:szCs w:val="24"/>
        </w:rPr>
      </w:pPr>
      <w:r w:rsidRPr="00FF73C3">
        <w:rPr>
          <w:sz w:val="24"/>
          <w:szCs w:val="24"/>
        </w:rPr>
        <w:t xml:space="preserve">Una parte importante de la sostenibilidad de la deuda municipal depende de las condiciones financieras con las que sean negociados los préstamos. La tasa de interés se gradúa de acuerdo con el plazo y finalidad del préstamo, así como la capacidad financiera de la municipalidad prestataria. </w:t>
      </w:r>
    </w:p>
    <w:p w14:paraId="749FF1C7" w14:textId="77777777" w:rsidR="00FF73C3" w:rsidRPr="00FF73C3" w:rsidRDefault="00FF73C3" w:rsidP="00FF73C3">
      <w:pPr>
        <w:ind w:left="561"/>
        <w:jc w:val="both"/>
        <w:rPr>
          <w:sz w:val="24"/>
          <w:szCs w:val="24"/>
        </w:rPr>
      </w:pPr>
    </w:p>
    <w:p w14:paraId="370B55C2" w14:textId="77777777" w:rsidR="00FF73C3" w:rsidRPr="00FF73C3" w:rsidRDefault="00FF73C3" w:rsidP="00FF73C3">
      <w:pPr>
        <w:ind w:left="561"/>
        <w:jc w:val="both"/>
        <w:rPr>
          <w:sz w:val="24"/>
          <w:szCs w:val="24"/>
        </w:rPr>
      </w:pPr>
      <w:r w:rsidRPr="00FF73C3">
        <w:rPr>
          <w:sz w:val="24"/>
          <w:szCs w:val="24"/>
        </w:rPr>
        <w:t>El INFOM fija el orden de prioridad para otorgar asistencia crediticia a las municipalidades, tomando en consideración:</w:t>
      </w:r>
    </w:p>
    <w:p w14:paraId="48E5B93C" w14:textId="77777777" w:rsidR="00FF73C3" w:rsidRPr="00FF73C3" w:rsidRDefault="00FF73C3" w:rsidP="00FF73C3">
      <w:pPr>
        <w:ind w:left="561"/>
        <w:jc w:val="both"/>
        <w:rPr>
          <w:sz w:val="24"/>
          <w:szCs w:val="24"/>
        </w:rPr>
      </w:pPr>
    </w:p>
    <w:p w14:paraId="300010C2" w14:textId="1A7F021A" w:rsidR="00FF73C3" w:rsidRPr="00FF73C3" w:rsidRDefault="00FF73C3" w:rsidP="00FF73C3">
      <w:pPr>
        <w:pStyle w:val="Prrafodelista"/>
        <w:numPr>
          <w:ilvl w:val="1"/>
          <w:numId w:val="7"/>
        </w:numPr>
        <w:jc w:val="both"/>
        <w:rPr>
          <w:sz w:val="24"/>
          <w:szCs w:val="24"/>
        </w:rPr>
      </w:pPr>
      <w:r w:rsidRPr="00FF73C3">
        <w:rPr>
          <w:sz w:val="24"/>
          <w:szCs w:val="24"/>
        </w:rPr>
        <w:t>La importancia de las obras o servicios que se pretende emprender o mejorar</w:t>
      </w:r>
    </w:p>
    <w:p w14:paraId="0D8FB3C7" w14:textId="4F392045" w:rsidR="00FF73C3" w:rsidRPr="00FF73C3" w:rsidRDefault="00FF73C3" w:rsidP="00FF73C3">
      <w:pPr>
        <w:pStyle w:val="Prrafodelista"/>
        <w:numPr>
          <w:ilvl w:val="1"/>
          <w:numId w:val="7"/>
        </w:numPr>
        <w:jc w:val="both"/>
        <w:rPr>
          <w:sz w:val="24"/>
          <w:szCs w:val="24"/>
        </w:rPr>
      </w:pPr>
      <w:r w:rsidRPr="00FF73C3">
        <w:rPr>
          <w:sz w:val="24"/>
          <w:szCs w:val="24"/>
        </w:rPr>
        <w:t>Las posibilidades económicas de las municipalidades, de acuerdo con el grado de capacidad financiera de las mismas; y</w:t>
      </w:r>
    </w:p>
    <w:p w14:paraId="5CF08FD7" w14:textId="09B40ACA" w:rsidR="00FF73C3" w:rsidRPr="00FF73C3" w:rsidRDefault="00FF73C3" w:rsidP="00FF73C3">
      <w:pPr>
        <w:pStyle w:val="Prrafodelista"/>
        <w:numPr>
          <w:ilvl w:val="1"/>
          <w:numId w:val="7"/>
        </w:numPr>
        <w:jc w:val="both"/>
        <w:rPr>
          <w:sz w:val="24"/>
          <w:szCs w:val="24"/>
        </w:rPr>
      </w:pPr>
      <w:r w:rsidRPr="00FF73C3">
        <w:rPr>
          <w:sz w:val="24"/>
          <w:szCs w:val="24"/>
        </w:rPr>
        <w:t xml:space="preserve">Las condiciones económicas de los municipios </w:t>
      </w:r>
    </w:p>
    <w:p w14:paraId="5C65518D" w14:textId="5873BAC4" w:rsidR="00FF73C3" w:rsidRDefault="00FF73C3" w:rsidP="0068552A">
      <w:pPr>
        <w:ind w:left="561"/>
        <w:jc w:val="both"/>
        <w:rPr>
          <w:sz w:val="24"/>
          <w:szCs w:val="24"/>
        </w:rPr>
      </w:pPr>
    </w:p>
    <w:p w14:paraId="478ADCE7" w14:textId="5AAFA725" w:rsidR="002334C6" w:rsidRDefault="004C5FE3" w:rsidP="00002D39">
      <w:pPr>
        <w:ind w:left="561"/>
        <w:jc w:val="both"/>
        <w:rPr>
          <w:sz w:val="24"/>
          <w:szCs w:val="24"/>
        </w:rPr>
      </w:pPr>
      <w:r w:rsidRPr="009C7194">
        <w:rPr>
          <w:sz w:val="24"/>
          <w:szCs w:val="24"/>
        </w:rPr>
        <w:t xml:space="preserve">De acuerdo con </w:t>
      </w:r>
      <w:r>
        <w:rPr>
          <w:sz w:val="24"/>
          <w:szCs w:val="24"/>
        </w:rPr>
        <w:t>la normativa</w:t>
      </w:r>
      <w:r w:rsidRPr="009C7194">
        <w:rPr>
          <w:sz w:val="24"/>
          <w:szCs w:val="24"/>
        </w:rPr>
        <w:t xml:space="preserve"> vigente “Reglamento para la Asistencia Financiera a las Municipalidades” aprobado en 2019, el Instituto concederá prestamos únicamente de inversión.</w:t>
      </w:r>
      <w:r w:rsidR="00E2507D">
        <w:rPr>
          <w:sz w:val="24"/>
          <w:szCs w:val="24"/>
        </w:rPr>
        <w:t xml:space="preserve"> </w:t>
      </w:r>
      <w:r w:rsidR="00E2507D" w:rsidRPr="00E2507D">
        <w:rPr>
          <w:sz w:val="24"/>
          <w:szCs w:val="24"/>
        </w:rPr>
        <w:t xml:space="preserve">Algunos desembolsos de préstamos pueden ser parciales al estar sujetos a avances físicos de ejecución del proyecto. </w:t>
      </w:r>
      <w:r w:rsidRPr="00B47139">
        <w:rPr>
          <w:sz w:val="24"/>
          <w:szCs w:val="24"/>
        </w:rPr>
        <w:t xml:space="preserve">Asimismo, el INFOM podrá participar en operaciones de intermediación financiera entre las municipalidades y entidades bancarias, siendo este el agente de cobro para asegurar el pago del préstamo respectivo, para lo cual el Instituto proporcionará a las entidades bancarias, la información sobre la capacidad de endeudamiento de la municipalidad solicitante, siendo garantizados dichos préstamos única y exclusivamente con los recursos provenientes del Aporte Constitucional y el </w:t>
      </w:r>
      <w:r w:rsidR="00B03324" w:rsidRPr="00B47139">
        <w:rPr>
          <w:sz w:val="24"/>
          <w:szCs w:val="24"/>
        </w:rPr>
        <w:t>IVA</w:t>
      </w:r>
      <w:r w:rsidRPr="00B47139">
        <w:rPr>
          <w:sz w:val="24"/>
          <w:szCs w:val="24"/>
        </w:rPr>
        <w:t>-Paz para inversión.</w:t>
      </w:r>
    </w:p>
    <w:p w14:paraId="1FAC2D94" w14:textId="2F4B3B05" w:rsidR="00E2507D" w:rsidRDefault="00E2507D" w:rsidP="00002D39">
      <w:pPr>
        <w:ind w:left="561"/>
        <w:jc w:val="both"/>
        <w:rPr>
          <w:sz w:val="24"/>
          <w:szCs w:val="24"/>
        </w:rPr>
      </w:pPr>
    </w:p>
    <w:p w14:paraId="7423F818" w14:textId="561DAE1D" w:rsidR="00E2507D" w:rsidRDefault="00E2507D" w:rsidP="00002D39">
      <w:pPr>
        <w:ind w:left="561"/>
        <w:jc w:val="both"/>
        <w:rPr>
          <w:sz w:val="24"/>
          <w:szCs w:val="24"/>
        </w:rPr>
      </w:pPr>
      <w:r w:rsidRPr="00E2507D">
        <w:rPr>
          <w:sz w:val="24"/>
          <w:szCs w:val="24"/>
        </w:rPr>
        <w:t xml:space="preserve">Una parte importante para limitar el endeudamiento municipal es la mejora de los ingresos propios, para lo cual el Instituto puede sugerir a las municipalidades el mejoramiento de sus </w:t>
      </w:r>
      <w:r w:rsidRPr="00E2507D">
        <w:rPr>
          <w:sz w:val="24"/>
          <w:szCs w:val="24"/>
        </w:rPr>
        <w:lastRenderedPageBreak/>
        <w:t>planes de arbitrios, lo cual puede ser aceptado o no por las municipalidades.</w:t>
      </w:r>
    </w:p>
    <w:p w14:paraId="4BAD77CF" w14:textId="7742ED54" w:rsidR="00E2507D" w:rsidRDefault="00E2507D" w:rsidP="00002D39">
      <w:pPr>
        <w:ind w:left="561"/>
        <w:jc w:val="both"/>
        <w:rPr>
          <w:sz w:val="24"/>
          <w:szCs w:val="24"/>
        </w:rPr>
      </w:pPr>
    </w:p>
    <w:p w14:paraId="5D97A35A" w14:textId="0A1C8A96" w:rsidR="00E2507D" w:rsidRDefault="00E2507D" w:rsidP="00002D39">
      <w:pPr>
        <w:ind w:left="561"/>
        <w:jc w:val="both"/>
        <w:rPr>
          <w:sz w:val="24"/>
          <w:szCs w:val="24"/>
        </w:rPr>
      </w:pPr>
      <w:r w:rsidRPr="00E2507D">
        <w:rPr>
          <w:sz w:val="24"/>
          <w:szCs w:val="24"/>
        </w:rPr>
        <w:t>Estas disposiciones contenidas en el Decreto 1132 Ley Orgánica del Instituto de Fomento Municipal y el “Reglamento para la Asistencia Financiera a las Municipalidades”, podrían limitar hasta cierto grado el endeudamiento municipal, tomando en cuenta que el Instituto antes de otorgar préstamos considera la capacidad de pago de la municipalidad solicitante y las condiciones económicas propias del municipio; siendo difícil para una municipalidad optar por otro mecanismo de endeudamiento, dado que por medio del sistema financiero tradicional serán otras condiciones financieras las pactadas tomando en cuenta el riesgo, lo cual podría ser contraproducente para las finanzas municipales.</w:t>
      </w:r>
    </w:p>
    <w:p w14:paraId="0BFD6AEB" w14:textId="34B35E71" w:rsidR="00E2507D" w:rsidRDefault="00E2507D" w:rsidP="00002D39">
      <w:pPr>
        <w:ind w:left="561"/>
        <w:jc w:val="both"/>
        <w:rPr>
          <w:sz w:val="24"/>
          <w:szCs w:val="24"/>
        </w:rPr>
      </w:pPr>
    </w:p>
    <w:p w14:paraId="603ADDE1" w14:textId="61D9C9C4" w:rsidR="00B51A48" w:rsidRDefault="00B51A48" w:rsidP="00002D39">
      <w:pPr>
        <w:ind w:left="561"/>
        <w:jc w:val="both"/>
        <w:rPr>
          <w:sz w:val="24"/>
          <w:szCs w:val="24"/>
        </w:rPr>
      </w:pPr>
    </w:p>
    <w:p w14:paraId="7B1E5677" w14:textId="77777777" w:rsidR="00B51A48" w:rsidRDefault="00B51A48" w:rsidP="00002D39">
      <w:pPr>
        <w:ind w:left="561"/>
        <w:jc w:val="both"/>
        <w:rPr>
          <w:sz w:val="24"/>
          <w:szCs w:val="24"/>
        </w:rPr>
      </w:pPr>
    </w:p>
    <w:p w14:paraId="230B9B07" w14:textId="77777777" w:rsidR="00002D39" w:rsidRPr="00002D39" w:rsidRDefault="00002D39" w:rsidP="00002D39">
      <w:pPr>
        <w:ind w:left="561"/>
        <w:jc w:val="both"/>
        <w:rPr>
          <w:sz w:val="24"/>
          <w:szCs w:val="24"/>
        </w:rPr>
      </w:pPr>
    </w:p>
    <w:p w14:paraId="3549584B" w14:textId="23714464" w:rsidR="00BB4A07" w:rsidRPr="002334C6" w:rsidRDefault="004C5FE3" w:rsidP="002334C6">
      <w:pPr>
        <w:pStyle w:val="Ttulo1"/>
        <w:widowControl/>
        <w:numPr>
          <w:ilvl w:val="0"/>
          <w:numId w:val="5"/>
        </w:numPr>
        <w:ind w:right="49"/>
        <w:jc w:val="left"/>
        <w:rPr>
          <w:color w:val="1F3864" w:themeColor="accent1" w:themeShade="80"/>
          <w:sz w:val="28"/>
          <w:szCs w:val="24"/>
        </w:rPr>
      </w:pPr>
      <w:bookmarkStart w:id="71" w:name="_Toc83302179"/>
      <w:r w:rsidRPr="002334C6">
        <w:rPr>
          <w:color w:val="1F3864" w:themeColor="accent1" w:themeShade="80"/>
          <w:sz w:val="28"/>
          <w:szCs w:val="24"/>
        </w:rPr>
        <w:t>Riesgos Fiscales asociados a las empresas públicas</w:t>
      </w:r>
      <w:r w:rsidR="000B00E5">
        <w:rPr>
          <w:color w:val="1F3864" w:themeColor="accent1" w:themeShade="80"/>
          <w:sz w:val="28"/>
          <w:szCs w:val="24"/>
        </w:rPr>
        <w:t xml:space="preserve"> no financieras nacionales</w:t>
      </w:r>
      <w:bookmarkEnd w:id="71"/>
    </w:p>
    <w:p w14:paraId="59CD0EEF" w14:textId="77777777" w:rsidR="00BB4A07" w:rsidRPr="004C5FE3" w:rsidRDefault="00BB4A07" w:rsidP="00BB5E60">
      <w:pPr>
        <w:ind w:left="567"/>
        <w:jc w:val="both"/>
        <w:rPr>
          <w:rFonts w:eastAsia="OptimaLTStd"/>
          <w:color w:val="FF0000"/>
          <w:sz w:val="24"/>
          <w:szCs w:val="24"/>
        </w:rPr>
      </w:pPr>
    </w:p>
    <w:p w14:paraId="2AC2D0ED" w14:textId="77777777" w:rsidR="004C5FE3" w:rsidRDefault="004C5FE3" w:rsidP="0068552A">
      <w:pPr>
        <w:widowControl/>
        <w:ind w:left="561"/>
        <w:jc w:val="both"/>
        <w:rPr>
          <w:rFonts w:eastAsia="Calibri"/>
          <w:sz w:val="24"/>
          <w:szCs w:val="22"/>
          <w:lang w:val="es-GT" w:eastAsia="en-US"/>
        </w:rPr>
      </w:pPr>
      <w:r w:rsidRPr="00F22FB7">
        <w:rPr>
          <w:rFonts w:eastAsia="Calibri"/>
          <w:sz w:val="24"/>
          <w:szCs w:val="22"/>
          <w:lang w:val="es-GT" w:eastAsia="en-US"/>
        </w:rPr>
        <w:t>Las empresas públicas pueden ser una fuente de riesgo fiscal para las finanzas públicas guatemaltecas, dado que sus obligaciones pueden estar garantizadas explícita o implícitamente por el gobierno, por lo cual es importante hacer una revisión del marco legal y de los indicadores financieros de estas empresas para saber hasta qué grado pueden verse comprometidas las finanzas públicas.</w:t>
      </w:r>
    </w:p>
    <w:p w14:paraId="0ED5CF5F" w14:textId="6BFEC045" w:rsidR="0068552A" w:rsidRDefault="0068552A" w:rsidP="0068552A">
      <w:pPr>
        <w:widowControl/>
        <w:ind w:left="561"/>
        <w:jc w:val="both"/>
        <w:rPr>
          <w:rFonts w:eastAsia="Calibri"/>
          <w:sz w:val="24"/>
          <w:szCs w:val="22"/>
          <w:lang w:val="es-GT" w:eastAsia="en-US"/>
        </w:rPr>
      </w:pPr>
    </w:p>
    <w:p w14:paraId="27230BBB" w14:textId="4ECD687D" w:rsidR="00B61696" w:rsidRPr="00B61696" w:rsidRDefault="00B61696" w:rsidP="00B61696">
      <w:pPr>
        <w:widowControl/>
        <w:ind w:left="561"/>
        <w:jc w:val="both"/>
        <w:rPr>
          <w:rFonts w:eastAsia="Calibri"/>
          <w:sz w:val="24"/>
          <w:szCs w:val="22"/>
          <w:lang w:val="es-GT" w:eastAsia="en-US"/>
        </w:rPr>
      </w:pPr>
      <w:r w:rsidRPr="00B61696">
        <w:rPr>
          <w:rFonts w:eastAsia="Calibri"/>
          <w:sz w:val="24"/>
          <w:szCs w:val="22"/>
          <w:lang w:val="es-GT" w:eastAsia="en-US"/>
        </w:rPr>
        <w:t>Los riesgos fiscales se encuentran asociados a una serie de factores que se pueden presentar durante la operación de las empresas, tales como: la variabilidad de los dividendos, incertidumbre en los mercados y condiciones fluctuantes en que operaran, pérdidas operativas que hacen necesaria la intervención gubernamental por medio de recapitalizaciones periódicas y, los bienes y servicios que proveen las empresas públicas no responden a un precio de mercado.</w:t>
      </w:r>
    </w:p>
    <w:p w14:paraId="5C6D12F8" w14:textId="77777777" w:rsidR="00B61696" w:rsidRPr="00F22FB7" w:rsidRDefault="00B61696" w:rsidP="0068552A">
      <w:pPr>
        <w:widowControl/>
        <w:ind w:left="561"/>
        <w:jc w:val="both"/>
        <w:rPr>
          <w:rFonts w:eastAsia="Calibri"/>
          <w:sz w:val="24"/>
          <w:szCs w:val="22"/>
          <w:lang w:val="es-GT" w:eastAsia="en-US"/>
        </w:rPr>
      </w:pPr>
    </w:p>
    <w:p w14:paraId="5D6E8E8F" w14:textId="471023E8" w:rsidR="004C5FE3" w:rsidRDefault="004C5FE3" w:rsidP="0068552A">
      <w:pPr>
        <w:widowControl/>
        <w:ind w:left="561"/>
        <w:jc w:val="both"/>
        <w:rPr>
          <w:rFonts w:eastAsia="Calibri"/>
          <w:sz w:val="24"/>
          <w:szCs w:val="22"/>
          <w:lang w:val="es-GT" w:eastAsia="en-US"/>
        </w:rPr>
      </w:pPr>
      <w:r w:rsidRPr="00F22FB7">
        <w:rPr>
          <w:rFonts w:eastAsia="Calibri"/>
          <w:sz w:val="24"/>
          <w:szCs w:val="22"/>
          <w:lang w:val="es-GT" w:eastAsia="en-US"/>
        </w:rPr>
        <w:t xml:space="preserve">Es importante considerar que en ocasiones las empresas públicas podrían realizar operaciones cuasi fiscales, estas operaciones por su frecuencia o magnitud pueden tener efectos en la situación financiera del gobierno general. Por ejemplo, una actividad cuasi fiscal podría presentarse en el momento que la empresa pública presta un servicio a un precio menor al de mercado, es decir, subvencionando el precio y este componente subvencionado representa una pérdida en el balance de la empresa. Esto tiene una repercusión importante, dado que las actividades cuasi fiscales conllevan riesgos fiscales, que pueden repercutir en el presupuesto, por medio de una menor transferencia de utilidades, pago de impuestos por parte de la empresa pública hacia el gobierno o por la necesidad que podría presentar la empresa pública en ser recapitalizada. </w:t>
      </w:r>
    </w:p>
    <w:p w14:paraId="513E4922" w14:textId="461D26FD" w:rsidR="00C428A2" w:rsidRDefault="00C428A2" w:rsidP="0068552A">
      <w:pPr>
        <w:widowControl/>
        <w:ind w:left="561"/>
        <w:jc w:val="both"/>
        <w:rPr>
          <w:rFonts w:eastAsia="Calibri"/>
          <w:sz w:val="24"/>
          <w:szCs w:val="22"/>
          <w:lang w:val="es-GT" w:eastAsia="en-US"/>
        </w:rPr>
      </w:pPr>
    </w:p>
    <w:p w14:paraId="676D8AEE" w14:textId="3DA4C3D8" w:rsidR="00C428A2" w:rsidRDefault="00C428A2" w:rsidP="0068552A">
      <w:pPr>
        <w:widowControl/>
        <w:ind w:left="561"/>
        <w:jc w:val="both"/>
        <w:rPr>
          <w:rFonts w:eastAsia="Calibri"/>
          <w:sz w:val="24"/>
          <w:szCs w:val="22"/>
          <w:lang w:val="es-GT" w:eastAsia="en-US"/>
        </w:rPr>
      </w:pPr>
      <w:r w:rsidRPr="00C428A2">
        <w:rPr>
          <w:rFonts w:eastAsia="Calibri"/>
          <w:sz w:val="24"/>
          <w:szCs w:val="22"/>
          <w:lang w:val="es-GT" w:eastAsia="en-US"/>
        </w:rPr>
        <w:t xml:space="preserve">Dentro del Manual de Transparencia Fiscal del Fondo Monetario Internacional (FMI), se reconoce la importancia de separar las funciones del gobierno y las actividades comerciales, dado que coadyuva a promover una clara rendición de cuentas al distanciar la conducción de distintas actividades. Asimismo, en el Manual de Estadísticas de Finanzas Públicas 2001, se reconoce que puede ser difícil determinar cuándo una entidad se clasifica como entidad gubernamental o como corporación pública, todo dependerá si la corporación vende bienes y servicios de mercado, es decir, si se provee a precios que se consideran económicamente significativos y, por lo tanto, </w:t>
      </w:r>
      <w:r w:rsidRPr="00C428A2">
        <w:rPr>
          <w:rFonts w:eastAsia="Calibri"/>
          <w:sz w:val="24"/>
          <w:szCs w:val="22"/>
          <w:lang w:val="es-GT" w:eastAsia="en-US"/>
        </w:rPr>
        <w:lastRenderedPageBreak/>
        <w:t xml:space="preserve">influyen tanto en la oferta como en la demanda. En el caso de las empresas públicas, determinar ese precio puede ser complicado.  </w:t>
      </w:r>
    </w:p>
    <w:p w14:paraId="40744463" w14:textId="6E6B216F" w:rsidR="00C428A2" w:rsidRDefault="00C428A2" w:rsidP="0068552A">
      <w:pPr>
        <w:widowControl/>
        <w:ind w:left="561"/>
        <w:jc w:val="both"/>
        <w:rPr>
          <w:rFonts w:eastAsia="Calibri"/>
          <w:sz w:val="24"/>
          <w:szCs w:val="22"/>
          <w:lang w:val="es-GT" w:eastAsia="en-US"/>
        </w:rPr>
      </w:pPr>
    </w:p>
    <w:p w14:paraId="12AF9536" w14:textId="085BEC58" w:rsidR="00C428A2" w:rsidRDefault="00C428A2" w:rsidP="00C428A2">
      <w:pPr>
        <w:widowControl/>
        <w:ind w:left="561"/>
        <w:jc w:val="both"/>
        <w:rPr>
          <w:rFonts w:eastAsia="Calibri"/>
          <w:sz w:val="24"/>
          <w:szCs w:val="22"/>
          <w:lang w:val="es-GT" w:eastAsia="en-US"/>
        </w:rPr>
      </w:pPr>
      <w:r w:rsidRPr="00C428A2">
        <w:rPr>
          <w:rFonts w:eastAsia="Calibri"/>
          <w:sz w:val="24"/>
          <w:szCs w:val="22"/>
          <w:lang w:val="es-GT" w:eastAsia="en-US"/>
        </w:rPr>
        <w:t xml:space="preserve">Una de las recomendaciones del Manual de Transparencia Fiscal en torno a las empresas públicas gira en relación a la clara definición de las relaciones financieras con el gobierno, dado que las mismas pueden ser de propiedad total o parcial del gobierno, por ello debe existir un marco legal claro sobre la forma que se realizaran las transferencias de utilidades o pago de dividendos al gobierno. </w:t>
      </w:r>
    </w:p>
    <w:p w14:paraId="498696D4" w14:textId="77777777" w:rsidR="00C428A2" w:rsidRPr="00C428A2" w:rsidRDefault="00C428A2" w:rsidP="00C428A2">
      <w:pPr>
        <w:widowControl/>
        <w:ind w:left="561"/>
        <w:jc w:val="both"/>
        <w:rPr>
          <w:rFonts w:eastAsia="Calibri"/>
          <w:sz w:val="24"/>
          <w:szCs w:val="22"/>
          <w:lang w:val="es-GT" w:eastAsia="en-US"/>
        </w:rPr>
      </w:pPr>
    </w:p>
    <w:p w14:paraId="74FBF994" w14:textId="57307AAE" w:rsidR="00C428A2" w:rsidRPr="00C428A2" w:rsidRDefault="00C428A2" w:rsidP="00C428A2">
      <w:pPr>
        <w:widowControl/>
        <w:ind w:left="561"/>
        <w:jc w:val="both"/>
        <w:rPr>
          <w:rFonts w:eastAsia="Calibri"/>
          <w:sz w:val="24"/>
          <w:szCs w:val="22"/>
          <w:lang w:val="es-GT" w:eastAsia="en-US"/>
        </w:rPr>
      </w:pPr>
      <w:r w:rsidRPr="00C428A2">
        <w:rPr>
          <w:rFonts w:eastAsia="Calibri"/>
          <w:sz w:val="24"/>
          <w:szCs w:val="22"/>
          <w:lang w:val="es-GT" w:eastAsia="en-US"/>
        </w:rPr>
        <w:t xml:space="preserve">Dentro del Manual de Transparencia Fiscal se identifican los pasivos contingentes relacionados a empresas públicas, compuestos por explícitos e implícitos. </w:t>
      </w:r>
    </w:p>
    <w:p w14:paraId="79DF4DA8" w14:textId="77777777" w:rsidR="00C428A2" w:rsidRDefault="00C428A2" w:rsidP="00C428A2">
      <w:pPr>
        <w:jc w:val="both"/>
        <w:rPr>
          <w:sz w:val="24"/>
        </w:rPr>
      </w:pPr>
    </w:p>
    <w:p w14:paraId="01A28F1E" w14:textId="77777777" w:rsidR="00C428A2" w:rsidRDefault="00C428A2" w:rsidP="00C428A2">
      <w:pPr>
        <w:pStyle w:val="Prrafodelista"/>
        <w:widowControl/>
        <w:numPr>
          <w:ilvl w:val="0"/>
          <w:numId w:val="15"/>
        </w:numPr>
        <w:spacing w:after="160" w:line="259" w:lineRule="auto"/>
        <w:jc w:val="both"/>
        <w:rPr>
          <w:sz w:val="24"/>
        </w:rPr>
      </w:pPr>
      <w:r>
        <w:rPr>
          <w:sz w:val="24"/>
        </w:rPr>
        <w:t>Los pasivos contingentes e</w:t>
      </w:r>
      <w:r w:rsidRPr="00902879">
        <w:rPr>
          <w:sz w:val="24"/>
        </w:rPr>
        <w:t>xplícitos se encuentra</w:t>
      </w:r>
      <w:r>
        <w:rPr>
          <w:sz w:val="24"/>
        </w:rPr>
        <w:t>n</w:t>
      </w:r>
      <w:r w:rsidRPr="00902879">
        <w:rPr>
          <w:sz w:val="24"/>
        </w:rPr>
        <w:t xml:space="preserve"> asociado</w:t>
      </w:r>
      <w:r>
        <w:rPr>
          <w:sz w:val="24"/>
        </w:rPr>
        <w:t>s</w:t>
      </w:r>
      <w:r w:rsidRPr="00902879">
        <w:rPr>
          <w:sz w:val="24"/>
        </w:rPr>
        <w:t xml:space="preserve"> al marco legal donde el gobierno está en la potestad de otorgar garantías a la deuda que sea contraída por las empresas públicas, siendo por medio de préstamos o emisión de bonos</w:t>
      </w:r>
      <w:r>
        <w:rPr>
          <w:sz w:val="24"/>
        </w:rPr>
        <w:t>. Guatemala</w:t>
      </w:r>
      <w:r w:rsidRPr="00902879">
        <w:rPr>
          <w:sz w:val="24"/>
        </w:rPr>
        <w:t xml:space="preserve"> es percibido por mercados financieros internacionales y nacionales como un Estado comprometido con el pago de sus obligaciones, </w:t>
      </w:r>
      <w:r>
        <w:rPr>
          <w:sz w:val="24"/>
        </w:rPr>
        <w:t xml:space="preserve">por ello </w:t>
      </w:r>
      <w:r w:rsidRPr="00902879">
        <w:rPr>
          <w:sz w:val="24"/>
        </w:rPr>
        <w:t xml:space="preserve">las empresas </w:t>
      </w:r>
      <w:r>
        <w:rPr>
          <w:sz w:val="24"/>
        </w:rPr>
        <w:t xml:space="preserve">públicas </w:t>
      </w:r>
      <w:r w:rsidRPr="00902879">
        <w:rPr>
          <w:sz w:val="24"/>
        </w:rPr>
        <w:t>podrían acceder a endeudamiento en condiciones favorables.</w:t>
      </w:r>
    </w:p>
    <w:p w14:paraId="54591830" w14:textId="77777777" w:rsidR="00C428A2" w:rsidRPr="00C428A2" w:rsidRDefault="00C428A2" w:rsidP="00C428A2">
      <w:pPr>
        <w:pStyle w:val="Prrafodelista"/>
        <w:widowControl/>
        <w:numPr>
          <w:ilvl w:val="0"/>
          <w:numId w:val="15"/>
        </w:numPr>
        <w:spacing w:after="160" w:line="259" w:lineRule="auto"/>
        <w:jc w:val="both"/>
        <w:rPr>
          <w:sz w:val="24"/>
        </w:rPr>
      </w:pPr>
      <w:r w:rsidRPr="00C428A2">
        <w:rPr>
          <w:sz w:val="24"/>
        </w:rPr>
        <w:t xml:space="preserve">Los pasivos contingentes implícitos se encuentran asociados a que existen expectativas altas o la presunción que el gobierno central tenga que salir en “rescate” de la empresa pública dado que es de importancia estratégica o los bienes y servicios que provee son relevantes para la población. Los acreedores pueden confiarse y pensar que el gobierno debe garantizar el repago de las obligaciones contraídas por la empresa pública, dicha percepción incrementa el riesgo fiscal. </w:t>
      </w:r>
    </w:p>
    <w:p w14:paraId="7901BC4E" w14:textId="77777777" w:rsidR="00C428A2" w:rsidRPr="00C428A2" w:rsidRDefault="00C428A2" w:rsidP="00C428A2">
      <w:pPr>
        <w:widowControl/>
        <w:ind w:left="561"/>
        <w:jc w:val="both"/>
        <w:rPr>
          <w:rFonts w:eastAsia="Calibri"/>
          <w:sz w:val="24"/>
          <w:szCs w:val="22"/>
          <w:lang w:val="es-GT" w:eastAsia="en-US"/>
        </w:rPr>
      </w:pPr>
      <w:r w:rsidRPr="00C428A2">
        <w:rPr>
          <w:rFonts w:eastAsia="Calibri"/>
          <w:sz w:val="24"/>
          <w:szCs w:val="22"/>
          <w:lang w:val="es-GT" w:eastAsia="en-US"/>
        </w:rPr>
        <w:t xml:space="preserve">Uno de los principales riesgos fiscales por empresas públicas se da por la garantía del gobierno a préstamos otorgados a las empresas públicas. Estas deudas acumuladas garantizadas, una vez no pueden ser asumidas por la empresa pública, pasan a ser reconocidas por el gobierno como parte de la deuda pública, no siendo más un pasivo con características de contingente sino explícito. </w:t>
      </w:r>
    </w:p>
    <w:p w14:paraId="1EEE8B86" w14:textId="59364CE9" w:rsidR="00C428A2" w:rsidRPr="00C428A2" w:rsidRDefault="00C428A2" w:rsidP="0068552A">
      <w:pPr>
        <w:widowControl/>
        <w:ind w:left="561"/>
        <w:jc w:val="both"/>
        <w:rPr>
          <w:rFonts w:eastAsia="Calibri"/>
          <w:sz w:val="24"/>
          <w:szCs w:val="22"/>
          <w:lang w:eastAsia="en-US"/>
        </w:rPr>
      </w:pPr>
    </w:p>
    <w:p w14:paraId="1351CB8F" w14:textId="5515ACDA" w:rsidR="004C5FE3" w:rsidRDefault="004C5FE3" w:rsidP="00FE481C">
      <w:pPr>
        <w:widowControl/>
        <w:ind w:left="561"/>
        <w:jc w:val="both"/>
        <w:rPr>
          <w:rFonts w:eastAsia="Calibri"/>
          <w:sz w:val="24"/>
          <w:szCs w:val="22"/>
          <w:lang w:val="es-GT" w:eastAsia="en-US"/>
        </w:rPr>
      </w:pPr>
      <w:r w:rsidRPr="00F22FB7">
        <w:rPr>
          <w:rFonts w:eastAsia="Calibri"/>
          <w:sz w:val="24"/>
          <w:szCs w:val="22"/>
          <w:lang w:val="es-GT" w:eastAsia="en-US"/>
        </w:rPr>
        <w:t>Conocer la magnitud del problema es un primer paso, por ello se han seleccionado</w:t>
      </w:r>
      <w:r w:rsidR="00FE481C">
        <w:rPr>
          <w:rFonts w:eastAsia="Calibri"/>
          <w:sz w:val="24"/>
          <w:szCs w:val="22"/>
          <w:lang w:val="es-GT" w:eastAsia="en-US"/>
        </w:rPr>
        <w:t xml:space="preserve"> </w:t>
      </w:r>
      <w:r w:rsidRPr="00F22FB7">
        <w:rPr>
          <w:rFonts w:eastAsia="Calibri"/>
          <w:sz w:val="24"/>
          <w:szCs w:val="22"/>
          <w:lang w:val="es-GT" w:eastAsia="en-US"/>
        </w:rPr>
        <w:t xml:space="preserve">ocho empresas públicas </w:t>
      </w:r>
      <w:r>
        <w:rPr>
          <w:rFonts w:eastAsia="Calibri"/>
          <w:sz w:val="24"/>
          <w:szCs w:val="22"/>
          <w:lang w:val="es-GT" w:eastAsia="en-US"/>
        </w:rPr>
        <w:t xml:space="preserve">nacionales </w:t>
      </w:r>
      <w:r w:rsidRPr="00F22FB7">
        <w:rPr>
          <w:rFonts w:eastAsia="Calibri"/>
          <w:sz w:val="24"/>
          <w:szCs w:val="22"/>
          <w:lang w:val="es-GT" w:eastAsia="en-US"/>
        </w:rPr>
        <w:t>y se procedió a hacer un análisis de su marco legal y estado financiero</w:t>
      </w:r>
      <w:r w:rsidR="00FE481C">
        <w:rPr>
          <w:rFonts w:eastAsia="Calibri"/>
          <w:sz w:val="24"/>
          <w:szCs w:val="22"/>
          <w:lang w:val="es-GT" w:eastAsia="en-US"/>
        </w:rPr>
        <w:t xml:space="preserve">. </w:t>
      </w:r>
      <w:r w:rsidRPr="00F22FB7">
        <w:rPr>
          <w:rFonts w:eastAsia="Calibri"/>
          <w:sz w:val="24"/>
          <w:szCs w:val="22"/>
          <w:lang w:val="es-GT" w:eastAsia="en-US"/>
        </w:rPr>
        <w:t>De las empresas analizadas, conforme a la normativa legal vigente, la mayoría considera un porcentaje de utilidades para el Estado, tal es el caso de Guatel con un 45%, siendo la empresa pública que hace la mayor transferencia, en términos relativos, por este concepto, seguidamente Zolic y EPQ con 20%, Fegua con 10% y Empornac con 7%. Para 2020 el Estado obtuvo utilidades de Q32.9 millones únicamente de tres empresas, siendo estas EPQ (Q30.6 millones), Empornac (Q1.0 millones) y Zolic (Q1.3 millones). De acuerdo a los registros en los sistemas, Guatel dejo de transferir utilidades al Estado desde 1999.</w:t>
      </w:r>
    </w:p>
    <w:p w14:paraId="43FADC4E" w14:textId="77777777" w:rsidR="0068552A" w:rsidRPr="00F22FB7" w:rsidRDefault="0068552A" w:rsidP="0068552A">
      <w:pPr>
        <w:widowControl/>
        <w:ind w:left="567"/>
        <w:jc w:val="both"/>
        <w:rPr>
          <w:rFonts w:eastAsia="Calibri"/>
          <w:sz w:val="24"/>
          <w:szCs w:val="22"/>
          <w:lang w:val="es-GT" w:eastAsia="en-US"/>
        </w:rPr>
      </w:pPr>
    </w:p>
    <w:p w14:paraId="09E26E63" w14:textId="77777777" w:rsidR="004C5FE3" w:rsidRDefault="004C5FE3" w:rsidP="0068552A">
      <w:pPr>
        <w:widowControl/>
        <w:ind w:left="567"/>
        <w:jc w:val="both"/>
        <w:rPr>
          <w:rFonts w:eastAsia="Calibri"/>
          <w:sz w:val="24"/>
          <w:szCs w:val="22"/>
          <w:lang w:val="es-GT" w:eastAsia="en-US"/>
        </w:rPr>
      </w:pPr>
      <w:r w:rsidRPr="00F22FB7">
        <w:rPr>
          <w:rFonts w:eastAsia="Calibri"/>
          <w:sz w:val="24"/>
          <w:szCs w:val="22"/>
          <w:lang w:val="es-GT" w:eastAsia="en-US"/>
        </w:rPr>
        <w:t xml:space="preserve">En el caso particular del INDE, no transfiere al Estado parte alguna de sus utilidades, quedando establecido que en caso de contar con superávit financiero lo invierta prioritariamente en el área rural para la financiación y ejecución de los planes de electrificación. Por su parte, el Indeca a través de la Junta Directiva aprueba el destino de las utilidades, debiendo destinarse a incrementar su capital de operaciones. </w:t>
      </w:r>
    </w:p>
    <w:p w14:paraId="4EB17B78" w14:textId="77777777" w:rsidR="0068552A" w:rsidRPr="00F22FB7" w:rsidRDefault="0068552A" w:rsidP="0068552A">
      <w:pPr>
        <w:widowControl/>
        <w:ind w:left="567"/>
        <w:jc w:val="both"/>
        <w:rPr>
          <w:rFonts w:eastAsia="Calibri"/>
          <w:sz w:val="24"/>
          <w:szCs w:val="22"/>
          <w:lang w:val="es-GT" w:eastAsia="en-US"/>
        </w:rPr>
      </w:pPr>
    </w:p>
    <w:p w14:paraId="09DA8A95" w14:textId="77777777" w:rsidR="004C5FE3" w:rsidRDefault="004C5FE3" w:rsidP="0068552A">
      <w:pPr>
        <w:widowControl/>
        <w:ind w:left="567"/>
        <w:jc w:val="both"/>
        <w:rPr>
          <w:rFonts w:eastAsia="Calibri"/>
          <w:sz w:val="24"/>
          <w:szCs w:val="22"/>
          <w:lang w:val="es-GT" w:eastAsia="en-US"/>
        </w:rPr>
      </w:pPr>
      <w:r w:rsidRPr="00F22FB7">
        <w:rPr>
          <w:rFonts w:eastAsia="Calibri"/>
          <w:sz w:val="24"/>
          <w:szCs w:val="22"/>
          <w:lang w:val="es-GT" w:eastAsia="en-US"/>
        </w:rPr>
        <w:lastRenderedPageBreak/>
        <w:t>En el caso de algunas empresas, consideran un porcentaje de utilidades de reserva para eventualidades. Esto se considera relevante, dado que contar con una reserva les permitiría a las empresas un espacio para absorber posibles riesgos o contingencias derivadas de las operaciones de la empresa.</w:t>
      </w:r>
    </w:p>
    <w:p w14:paraId="20031D65" w14:textId="77777777" w:rsidR="0068552A" w:rsidRPr="00F22FB7" w:rsidRDefault="0068552A" w:rsidP="0068552A">
      <w:pPr>
        <w:widowControl/>
        <w:ind w:left="567"/>
        <w:jc w:val="both"/>
        <w:rPr>
          <w:rFonts w:eastAsia="Calibri"/>
          <w:sz w:val="24"/>
          <w:szCs w:val="22"/>
          <w:lang w:val="es-GT" w:eastAsia="en-US"/>
        </w:rPr>
      </w:pPr>
    </w:p>
    <w:p w14:paraId="328B6610" w14:textId="77777777" w:rsidR="004C5FE3" w:rsidRPr="00F22FB7" w:rsidRDefault="004C5FE3" w:rsidP="0068552A">
      <w:pPr>
        <w:widowControl/>
        <w:autoSpaceDE w:val="0"/>
        <w:autoSpaceDN w:val="0"/>
        <w:adjustRightInd w:val="0"/>
        <w:ind w:left="567"/>
        <w:jc w:val="both"/>
        <w:rPr>
          <w:rFonts w:eastAsia="Calibri"/>
          <w:sz w:val="24"/>
          <w:szCs w:val="22"/>
          <w:lang w:val="es-GT" w:eastAsia="en-US"/>
        </w:rPr>
      </w:pPr>
      <w:r w:rsidRPr="00F22FB7">
        <w:rPr>
          <w:rFonts w:eastAsia="Calibri"/>
          <w:sz w:val="24"/>
          <w:szCs w:val="22"/>
          <w:lang w:val="es-GT" w:eastAsia="en-US"/>
        </w:rPr>
        <w:t xml:space="preserve">Dentro del marco legal, Guatel y Fegua gozan de la incondicional e ilimitada garantía del Estado sobre las obligaciones que hayan sido legalmente contratadas. Respecto a la deuda interna y externa del INDE, el Estado podría otorgar su garantía si lo considera conveniente a través del Congreso de la República.  </w:t>
      </w:r>
    </w:p>
    <w:p w14:paraId="28D73A66" w14:textId="77777777" w:rsidR="004C5FE3" w:rsidRPr="00F22FB7" w:rsidRDefault="004C5FE3" w:rsidP="0068552A">
      <w:pPr>
        <w:widowControl/>
        <w:spacing w:after="160"/>
        <w:ind w:left="567"/>
        <w:jc w:val="both"/>
        <w:rPr>
          <w:rFonts w:eastAsia="Calibri"/>
          <w:sz w:val="6"/>
          <w:szCs w:val="22"/>
          <w:lang w:val="es-GT" w:eastAsia="en-US"/>
        </w:rPr>
      </w:pPr>
    </w:p>
    <w:p w14:paraId="63E81293" w14:textId="50830044" w:rsidR="004C5FE3" w:rsidRDefault="004C5FE3" w:rsidP="0068552A">
      <w:pPr>
        <w:widowControl/>
        <w:ind w:left="567"/>
        <w:jc w:val="both"/>
        <w:rPr>
          <w:rFonts w:eastAsia="Calibri"/>
          <w:sz w:val="24"/>
          <w:szCs w:val="22"/>
          <w:lang w:val="es-GT" w:eastAsia="en-US"/>
        </w:rPr>
      </w:pPr>
      <w:r w:rsidRPr="00F22FB7">
        <w:rPr>
          <w:rFonts w:eastAsia="Calibri"/>
          <w:sz w:val="24"/>
          <w:szCs w:val="22"/>
          <w:lang w:val="es-GT" w:eastAsia="en-US"/>
        </w:rPr>
        <w:t xml:space="preserve">Asimismo, se encuentra establecido que en caso las empresas públicas presten servicios a las dependencias de la Administración Pública y estos no fueran pagados oportunamente, el cobro correspondiente pasaría a ser cargado a la cuenta del Gobierno de Guatemala deduciéndolo del porcentaje de utilidades que le corresponda. En el caso de la mayoría de empresas evaluadas, se encuentran libres del cumplimiento de obligaciones tributarias, a excepción del INDE. </w:t>
      </w:r>
    </w:p>
    <w:p w14:paraId="591D8218" w14:textId="77777777" w:rsidR="0068552A" w:rsidRPr="00F22FB7" w:rsidRDefault="0068552A" w:rsidP="0068552A">
      <w:pPr>
        <w:widowControl/>
        <w:ind w:left="567"/>
        <w:jc w:val="both"/>
        <w:rPr>
          <w:rFonts w:eastAsia="Calibri"/>
          <w:sz w:val="24"/>
          <w:szCs w:val="22"/>
          <w:lang w:val="es-GT" w:eastAsia="en-US"/>
        </w:rPr>
      </w:pPr>
    </w:p>
    <w:p w14:paraId="5C14B3C0" w14:textId="77777777" w:rsidR="004C5FE3" w:rsidRDefault="004C5FE3" w:rsidP="0068552A">
      <w:pPr>
        <w:widowControl/>
        <w:ind w:left="567"/>
        <w:jc w:val="both"/>
        <w:rPr>
          <w:rFonts w:eastAsia="Calibri"/>
          <w:sz w:val="24"/>
          <w:szCs w:val="22"/>
          <w:lang w:val="es-GT" w:eastAsia="en-US"/>
        </w:rPr>
      </w:pPr>
      <w:r w:rsidRPr="00F22FB7">
        <w:rPr>
          <w:rFonts w:eastAsia="Calibri"/>
          <w:sz w:val="24"/>
          <w:szCs w:val="22"/>
          <w:lang w:val="es-GT" w:eastAsia="en-US"/>
        </w:rPr>
        <w:t xml:space="preserve">Por su parte, la inspección, fiscalización y control de las operaciones que desarrollen las empresas, están a cargo de la auditoría interna del mismo y de la Contraloría de Cuentas en lo que sea de su competencia. En algunos casos se contempla la posibilidad de recurrir a auditorías externas o extraordinarias cuando se considere necesario. </w:t>
      </w:r>
    </w:p>
    <w:p w14:paraId="2140AF35" w14:textId="77777777" w:rsidR="0068552A" w:rsidRPr="00F22FB7" w:rsidRDefault="0068552A" w:rsidP="0068552A">
      <w:pPr>
        <w:widowControl/>
        <w:ind w:left="567"/>
        <w:jc w:val="both"/>
        <w:rPr>
          <w:rFonts w:eastAsia="Calibri"/>
          <w:sz w:val="24"/>
          <w:szCs w:val="22"/>
          <w:lang w:val="es-GT" w:eastAsia="en-US"/>
        </w:rPr>
      </w:pPr>
    </w:p>
    <w:p w14:paraId="5C537BDE" w14:textId="47A7A221" w:rsidR="004C5FE3" w:rsidRDefault="004C5FE3" w:rsidP="0068552A">
      <w:pPr>
        <w:widowControl/>
        <w:ind w:left="567"/>
        <w:jc w:val="both"/>
        <w:rPr>
          <w:rFonts w:eastAsia="Calibri"/>
          <w:sz w:val="24"/>
          <w:szCs w:val="22"/>
          <w:lang w:val="es-GT" w:eastAsia="en-US"/>
        </w:rPr>
      </w:pPr>
      <w:r w:rsidRPr="00F22FB7">
        <w:rPr>
          <w:rFonts w:eastAsia="Calibri"/>
          <w:sz w:val="24"/>
          <w:szCs w:val="22"/>
          <w:lang w:val="es-GT" w:eastAsia="en-US"/>
        </w:rPr>
        <w:t xml:space="preserve">El INDE establece que puede recibir ingresos del Gobierno Central por concepto de subsidio que este otorgue a las tarifas de energía eléctrica para los consumidores o ingresos para programas de electrificación rural. Esto es relevante dado que subvencionar el precio de la energía eléctrica implicaría una actividad cuasi fiscal, mientras una transferencia del Gobierno permitiría un mejor control y transparencia. El año recién pasado por causa de la pandemia COVID-19, se realizaron dos transferencias al INDE aprobadas por </w:t>
      </w:r>
      <w:r w:rsidR="00FE481C">
        <w:rPr>
          <w:rFonts w:eastAsia="Calibri"/>
          <w:sz w:val="24"/>
          <w:szCs w:val="22"/>
          <w:lang w:val="es-GT" w:eastAsia="en-US"/>
        </w:rPr>
        <w:t>el Congreso de la República</w:t>
      </w:r>
      <w:r w:rsidRPr="00F22FB7">
        <w:rPr>
          <w:rFonts w:eastAsia="Calibri"/>
          <w:sz w:val="24"/>
          <w:szCs w:val="22"/>
          <w:lang w:val="es-GT" w:eastAsia="en-US"/>
        </w:rPr>
        <w:t xml:space="preserve"> por Q630.0 millones para apoyar a los consumidores de energía eléctrica de hasta 300 kw/mes. </w:t>
      </w:r>
    </w:p>
    <w:p w14:paraId="09C3D07D" w14:textId="77777777" w:rsidR="0068552A" w:rsidRPr="00F22FB7" w:rsidRDefault="0068552A" w:rsidP="0068552A">
      <w:pPr>
        <w:widowControl/>
        <w:ind w:left="567"/>
        <w:jc w:val="both"/>
        <w:rPr>
          <w:rFonts w:eastAsia="Calibri"/>
          <w:sz w:val="24"/>
          <w:szCs w:val="22"/>
          <w:lang w:val="es-GT" w:eastAsia="en-US"/>
        </w:rPr>
      </w:pPr>
    </w:p>
    <w:p w14:paraId="382200E9" w14:textId="36F7E4F4" w:rsidR="004C5FE3" w:rsidRDefault="004C5FE3" w:rsidP="0068552A">
      <w:pPr>
        <w:widowControl/>
        <w:ind w:left="567"/>
        <w:jc w:val="both"/>
        <w:rPr>
          <w:rFonts w:eastAsia="Calibri"/>
          <w:sz w:val="24"/>
          <w:szCs w:val="22"/>
          <w:lang w:val="es-GT" w:eastAsia="en-US"/>
        </w:rPr>
      </w:pPr>
      <w:r w:rsidRPr="00F22FB7">
        <w:rPr>
          <w:rFonts w:eastAsia="Calibri"/>
          <w:sz w:val="24"/>
          <w:szCs w:val="22"/>
          <w:lang w:val="es-GT" w:eastAsia="en-US"/>
        </w:rPr>
        <w:t xml:space="preserve">Los gobiernos pueden reducir la exposición de los riesgos fiscales de las empresas públicas a través de reducir la participación del Estado en las actividades comerciales, reducir la magnitud de las actividades cuasi fiscales, limitar el otorgamiento de garantías explícitas, prohibir o intervenir en caso se otorguen garantías de empresas a terceros y restringir el uso de los activos como mecanismo de garantía en búsqueda de financiamiento. </w:t>
      </w:r>
    </w:p>
    <w:p w14:paraId="5F1734E3" w14:textId="4CD6FD4D" w:rsidR="00783CB3" w:rsidRDefault="00783CB3" w:rsidP="0068552A">
      <w:pPr>
        <w:widowControl/>
        <w:ind w:left="567"/>
        <w:jc w:val="both"/>
        <w:rPr>
          <w:rFonts w:eastAsia="Calibri"/>
          <w:sz w:val="24"/>
          <w:szCs w:val="22"/>
          <w:lang w:val="es-GT" w:eastAsia="en-US"/>
        </w:rPr>
      </w:pPr>
    </w:p>
    <w:p w14:paraId="5981C41A" w14:textId="2454A306" w:rsidR="00783CB3" w:rsidRDefault="00783CB3" w:rsidP="00783CB3">
      <w:pPr>
        <w:widowControl/>
        <w:ind w:left="567"/>
        <w:jc w:val="both"/>
        <w:rPr>
          <w:rFonts w:eastAsia="Calibri"/>
          <w:sz w:val="24"/>
          <w:szCs w:val="22"/>
          <w:lang w:val="es-GT" w:eastAsia="en-US"/>
        </w:rPr>
      </w:pPr>
      <w:r w:rsidRPr="00783CB3">
        <w:rPr>
          <w:rFonts w:eastAsia="Calibri"/>
          <w:sz w:val="24"/>
          <w:szCs w:val="22"/>
          <w:lang w:val="es-GT" w:eastAsia="en-US"/>
        </w:rPr>
        <w:t>Dentro del análisis a realizar en las empresas públicas también se debe tener en cuenta que las transferencias entre gobierno y empresas públicas no sean discrecionales, evitar sobrecostos en los proyectos, evitar crecimiento desmedido de los gastos particularmente de los salarios, para ello se debe li</w:t>
      </w:r>
      <w:r>
        <w:rPr>
          <w:rFonts w:eastAsia="Calibri"/>
          <w:sz w:val="24"/>
          <w:szCs w:val="22"/>
          <w:lang w:val="es-GT" w:eastAsia="en-US"/>
        </w:rPr>
        <w:t>mitar la interferencia política</w:t>
      </w:r>
      <w:r w:rsidRPr="00783CB3">
        <w:rPr>
          <w:rFonts w:eastAsia="Calibri"/>
          <w:sz w:val="24"/>
          <w:szCs w:val="22"/>
          <w:lang w:val="es-GT" w:eastAsia="en-US"/>
        </w:rPr>
        <w:t xml:space="preserve">. </w:t>
      </w:r>
    </w:p>
    <w:p w14:paraId="7D7F2DD5" w14:textId="77777777" w:rsidR="00783CB3" w:rsidRPr="00783CB3" w:rsidRDefault="00783CB3" w:rsidP="00783CB3">
      <w:pPr>
        <w:widowControl/>
        <w:ind w:left="567"/>
        <w:jc w:val="both"/>
        <w:rPr>
          <w:rFonts w:eastAsia="Calibri"/>
          <w:sz w:val="24"/>
          <w:szCs w:val="22"/>
          <w:lang w:val="es-GT" w:eastAsia="en-US"/>
        </w:rPr>
      </w:pPr>
    </w:p>
    <w:p w14:paraId="624D075D" w14:textId="78EC7278" w:rsidR="00783CB3" w:rsidRDefault="00783CB3" w:rsidP="00783CB3">
      <w:pPr>
        <w:widowControl/>
        <w:ind w:left="567"/>
        <w:jc w:val="both"/>
        <w:rPr>
          <w:rFonts w:eastAsia="Calibri"/>
          <w:sz w:val="24"/>
          <w:szCs w:val="22"/>
          <w:lang w:val="es-GT" w:eastAsia="en-US"/>
        </w:rPr>
      </w:pPr>
      <w:r w:rsidRPr="00783CB3">
        <w:rPr>
          <w:rFonts w:eastAsia="Calibri"/>
          <w:sz w:val="24"/>
          <w:szCs w:val="22"/>
          <w:lang w:val="es-GT" w:eastAsia="en-US"/>
        </w:rPr>
        <w:t xml:space="preserve">Otra forma de limitar los riesgos fiscales generados por las empresas públicas es a través del seguimiento de indicadores financieros que permitan determinar el desempeño de las empresas, buscando identificar si es necesaria la intervención del gobierno antes que el problema escale. </w:t>
      </w:r>
    </w:p>
    <w:p w14:paraId="21F0547D" w14:textId="77777777" w:rsidR="00783CB3" w:rsidRPr="00783CB3" w:rsidRDefault="00783CB3" w:rsidP="00783CB3">
      <w:pPr>
        <w:widowControl/>
        <w:ind w:left="567"/>
        <w:jc w:val="both"/>
        <w:rPr>
          <w:rFonts w:eastAsia="Calibri"/>
          <w:sz w:val="24"/>
          <w:szCs w:val="22"/>
          <w:lang w:val="es-GT" w:eastAsia="en-US"/>
        </w:rPr>
      </w:pPr>
    </w:p>
    <w:p w14:paraId="40206688" w14:textId="09CD4B48" w:rsidR="00783CB3" w:rsidRPr="00783CB3" w:rsidRDefault="00783CB3" w:rsidP="00783CB3">
      <w:pPr>
        <w:widowControl/>
        <w:ind w:left="567"/>
        <w:jc w:val="both"/>
        <w:rPr>
          <w:rFonts w:eastAsia="Calibri"/>
          <w:sz w:val="24"/>
          <w:szCs w:val="22"/>
          <w:lang w:val="es-GT" w:eastAsia="en-US"/>
        </w:rPr>
      </w:pPr>
      <w:r w:rsidRPr="00783CB3">
        <w:rPr>
          <w:rFonts w:eastAsia="Calibri"/>
          <w:sz w:val="24"/>
          <w:szCs w:val="22"/>
          <w:lang w:val="es-GT" w:eastAsia="en-US"/>
        </w:rPr>
        <w:t>En la sigu</w:t>
      </w:r>
      <w:r>
        <w:rPr>
          <w:rFonts w:eastAsia="Calibri"/>
          <w:sz w:val="24"/>
          <w:szCs w:val="22"/>
          <w:lang w:val="es-GT" w:eastAsia="en-US"/>
        </w:rPr>
        <w:t>iente sección se analizan tres</w:t>
      </w:r>
      <w:r w:rsidRPr="00783CB3">
        <w:rPr>
          <w:rFonts w:eastAsia="Calibri"/>
          <w:sz w:val="24"/>
          <w:szCs w:val="22"/>
          <w:lang w:val="es-GT" w:eastAsia="en-US"/>
        </w:rPr>
        <w:t xml:space="preserve"> indicadores financieros: rentabil</w:t>
      </w:r>
      <w:r>
        <w:rPr>
          <w:rFonts w:eastAsia="Calibri"/>
          <w:sz w:val="24"/>
          <w:szCs w:val="22"/>
          <w:lang w:val="es-GT" w:eastAsia="en-US"/>
        </w:rPr>
        <w:t>idad de empresas, endeudamiento y</w:t>
      </w:r>
      <w:r w:rsidRPr="00783CB3">
        <w:rPr>
          <w:rFonts w:eastAsia="Calibri"/>
          <w:sz w:val="24"/>
          <w:szCs w:val="22"/>
          <w:lang w:val="es-GT" w:eastAsia="en-US"/>
        </w:rPr>
        <w:t xml:space="preserve"> otras obligaciones por pagar y la liquidez financiera. No obstante, es importante </w:t>
      </w:r>
      <w:r w:rsidRPr="00783CB3">
        <w:rPr>
          <w:rFonts w:eastAsia="Calibri"/>
          <w:sz w:val="24"/>
          <w:szCs w:val="22"/>
          <w:lang w:val="es-GT" w:eastAsia="en-US"/>
        </w:rPr>
        <w:lastRenderedPageBreak/>
        <w:t>realizar el descargo de responsabilidad, dado que los datos presentados por las empresas públicas nacionales en los sistemas pueden estar afectados por numerosos factores, tales como problemas de registro, calidad de los datos y acceso a la información.</w:t>
      </w:r>
    </w:p>
    <w:p w14:paraId="6EC05B1F" w14:textId="3BAB3350" w:rsidR="00783CB3" w:rsidRPr="00783CB3" w:rsidRDefault="00783CB3" w:rsidP="0068552A">
      <w:pPr>
        <w:widowControl/>
        <w:ind w:left="567"/>
        <w:jc w:val="both"/>
        <w:rPr>
          <w:rFonts w:eastAsia="Calibri"/>
          <w:sz w:val="24"/>
          <w:szCs w:val="22"/>
          <w:lang w:val="es-GT" w:eastAsia="en-US"/>
        </w:rPr>
      </w:pPr>
    </w:p>
    <w:p w14:paraId="29895FF4" w14:textId="77777777" w:rsidR="00BB4A07" w:rsidRPr="004C5FE3" w:rsidRDefault="004C5FE3" w:rsidP="00F00ACB">
      <w:pPr>
        <w:pStyle w:val="Ttulo1"/>
        <w:widowControl/>
        <w:numPr>
          <w:ilvl w:val="1"/>
          <w:numId w:val="5"/>
        </w:numPr>
        <w:ind w:left="993" w:right="49"/>
        <w:jc w:val="both"/>
        <w:rPr>
          <w:color w:val="1F3864" w:themeColor="accent1" w:themeShade="80"/>
          <w:sz w:val="24"/>
          <w:szCs w:val="24"/>
        </w:rPr>
      </w:pPr>
      <w:bookmarkStart w:id="72" w:name="_Toc83302180"/>
      <w:r>
        <w:rPr>
          <w:color w:val="1F3864" w:themeColor="accent1" w:themeShade="80"/>
          <w:sz w:val="24"/>
          <w:szCs w:val="24"/>
        </w:rPr>
        <w:t>Evaluación</w:t>
      </w:r>
      <w:bookmarkEnd w:id="72"/>
    </w:p>
    <w:p w14:paraId="1632D5BB" w14:textId="77777777" w:rsidR="0088715A" w:rsidRDefault="0088715A" w:rsidP="00D30644">
      <w:pPr>
        <w:jc w:val="both"/>
        <w:rPr>
          <w:rFonts w:eastAsia="OptimaLTStd"/>
          <w:color w:val="FF0000"/>
          <w:sz w:val="24"/>
          <w:szCs w:val="24"/>
          <w:lang w:val="es-ES"/>
        </w:rPr>
      </w:pPr>
    </w:p>
    <w:p w14:paraId="373E225A" w14:textId="77777777" w:rsidR="004C5FE3" w:rsidRPr="004C5FE3" w:rsidRDefault="004C5FE3" w:rsidP="00F00ACB">
      <w:pPr>
        <w:pStyle w:val="Ttulo1"/>
        <w:widowControl/>
        <w:numPr>
          <w:ilvl w:val="2"/>
          <w:numId w:val="5"/>
        </w:numPr>
        <w:ind w:left="1276" w:right="49"/>
        <w:jc w:val="both"/>
        <w:rPr>
          <w:color w:val="1F3864" w:themeColor="accent1" w:themeShade="80"/>
          <w:sz w:val="24"/>
          <w:szCs w:val="24"/>
        </w:rPr>
      </w:pPr>
      <w:bookmarkStart w:id="73" w:name="_Toc83302181"/>
      <w:r>
        <w:rPr>
          <w:color w:val="1F3864" w:themeColor="accent1" w:themeShade="80"/>
          <w:sz w:val="24"/>
          <w:szCs w:val="24"/>
        </w:rPr>
        <w:t>Rentabilidad de las Empresas</w:t>
      </w:r>
      <w:bookmarkEnd w:id="73"/>
    </w:p>
    <w:p w14:paraId="65B8B21B" w14:textId="77777777" w:rsidR="004C5FE3" w:rsidRDefault="004C5FE3" w:rsidP="00D30644">
      <w:pPr>
        <w:jc w:val="both"/>
        <w:rPr>
          <w:rFonts w:eastAsia="OptimaLTStd"/>
          <w:color w:val="FF0000"/>
          <w:sz w:val="24"/>
          <w:szCs w:val="24"/>
          <w:lang w:val="es-ES"/>
        </w:rPr>
      </w:pPr>
    </w:p>
    <w:p w14:paraId="317E5E18" w14:textId="230D0C0B" w:rsidR="00C67259" w:rsidRDefault="004C5FE3" w:rsidP="00B51A48">
      <w:pPr>
        <w:widowControl/>
        <w:autoSpaceDE w:val="0"/>
        <w:autoSpaceDN w:val="0"/>
        <w:adjustRightInd w:val="0"/>
        <w:ind w:left="567"/>
        <w:jc w:val="both"/>
        <w:rPr>
          <w:rFonts w:eastAsia="Calibri"/>
          <w:sz w:val="24"/>
          <w:szCs w:val="24"/>
          <w:lang w:val="es-GT" w:eastAsia="en-US"/>
        </w:rPr>
      </w:pPr>
      <w:r w:rsidRPr="00F22FB7">
        <w:rPr>
          <w:rFonts w:eastAsia="Calibri"/>
          <w:sz w:val="24"/>
          <w:szCs w:val="24"/>
          <w:lang w:val="es-GT" w:eastAsia="en-US"/>
        </w:rPr>
        <w:t>Las Empresas Públicas No Financieras Nacionales, como subgrupo institucional, han tenido resultados presupuestarios superavitarios en los últimos años. Cabe mencionar que, en el 2020, si no se toma en consideración los ingresos recibidos por concepto de transferencias corrientes y de capital (solamente considerando los ingresos propios), se tendría un déficit de Q29.8 millones y siendo el único entre los últimos cinco años, en el cual los gastos superen a los ingresos propios, en buena medida esta situación financiera puede ser atribuida a los efectos negativos experimentados a raíz de la pandemia del COVID-19.</w:t>
      </w:r>
    </w:p>
    <w:p w14:paraId="4EE14AAF" w14:textId="5738CF73" w:rsidR="004C5FE3" w:rsidRPr="004C5FE3" w:rsidRDefault="00AF7163" w:rsidP="004C5FE3">
      <w:pPr>
        <w:widowControl/>
        <w:autoSpaceDE w:val="0"/>
        <w:autoSpaceDN w:val="0"/>
        <w:adjustRightInd w:val="0"/>
        <w:ind w:left="567"/>
        <w:jc w:val="center"/>
        <w:rPr>
          <w:rFonts w:eastAsia="Calibri"/>
          <w:b/>
          <w:sz w:val="24"/>
          <w:szCs w:val="24"/>
          <w:lang w:val="es-GT" w:eastAsia="en-US"/>
        </w:rPr>
      </w:pPr>
      <w:r>
        <w:rPr>
          <w:rFonts w:eastAsia="Calibri"/>
          <w:b/>
          <w:sz w:val="24"/>
          <w:szCs w:val="24"/>
          <w:lang w:val="es-GT" w:eastAsia="en-US"/>
        </w:rPr>
        <w:t>Gráfica 50</w:t>
      </w:r>
      <w:r w:rsidR="00814706">
        <w:rPr>
          <w:rFonts w:eastAsia="Calibri"/>
          <w:b/>
          <w:sz w:val="24"/>
          <w:szCs w:val="24"/>
          <w:lang w:val="es-GT" w:eastAsia="en-US"/>
        </w:rPr>
        <w:t xml:space="preserve">.  </w:t>
      </w:r>
      <w:r w:rsidR="004C5FE3" w:rsidRPr="004C5FE3">
        <w:rPr>
          <w:rFonts w:eastAsia="Calibri"/>
          <w:b/>
          <w:sz w:val="24"/>
          <w:szCs w:val="24"/>
          <w:lang w:val="es-GT" w:eastAsia="en-US"/>
        </w:rPr>
        <w:t>Resultado Presupuestario de las Empresas Públicas No Financieras Nacionales</w:t>
      </w:r>
    </w:p>
    <w:p w14:paraId="33FAF81D" w14:textId="77777777" w:rsidR="004C5FE3" w:rsidRPr="004C5FE3" w:rsidRDefault="004C5FE3" w:rsidP="004C5FE3">
      <w:pPr>
        <w:widowControl/>
        <w:autoSpaceDE w:val="0"/>
        <w:autoSpaceDN w:val="0"/>
        <w:adjustRightInd w:val="0"/>
        <w:ind w:left="567"/>
        <w:jc w:val="center"/>
        <w:rPr>
          <w:rFonts w:eastAsia="Calibri"/>
          <w:sz w:val="22"/>
          <w:szCs w:val="24"/>
          <w:lang w:val="es-GT" w:eastAsia="en-US"/>
        </w:rPr>
      </w:pPr>
      <w:r w:rsidRPr="004C5FE3">
        <w:rPr>
          <w:rFonts w:eastAsia="Calibri"/>
          <w:sz w:val="22"/>
          <w:szCs w:val="24"/>
          <w:lang w:val="es-GT" w:eastAsia="en-US"/>
        </w:rPr>
        <w:t>En millones de quetzales</w:t>
      </w:r>
    </w:p>
    <w:p w14:paraId="3E0D3086" w14:textId="364CED3E" w:rsidR="004C5FE3" w:rsidRDefault="004C5FE3" w:rsidP="004C5FE3">
      <w:pPr>
        <w:widowControl/>
        <w:autoSpaceDE w:val="0"/>
        <w:autoSpaceDN w:val="0"/>
        <w:adjustRightInd w:val="0"/>
        <w:ind w:left="567"/>
        <w:jc w:val="both"/>
        <w:rPr>
          <w:rFonts w:eastAsia="Calibri"/>
          <w:sz w:val="24"/>
          <w:szCs w:val="24"/>
          <w:lang w:val="es-GT" w:eastAsia="en-US"/>
        </w:rPr>
      </w:pPr>
      <w:r w:rsidRPr="00F22FB7">
        <w:rPr>
          <w:rFonts w:ascii="Calibri" w:eastAsia="Calibri" w:hAnsi="Calibri"/>
          <w:noProof/>
          <w:sz w:val="22"/>
          <w:szCs w:val="22"/>
          <w:lang w:val="es-GT" w:eastAsia="es-GT"/>
        </w:rPr>
        <w:drawing>
          <wp:inline distT="0" distB="0" distL="0" distR="0" wp14:anchorId="427EF390" wp14:editId="7E943EA4">
            <wp:extent cx="5859145" cy="1400908"/>
            <wp:effectExtent l="0" t="0" r="8255" b="8890"/>
            <wp:docPr id="63" name="Gráfico 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3B0722C-4C8E-4E92-85AD-633902920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0B5068" w14:textId="77777777" w:rsidR="00E25BDC" w:rsidRDefault="004C5FE3" w:rsidP="00E25BDC">
      <w:pPr>
        <w:widowControl/>
        <w:spacing w:after="160" w:line="259" w:lineRule="auto"/>
        <w:ind w:left="567"/>
        <w:rPr>
          <w:rFonts w:eastAsia="Calibri"/>
          <w:sz w:val="16"/>
          <w:szCs w:val="24"/>
          <w:lang w:val="es-GT" w:eastAsia="en-US"/>
        </w:rPr>
      </w:pPr>
      <w:r w:rsidRPr="004C5FE3">
        <w:rPr>
          <w:rFonts w:eastAsia="Calibri"/>
          <w:sz w:val="16"/>
          <w:szCs w:val="24"/>
          <w:lang w:val="es-GT" w:eastAsia="en-US"/>
        </w:rPr>
        <w:t>Fuente: Sicoin</w:t>
      </w:r>
    </w:p>
    <w:p w14:paraId="1EE81DF9" w14:textId="03B36A8D" w:rsidR="004C5FE3" w:rsidRDefault="004C5FE3" w:rsidP="00002D39">
      <w:pPr>
        <w:widowControl/>
        <w:spacing w:after="160" w:line="259" w:lineRule="auto"/>
        <w:ind w:left="567"/>
        <w:jc w:val="both"/>
        <w:rPr>
          <w:rFonts w:eastAsia="Calibri"/>
          <w:sz w:val="24"/>
          <w:szCs w:val="24"/>
          <w:lang w:val="es-GT" w:eastAsia="en-US"/>
        </w:rPr>
      </w:pPr>
      <w:r w:rsidRPr="00F22FB7">
        <w:rPr>
          <w:rFonts w:eastAsia="Calibri"/>
          <w:sz w:val="24"/>
          <w:szCs w:val="24"/>
          <w:lang w:val="es-GT" w:eastAsia="en-US"/>
        </w:rPr>
        <w:t>A nivel individual, el Instituto Nacional de Energía Eléctrica (INDE) es quien tuvo el superávit más alto, siendo de Q316.5 millones en 2020, sin embargo, dicha entidad recibió una transferencia de la administración central de Q630.0 millones para apoyo a las familias por el COVID-19, si esto no se toma en consideración, el resultado presupuestario hubiese sido deficitario por Q313.5 millones. Las demás entidades que dependen en gran medida de las transferencias para no tener un resultado deficitario son: la</w:t>
      </w:r>
      <w:r w:rsidRPr="00F22FB7">
        <w:rPr>
          <w:rFonts w:ascii="Calibri" w:eastAsia="Calibri" w:hAnsi="Calibri"/>
          <w:sz w:val="22"/>
          <w:szCs w:val="22"/>
          <w:lang w:val="es-GT" w:eastAsia="en-US"/>
        </w:rPr>
        <w:t xml:space="preserve"> </w:t>
      </w:r>
      <w:r w:rsidRPr="00F22FB7">
        <w:rPr>
          <w:rFonts w:eastAsia="Calibri"/>
          <w:sz w:val="24"/>
          <w:szCs w:val="24"/>
          <w:lang w:val="es-GT" w:eastAsia="en-US"/>
        </w:rPr>
        <w:t xml:space="preserve">Empresa Ferrocarriles de Guatemala (Fegua) con un superávit de Q1.1 millones con transferencias y un déficit de Q18.6 millones sin transferencias, el Instituto Nacional de Comercialización Agrícola (Indeca) con Q1.1 millones de superávit con transferencias y déficit de Q12.4 millones sin transferencias y, por último, la Empresa Portuaria Nacional de Champerico (EPNCH) con superávit de Q0.3 millones con transferencias y déficit de Q4.3 millones sin transferencias. </w:t>
      </w:r>
    </w:p>
    <w:p w14:paraId="3F87854F" w14:textId="088E112C" w:rsidR="000B00E5" w:rsidRDefault="00AF7163" w:rsidP="004C5FE3">
      <w:pPr>
        <w:widowControl/>
        <w:ind w:left="567"/>
        <w:jc w:val="center"/>
        <w:rPr>
          <w:rFonts w:eastAsia="Calibri"/>
          <w:b/>
          <w:sz w:val="24"/>
          <w:szCs w:val="24"/>
          <w:lang w:val="es-GT" w:eastAsia="en-US"/>
        </w:rPr>
      </w:pPr>
      <w:r>
        <w:rPr>
          <w:rFonts w:eastAsia="Calibri"/>
          <w:b/>
          <w:sz w:val="24"/>
          <w:szCs w:val="24"/>
          <w:lang w:val="es-GT" w:eastAsia="en-US"/>
        </w:rPr>
        <w:t>Gráfica 51</w:t>
      </w:r>
      <w:r w:rsidR="00814706">
        <w:rPr>
          <w:rFonts w:eastAsia="Calibri"/>
          <w:b/>
          <w:sz w:val="24"/>
          <w:szCs w:val="24"/>
          <w:lang w:val="es-GT" w:eastAsia="en-US"/>
        </w:rPr>
        <w:t xml:space="preserve">.  </w:t>
      </w:r>
      <w:r w:rsidR="004C5FE3" w:rsidRPr="004C5FE3">
        <w:rPr>
          <w:rFonts w:eastAsia="Calibri"/>
          <w:b/>
          <w:sz w:val="24"/>
          <w:szCs w:val="24"/>
          <w:lang w:val="es-GT" w:eastAsia="en-US"/>
        </w:rPr>
        <w:t xml:space="preserve">Resultado Presupuestario para el año 2020 de las Empresas Públicas </w:t>
      </w:r>
    </w:p>
    <w:p w14:paraId="4C765655" w14:textId="4B596514" w:rsidR="004C5FE3" w:rsidRPr="004C5FE3" w:rsidRDefault="004C5FE3" w:rsidP="004C5FE3">
      <w:pPr>
        <w:widowControl/>
        <w:ind w:left="567"/>
        <w:jc w:val="center"/>
        <w:rPr>
          <w:rFonts w:eastAsia="Calibri"/>
          <w:b/>
          <w:sz w:val="24"/>
          <w:szCs w:val="24"/>
          <w:lang w:val="es-GT" w:eastAsia="en-US"/>
        </w:rPr>
      </w:pPr>
      <w:r w:rsidRPr="004C5FE3">
        <w:rPr>
          <w:rFonts w:eastAsia="Calibri"/>
          <w:b/>
          <w:sz w:val="24"/>
          <w:szCs w:val="24"/>
          <w:lang w:val="es-GT" w:eastAsia="en-US"/>
        </w:rPr>
        <w:t>No Financieras Nacionales</w:t>
      </w:r>
    </w:p>
    <w:p w14:paraId="72DADCCF" w14:textId="77777777" w:rsidR="004C5FE3" w:rsidRPr="004C5FE3" w:rsidRDefault="004C5FE3" w:rsidP="004C5FE3">
      <w:pPr>
        <w:widowControl/>
        <w:ind w:left="567"/>
        <w:jc w:val="center"/>
        <w:rPr>
          <w:rFonts w:eastAsia="Calibri"/>
          <w:sz w:val="22"/>
          <w:szCs w:val="24"/>
          <w:lang w:val="es-GT" w:eastAsia="en-US"/>
        </w:rPr>
      </w:pPr>
      <w:r w:rsidRPr="004C5FE3">
        <w:rPr>
          <w:rFonts w:eastAsia="Calibri"/>
          <w:sz w:val="22"/>
          <w:szCs w:val="24"/>
          <w:lang w:val="es-GT" w:eastAsia="en-US"/>
        </w:rPr>
        <w:t>En millones de quetzales</w:t>
      </w:r>
    </w:p>
    <w:p w14:paraId="5155DA8C" w14:textId="77777777" w:rsidR="004C5FE3" w:rsidRPr="00F22FB7" w:rsidRDefault="004C5FE3" w:rsidP="004C5FE3">
      <w:pPr>
        <w:widowControl/>
        <w:spacing w:after="160" w:line="259" w:lineRule="auto"/>
        <w:ind w:left="567"/>
        <w:jc w:val="center"/>
        <w:rPr>
          <w:rFonts w:eastAsia="Calibri"/>
          <w:sz w:val="18"/>
          <w:szCs w:val="24"/>
          <w:lang w:val="es-GT" w:eastAsia="en-US"/>
        </w:rPr>
      </w:pPr>
      <w:r>
        <w:rPr>
          <w:noProof/>
          <w:lang w:val="es-GT" w:eastAsia="es-GT"/>
        </w:rPr>
        <w:lastRenderedPageBreak/>
        <w:drawing>
          <wp:inline distT="0" distB="0" distL="0" distR="0" wp14:anchorId="4E9AAF3C" wp14:editId="183408C6">
            <wp:extent cx="5699760" cy="1652954"/>
            <wp:effectExtent l="0" t="0" r="0" b="4445"/>
            <wp:docPr id="36" name="Gráfico 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A118D07-FA4D-405D-A6CE-5F302AC45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5AE15AF" w14:textId="49813F78" w:rsidR="004C5FE3" w:rsidRDefault="004C5FE3" w:rsidP="004C5FE3">
      <w:pPr>
        <w:widowControl/>
        <w:ind w:left="567"/>
        <w:rPr>
          <w:rFonts w:eastAsia="Calibri"/>
          <w:sz w:val="16"/>
          <w:szCs w:val="24"/>
          <w:lang w:val="es-GT" w:eastAsia="en-US"/>
        </w:rPr>
      </w:pPr>
      <w:r w:rsidRPr="004C5FE3">
        <w:rPr>
          <w:rFonts w:eastAsia="Calibri"/>
          <w:sz w:val="16"/>
          <w:szCs w:val="24"/>
          <w:lang w:val="es-GT" w:eastAsia="en-US"/>
        </w:rPr>
        <w:t>Fuente: Sicoin</w:t>
      </w:r>
    </w:p>
    <w:p w14:paraId="7E6CAA31" w14:textId="29CA2492" w:rsidR="0017565C" w:rsidRDefault="0017565C" w:rsidP="004C5FE3">
      <w:pPr>
        <w:widowControl/>
        <w:ind w:left="567"/>
        <w:rPr>
          <w:rFonts w:eastAsia="Calibri"/>
          <w:sz w:val="16"/>
          <w:szCs w:val="24"/>
          <w:lang w:val="es-GT" w:eastAsia="en-US"/>
        </w:rPr>
      </w:pPr>
    </w:p>
    <w:p w14:paraId="4BF9B08D" w14:textId="77777777" w:rsidR="004C5FE3" w:rsidRDefault="004C5FE3" w:rsidP="004C5FE3">
      <w:pPr>
        <w:ind w:left="567"/>
        <w:jc w:val="both"/>
        <w:rPr>
          <w:rFonts w:eastAsia="Calibri"/>
          <w:sz w:val="24"/>
          <w:szCs w:val="24"/>
          <w:lang w:val="es-GT" w:eastAsia="en-US"/>
        </w:rPr>
      </w:pPr>
      <w:r w:rsidRPr="00F22FB7">
        <w:rPr>
          <w:rFonts w:eastAsia="Calibri"/>
          <w:sz w:val="24"/>
          <w:szCs w:val="24"/>
          <w:lang w:val="es-GT" w:eastAsia="en-US"/>
        </w:rPr>
        <w:t>Cabe resaltar que la Empresa Portuaria Quetzal (EPQ) y la Empresa Portuaria Nacional Santo Tomas de Castilla (Empornac) tienen los superávits más altos sin depender de transferencias corrientes y de capital, siendo de Q223.7 millones y Q87.0 millones respectivamente.</w:t>
      </w:r>
    </w:p>
    <w:p w14:paraId="2CBEECAC" w14:textId="2CA3D075" w:rsidR="00287546" w:rsidRDefault="00287546" w:rsidP="004C5FE3">
      <w:pPr>
        <w:ind w:left="567"/>
        <w:jc w:val="both"/>
        <w:rPr>
          <w:rFonts w:eastAsia="Calibri"/>
          <w:sz w:val="24"/>
          <w:szCs w:val="24"/>
          <w:lang w:val="es-GT" w:eastAsia="en-US"/>
        </w:rPr>
      </w:pPr>
    </w:p>
    <w:p w14:paraId="2ECD688E" w14:textId="142B7901" w:rsidR="004C3A57" w:rsidRPr="0083128A" w:rsidRDefault="004C3A57" w:rsidP="004C3A57">
      <w:pPr>
        <w:ind w:left="567"/>
        <w:jc w:val="both"/>
        <w:rPr>
          <w:rFonts w:eastAsia="Calibri"/>
          <w:sz w:val="24"/>
          <w:szCs w:val="24"/>
          <w:lang w:val="es-GT" w:eastAsia="en-US"/>
        </w:rPr>
      </w:pPr>
      <w:r w:rsidRPr="0083128A">
        <w:rPr>
          <w:rFonts w:eastAsia="Calibri"/>
          <w:sz w:val="24"/>
          <w:szCs w:val="24"/>
          <w:lang w:val="es-GT" w:eastAsia="en-US"/>
        </w:rPr>
        <w:t xml:space="preserve">Desde un punto de vista histórico, las principales empresas </w:t>
      </w:r>
      <w:r w:rsidR="00783CB3" w:rsidRPr="0083128A">
        <w:rPr>
          <w:rFonts w:eastAsia="Calibri"/>
          <w:sz w:val="24"/>
          <w:szCs w:val="24"/>
          <w:lang w:val="es-GT" w:eastAsia="en-US"/>
        </w:rPr>
        <w:t>públicas han</w:t>
      </w:r>
      <w:r w:rsidR="00CF210C" w:rsidRPr="0083128A">
        <w:rPr>
          <w:rFonts w:eastAsia="Calibri"/>
          <w:sz w:val="24"/>
          <w:szCs w:val="24"/>
          <w:lang w:val="es-GT" w:eastAsia="en-US"/>
        </w:rPr>
        <w:t xml:space="preserve"> sido el </w:t>
      </w:r>
      <w:r w:rsidRPr="0083128A">
        <w:rPr>
          <w:rFonts w:eastAsia="Calibri"/>
          <w:sz w:val="24"/>
          <w:szCs w:val="24"/>
          <w:lang w:val="es-GT" w:eastAsia="en-US"/>
        </w:rPr>
        <w:t>INDE, EPQ y Empornac que representan el 97.8% de los ingresos totales de todo el grupo institucional para 2020</w:t>
      </w:r>
      <w:r w:rsidR="00D73544" w:rsidRPr="0083128A">
        <w:rPr>
          <w:rFonts w:eastAsia="Calibri"/>
          <w:sz w:val="24"/>
          <w:szCs w:val="24"/>
          <w:lang w:val="es-GT" w:eastAsia="en-US"/>
        </w:rPr>
        <w:t xml:space="preserve"> y estos</w:t>
      </w:r>
      <w:r w:rsidRPr="0083128A">
        <w:rPr>
          <w:rFonts w:eastAsia="Calibri"/>
          <w:sz w:val="24"/>
          <w:szCs w:val="24"/>
          <w:lang w:val="es-GT" w:eastAsia="en-US"/>
        </w:rPr>
        <w:t xml:space="preserve"> han obtenido resultados presupuestales superavitarios</w:t>
      </w:r>
      <w:r w:rsidR="002C3B29" w:rsidRPr="0083128A">
        <w:rPr>
          <w:rFonts w:eastAsia="Calibri"/>
          <w:sz w:val="24"/>
          <w:szCs w:val="24"/>
          <w:lang w:val="es-GT" w:eastAsia="en-US"/>
        </w:rPr>
        <w:t xml:space="preserve"> entre 2014 y 2020</w:t>
      </w:r>
      <w:r w:rsidRPr="0083128A">
        <w:rPr>
          <w:rFonts w:eastAsia="Calibri"/>
          <w:sz w:val="24"/>
          <w:szCs w:val="24"/>
          <w:lang w:val="es-GT" w:eastAsia="en-US"/>
        </w:rPr>
        <w:t xml:space="preserve"> con excepción de EPQ en el año 2014 y Empornac en 2019. </w:t>
      </w:r>
    </w:p>
    <w:p w14:paraId="62CDDC40" w14:textId="77777777" w:rsidR="00AF7163" w:rsidRPr="0083128A" w:rsidRDefault="00AF7163" w:rsidP="004C3A57">
      <w:pPr>
        <w:ind w:left="567"/>
        <w:jc w:val="both"/>
        <w:rPr>
          <w:rFonts w:eastAsia="Calibri"/>
          <w:sz w:val="24"/>
          <w:szCs w:val="24"/>
          <w:lang w:val="es-GT" w:eastAsia="en-US"/>
        </w:rPr>
      </w:pPr>
    </w:p>
    <w:p w14:paraId="6A10A2A3" w14:textId="3D442B00" w:rsidR="00475878" w:rsidRPr="0083128A" w:rsidRDefault="00AF7163" w:rsidP="00475878">
      <w:pPr>
        <w:widowControl/>
        <w:ind w:left="567"/>
        <w:jc w:val="center"/>
        <w:rPr>
          <w:rFonts w:eastAsia="Calibri"/>
          <w:b/>
          <w:sz w:val="24"/>
          <w:szCs w:val="24"/>
          <w:lang w:val="es-GT" w:eastAsia="en-US"/>
        </w:rPr>
      </w:pPr>
      <w:r w:rsidRPr="0083128A">
        <w:rPr>
          <w:rFonts w:eastAsia="Calibri"/>
          <w:b/>
          <w:sz w:val="24"/>
          <w:szCs w:val="24"/>
          <w:lang w:val="es-GT" w:eastAsia="en-US"/>
        </w:rPr>
        <w:t>Gráfica 52</w:t>
      </w:r>
      <w:r w:rsidR="00475878" w:rsidRPr="0083128A">
        <w:rPr>
          <w:rFonts w:eastAsia="Calibri"/>
          <w:b/>
          <w:sz w:val="24"/>
          <w:szCs w:val="24"/>
          <w:lang w:val="es-GT" w:eastAsia="en-US"/>
        </w:rPr>
        <w:t>.  Resultado Presupuestal histórico</w:t>
      </w:r>
    </w:p>
    <w:p w14:paraId="72D4824F" w14:textId="77777777" w:rsidR="00475878" w:rsidRPr="0083128A" w:rsidRDefault="00475878" w:rsidP="00475878">
      <w:pPr>
        <w:widowControl/>
        <w:ind w:left="567"/>
        <w:jc w:val="center"/>
        <w:rPr>
          <w:rFonts w:eastAsia="Calibri"/>
          <w:sz w:val="22"/>
          <w:szCs w:val="24"/>
          <w:lang w:val="es-GT" w:eastAsia="en-US"/>
        </w:rPr>
      </w:pPr>
      <w:r w:rsidRPr="0083128A">
        <w:rPr>
          <w:rFonts w:eastAsia="Calibri"/>
          <w:sz w:val="22"/>
          <w:szCs w:val="24"/>
          <w:lang w:val="es-GT" w:eastAsia="en-US"/>
        </w:rPr>
        <w:t>En millones de quetzales</w:t>
      </w:r>
    </w:p>
    <w:tbl>
      <w:tblPr>
        <w:tblStyle w:val="Tablaconcuadrcula"/>
        <w:tblW w:w="4837" w:type="pc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890"/>
        <w:gridCol w:w="4892"/>
      </w:tblGrid>
      <w:tr w:rsidR="00330B9C" w:rsidRPr="0083128A" w14:paraId="5275A128" w14:textId="77777777" w:rsidTr="00CE0072">
        <w:trPr>
          <w:trHeight w:val="2305"/>
        </w:trPr>
        <w:tc>
          <w:tcPr>
            <w:tcW w:w="4823" w:type="dxa"/>
          </w:tcPr>
          <w:p w14:paraId="22BFF709" w14:textId="6287270C" w:rsidR="000B3CF9" w:rsidRPr="0083128A" w:rsidRDefault="000B3CF9" w:rsidP="004C5FE3">
            <w:pPr>
              <w:jc w:val="both"/>
              <w:rPr>
                <w:rFonts w:eastAsia="Calibri"/>
                <w:sz w:val="2"/>
                <w:szCs w:val="2"/>
                <w:lang w:val="es-GT" w:eastAsia="en-US"/>
              </w:rPr>
            </w:pPr>
            <w:r w:rsidRPr="0083128A">
              <w:rPr>
                <w:noProof/>
                <w:sz w:val="2"/>
                <w:szCs w:val="2"/>
                <w:lang w:val="es-GT" w:eastAsia="es-GT"/>
              </w:rPr>
              <w:drawing>
                <wp:anchor distT="0" distB="0" distL="114300" distR="114300" simplePos="0" relativeHeight="251727872" behindDoc="0" locked="0" layoutInCell="1" allowOverlap="1" wp14:anchorId="75F1E26E" wp14:editId="1F415CB0">
                  <wp:simplePos x="0" y="0"/>
                  <wp:positionH relativeFrom="column">
                    <wp:posOffset>-17145</wp:posOffset>
                  </wp:positionH>
                  <wp:positionV relativeFrom="paragraph">
                    <wp:posOffset>2540</wp:posOffset>
                  </wp:positionV>
                  <wp:extent cx="3023870" cy="1575435"/>
                  <wp:effectExtent l="0" t="0" r="5080" b="5715"/>
                  <wp:wrapSquare wrapText="bothSides"/>
                  <wp:docPr id="28" name="Gráfico 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0B97FC1-54EE-4A36-83A7-E3CC66F1C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tc>
        <w:tc>
          <w:tcPr>
            <w:tcW w:w="4824" w:type="dxa"/>
          </w:tcPr>
          <w:p w14:paraId="3974D755" w14:textId="493C84C9" w:rsidR="000B3CF9" w:rsidRPr="0083128A" w:rsidRDefault="00BB75A6" w:rsidP="004C5FE3">
            <w:pPr>
              <w:jc w:val="both"/>
              <w:rPr>
                <w:rFonts w:eastAsia="Calibri"/>
                <w:sz w:val="2"/>
                <w:szCs w:val="2"/>
                <w:lang w:val="es-GT" w:eastAsia="en-US"/>
              </w:rPr>
            </w:pPr>
            <w:r w:rsidRPr="0083128A">
              <w:rPr>
                <w:noProof/>
                <w:sz w:val="2"/>
                <w:szCs w:val="2"/>
                <w:lang w:val="es-GT" w:eastAsia="es-GT"/>
              </w:rPr>
              <w:drawing>
                <wp:anchor distT="0" distB="0" distL="114300" distR="114300" simplePos="0" relativeHeight="251730944" behindDoc="0" locked="0" layoutInCell="1" allowOverlap="1" wp14:anchorId="31BEEC56" wp14:editId="298D8DBA">
                  <wp:simplePos x="0" y="0"/>
                  <wp:positionH relativeFrom="column">
                    <wp:posOffset>1123</wp:posOffset>
                  </wp:positionH>
                  <wp:positionV relativeFrom="paragraph">
                    <wp:posOffset>621</wp:posOffset>
                  </wp:positionV>
                  <wp:extent cx="2971165" cy="1548130"/>
                  <wp:effectExtent l="0" t="0" r="635" b="0"/>
                  <wp:wrapSquare wrapText="bothSides"/>
                  <wp:docPr id="54" name="Gráfico 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6C3EDB0-AD5E-41AE-9C0F-C312A1940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tc>
      </w:tr>
      <w:tr w:rsidR="00330B9C" w:rsidRPr="0083128A" w14:paraId="27183762" w14:textId="77777777" w:rsidTr="00CE0072">
        <w:trPr>
          <w:trHeight w:val="2324"/>
        </w:trPr>
        <w:tc>
          <w:tcPr>
            <w:tcW w:w="4823" w:type="dxa"/>
          </w:tcPr>
          <w:p w14:paraId="05B46E1A" w14:textId="218501E9" w:rsidR="000B3CF9" w:rsidRPr="0083128A" w:rsidRDefault="006A79F9" w:rsidP="004C5FE3">
            <w:pPr>
              <w:jc w:val="both"/>
              <w:rPr>
                <w:rFonts w:eastAsia="Calibri"/>
                <w:sz w:val="2"/>
                <w:szCs w:val="2"/>
                <w:lang w:val="es-GT" w:eastAsia="en-US"/>
              </w:rPr>
            </w:pPr>
            <w:r w:rsidRPr="0083128A">
              <w:rPr>
                <w:noProof/>
                <w:sz w:val="2"/>
                <w:szCs w:val="2"/>
                <w:lang w:val="es-GT" w:eastAsia="es-GT"/>
              </w:rPr>
              <w:drawing>
                <wp:anchor distT="0" distB="0" distL="114300" distR="114300" simplePos="0" relativeHeight="251723776" behindDoc="0" locked="0" layoutInCell="1" allowOverlap="1" wp14:anchorId="38725A74" wp14:editId="3682DE7B">
                  <wp:simplePos x="0" y="0"/>
                  <wp:positionH relativeFrom="column">
                    <wp:posOffset>-38735</wp:posOffset>
                  </wp:positionH>
                  <wp:positionV relativeFrom="paragraph">
                    <wp:posOffset>0</wp:posOffset>
                  </wp:positionV>
                  <wp:extent cx="3023870" cy="1576705"/>
                  <wp:effectExtent l="0" t="0" r="5080" b="4445"/>
                  <wp:wrapSquare wrapText="bothSides"/>
                  <wp:docPr id="32" name="Gráfico 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183BC02-A33D-40A6-8CF1-76EC1D788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00E045B3" w:rsidRPr="0083128A">
              <w:rPr>
                <w:noProof/>
                <w:sz w:val="2"/>
                <w:szCs w:val="2"/>
              </w:rPr>
              <w:tab/>
            </w:r>
          </w:p>
        </w:tc>
        <w:tc>
          <w:tcPr>
            <w:tcW w:w="4824" w:type="dxa"/>
          </w:tcPr>
          <w:p w14:paraId="75F08481" w14:textId="3DA25431" w:rsidR="000B3CF9" w:rsidRPr="0083128A" w:rsidRDefault="005C0650" w:rsidP="004C5FE3">
            <w:pPr>
              <w:jc w:val="both"/>
              <w:rPr>
                <w:rFonts w:eastAsia="Calibri"/>
                <w:sz w:val="2"/>
                <w:szCs w:val="2"/>
                <w:lang w:val="es-GT" w:eastAsia="en-US"/>
              </w:rPr>
            </w:pPr>
            <w:r w:rsidRPr="0083128A">
              <w:rPr>
                <w:noProof/>
                <w:sz w:val="2"/>
                <w:szCs w:val="2"/>
                <w:lang w:val="es-GT" w:eastAsia="es-GT"/>
              </w:rPr>
              <w:drawing>
                <wp:anchor distT="0" distB="0" distL="114300" distR="114300" simplePos="0" relativeHeight="251726848" behindDoc="0" locked="0" layoutInCell="1" allowOverlap="1" wp14:anchorId="6C844031" wp14:editId="559DDA37">
                  <wp:simplePos x="0" y="0"/>
                  <wp:positionH relativeFrom="column">
                    <wp:posOffset>-18415</wp:posOffset>
                  </wp:positionH>
                  <wp:positionV relativeFrom="paragraph">
                    <wp:posOffset>0</wp:posOffset>
                  </wp:positionV>
                  <wp:extent cx="3023870" cy="1576705"/>
                  <wp:effectExtent l="0" t="0" r="5080" b="4445"/>
                  <wp:wrapSquare wrapText="bothSides"/>
                  <wp:docPr id="33" name="Gráfico 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37DA3B7-8898-4EF2-8647-9F2718483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tc>
      </w:tr>
      <w:tr w:rsidR="00330B9C" w:rsidRPr="0083128A" w14:paraId="7BAB6AF7" w14:textId="77777777" w:rsidTr="00CE0072">
        <w:trPr>
          <w:trHeight w:val="2324"/>
        </w:trPr>
        <w:tc>
          <w:tcPr>
            <w:tcW w:w="4823" w:type="dxa"/>
          </w:tcPr>
          <w:p w14:paraId="67118171" w14:textId="687EEBEB" w:rsidR="000B3CF9" w:rsidRPr="0083128A" w:rsidRDefault="00105D3B" w:rsidP="004C5FE3">
            <w:pPr>
              <w:jc w:val="both"/>
              <w:rPr>
                <w:rFonts w:eastAsia="Calibri"/>
                <w:sz w:val="2"/>
                <w:szCs w:val="2"/>
                <w:lang w:val="es-GT" w:eastAsia="en-US"/>
              </w:rPr>
            </w:pPr>
            <w:r w:rsidRPr="0083128A">
              <w:rPr>
                <w:noProof/>
                <w:sz w:val="2"/>
                <w:szCs w:val="2"/>
                <w:lang w:val="es-GT" w:eastAsia="es-GT"/>
              </w:rPr>
              <w:lastRenderedPageBreak/>
              <w:drawing>
                <wp:anchor distT="0" distB="0" distL="114300" distR="114300" simplePos="0" relativeHeight="251737088" behindDoc="0" locked="0" layoutInCell="1" allowOverlap="1" wp14:anchorId="682D8C62" wp14:editId="23C95F67">
                  <wp:simplePos x="0" y="0"/>
                  <wp:positionH relativeFrom="column">
                    <wp:posOffset>-10795</wp:posOffset>
                  </wp:positionH>
                  <wp:positionV relativeFrom="paragraph">
                    <wp:posOffset>14605</wp:posOffset>
                  </wp:positionV>
                  <wp:extent cx="3023870" cy="1576705"/>
                  <wp:effectExtent l="0" t="0" r="5080" b="4445"/>
                  <wp:wrapSquare wrapText="bothSides"/>
                  <wp:docPr id="46" name="Gráfico 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07BE583-19FF-4FF6-9F89-F9231ED5D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tc>
        <w:tc>
          <w:tcPr>
            <w:tcW w:w="4824" w:type="dxa"/>
          </w:tcPr>
          <w:p w14:paraId="259FB9E6" w14:textId="04076E0B" w:rsidR="000B3CF9" w:rsidRPr="0083128A" w:rsidRDefault="00105D3B" w:rsidP="00301CD4">
            <w:pPr>
              <w:jc w:val="both"/>
              <w:rPr>
                <w:rFonts w:eastAsia="Calibri"/>
                <w:sz w:val="2"/>
                <w:szCs w:val="2"/>
                <w:lang w:val="es-GT" w:eastAsia="en-US"/>
              </w:rPr>
            </w:pPr>
            <w:r w:rsidRPr="0083128A">
              <w:rPr>
                <w:noProof/>
                <w:sz w:val="2"/>
                <w:szCs w:val="2"/>
                <w:lang w:val="es-GT" w:eastAsia="es-GT"/>
              </w:rPr>
              <w:drawing>
                <wp:anchor distT="0" distB="0" distL="114300" distR="114300" simplePos="0" relativeHeight="251739136" behindDoc="0" locked="0" layoutInCell="1" allowOverlap="1" wp14:anchorId="2C153D91" wp14:editId="7F5DA9B6">
                  <wp:simplePos x="0" y="0"/>
                  <wp:positionH relativeFrom="column">
                    <wp:posOffset>-10160</wp:posOffset>
                  </wp:positionH>
                  <wp:positionV relativeFrom="paragraph">
                    <wp:posOffset>14605</wp:posOffset>
                  </wp:positionV>
                  <wp:extent cx="3024000" cy="1576800"/>
                  <wp:effectExtent l="0" t="0" r="5080" b="4445"/>
                  <wp:wrapSquare wrapText="bothSides"/>
                  <wp:docPr id="38" name="Gráfico 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F859F8B-8420-40F3-A30B-0C0D07B98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tc>
      </w:tr>
      <w:tr w:rsidR="00330B9C" w:rsidRPr="0083128A" w14:paraId="0BAA1970" w14:textId="77777777" w:rsidTr="00CE0072">
        <w:trPr>
          <w:trHeight w:val="2324"/>
        </w:trPr>
        <w:tc>
          <w:tcPr>
            <w:tcW w:w="4823" w:type="dxa"/>
          </w:tcPr>
          <w:p w14:paraId="7A3391B1" w14:textId="74A90074" w:rsidR="000B3CF9" w:rsidRPr="0083128A" w:rsidRDefault="007251B7" w:rsidP="004C5FE3">
            <w:pPr>
              <w:jc w:val="both"/>
              <w:rPr>
                <w:rFonts w:eastAsia="Calibri"/>
                <w:sz w:val="2"/>
                <w:szCs w:val="2"/>
                <w:lang w:val="es-GT" w:eastAsia="en-US"/>
              </w:rPr>
            </w:pPr>
            <w:r w:rsidRPr="0083128A">
              <w:rPr>
                <w:noProof/>
                <w:sz w:val="2"/>
                <w:szCs w:val="2"/>
                <w:lang w:val="es-GT" w:eastAsia="es-GT"/>
              </w:rPr>
              <w:drawing>
                <wp:anchor distT="0" distB="0" distL="114300" distR="114300" simplePos="0" relativeHeight="251729920" behindDoc="0" locked="0" layoutInCell="1" allowOverlap="1" wp14:anchorId="7AAC5F8C" wp14:editId="4744AD44">
                  <wp:simplePos x="0" y="0"/>
                  <wp:positionH relativeFrom="column">
                    <wp:posOffset>-39370</wp:posOffset>
                  </wp:positionH>
                  <wp:positionV relativeFrom="paragraph">
                    <wp:posOffset>0</wp:posOffset>
                  </wp:positionV>
                  <wp:extent cx="3023870" cy="1576705"/>
                  <wp:effectExtent l="0" t="0" r="5080" b="4445"/>
                  <wp:wrapSquare wrapText="bothSides"/>
                  <wp:docPr id="35" name="Gráfico 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69867FB-008B-47BC-BCAE-410F90558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tc>
        <w:tc>
          <w:tcPr>
            <w:tcW w:w="4824" w:type="dxa"/>
          </w:tcPr>
          <w:p w14:paraId="27693F32" w14:textId="678C8C1A" w:rsidR="000B3CF9" w:rsidRPr="0083128A" w:rsidRDefault="00156215" w:rsidP="004C5FE3">
            <w:pPr>
              <w:jc w:val="both"/>
              <w:rPr>
                <w:rFonts w:eastAsia="Calibri"/>
                <w:sz w:val="2"/>
                <w:szCs w:val="2"/>
                <w:lang w:val="es-GT" w:eastAsia="en-US"/>
              </w:rPr>
            </w:pPr>
            <w:r w:rsidRPr="0083128A">
              <w:rPr>
                <w:noProof/>
                <w:sz w:val="2"/>
                <w:szCs w:val="2"/>
                <w:lang w:val="es-GT" w:eastAsia="es-GT"/>
              </w:rPr>
              <w:drawing>
                <wp:anchor distT="0" distB="0" distL="114300" distR="114300" simplePos="0" relativeHeight="251732992" behindDoc="0" locked="0" layoutInCell="1" allowOverlap="1" wp14:anchorId="15E7C060" wp14:editId="30B7F72D">
                  <wp:simplePos x="0" y="0"/>
                  <wp:positionH relativeFrom="column">
                    <wp:posOffset>-9672</wp:posOffset>
                  </wp:positionH>
                  <wp:positionV relativeFrom="paragraph">
                    <wp:posOffset>2638</wp:posOffset>
                  </wp:positionV>
                  <wp:extent cx="3024000" cy="1576800"/>
                  <wp:effectExtent l="0" t="0" r="5080" b="4445"/>
                  <wp:wrapSquare wrapText="bothSides"/>
                  <wp:docPr id="34" name="Gráfico 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BAA945A-2FC9-46AF-BEF9-D8DA3F7A0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tc>
      </w:tr>
    </w:tbl>
    <w:p w14:paraId="3F5CF9B1" w14:textId="77777777" w:rsidR="00CE0072" w:rsidRPr="0083128A" w:rsidRDefault="00CE0072" w:rsidP="00CE0072">
      <w:pPr>
        <w:widowControl/>
        <w:ind w:left="567"/>
        <w:rPr>
          <w:rFonts w:eastAsia="Calibri"/>
          <w:sz w:val="16"/>
          <w:szCs w:val="24"/>
          <w:lang w:val="es-GT" w:eastAsia="en-US"/>
        </w:rPr>
      </w:pPr>
      <w:r w:rsidRPr="0083128A">
        <w:rPr>
          <w:rFonts w:eastAsia="Calibri"/>
          <w:sz w:val="16"/>
          <w:szCs w:val="24"/>
          <w:lang w:val="es-GT" w:eastAsia="en-US"/>
        </w:rPr>
        <w:t>Fuente: Sicoin</w:t>
      </w:r>
    </w:p>
    <w:p w14:paraId="1F724D94" w14:textId="77777777" w:rsidR="00786EBE" w:rsidRPr="0083128A" w:rsidRDefault="00786EBE" w:rsidP="000B5DA9">
      <w:pPr>
        <w:ind w:left="567"/>
        <w:jc w:val="both"/>
        <w:rPr>
          <w:rFonts w:eastAsia="Calibri"/>
          <w:sz w:val="24"/>
          <w:szCs w:val="24"/>
          <w:lang w:val="es-GT" w:eastAsia="en-US"/>
        </w:rPr>
      </w:pPr>
    </w:p>
    <w:p w14:paraId="4289F4F5" w14:textId="246296A5" w:rsidR="00A059C4" w:rsidRPr="0083128A" w:rsidRDefault="00936536" w:rsidP="000B5DA9">
      <w:pPr>
        <w:ind w:left="567"/>
        <w:jc w:val="both"/>
        <w:rPr>
          <w:rFonts w:eastAsia="Calibri"/>
          <w:sz w:val="24"/>
          <w:szCs w:val="24"/>
          <w:lang w:val="es-GT" w:eastAsia="en-US"/>
        </w:rPr>
      </w:pPr>
      <w:r w:rsidRPr="0083128A">
        <w:rPr>
          <w:rFonts w:eastAsia="Calibri"/>
          <w:sz w:val="24"/>
          <w:szCs w:val="24"/>
          <w:lang w:val="es-GT" w:eastAsia="en-US"/>
        </w:rPr>
        <w:t>En e</w:t>
      </w:r>
      <w:r w:rsidR="00E54B2C" w:rsidRPr="0083128A">
        <w:rPr>
          <w:rFonts w:eastAsia="Calibri"/>
          <w:sz w:val="24"/>
          <w:szCs w:val="24"/>
          <w:lang w:val="es-GT" w:eastAsia="en-US"/>
        </w:rPr>
        <w:t>l caso del INDE</w:t>
      </w:r>
      <w:r w:rsidR="00472552" w:rsidRPr="0083128A">
        <w:rPr>
          <w:rFonts w:eastAsia="Calibri"/>
          <w:sz w:val="24"/>
          <w:szCs w:val="24"/>
          <w:lang w:val="es-GT" w:eastAsia="en-US"/>
        </w:rPr>
        <w:t>,</w:t>
      </w:r>
      <w:r w:rsidR="000E1E62" w:rsidRPr="0083128A">
        <w:rPr>
          <w:rFonts w:eastAsia="Calibri"/>
          <w:sz w:val="24"/>
          <w:szCs w:val="24"/>
          <w:lang w:val="es-GT" w:eastAsia="en-US"/>
        </w:rPr>
        <w:t xml:space="preserve"> </w:t>
      </w:r>
      <w:r w:rsidR="000B2300" w:rsidRPr="0083128A">
        <w:rPr>
          <w:rFonts w:eastAsia="Calibri"/>
          <w:sz w:val="24"/>
          <w:szCs w:val="24"/>
          <w:lang w:val="es-GT" w:eastAsia="en-US"/>
        </w:rPr>
        <w:t xml:space="preserve">durante estos años </w:t>
      </w:r>
      <w:r w:rsidR="00543185" w:rsidRPr="0083128A">
        <w:rPr>
          <w:rFonts w:eastAsia="Calibri"/>
          <w:sz w:val="24"/>
          <w:szCs w:val="24"/>
          <w:lang w:val="es-GT" w:eastAsia="en-US"/>
        </w:rPr>
        <w:t>ha</w:t>
      </w:r>
      <w:r w:rsidR="000E1E62" w:rsidRPr="0083128A">
        <w:rPr>
          <w:rFonts w:eastAsia="Calibri"/>
          <w:sz w:val="24"/>
          <w:szCs w:val="24"/>
          <w:lang w:val="es-GT" w:eastAsia="en-US"/>
        </w:rPr>
        <w:t xml:space="preserve"> recib</w:t>
      </w:r>
      <w:r w:rsidR="00543185" w:rsidRPr="0083128A">
        <w:rPr>
          <w:rFonts w:eastAsia="Calibri"/>
          <w:sz w:val="24"/>
          <w:szCs w:val="24"/>
          <w:lang w:val="es-GT" w:eastAsia="en-US"/>
        </w:rPr>
        <w:t>ido</w:t>
      </w:r>
      <w:r w:rsidR="000B2300" w:rsidRPr="0083128A">
        <w:rPr>
          <w:rFonts w:eastAsia="Calibri"/>
          <w:sz w:val="24"/>
          <w:szCs w:val="24"/>
          <w:lang w:val="es-GT" w:eastAsia="en-US"/>
        </w:rPr>
        <w:t xml:space="preserve"> </w:t>
      </w:r>
      <w:r w:rsidR="00A956DA" w:rsidRPr="0083128A">
        <w:rPr>
          <w:rFonts w:eastAsia="Calibri"/>
          <w:sz w:val="24"/>
          <w:szCs w:val="24"/>
          <w:lang w:val="es-GT" w:eastAsia="en-US"/>
        </w:rPr>
        <w:t>transferencias</w:t>
      </w:r>
      <w:r w:rsidR="00DD052C" w:rsidRPr="0083128A">
        <w:rPr>
          <w:rFonts w:eastAsia="Calibri"/>
          <w:sz w:val="24"/>
          <w:szCs w:val="24"/>
          <w:lang w:val="es-GT" w:eastAsia="en-US"/>
        </w:rPr>
        <w:t xml:space="preserve"> corrientes y de capital</w:t>
      </w:r>
      <w:r w:rsidR="00A956DA" w:rsidRPr="0083128A">
        <w:rPr>
          <w:rFonts w:eastAsia="Calibri"/>
          <w:sz w:val="24"/>
          <w:szCs w:val="24"/>
          <w:lang w:val="es-GT" w:eastAsia="en-US"/>
        </w:rPr>
        <w:t>,</w:t>
      </w:r>
      <w:r w:rsidR="000E1E62" w:rsidRPr="0083128A">
        <w:rPr>
          <w:rFonts w:eastAsia="Calibri"/>
          <w:sz w:val="24"/>
          <w:szCs w:val="24"/>
          <w:lang w:val="es-GT" w:eastAsia="en-US"/>
        </w:rPr>
        <w:t xml:space="preserve"> </w:t>
      </w:r>
      <w:r w:rsidR="00C13080" w:rsidRPr="0083128A">
        <w:rPr>
          <w:rFonts w:eastAsia="Calibri"/>
          <w:sz w:val="24"/>
          <w:szCs w:val="24"/>
          <w:lang w:val="es-GT" w:eastAsia="en-US"/>
        </w:rPr>
        <w:t xml:space="preserve">sin embargo, </w:t>
      </w:r>
      <w:r w:rsidR="00DF06B9" w:rsidRPr="0083128A">
        <w:rPr>
          <w:rFonts w:eastAsia="Calibri"/>
          <w:sz w:val="24"/>
          <w:szCs w:val="24"/>
          <w:lang w:val="es-GT" w:eastAsia="en-US"/>
        </w:rPr>
        <w:t>es oportuno</w:t>
      </w:r>
      <w:r w:rsidR="00B100AE" w:rsidRPr="0083128A">
        <w:rPr>
          <w:rFonts w:eastAsia="Calibri"/>
          <w:sz w:val="24"/>
          <w:szCs w:val="24"/>
          <w:lang w:val="es-GT" w:eastAsia="en-US"/>
        </w:rPr>
        <w:t xml:space="preserve"> </w:t>
      </w:r>
      <w:r w:rsidR="00685953" w:rsidRPr="0083128A">
        <w:rPr>
          <w:rFonts w:eastAsia="Calibri"/>
          <w:sz w:val="24"/>
          <w:szCs w:val="24"/>
          <w:lang w:val="es-GT" w:eastAsia="en-US"/>
        </w:rPr>
        <w:t>resaltar</w:t>
      </w:r>
      <w:r w:rsidR="00B100AE" w:rsidRPr="0083128A">
        <w:rPr>
          <w:rFonts w:eastAsia="Calibri"/>
          <w:sz w:val="24"/>
          <w:szCs w:val="24"/>
          <w:lang w:val="es-GT" w:eastAsia="en-US"/>
        </w:rPr>
        <w:t xml:space="preserve"> dos aspectos importantes a considerar</w:t>
      </w:r>
      <w:r w:rsidRPr="0083128A">
        <w:rPr>
          <w:rFonts w:eastAsia="Calibri"/>
          <w:sz w:val="24"/>
          <w:szCs w:val="24"/>
          <w:lang w:val="es-GT" w:eastAsia="en-US"/>
        </w:rPr>
        <w:t>:</w:t>
      </w:r>
      <w:r w:rsidR="00B100AE" w:rsidRPr="0083128A">
        <w:rPr>
          <w:rFonts w:eastAsia="Calibri"/>
          <w:sz w:val="24"/>
          <w:szCs w:val="24"/>
          <w:lang w:val="es-GT" w:eastAsia="en-US"/>
        </w:rPr>
        <w:t xml:space="preserve"> el primero </w:t>
      </w:r>
      <w:r w:rsidR="002F071F" w:rsidRPr="0083128A">
        <w:rPr>
          <w:rFonts w:eastAsia="Calibri"/>
          <w:sz w:val="24"/>
          <w:szCs w:val="24"/>
          <w:lang w:val="es-GT" w:eastAsia="en-US"/>
        </w:rPr>
        <w:t xml:space="preserve">es </w:t>
      </w:r>
      <w:r w:rsidR="00B100AE" w:rsidRPr="0083128A">
        <w:rPr>
          <w:rFonts w:eastAsia="Calibri"/>
          <w:sz w:val="24"/>
          <w:szCs w:val="24"/>
          <w:lang w:val="es-GT" w:eastAsia="en-US"/>
        </w:rPr>
        <w:t xml:space="preserve">que </w:t>
      </w:r>
      <w:r w:rsidR="002F071F" w:rsidRPr="0083128A">
        <w:rPr>
          <w:rFonts w:eastAsia="Calibri"/>
          <w:sz w:val="24"/>
          <w:szCs w:val="24"/>
          <w:lang w:val="es-GT" w:eastAsia="en-US"/>
        </w:rPr>
        <w:t>a</w:t>
      </w:r>
      <w:r w:rsidR="00C13080" w:rsidRPr="0083128A">
        <w:rPr>
          <w:rFonts w:eastAsia="Calibri"/>
          <w:sz w:val="24"/>
          <w:szCs w:val="24"/>
          <w:lang w:val="es-GT" w:eastAsia="en-US"/>
        </w:rPr>
        <w:t xml:space="preserve">un sin tomar en consideración esta fuente de ingresos, su resultado </w:t>
      </w:r>
      <w:r w:rsidR="005160C7" w:rsidRPr="0083128A">
        <w:rPr>
          <w:rFonts w:eastAsia="Calibri"/>
          <w:sz w:val="24"/>
          <w:szCs w:val="24"/>
          <w:lang w:val="es-GT" w:eastAsia="en-US"/>
        </w:rPr>
        <w:t xml:space="preserve">presupuestal </w:t>
      </w:r>
      <w:r w:rsidR="00B100AE" w:rsidRPr="0083128A">
        <w:rPr>
          <w:rFonts w:eastAsia="Calibri"/>
          <w:sz w:val="24"/>
          <w:szCs w:val="24"/>
          <w:lang w:val="es-GT" w:eastAsia="en-US"/>
        </w:rPr>
        <w:t xml:space="preserve">continuaría siendo </w:t>
      </w:r>
      <w:r w:rsidR="005160C7" w:rsidRPr="0083128A">
        <w:rPr>
          <w:rFonts w:eastAsia="Calibri"/>
          <w:sz w:val="24"/>
          <w:szCs w:val="24"/>
          <w:lang w:val="es-GT" w:eastAsia="en-US"/>
        </w:rPr>
        <w:t>superavitario</w:t>
      </w:r>
      <w:r w:rsidR="00B100AE" w:rsidRPr="0083128A">
        <w:rPr>
          <w:rFonts w:eastAsia="Calibri"/>
          <w:sz w:val="24"/>
          <w:szCs w:val="24"/>
          <w:lang w:val="es-GT" w:eastAsia="en-US"/>
        </w:rPr>
        <w:t xml:space="preserve"> </w:t>
      </w:r>
      <w:r w:rsidR="003642E4" w:rsidRPr="0083128A">
        <w:rPr>
          <w:rFonts w:eastAsia="Calibri"/>
          <w:sz w:val="24"/>
          <w:szCs w:val="24"/>
          <w:lang w:val="es-GT" w:eastAsia="en-US"/>
        </w:rPr>
        <w:t>entre 201</w:t>
      </w:r>
      <w:r w:rsidR="000630A2" w:rsidRPr="0083128A">
        <w:rPr>
          <w:rFonts w:eastAsia="Calibri"/>
          <w:sz w:val="24"/>
          <w:szCs w:val="24"/>
          <w:lang w:val="es-GT" w:eastAsia="en-US"/>
        </w:rPr>
        <w:t>4</w:t>
      </w:r>
      <w:r w:rsidR="003642E4" w:rsidRPr="0083128A">
        <w:rPr>
          <w:rFonts w:eastAsia="Calibri"/>
          <w:sz w:val="24"/>
          <w:szCs w:val="24"/>
          <w:lang w:val="es-GT" w:eastAsia="en-US"/>
        </w:rPr>
        <w:t xml:space="preserve"> y 2019. </w:t>
      </w:r>
      <w:r w:rsidR="00BF3D3B" w:rsidRPr="0083128A">
        <w:rPr>
          <w:rFonts w:eastAsia="Calibri"/>
          <w:sz w:val="24"/>
          <w:szCs w:val="24"/>
          <w:lang w:val="es-GT" w:eastAsia="en-US"/>
        </w:rPr>
        <w:t>El segundo aspecto por considerar</w:t>
      </w:r>
      <w:r w:rsidR="003642E4" w:rsidRPr="0083128A">
        <w:rPr>
          <w:rFonts w:eastAsia="Calibri"/>
          <w:sz w:val="24"/>
          <w:szCs w:val="24"/>
          <w:lang w:val="es-GT" w:eastAsia="en-US"/>
        </w:rPr>
        <w:t xml:space="preserve"> </w:t>
      </w:r>
      <w:r w:rsidR="007F7AB2" w:rsidRPr="0083128A">
        <w:rPr>
          <w:rFonts w:eastAsia="Calibri"/>
          <w:sz w:val="24"/>
          <w:szCs w:val="24"/>
          <w:lang w:val="es-GT" w:eastAsia="en-US"/>
        </w:rPr>
        <w:t>es</w:t>
      </w:r>
      <w:r w:rsidR="0012591C" w:rsidRPr="0083128A">
        <w:rPr>
          <w:rFonts w:eastAsia="Calibri"/>
          <w:sz w:val="24"/>
          <w:szCs w:val="24"/>
          <w:lang w:val="es-GT" w:eastAsia="en-US"/>
        </w:rPr>
        <w:t xml:space="preserve"> la naturaleza por la cual </w:t>
      </w:r>
      <w:r w:rsidR="000076B6" w:rsidRPr="0083128A">
        <w:rPr>
          <w:rFonts w:eastAsia="Calibri"/>
          <w:sz w:val="24"/>
          <w:szCs w:val="24"/>
          <w:lang w:val="es-GT" w:eastAsia="en-US"/>
        </w:rPr>
        <w:t xml:space="preserve">reciben </w:t>
      </w:r>
      <w:r w:rsidR="00BF3D3B" w:rsidRPr="0083128A">
        <w:rPr>
          <w:rFonts w:eastAsia="Calibri"/>
          <w:sz w:val="24"/>
          <w:szCs w:val="24"/>
          <w:lang w:val="es-GT" w:eastAsia="en-US"/>
        </w:rPr>
        <w:t>estas</w:t>
      </w:r>
      <w:r w:rsidR="000076B6" w:rsidRPr="0083128A">
        <w:rPr>
          <w:rFonts w:eastAsia="Calibri"/>
          <w:sz w:val="24"/>
          <w:szCs w:val="24"/>
          <w:lang w:val="es-GT" w:eastAsia="en-US"/>
        </w:rPr>
        <w:t xml:space="preserve"> transferencias</w:t>
      </w:r>
      <w:r w:rsidRPr="0083128A">
        <w:rPr>
          <w:rFonts w:eastAsia="Calibri"/>
          <w:sz w:val="24"/>
          <w:szCs w:val="24"/>
          <w:lang w:val="es-GT" w:eastAsia="en-US"/>
        </w:rPr>
        <w:t xml:space="preserve">, siendo </w:t>
      </w:r>
      <w:r w:rsidR="001B45C1" w:rsidRPr="0083128A">
        <w:rPr>
          <w:rFonts w:eastAsia="Calibri"/>
          <w:sz w:val="24"/>
          <w:szCs w:val="24"/>
          <w:lang w:val="es-GT" w:eastAsia="en-US"/>
        </w:rPr>
        <w:t>principalmente</w:t>
      </w:r>
      <w:r w:rsidR="00BF3D3B" w:rsidRPr="0083128A">
        <w:rPr>
          <w:rFonts w:eastAsia="Calibri"/>
          <w:sz w:val="24"/>
          <w:szCs w:val="24"/>
          <w:lang w:val="es-GT" w:eastAsia="en-US"/>
        </w:rPr>
        <w:t xml:space="preserve"> </w:t>
      </w:r>
      <w:r w:rsidR="0036077E" w:rsidRPr="0083128A">
        <w:rPr>
          <w:rFonts w:eastAsia="Calibri"/>
          <w:sz w:val="24"/>
          <w:szCs w:val="24"/>
          <w:lang w:val="es-GT" w:eastAsia="en-US"/>
        </w:rPr>
        <w:t>aporte</w:t>
      </w:r>
      <w:r w:rsidR="00AA1BB3" w:rsidRPr="0083128A">
        <w:rPr>
          <w:rFonts w:eastAsia="Calibri"/>
          <w:sz w:val="24"/>
          <w:szCs w:val="24"/>
          <w:lang w:val="es-GT" w:eastAsia="en-US"/>
        </w:rPr>
        <w:t>s</w:t>
      </w:r>
      <w:r w:rsidR="0036077E" w:rsidRPr="0083128A">
        <w:rPr>
          <w:rFonts w:eastAsia="Calibri"/>
          <w:sz w:val="24"/>
          <w:szCs w:val="24"/>
          <w:lang w:val="es-GT" w:eastAsia="en-US"/>
        </w:rPr>
        <w:t xml:space="preserve"> que realiza la administración central para el sostenimiento de la tarifa social</w:t>
      </w:r>
      <w:r w:rsidR="004F428C" w:rsidRPr="0083128A">
        <w:rPr>
          <w:rFonts w:eastAsia="Calibri"/>
          <w:sz w:val="24"/>
          <w:szCs w:val="24"/>
          <w:lang w:val="es-GT" w:eastAsia="en-US"/>
        </w:rPr>
        <w:t xml:space="preserve">, es decir, es </w:t>
      </w:r>
      <w:r w:rsidR="0036077E" w:rsidRPr="0083128A">
        <w:rPr>
          <w:rFonts w:eastAsia="Calibri"/>
          <w:sz w:val="24"/>
          <w:szCs w:val="24"/>
          <w:lang w:val="es-GT" w:eastAsia="en-US"/>
        </w:rPr>
        <w:t xml:space="preserve">un apoyo que </w:t>
      </w:r>
      <w:r w:rsidR="004F428C" w:rsidRPr="0083128A">
        <w:rPr>
          <w:rFonts w:eastAsia="Calibri"/>
          <w:sz w:val="24"/>
          <w:szCs w:val="24"/>
          <w:lang w:val="es-GT" w:eastAsia="en-US"/>
        </w:rPr>
        <w:t xml:space="preserve">se </w:t>
      </w:r>
      <w:r w:rsidR="0036077E" w:rsidRPr="0083128A">
        <w:rPr>
          <w:rFonts w:eastAsia="Calibri"/>
          <w:sz w:val="24"/>
          <w:szCs w:val="24"/>
          <w:lang w:val="es-GT" w:eastAsia="en-US"/>
        </w:rPr>
        <w:t xml:space="preserve">le otorga a los consumidores y </w:t>
      </w:r>
      <w:r w:rsidR="00AD1002" w:rsidRPr="0083128A">
        <w:rPr>
          <w:rFonts w:eastAsia="Calibri"/>
          <w:sz w:val="24"/>
          <w:szCs w:val="24"/>
          <w:lang w:val="es-GT" w:eastAsia="en-US"/>
        </w:rPr>
        <w:t xml:space="preserve">algunas </w:t>
      </w:r>
      <w:r w:rsidR="00E937D1" w:rsidRPr="0083128A">
        <w:rPr>
          <w:rFonts w:eastAsia="Calibri"/>
          <w:sz w:val="24"/>
          <w:szCs w:val="24"/>
          <w:lang w:val="es-GT" w:eastAsia="en-US"/>
        </w:rPr>
        <w:t>recibid</w:t>
      </w:r>
      <w:r w:rsidR="00AD1002" w:rsidRPr="0083128A">
        <w:rPr>
          <w:rFonts w:eastAsia="Calibri"/>
          <w:sz w:val="24"/>
          <w:szCs w:val="24"/>
          <w:lang w:val="es-GT" w:eastAsia="en-US"/>
        </w:rPr>
        <w:t>as</w:t>
      </w:r>
      <w:r w:rsidR="00E937D1" w:rsidRPr="0083128A">
        <w:rPr>
          <w:rFonts w:eastAsia="Calibri"/>
          <w:sz w:val="24"/>
          <w:szCs w:val="24"/>
          <w:lang w:val="es-GT" w:eastAsia="en-US"/>
        </w:rPr>
        <w:t xml:space="preserve"> de capital destinadas al fortalecimiento </w:t>
      </w:r>
      <w:r w:rsidR="00B308DE" w:rsidRPr="0083128A">
        <w:rPr>
          <w:rFonts w:eastAsia="Calibri"/>
          <w:sz w:val="24"/>
          <w:szCs w:val="24"/>
          <w:lang w:val="es-GT" w:eastAsia="en-US"/>
        </w:rPr>
        <w:t>de la inversión en electrificación rural</w:t>
      </w:r>
      <w:r w:rsidR="00852938" w:rsidRPr="0083128A">
        <w:rPr>
          <w:rFonts w:eastAsia="Calibri"/>
          <w:sz w:val="24"/>
          <w:szCs w:val="24"/>
          <w:lang w:val="es-GT" w:eastAsia="en-US"/>
        </w:rPr>
        <w:t xml:space="preserve"> por lo que no han sido aportes otorgado a la entidad para absorber pérdidas operacionales</w:t>
      </w:r>
      <w:r w:rsidR="00EA67CC" w:rsidRPr="0083128A">
        <w:rPr>
          <w:rFonts w:eastAsia="Calibri"/>
          <w:sz w:val="24"/>
          <w:szCs w:val="24"/>
          <w:lang w:val="es-GT" w:eastAsia="en-US"/>
        </w:rPr>
        <w:t>.</w:t>
      </w:r>
      <w:r w:rsidR="00B308DE" w:rsidRPr="0083128A">
        <w:rPr>
          <w:rFonts w:eastAsia="Calibri"/>
          <w:sz w:val="24"/>
          <w:szCs w:val="24"/>
          <w:lang w:val="es-GT" w:eastAsia="en-US"/>
        </w:rPr>
        <w:t xml:space="preserve"> </w:t>
      </w:r>
    </w:p>
    <w:p w14:paraId="04BEAC5A" w14:textId="2EC1F365" w:rsidR="004A2C91" w:rsidRPr="0083128A" w:rsidRDefault="004A2C91" w:rsidP="000B5DA9">
      <w:pPr>
        <w:ind w:left="567"/>
        <w:jc w:val="both"/>
        <w:rPr>
          <w:rFonts w:eastAsia="Calibri"/>
          <w:sz w:val="24"/>
          <w:szCs w:val="24"/>
          <w:lang w:val="es-GT" w:eastAsia="en-US"/>
        </w:rPr>
      </w:pPr>
    </w:p>
    <w:p w14:paraId="61A325DB" w14:textId="5A2A91CD" w:rsidR="007049B8" w:rsidRPr="0083128A" w:rsidRDefault="007049B8" w:rsidP="007934CC">
      <w:pPr>
        <w:ind w:left="567"/>
        <w:jc w:val="both"/>
        <w:rPr>
          <w:rFonts w:eastAsia="Calibri"/>
          <w:sz w:val="24"/>
          <w:szCs w:val="24"/>
          <w:lang w:val="es-GT" w:eastAsia="en-US"/>
        </w:rPr>
      </w:pPr>
      <w:r w:rsidRPr="0083128A">
        <w:rPr>
          <w:rFonts w:eastAsia="Calibri"/>
          <w:sz w:val="24"/>
          <w:szCs w:val="24"/>
          <w:lang w:val="es-GT" w:eastAsia="en-US"/>
        </w:rPr>
        <w:t xml:space="preserve">En cuanto a INDECA, </w:t>
      </w:r>
      <w:r w:rsidR="002A17C7" w:rsidRPr="0083128A">
        <w:rPr>
          <w:rFonts w:eastAsia="Calibri"/>
          <w:sz w:val="24"/>
          <w:szCs w:val="24"/>
          <w:lang w:val="es-GT" w:eastAsia="en-US"/>
        </w:rPr>
        <w:t xml:space="preserve">su estado presupuestal ha sido superavitario </w:t>
      </w:r>
      <w:r w:rsidR="004A40E4" w:rsidRPr="0083128A">
        <w:rPr>
          <w:rFonts w:eastAsia="Calibri"/>
          <w:sz w:val="24"/>
          <w:szCs w:val="24"/>
          <w:lang w:val="es-GT" w:eastAsia="en-US"/>
        </w:rPr>
        <w:t xml:space="preserve">en estos años </w:t>
      </w:r>
      <w:r w:rsidR="00900254" w:rsidRPr="0083128A">
        <w:rPr>
          <w:rFonts w:eastAsia="Calibri"/>
          <w:sz w:val="24"/>
          <w:szCs w:val="24"/>
          <w:lang w:val="es-GT" w:eastAsia="en-US"/>
        </w:rPr>
        <w:t xml:space="preserve">gracias a los ingresos por transferencias </w:t>
      </w:r>
      <w:r w:rsidR="00696E7D" w:rsidRPr="0083128A">
        <w:rPr>
          <w:rFonts w:eastAsia="Calibri"/>
          <w:sz w:val="24"/>
          <w:szCs w:val="24"/>
          <w:lang w:val="es-GT" w:eastAsia="en-US"/>
        </w:rPr>
        <w:t>corrientes</w:t>
      </w:r>
      <w:r w:rsidR="00834876" w:rsidRPr="0083128A">
        <w:rPr>
          <w:rFonts w:eastAsia="Calibri"/>
          <w:sz w:val="24"/>
          <w:szCs w:val="24"/>
          <w:lang w:val="es-GT" w:eastAsia="en-US"/>
        </w:rPr>
        <w:t xml:space="preserve"> y el cual c</w:t>
      </w:r>
      <w:r w:rsidR="00E46BF7" w:rsidRPr="0083128A">
        <w:rPr>
          <w:rFonts w:eastAsia="Calibri"/>
          <w:sz w:val="24"/>
          <w:szCs w:val="24"/>
          <w:lang w:val="es-GT" w:eastAsia="en-US"/>
        </w:rPr>
        <w:t>abe mencionar</w:t>
      </w:r>
      <w:r w:rsidR="00FF2715" w:rsidRPr="0083128A">
        <w:rPr>
          <w:rFonts w:eastAsia="Calibri"/>
          <w:sz w:val="24"/>
          <w:szCs w:val="24"/>
          <w:lang w:val="es-GT" w:eastAsia="en-US"/>
        </w:rPr>
        <w:t>,</w:t>
      </w:r>
      <w:r w:rsidR="00E46BF7" w:rsidRPr="0083128A">
        <w:rPr>
          <w:rFonts w:eastAsia="Calibri"/>
          <w:sz w:val="24"/>
          <w:szCs w:val="24"/>
          <w:lang w:val="es-GT" w:eastAsia="en-US"/>
        </w:rPr>
        <w:t xml:space="preserve"> </w:t>
      </w:r>
      <w:r w:rsidR="00936536" w:rsidRPr="0083128A">
        <w:rPr>
          <w:rFonts w:eastAsia="Calibri"/>
          <w:sz w:val="24"/>
          <w:szCs w:val="24"/>
          <w:lang w:val="es-GT" w:eastAsia="en-US"/>
        </w:rPr>
        <w:t xml:space="preserve">teniendo </w:t>
      </w:r>
      <w:r w:rsidR="00C14E05" w:rsidRPr="0083128A">
        <w:rPr>
          <w:rFonts w:eastAsia="Calibri"/>
          <w:sz w:val="24"/>
          <w:szCs w:val="24"/>
          <w:lang w:val="es-GT" w:eastAsia="en-US"/>
        </w:rPr>
        <w:t>es</w:t>
      </w:r>
      <w:r w:rsidR="00A315D4" w:rsidRPr="0083128A">
        <w:rPr>
          <w:rFonts w:eastAsia="Calibri"/>
          <w:sz w:val="24"/>
          <w:szCs w:val="24"/>
          <w:lang w:val="es-GT" w:eastAsia="en-US"/>
        </w:rPr>
        <w:t>ta entidad</w:t>
      </w:r>
      <w:r w:rsidR="00936536" w:rsidRPr="0083128A">
        <w:rPr>
          <w:rFonts w:eastAsia="Calibri"/>
          <w:sz w:val="24"/>
          <w:szCs w:val="24"/>
          <w:lang w:val="es-GT" w:eastAsia="en-US"/>
        </w:rPr>
        <w:t xml:space="preserve"> características particulares</w:t>
      </w:r>
      <w:r w:rsidR="00A315D4" w:rsidRPr="0083128A">
        <w:rPr>
          <w:rFonts w:eastAsia="Calibri"/>
          <w:sz w:val="24"/>
          <w:szCs w:val="24"/>
          <w:lang w:val="es-GT" w:eastAsia="en-US"/>
        </w:rPr>
        <w:t xml:space="preserve"> </w:t>
      </w:r>
      <w:r w:rsidR="00834876" w:rsidRPr="0083128A">
        <w:rPr>
          <w:rFonts w:eastAsia="Calibri"/>
          <w:sz w:val="24"/>
          <w:szCs w:val="24"/>
          <w:lang w:val="es-GT" w:eastAsia="en-US"/>
        </w:rPr>
        <w:t xml:space="preserve">dado </w:t>
      </w:r>
      <w:r w:rsidR="00A315D4" w:rsidRPr="0083128A">
        <w:rPr>
          <w:rFonts w:eastAsia="Calibri"/>
          <w:sz w:val="24"/>
          <w:szCs w:val="24"/>
          <w:lang w:val="es-GT" w:eastAsia="en-US"/>
        </w:rPr>
        <w:t xml:space="preserve">que </w:t>
      </w:r>
      <w:r w:rsidR="00860E6A" w:rsidRPr="0083128A">
        <w:rPr>
          <w:rFonts w:eastAsia="Calibri"/>
          <w:sz w:val="24"/>
          <w:szCs w:val="24"/>
          <w:lang w:val="es-GT" w:eastAsia="en-US"/>
        </w:rPr>
        <w:t>es</w:t>
      </w:r>
      <w:r w:rsidR="00C14E05" w:rsidRPr="0083128A">
        <w:rPr>
          <w:rFonts w:eastAsia="Calibri"/>
          <w:sz w:val="24"/>
          <w:szCs w:val="24"/>
          <w:lang w:val="es-GT" w:eastAsia="en-US"/>
        </w:rPr>
        <w:t xml:space="preserve"> responsable del manejo de</w:t>
      </w:r>
      <w:r w:rsidR="001B0394" w:rsidRPr="0083128A">
        <w:rPr>
          <w:rFonts w:eastAsia="Calibri"/>
          <w:sz w:val="24"/>
          <w:szCs w:val="24"/>
          <w:lang w:val="es-GT" w:eastAsia="en-US"/>
        </w:rPr>
        <w:t xml:space="preserve"> la</w:t>
      </w:r>
      <w:r w:rsidR="00C14E05" w:rsidRPr="0083128A">
        <w:rPr>
          <w:rFonts w:eastAsia="Calibri"/>
          <w:sz w:val="24"/>
          <w:szCs w:val="24"/>
          <w:lang w:val="es-GT" w:eastAsia="en-US"/>
        </w:rPr>
        <w:t xml:space="preserve"> </w:t>
      </w:r>
      <w:r w:rsidR="00936536" w:rsidRPr="0083128A">
        <w:rPr>
          <w:rFonts w:eastAsia="Calibri"/>
          <w:sz w:val="24"/>
          <w:szCs w:val="24"/>
          <w:lang w:val="es-GT" w:eastAsia="en-US"/>
        </w:rPr>
        <w:t>ayuda alimentaria recibida del Programa M</w:t>
      </w:r>
      <w:r w:rsidR="00C14E05" w:rsidRPr="0083128A">
        <w:rPr>
          <w:rFonts w:eastAsia="Calibri"/>
          <w:sz w:val="24"/>
          <w:szCs w:val="24"/>
          <w:lang w:val="es-GT" w:eastAsia="en-US"/>
        </w:rPr>
        <w:t xml:space="preserve">undial de </w:t>
      </w:r>
      <w:r w:rsidR="00936536" w:rsidRPr="0083128A">
        <w:rPr>
          <w:rFonts w:eastAsia="Calibri"/>
          <w:sz w:val="24"/>
          <w:szCs w:val="24"/>
          <w:lang w:val="es-GT" w:eastAsia="en-US"/>
        </w:rPr>
        <w:t>A</w:t>
      </w:r>
      <w:r w:rsidR="00C14E05" w:rsidRPr="0083128A">
        <w:rPr>
          <w:rFonts w:eastAsia="Calibri"/>
          <w:sz w:val="24"/>
          <w:szCs w:val="24"/>
          <w:lang w:val="es-GT" w:eastAsia="en-US"/>
        </w:rPr>
        <w:t>limentos (PMA)</w:t>
      </w:r>
      <w:r w:rsidR="009436E9" w:rsidRPr="0083128A">
        <w:rPr>
          <w:rFonts w:eastAsia="Calibri"/>
          <w:sz w:val="24"/>
          <w:szCs w:val="24"/>
          <w:lang w:val="es-GT" w:eastAsia="en-US"/>
        </w:rPr>
        <w:t xml:space="preserve"> y</w:t>
      </w:r>
      <w:r w:rsidR="0037192F" w:rsidRPr="0083128A">
        <w:rPr>
          <w:rFonts w:eastAsia="Calibri"/>
          <w:sz w:val="24"/>
          <w:szCs w:val="24"/>
          <w:lang w:val="es-GT" w:eastAsia="en-US"/>
        </w:rPr>
        <w:t xml:space="preserve"> le</w:t>
      </w:r>
      <w:r w:rsidR="009436E9" w:rsidRPr="0083128A">
        <w:rPr>
          <w:rFonts w:eastAsia="Calibri"/>
          <w:sz w:val="24"/>
          <w:szCs w:val="24"/>
          <w:lang w:val="es-GT" w:eastAsia="en-US"/>
        </w:rPr>
        <w:t xml:space="preserve"> brinda apoyo a otras instituciones</w:t>
      </w:r>
      <w:r w:rsidR="0037105D" w:rsidRPr="0083128A">
        <w:rPr>
          <w:rFonts w:eastAsia="Calibri"/>
          <w:sz w:val="24"/>
          <w:szCs w:val="24"/>
          <w:lang w:val="es-GT" w:eastAsia="en-US"/>
        </w:rPr>
        <w:t xml:space="preserve"> </w:t>
      </w:r>
      <w:r w:rsidR="004A5F6A" w:rsidRPr="0083128A">
        <w:rPr>
          <w:rFonts w:eastAsia="Calibri"/>
          <w:sz w:val="24"/>
          <w:szCs w:val="24"/>
          <w:lang w:val="es-GT" w:eastAsia="en-US"/>
        </w:rPr>
        <w:t xml:space="preserve">de gobierno </w:t>
      </w:r>
      <w:r w:rsidR="0037105D" w:rsidRPr="0083128A">
        <w:rPr>
          <w:rFonts w:eastAsia="Calibri"/>
          <w:sz w:val="24"/>
          <w:szCs w:val="24"/>
          <w:lang w:val="es-GT" w:eastAsia="en-US"/>
        </w:rPr>
        <w:t xml:space="preserve">en </w:t>
      </w:r>
      <w:r w:rsidR="000051D8" w:rsidRPr="0083128A">
        <w:rPr>
          <w:rFonts w:eastAsia="Calibri"/>
          <w:sz w:val="24"/>
          <w:szCs w:val="24"/>
          <w:lang w:val="es-GT" w:eastAsia="en-US"/>
        </w:rPr>
        <w:t>temas relacionados</w:t>
      </w:r>
      <w:r w:rsidR="007F2C8F" w:rsidRPr="0083128A">
        <w:rPr>
          <w:rFonts w:eastAsia="Calibri"/>
          <w:sz w:val="24"/>
          <w:szCs w:val="24"/>
          <w:lang w:val="es-GT" w:eastAsia="en-US"/>
        </w:rPr>
        <w:t xml:space="preserve"> a </w:t>
      </w:r>
      <w:r w:rsidR="0037105D" w:rsidRPr="0083128A">
        <w:rPr>
          <w:rFonts w:eastAsia="Calibri"/>
          <w:sz w:val="24"/>
          <w:szCs w:val="24"/>
          <w:lang w:val="es-GT" w:eastAsia="en-US"/>
        </w:rPr>
        <w:t>alimenta</w:t>
      </w:r>
      <w:r w:rsidR="008417DB" w:rsidRPr="0083128A">
        <w:rPr>
          <w:rFonts w:eastAsia="Calibri"/>
          <w:sz w:val="24"/>
          <w:szCs w:val="24"/>
          <w:lang w:val="es-GT" w:eastAsia="en-US"/>
        </w:rPr>
        <w:t>ción</w:t>
      </w:r>
      <w:r w:rsidR="007F2C8F" w:rsidRPr="0083128A">
        <w:rPr>
          <w:rFonts w:eastAsia="Calibri"/>
          <w:sz w:val="24"/>
          <w:szCs w:val="24"/>
          <w:lang w:val="es-GT" w:eastAsia="en-US"/>
        </w:rPr>
        <w:t xml:space="preserve"> </w:t>
      </w:r>
      <w:r w:rsidR="004B2DA1" w:rsidRPr="0083128A">
        <w:rPr>
          <w:rFonts w:eastAsia="Calibri"/>
          <w:sz w:val="24"/>
          <w:szCs w:val="24"/>
          <w:lang w:val="es-GT" w:eastAsia="en-US"/>
        </w:rPr>
        <w:t xml:space="preserve">por lo que los aportes recibidos (que representan el 95.7% de sus ingresos totales en 2020) provienen </w:t>
      </w:r>
      <w:r w:rsidR="000848C9" w:rsidRPr="0083128A">
        <w:rPr>
          <w:rFonts w:eastAsia="Calibri"/>
          <w:sz w:val="24"/>
          <w:szCs w:val="24"/>
          <w:lang w:val="es-GT" w:eastAsia="en-US"/>
        </w:rPr>
        <w:t xml:space="preserve">de los ingresos del IVA Paz y </w:t>
      </w:r>
      <w:r w:rsidR="00CB11DE" w:rsidRPr="0083128A">
        <w:rPr>
          <w:rFonts w:eastAsia="Calibri"/>
          <w:sz w:val="24"/>
          <w:szCs w:val="24"/>
          <w:lang w:val="es-GT" w:eastAsia="en-US"/>
        </w:rPr>
        <w:t>se traslada por medio del</w:t>
      </w:r>
      <w:r w:rsidR="00B5603D" w:rsidRPr="0083128A">
        <w:rPr>
          <w:rFonts w:eastAsia="Calibri"/>
          <w:sz w:val="24"/>
          <w:szCs w:val="24"/>
          <w:lang w:val="es-GT" w:eastAsia="en-US"/>
        </w:rPr>
        <w:t xml:space="preserve"> Ministerio de Agricultura, Ganadería y Alimentación (MAGA)</w:t>
      </w:r>
      <w:r w:rsidR="00F00BB2" w:rsidRPr="0083128A">
        <w:rPr>
          <w:rFonts w:eastAsia="Calibri"/>
          <w:sz w:val="24"/>
          <w:szCs w:val="24"/>
          <w:lang w:val="es-GT" w:eastAsia="en-US"/>
        </w:rPr>
        <w:t>.</w:t>
      </w:r>
    </w:p>
    <w:p w14:paraId="40B28A67" w14:textId="77777777" w:rsidR="001242A1" w:rsidRPr="0083128A" w:rsidRDefault="001242A1" w:rsidP="000B5DA9">
      <w:pPr>
        <w:ind w:left="567"/>
        <w:jc w:val="both"/>
        <w:rPr>
          <w:rFonts w:eastAsia="Calibri"/>
          <w:sz w:val="24"/>
          <w:szCs w:val="24"/>
          <w:lang w:val="es-GT" w:eastAsia="en-US"/>
        </w:rPr>
      </w:pPr>
    </w:p>
    <w:p w14:paraId="6B130BEC" w14:textId="4F898D3F" w:rsidR="004A2C91" w:rsidRPr="0083128A" w:rsidRDefault="006F4EAD" w:rsidP="000B5DA9">
      <w:pPr>
        <w:ind w:left="567"/>
        <w:jc w:val="both"/>
        <w:rPr>
          <w:rFonts w:eastAsia="Calibri"/>
          <w:sz w:val="24"/>
          <w:szCs w:val="24"/>
          <w:lang w:val="es-GT" w:eastAsia="en-US"/>
        </w:rPr>
      </w:pPr>
      <w:r w:rsidRPr="0083128A">
        <w:rPr>
          <w:rFonts w:eastAsia="Calibri"/>
          <w:sz w:val="24"/>
          <w:szCs w:val="24"/>
          <w:lang w:val="es-GT" w:eastAsia="en-US"/>
        </w:rPr>
        <w:t xml:space="preserve">La </w:t>
      </w:r>
      <w:r w:rsidR="00D97392" w:rsidRPr="0083128A">
        <w:rPr>
          <w:rFonts w:eastAsia="Calibri"/>
          <w:sz w:val="24"/>
          <w:szCs w:val="24"/>
          <w:lang w:val="es-GT" w:eastAsia="en-US"/>
        </w:rPr>
        <w:t>EPNCH</w:t>
      </w:r>
      <w:r w:rsidR="004B6A73" w:rsidRPr="0083128A">
        <w:rPr>
          <w:rFonts w:eastAsia="Calibri"/>
          <w:sz w:val="24"/>
          <w:szCs w:val="24"/>
          <w:lang w:val="es-GT" w:eastAsia="en-US"/>
        </w:rPr>
        <w:t xml:space="preserve"> </w:t>
      </w:r>
      <w:r w:rsidR="00AB4F59" w:rsidRPr="0083128A">
        <w:rPr>
          <w:rFonts w:eastAsia="Calibri"/>
          <w:sz w:val="24"/>
          <w:szCs w:val="24"/>
          <w:lang w:val="es-GT" w:eastAsia="en-US"/>
        </w:rPr>
        <w:t xml:space="preserve">ha </w:t>
      </w:r>
      <w:r w:rsidR="00117722" w:rsidRPr="0083128A">
        <w:rPr>
          <w:rFonts w:eastAsia="Calibri"/>
          <w:sz w:val="24"/>
          <w:szCs w:val="24"/>
          <w:lang w:val="es-GT" w:eastAsia="en-US"/>
        </w:rPr>
        <w:t>tenido</w:t>
      </w:r>
      <w:r w:rsidR="00294D8F" w:rsidRPr="0083128A">
        <w:rPr>
          <w:rFonts w:eastAsia="Calibri"/>
          <w:sz w:val="24"/>
          <w:szCs w:val="24"/>
          <w:lang w:val="es-GT" w:eastAsia="en-US"/>
        </w:rPr>
        <w:t xml:space="preserve"> resultados superavitarios con excepción de </w:t>
      </w:r>
      <w:r w:rsidR="00D04B1E" w:rsidRPr="0083128A">
        <w:rPr>
          <w:rFonts w:eastAsia="Calibri"/>
          <w:sz w:val="24"/>
          <w:szCs w:val="24"/>
          <w:lang w:val="es-GT" w:eastAsia="en-US"/>
        </w:rPr>
        <w:t>2019</w:t>
      </w:r>
      <w:r w:rsidR="00A27A9C" w:rsidRPr="0083128A">
        <w:rPr>
          <w:rFonts w:eastAsia="Calibri"/>
          <w:sz w:val="24"/>
          <w:szCs w:val="24"/>
          <w:lang w:val="es-GT" w:eastAsia="en-US"/>
        </w:rPr>
        <w:t>,</w:t>
      </w:r>
      <w:r w:rsidR="00D04B1E" w:rsidRPr="0083128A">
        <w:rPr>
          <w:rFonts w:eastAsia="Calibri"/>
          <w:sz w:val="24"/>
          <w:szCs w:val="24"/>
          <w:lang w:val="es-GT" w:eastAsia="en-US"/>
        </w:rPr>
        <w:t xml:space="preserve"> sin embargo, </w:t>
      </w:r>
      <w:r w:rsidR="00A61319" w:rsidRPr="0083128A">
        <w:rPr>
          <w:rFonts w:eastAsia="Calibri"/>
          <w:sz w:val="24"/>
          <w:szCs w:val="24"/>
          <w:lang w:val="es-GT" w:eastAsia="en-US"/>
        </w:rPr>
        <w:t xml:space="preserve">el </w:t>
      </w:r>
      <w:r w:rsidR="00AF7A51" w:rsidRPr="0083128A">
        <w:rPr>
          <w:rFonts w:eastAsia="Calibri"/>
          <w:sz w:val="24"/>
          <w:szCs w:val="24"/>
          <w:lang w:val="es-GT" w:eastAsia="en-US"/>
        </w:rPr>
        <w:t xml:space="preserve">86.7% de sus ingresos totales provienen de las transferencias </w:t>
      </w:r>
      <w:r w:rsidR="000041B6" w:rsidRPr="0083128A">
        <w:rPr>
          <w:rFonts w:eastAsia="Calibri"/>
          <w:sz w:val="24"/>
          <w:szCs w:val="24"/>
          <w:lang w:val="es-GT" w:eastAsia="en-US"/>
        </w:rPr>
        <w:t xml:space="preserve">realizadas por la administración pública y </w:t>
      </w:r>
      <w:r w:rsidR="001642EE" w:rsidRPr="0083128A">
        <w:rPr>
          <w:rFonts w:eastAsia="Calibri"/>
          <w:sz w:val="24"/>
          <w:szCs w:val="24"/>
          <w:lang w:val="es-GT" w:eastAsia="en-US"/>
        </w:rPr>
        <w:t xml:space="preserve">al no tomar en consideración </w:t>
      </w:r>
      <w:r w:rsidR="00F20202" w:rsidRPr="0083128A">
        <w:rPr>
          <w:rFonts w:eastAsia="Calibri"/>
          <w:sz w:val="24"/>
          <w:szCs w:val="24"/>
          <w:lang w:val="es-GT" w:eastAsia="en-US"/>
        </w:rPr>
        <w:t>estos ingresos, su resultado operativo es deficitario para todos los años</w:t>
      </w:r>
      <w:r w:rsidR="00E70009" w:rsidRPr="0083128A">
        <w:rPr>
          <w:rFonts w:eastAsia="Calibri"/>
          <w:sz w:val="24"/>
          <w:szCs w:val="24"/>
          <w:lang w:val="es-GT" w:eastAsia="en-US"/>
        </w:rPr>
        <w:t xml:space="preserve">. </w:t>
      </w:r>
      <w:r w:rsidR="00C263F0" w:rsidRPr="0083128A">
        <w:rPr>
          <w:rFonts w:eastAsia="Calibri"/>
          <w:sz w:val="24"/>
          <w:szCs w:val="24"/>
          <w:lang w:val="es-GT" w:eastAsia="en-US"/>
        </w:rPr>
        <w:t xml:space="preserve">A nivel de ingresos propios, su principal fuente </w:t>
      </w:r>
      <w:r w:rsidR="00645990" w:rsidRPr="0083128A">
        <w:rPr>
          <w:rFonts w:eastAsia="Calibri"/>
          <w:sz w:val="24"/>
          <w:szCs w:val="24"/>
          <w:lang w:val="es-GT" w:eastAsia="en-US"/>
        </w:rPr>
        <w:t>proviene</w:t>
      </w:r>
      <w:r w:rsidR="00C263F0" w:rsidRPr="0083128A">
        <w:rPr>
          <w:rFonts w:eastAsia="Calibri"/>
          <w:sz w:val="24"/>
          <w:szCs w:val="24"/>
          <w:lang w:val="es-GT" w:eastAsia="en-US"/>
        </w:rPr>
        <w:t xml:space="preserve"> de ingresos</w:t>
      </w:r>
      <w:r w:rsidR="00645990" w:rsidRPr="0083128A">
        <w:rPr>
          <w:rFonts w:eastAsia="Calibri"/>
          <w:sz w:val="24"/>
          <w:szCs w:val="24"/>
          <w:lang w:val="es-GT" w:eastAsia="en-US"/>
        </w:rPr>
        <w:t xml:space="preserve"> por arrendamiento de edificios, equipos e instalaciones que representan el </w:t>
      </w:r>
      <w:r w:rsidR="009646CB" w:rsidRPr="0083128A">
        <w:rPr>
          <w:rFonts w:eastAsia="Calibri"/>
          <w:sz w:val="24"/>
          <w:szCs w:val="24"/>
          <w:lang w:val="es-GT" w:eastAsia="en-US"/>
        </w:rPr>
        <w:t>13.8%</w:t>
      </w:r>
      <w:r w:rsidR="00936536" w:rsidRPr="0083128A">
        <w:rPr>
          <w:rFonts w:eastAsia="Calibri"/>
          <w:sz w:val="24"/>
          <w:szCs w:val="24"/>
          <w:lang w:val="es-GT" w:eastAsia="en-US"/>
        </w:rPr>
        <w:t>,</w:t>
      </w:r>
      <w:r w:rsidR="009646CB" w:rsidRPr="0083128A">
        <w:rPr>
          <w:rFonts w:eastAsia="Calibri"/>
          <w:sz w:val="24"/>
          <w:szCs w:val="24"/>
          <w:lang w:val="es-GT" w:eastAsia="en-US"/>
        </w:rPr>
        <w:t xml:space="preserve"> mientras que sus ingresos operacionales solamente el 1.3% para 2020.</w:t>
      </w:r>
      <w:r w:rsidR="00AA501E" w:rsidRPr="0083128A">
        <w:rPr>
          <w:rFonts w:eastAsia="Calibri"/>
          <w:sz w:val="24"/>
          <w:szCs w:val="24"/>
          <w:lang w:val="es-GT" w:eastAsia="en-US"/>
        </w:rPr>
        <w:t xml:space="preserve"> </w:t>
      </w:r>
      <w:r w:rsidR="000A3565" w:rsidRPr="0083128A">
        <w:rPr>
          <w:rFonts w:eastAsia="Calibri"/>
          <w:sz w:val="24"/>
          <w:szCs w:val="24"/>
          <w:lang w:val="es-GT" w:eastAsia="en-US"/>
        </w:rPr>
        <w:t xml:space="preserve">Esta entidad ha mantenido dificultades </w:t>
      </w:r>
      <w:r w:rsidR="00A8622B" w:rsidRPr="0083128A">
        <w:rPr>
          <w:rFonts w:eastAsia="Calibri"/>
          <w:sz w:val="24"/>
          <w:szCs w:val="24"/>
          <w:lang w:val="es-GT" w:eastAsia="en-US"/>
        </w:rPr>
        <w:t>operacionales</w:t>
      </w:r>
      <w:r w:rsidR="000A3565" w:rsidRPr="0083128A">
        <w:rPr>
          <w:rFonts w:eastAsia="Calibri"/>
          <w:sz w:val="24"/>
          <w:szCs w:val="24"/>
          <w:lang w:val="es-GT" w:eastAsia="en-US"/>
        </w:rPr>
        <w:t xml:space="preserve"> </w:t>
      </w:r>
      <w:r w:rsidR="00AB601C" w:rsidRPr="0083128A">
        <w:rPr>
          <w:rFonts w:eastAsia="Calibri"/>
          <w:sz w:val="24"/>
          <w:szCs w:val="24"/>
          <w:lang w:val="es-GT" w:eastAsia="en-US"/>
        </w:rPr>
        <w:t xml:space="preserve">derivado </w:t>
      </w:r>
      <w:r w:rsidR="000A3565" w:rsidRPr="0083128A">
        <w:rPr>
          <w:rFonts w:eastAsia="Calibri"/>
          <w:sz w:val="24"/>
          <w:szCs w:val="24"/>
          <w:lang w:val="es-GT" w:eastAsia="en-US"/>
        </w:rPr>
        <w:t xml:space="preserve">a </w:t>
      </w:r>
      <w:r w:rsidR="00AB601C" w:rsidRPr="0083128A">
        <w:rPr>
          <w:rFonts w:eastAsia="Calibri"/>
          <w:sz w:val="24"/>
          <w:szCs w:val="24"/>
          <w:lang w:val="es-GT" w:eastAsia="en-US"/>
        </w:rPr>
        <w:t xml:space="preserve">los </w:t>
      </w:r>
      <w:r w:rsidR="000A3565" w:rsidRPr="0083128A">
        <w:rPr>
          <w:rFonts w:eastAsia="Calibri"/>
          <w:sz w:val="24"/>
          <w:szCs w:val="24"/>
          <w:lang w:val="es-GT" w:eastAsia="en-US"/>
        </w:rPr>
        <w:t xml:space="preserve">problemas </w:t>
      </w:r>
      <w:r w:rsidR="001B621E" w:rsidRPr="0083128A">
        <w:rPr>
          <w:rFonts w:eastAsia="Calibri"/>
          <w:sz w:val="24"/>
          <w:szCs w:val="24"/>
          <w:lang w:val="es-GT" w:eastAsia="en-US"/>
        </w:rPr>
        <w:t xml:space="preserve">de </w:t>
      </w:r>
      <w:r w:rsidR="00525FFE" w:rsidRPr="0083128A">
        <w:rPr>
          <w:rFonts w:eastAsia="Calibri"/>
          <w:sz w:val="24"/>
          <w:szCs w:val="24"/>
          <w:lang w:val="es-GT" w:eastAsia="en-US"/>
        </w:rPr>
        <w:t>azolvamiento</w:t>
      </w:r>
      <w:r w:rsidR="00360F71" w:rsidRPr="0083128A">
        <w:rPr>
          <w:rFonts w:eastAsia="Calibri"/>
          <w:sz w:val="24"/>
          <w:szCs w:val="24"/>
          <w:lang w:val="es-GT" w:eastAsia="en-US"/>
        </w:rPr>
        <w:t xml:space="preserve"> en </w:t>
      </w:r>
      <w:r w:rsidR="00CA11F4" w:rsidRPr="0083128A">
        <w:rPr>
          <w:rFonts w:eastAsia="Calibri"/>
          <w:sz w:val="24"/>
          <w:szCs w:val="24"/>
          <w:lang w:val="es-GT" w:eastAsia="en-US"/>
        </w:rPr>
        <w:t>el canal de acceso a la D</w:t>
      </w:r>
      <w:r w:rsidR="00412D0D" w:rsidRPr="0083128A">
        <w:rPr>
          <w:rFonts w:eastAsia="Calibri"/>
          <w:sz w:val="24"/>
          <w:szCs w:val="24"/>
          <w:lang w:val="es-GT" w:eastAsia="en-US"/>
        </w:rPr>
        <w:t>ársena</w:t>
      </w:r>
      <w:r w:rsidR="00CA11F4" w:rsidRPr="0083128A">
        <w:rPr>
          <w:rFonts w:eastAsia="Calibri"/>
          <w:sz w:val="24"/>
          <w:szCs w:val="24"/>
          <w:lang w:val="es-GT" w:eastAsia="en-US"/>
        </w:rPr>
        <w:t xml:space="preserve"> Pesquera</w:t>
      </w:r>
      <w:r w:rsidR="00A8622B" w:rsidRPr="0083128A">
        <w:rPr>
          <w:rFonts w:eastAsia="Calibri"/>
          <w:sz w:val="24"/>
          <w:szCs w:val="24"/>
          <w:lang w:val="es-GT" w:eastAsia="en-US"/>
        </w:rPr>
        <w:t>.</w:t>
      </w:r>
    </w:p>
    <w:p w14:paraId="6CB95B0A" w14:textId="1DE691D6" w:rsidR="00E33167" w:rsidRPr="0083128A" w:rsidRDefault="00E33167" w:rsidP="000B5DA9">
      <w:pPr>
        <w:ind w:left="567"/>
        <w:jc w:val="both"/>
        <w:rPr>
          <w:rFonts w:eastAsia="Calibri"/>
          <w:sz w:val="24"/>
          <w:szCs w:val="24"/>
          <w:lang w:val="es-GT" w:eastAsia="en-US"/>
        </w:rPr>
      </w:pPr>
    </w:p>
    <w:p w14:paraId="31757451" w14:textId="4C21A0F6" w:rsidR="00E33167" w:rsidRPr="0083128A" w:rsidRDefault="00C62008" w:rsidP="000B5DA9">
      <w:pPr>
        <w:ind w:left="567"/>
        <w:jc w:val="both"/>
        <w:rPr>
          <w:rFonts w:eastAsia="Calibri"/>
          <w:sz w:val="24"/>
          <w:szCs w:val="24"/>
          <w:lang w:val="es-GT" w:eastAsia="en-US"/>
        </w:rPr>
      </w:pPr>
      <w:r w:rsidRPr="0083128A">
        <w:rPr>
          <w:rFonts w:eastAsia="Calibri"/>
          <w:sz w:val="24"/>
          <w:szCs w:val="24"/>
          <w:lang w:val="es-GT" w:eastAsia="en-US"/>
        </w:rPr>
        <w:t xml:space="preserve">Por </w:t>
      </w:r>
      <w:r w:rsidR="0012615C" w:rsidRPr="0083128A">
        <w:rPr>
          <w:rFonts w:eastAsia="Calibri"/>
          <w:sz w:val="24"/>
          <w:szCs w:val="24"/>
          <w:lang w:val="es-GT" w:eastAsia="en-US"/>
        </w:rPr>
        <w:t>último</w:t>
      </w:r>
      <w:r w:rsidRPr="0083128A">
        <w:rPr>
          <w:rFonts w:eastAsia="Calibri"/>
          <w:sz w:val="24"/>
          <w:szCs w:val="24"/>
          <w:lang w:val="es-GT" w:eastAsia="en-US"/>
        </w:rPr>
        <w:t>, es oportuno mencionar el caso de Fegua que d</w:t>
      </w:r>
      <w:r w:rsidR="0012615C" w:rsidRPr="0083128A">
        <w:rPr>
          <w:rFonts w:eastAsia="Calibri"/>
          <w:sz w:val="24"/>
          <w:szCs w:val="24"/>
          <w:lang w:val="es-GT" w:eastAsia="en-US"/>
        </w:rPr>
        <w:t xml:space="preserve">erivado a que no realiza operaciones </w:t>
      </w:r>
      <w:r w:rsidR="0012615C" w:rsidRPr="0083128A">
        <w:rPr>
          <w:rFonts w:eastAsia="Calibri"/>
          <w:sz w:val="24"/>
          <w:szCs w:val="24"/>
          <w:lang w:val="es-GT" w:eastAsia="en-US"/>
        </w:rPr>
        <w:lastRenderedPageBreak/>
        <w:t>comerciales</w:t>
      </w:r>
      <w:r w:rsidR="0098405A" w:rsidRPr="0083128A">
        <w:rPr>
          <w:rFonts w:eastAsia="Calibri"/>
          <w:sz w:val="24"/>
          <w:szCs w:val="24"/>
          <w:lang w:val="es-GT" w:eastAsia="en-US"/>
        </w:rPr>
        <w:t xml:space="preserve"> </w:t>
      </w:r>
      <w:r w:rsidR="00B65534" w:rsidRPr="0083128A">
        <w:rPr>
          <w:rFonts w:eastAsia="Calibri"/>
          <w:sz w:val="24"/>
          <w:szCs w:val="24"/>
          <w:lang w:val="es-GT" w:eastAsia="en-US"/>
        </w:rPr>
        <w:t xml:space="preserve">y </w:t>
      </w:r>
      <w:r w:rsidR="0098405A" w:rsidRPr="0083128A">
        <w:rPr>
          <w:rFonts w:eastAsia="Calibri"/>
          <w:sz w:val="24"/>
          <w:szCs w:val="24"/>
          <w:lang w:val="es-GT" w:eastAsia="en-US"/>
        </w:rPr>
        <w:t>depende</w:t>
      </w:r>
      <w:r w:rsidR="0012615C" w:rsidRPr="0083128A">
        <w:rPr>
          <w:rFonts w:eastAsia="Calibri"/>
          <w:sz w:val="24"/>
          <w:szCs w:val="24"/>
          <w:lang w:val="es-GT" w:eastAsia="en-US"/>
        </w:rPr>
        <w:t xml:space="preserve"> principal</w:t>
      </w:r>
      <w:r w:rsidR="0098405A" w:rsidRPr="0083128A">
        <w:rPr>
          <w:rFonts w:eastAsia="Calibri"/>
          <w:sz w:val="24"/>
          <w:szCs w:val="24"/>
          <w:lang w:val="es-GT" w:eastAsia="en-US"/>
        </w:rPr>
        <w:t>mente</w:t>
      </w:r>
      <w:r w:rsidR="00936536" w:rsidRPr="0083128A">
        <w:rPr>
          <w:rFonts w:eastAsia="Calibri"/>
          <w:sz w:val="24"/>
          <w:szCs w:val="24"/>
          <w:lang w:val="es-GT" w:eastAsia="en-US"/>
        </w:rPr>
        <w:t xml:space="preserve"> de</w:t>
      </w:r>
      <w:r w:rsidR="0012615C" w:rsidRPr="0083128A">
        <w:rPr>
          <w:rFonts w:eastAsia="Calibri"/>
          <w:sz w:val="24"/>
          <w:szCs w:val="24"/>
          <w:lang w:val="es-GT" w:eastAsia="en-US"/>
        </w:rPr>
        <w:t xml:space="preserve"> </w:t>
      </w:r>
      <w:r w:rsidR="0098405A" w:rsidRPr="0083128A">
        <w:rPr>
          <w:rFonts w:eastAsia="Calibri"/>
          <w:sz w:val="24"/>
          <w:szCs w:val="24"/>
          <w:lang w:val="es-GT" w:eastAsia="en-US"/>
        </w:rPr>
        <w:t xml:space="preserve">las </w:t>
      </w:r>
      <w:r w:rsidR="0012615C" w:rsidRPr="0083128A">
        <w:rPr>
          <w:rFonts w:eastAsia="Calibri"/>
          <w:sz w:val="24"/>
          <w:szCs w:val="24"/>
          <w:lang w:val="es-GT" w:eastAsia="en-US"/>
        </w:rPr>
        <w:t xml:space="preserve">transferencias </w:t>
      </w:r>
      <w:r w:rsidR="0098405A" w:rsidRPr="0083128A">
        <w:rPr>
          <w:rFonts w:eastAsia="Calibri"/>
          <w:sz w:val="24"/>
          <w:szCs w:val="24"/>
          <w:lang w:val="es-GT" w:eastAsia="en-US"/>
        </w:rPr>
        <w:t xml:space="preserve">que le realiza </w:t>
      </w:r>
      <w:r w:rsidR="00DE4D27" w:rsidRPr="0083128A">
        <w:rPr>
          <w:rFonts w:eastAsia="Calibri"/>
          <w:sz w:val="24"/>
          <w:szCs w:val="24"/>
          <w:lang w:val="es-GT" w:eastAsia="en-US"/>
        </w:rPr>
        <w:t xml:space="preserve">la administración central </w:t>
      </w:r>
      <w:r w:rsidR="00DD588B" w:rsidRPr="0083128A">
        <w:rPr>
          <w:rFonts w:eastAsia="Calibri"/>
          <w:sz w:val="24"/>
          <w:szCs w:val="24"/>
          <w:lang w:val="es-GT" w:eastAsia="en-US"/>
        </w:rPr>
        <w:t>las cuales,</w:t>
      </w:r>
      <w:r w:rsidR="00DE4D27" w:rsidRPr="0083128A">
        <w:rPr>
          <w:rFonts w:eastAsia="Calibri"/>
          <w:sz w:val="24"/>
          <w:szCs w:val="24"/>
          <w:lang w:val="es-GT" w:eastAsia="en-US"/>
        </w:rPr>
        <w:t xml:space="preserve"> para 2020</w:t>
      </w:r>
      <w:r w:rsidR="00B67465" w:rsidRPr="0083128A">
        <w:rPr>
          <w:rFonts w:eastAsia="Calibri"/>
          <w:sz w:val="24"/>
          <w:szCs w:val="24"/>
          <w:lang w:val="es-GT" w:eastAsia="en-US"/>
        </w:rPr>
        <w:t>,</w:t>
      </w:r>
      <w:r w:rsidR="00DE4D27" w:rsidRPr="0083128A">
        <w:rPr>
          <w:rFonts w:eastAsia="Calibri"/>
          <w:sz w:val="24"/>
          <w:szCs w:val="24"/>
          <w:lang w:val="es-GT" w:eastAsia="en-US"/>
        </w:rPr>
        <w:t xml:space="preserve"> representaron el </w:t>
      </w:r>
      <w:r w:rsidR="00A42F33" w:rsidRPr="0083128A">
        <w:rPr>
          <w:rFonts w:eastAsia="Calibri"/>
          <w:sz w:val="24"/>
          <w:szCs w:val="24"/>
          <w:lang w:val="es-GT" w:eastAsia="en-US"/>
        </w:rPr>
        <w:t>82</w:t>
      </w:r>
      <w:r w:rsidR="004D11E3" w:rsidRPr="0083128A">
        <w:rPr>
          <w:rFonts w:eastAsia="Calibri"/>
          <w:sz w:val="24"/>
          <w:szCs w:val="24"/>
          <w:lang w:val="es-GT" w:eastAsia="en-US"/>
        </w:rPr>
        <w:t>.6% de sus ingresos totales</w:t>
      </w:r>
      <w:r w:rsidR="005473E6" w:rsidRPr="0083128A">
        <w:rPr>
          <w:rFonts w:eastAsia="Calibri"/>
          <w:sz w:val="24"/>
          <w:szCs w:val="24"/>
          <w:lang w:val="es-GT" w:eastAsia="en-US"/>
        </w:rPr>
        <w:t xml:space="preserve">. Cabe mencionar que su resultado presupuestal </w:t>
      </w:r>
      <w:r w:rsidR="00273131" w:rsidRPr="0083128A">
        <w:rPr>
          <w:rFonts w:eastAsia="Calibri"/>
          <w:sz w:val="24"/>
          <w:szCs w:val="24"/>
          <w:lang w:val="es-GT" w:eastAsia="en-US"/>
        </w:rPr>
        <w:t>al no</w:t>
      </w:r>
      <w:r w:rsidR="005473E6" w:rsidRPr="0083128A">
        <w:rPr>
          <w:rFonts w:eastAsia="Calibri"/>
          <w:sz w:val="24"/>
          <w:szCs w:val="24"/>
          <w:lang w:val="es-GT" w:eastAsia="en-US"/>
        </w:rPr>
        <w:t xml:space="preserve"> tomar en </w:t>
      </w:r>
      <w:r w:rsidR="00273131" w:rsidRPr="0083128A">
        <w:rPr>
          <w:rFonts w:eastAsia="Calibri"/>
          <w:sz w:val="24"/>
          <w:szCs w:val="24"/>
          <w:lang w:val="es-GT" w:eastAsia="en-US"/>
        </w:rPr>
        <w:t>consideración</w:t>
      </w:r>
      <w:r w:rsidR="005473E6" w:rsidRPr="0083128A">
        <w:rPr>
          <w:rFonts w:eastAsia="Calibri"/>
          <w:sz w:val="24"/>
          <w:szCs w:val="24"/>
          <w:lang w:val="es-GT" w:eastAsia="en-US"/>
        </w:rPr>
        <w:t xml:space="preserve"> las transferencias recibidas, es</w:t>
      </w:r>
      <w:r w:rsidR="00DA096F" w:rsidRPr="0083128A">
        <w:rPr>
          <w:rFonts w:eastAsia="Calibri"/>
          <w:sz w:val="24"/>
          <w:szCs w:val="24"/>
          <w:lang w:val="es-GT" w:eastAsia="en-US"/>
        </w:rPr>
        <w:t xml:space="preserve"> </w:t>
      </w:r>
      <w:r w:rsidR="00D5021C" w:rsidRPr="0083128A">
        <w:rPr>
          <w:rFonts w:eastAsia="Calibri"/>
          <w:sz w:val="24"/>
          <w:szCs w:val="24"/>
          <w:lang w:val="es-GT" w:eastAsia="en-US"/>
        </w:rPr>
        <w:t>deficitario</w:t>
      </w:r>
      <w:r w:rsidR="005473E6" w:rsidRPr="0083128A">
        <w:rPr>
          <w:rFonts w:eastAsia="Calibri"/>
          <w:sz w:val="24"/>
          <w:szCs w:val="24"/>
          <w:lang w:val="es-GT" w:eastAsia="en-US"/>
        </w:rPr>
        <w:t xml:space="preserve"> entre </w:t>
      </w:r>
      <w:r w:rsidR="00936536" w:rsidRPr="0083128A">
        <w:rPr>
          <w:rFonts w:eastAsia="Calibri"/>
          <w:sz w:val="24"/>
          <w:szCs w:val="24"/>
          <w:lang w:val="es-GT" w:eastAsia="en-US"/>
        </w:rPr>
        <w:t>2014 y</w:t>
      </w:r>
      <w:r w:rsidR="005473E6" w:rsidRPr="0083128A">
        <w:rPr>
          <w:rFonts w:eastAsia="Calibri"/>
          <w:sz w:val="24"/>
          <w:szCs w:val="24"/>
          <w:lang w:val="es-GT" w:eastAsia="en-US"/>
        </w:rPr>
        <w:t xml:space="preserve"> 2020</w:t>
      </w:r>
      <w:r w:rsidR="00936536" w:rsidRPr="0083128A">
        <w:rPr>
          <w:rFonts w:eastAsia="Calibri"/>
          <w:sz w:val="24"/>
          <w:szCs w:val="24"/>
          <w:lang w:val="es-GT" w:eastAsia="en-US"/>
        </w:rPr>
        <w:t>,</w:t>
      </w:r>
      <w:r w:rsidR="005473E6" w:rsidRPr="0083128A">
        <w:rPr>
          <w:rFonts w:eastAsia="Calibri"/>
          <w:sz w:val="24"/>
          <w:szCs w:val="24"/>
          <w:lang w:val="es-GT" w:eastAsia="en-US"/>
        </w:rPr>
        <w:t xml:space="preserve"> </w:t>
      </w:r>
      <w:r w:rsidR="00273131" w:rsidRPr="0083128A">
        <w:rPr>
          <w:rFonts w:eastAsia="Calibri"/>
          <w:sz w:val="24"/>
          <w:szCs w:val="24"/>
          <w:lang w:val="es-GT" w:eastAsia="en-US"/>
        </w:rPr>
        <w:t>además</w:t>
      </w:r>
      <w:r w:rsidR="005473E6" w:rsidRPr="0083128A">
        <w:rPr>
          <w:rFonts w:eastAsia="Calibri"/>
          <w:sz w:val="24"/>
          <w:szCs w:val="24"/>
          <w:lang w:val="es-GT" w:eastAsia="en-US"/>
        </w:rPr>
        <w:t xml:space="preserve"> que </w:t>
      </w:r>
      <w:r w:rsidR="00936536" w:rsidRPr="0083128A">
        <w:rPr>
          <w:rFonts w:eastAsia="Calibri"/>
          <w:sz w:val="24"/>
          <w:szCs w:val="24"/>
          <w:lang w:val="es-GT" w:eastAsia="en-US"/>
        </w:rPr>
        <w:t>el mismo</w:t>
      </w:r>
      <w:r w:rsidR="005473E6" w:rsidRPr="0083128A">
        <w:rPr>
          <w:rFonts w:eastAsia="Calibri"/>
          <w:sz w:val="24"/>
          <w:szCs w:val="24"/>
          <w:lang w:val="es-GT" w:eastAsia="en-US"/>
        </w:rPr>
        <w:t xml:space="preserve"> </w:t>
      </w:r>
      <w:r w:rsidR="00DA096F" w:rsidRPr="0083128A">
        <w:rPr>
          <w:rFonts w:eastAsia="Calibri"/>
          <w:sz w:val="24"/>
          <w:szCs w:val="24"/>
          <w:lang w:val="es-GT" w:eastAsia="en-US"/>
        </w:rPr>
        <w:t xml:space="preserve">ha venido </w:t>
      </w:r>
      <w:r w:rsidR="004C3A57" w:rsidRPr="0083128A">
        <w:rPr>
          <w:rFonts w:eastAsia="Calibri"/>
          <w:sz w:val="24"/>
          <w:szCs w:val="24"/>
          <w:lang w:val="es-GT" w:eastAsia="en-US"/>
        </w:rPr>
        <w:t>aumentado</w:t>
      </w:r>
      <w:r w:rsidR="00132B91" w:rsidRPr="0083128A">
        <w:rPr>
          <w:rFonts w:eastAsia="Calibri"/>
          <w:sz w:val="24"/>
          <w:szCs w:val="24"/>
          <w:lang w:val="es-GT" w:eastAsia="en-US"/>
        </w:rPr>
        <w:t xml:space="preserve"> </w:t>
      </w:r>
      <w:r w:rsidR="004C3A57" w:rsidRPr="0083128A">
        <w:rPr>
          <w:rFonts w:eastAsia="Calibri"/>
          <w:sz w:val="24"/>
          <w:szCs w:val="24"/>
          <w:lang w:val="es-GT" w:eastAsia="en-US"/>
        </w:rPr>
        <w:t xml:space="preserve">en términos nominales </w:t>
      </w:r>
      <w:r w:rsidR="00132B91" w:rsidRPr="0083128A">
        <w:rPr>
          <w:rFonts w:eastAsia="Calibri"/>
          <w:sz w:val="24"/>
          <w:szCs w:val="24"/>
          <w:lang w:val="es-GT" w:eastAsia="en-US"/>
        </w:rPr>
        <w:t>desde</w:t>
      </w:r>
      <w:r w:rsidR="00DA096F" w:rsidRPr="0083128A">
        <w:rPr>
          <w:rFonts w:eastAsia="Calibri"/>
          <w:sz w:val="24"/>
          <w:szCs w:val="24"/>
          <w:lang w:val="es-GT" w:eastAsia="en-US"/>
        </w:rPr>
        <w:t xml:space="preserve"> 2016</w:t>
      </w:r>
      <w:r w:rsidR="00DD5D38" w:rsidRPr="0083128A">
        <w:rPr>
          <w:rFonts w:eastAsia="Calibri"/>
          <w:sz w:val="24"/>
          <w:szCs w:val="24"/>
          <w:lang w:val="es-GT" w:eastAsia="en-US"/>
        </w:rPr>
        <w:t>.</w:t>
      </w:r>
    </w:p>
    <w:p w14:paraId="3F90A1F2" w14:textId="24568EF1" w:rsidR="00287546" w:rsidRPr="0083128A" w:rsidRDefault="00287546" w:rsidP="004C5FE3">
      <w:pPr>
        <w:ind w:left="567"/>
        <w:jc w:val="both"/>
        <w:rPr>
          <w:rFonts w:eastAsia="Calibri"/>
          <w:sz w:val="24"/>
          <w:szCs w:val="24"/>
          <w:lang w:val="es-GT" w:eastAsia="en-US"/>
        </w:rPr>
      </w:pPr>
    </w:p>
    <w:p w14:paraId="4DA20DA2" w14:textId="16999926" w:rsidR="004C5FE3" w:rsidRPr="008B5B25" w:rsidRDefault="008B5B25" w:rsidP="00EC6506">
      <w:pPr>
        <w:pStyle w:val="Prrafodelista"/>
        <w:numPr>
          <w:ilvl w:val="2"/>
          <w:numId w:val="5"/>
        </w:numPr>
        <w:ind w:left="1134" w:hanging="425"/>
        <w:outlineLvl w:val="1"/>
        <w:rPr>
          <w:b/>
          <w:color w:val="1F3864" w:themeColor="accent1" w:themeShade="80"/>
          <w:sz w:val="24"/>
          <w:szCs w:val="24"/>
        </w:rPr>
      </w:pPr>
      <w:bookmarkStart w:id="74" w:name="_Toc83302182"/>
      <w:r w:rsidRPr="008B5B25">
        <w:rPr>
          <w:b/>
          <w:color w:val="1F3864" w:themeColor="accent1" w:themeShade="80"/>
          <w:sz w:val="24"/>
          <w:szCs w:val="24"/>
        </w:rPr>
        <w:t xml:space="preserve">Obligaciones Financieras por </w:t>
      </w:r>
      <w:r>
        <w:rPr>
          <w:b/>
          <w:color w:val="1F3864" w:themeColor="accent1" w:themeShade="80"/>
          <w:sz w:val="24"/>
          <w:szCs w:val="24"/>
        </w:rPr>
        <w:t>P</w:t>
      </w:r>
      <w:r w:rsidRPr="008B5B25">
        <w:rPr>
          <w:b/>
          <w:color w:val="1F3864" w:themeColor="accent1" w:themeShade="80"/>
          <w:sz w:val="24"/>
          <w:szCs w:val="24"/>
        </w:rPr>
        <w:t xml:space="preserve">agar de las </w:t>
      </w:r>
      <w:r w:rsidR="00737215">
        <w:rPr>
          <w:b/>
          <w:color w:val="1F3864" w:themeColor="accent1" w:themeShade="80"/>
          <w:sz w:val="24"/>
          <w:szCs w:val="24"/>
        </w:rPr>
        <w:t>Empresas Públicas</w:t>
      </w:r>
      <w:bookmarkEnd w:id="74"/>
    </w:p>
    <w:p w14:paraId="5CF1E202" w14:textId="77777777" w:rsidR="004C5FE3" w:rsidRDefault="004C5FE3" w:rsidP="004C5FE3">
      <w:pPr>
        <w:ind w:left="567"/>
        <w:jc w:val="both"/>
        <w:rPr>
          <w:rFonts w:eastAsia="Calibri"/>
          <w:sz w:val="24"/>
          <w:szCs w:val="24"/>
          <w:lang w:val="es-GT" w:eastAsia="en-US"/>
        </w:rPr>
      </w:pPr>
    </w:p>
    <w:p w14:paraId="612D3DB0" w14:textId="5876E725" w:rsidR="00945C1B" w:rsidRDefault="00945C1B" w:rsidP="004C5FE3">
      <w:pPr>
        <w:widowControl/>
        <w:spacing w:line="259" w:lineRule="auto"/>
        <w:ind w:left="567"/>
        <w:jc w:val="both"/>
        <w:rPr>
          <w:rFonts w:eastAsia="Calibri"/>
          <w:noProof/>
          <w:sz w:val="24"/>
          <w:szCs w:val="22"/>
          <w:lang w:val="es-GT" w:eastAsia="en-US"/>
        </w:rPr>
      </w:pPr>
      <w:r>
        <w:rPr>
          <w:rFonts w:eastAsia="Calibri"/>
          <w:noProof/>
          <w:sz w:val="24"/>
          <w:szCs w:val="22"/>
          <w:lang w:val="es-GT" w:eastAsia="en-US"/>
        </w:rPr>
        <w:t xml:space="preserve">Las obligaciones </w:t>
      </w:r>
      <w:r w:rsidR="00737215">
        <w:rPr>
          <w:rFonts w:eastAsia="Calibri"/>
          <w:noProof/>
          <w:sz w:val="24"/>
          <w:szCs w:val="22"/>
          <w:lang w:val="es-GT" w:eastAsia="en-US"/>
        </w:rPr>
        <w:t xml:space="preserve">Financieras por pagar de las Empresas Públicas No Financieras Nacionales, en promedio se encuentran entorno al 28.1% de sus ingresos para el periodo </w:t>
      </w:r>
      <w:r w:rsidR="00936536">
        <w:rPr>
          <w:rFonts w:eastAsia="Calibri"/>
          <w:noProof/>
          <w:sz w:val="24"/>
          <w:szCs w:val="22"/>
          <w:lang w:val="es-GT" w:eastAsia="en-US"/>
        </w:rPr>
        <w:t>2016-2020. En el ú</w:t>
      </w:r>
      <w:r w:rsidR="00465C2B">
        <w:rPr>
          <w:rFonts w:eastAsia="Calibri"/>
          <w:noProof/>
          <w:sz w:val="24"/>
          <w:szCs w:val="22"/>
          <w:lang w:val="es-GT" w:eastAsia="en-US"/>
        </w:rPr>
        <w:t xml:space="preserve">ltimo año se observa una disminución </w:t>
      </w:r>
      <w:r w:rsidR="00BC2B4D">
        <w:rPr>
          <w:rFonts w:eastAsia="Calibri"/>
          <w:noProof/>
          <w:sz w:val="24"/>
          <w:szCs w:val="22"/>
          <w:lang w:val="es-GT" w:eastAsia="en-US"/>
        </w:rPr>
        <w:t>de 2.9 puntos porcentuales respercto al año previo y derivado principalmente d</w:t>
      </w:r>
      <w:r w:rsidR="00443AD1">
        <w:rPr>
          <w:rFonts w:eastAsia="Calibri"/>
          <w:noProof/>
          <w:sz w:val="24"/>
          <w:szCs w:val="22"/>
          <w:lang w:val="es-GT" w:eastAsia="en-US"/>
        </w:rPr>
        <w:t xml:space="preserve">el endeudamiento. </w:t>
      </w:r>
    </w:p>
    <w:p w14:paraId="1AD97B14" w14:textId="77777777" w:rsidR="00112282" w:rsidRDefault="00112282" w:rsidP="004C5FE3">
      <w:pPr>
        <w:widowControl/>
        <w:spacing w:line="259" w:lineRule="auto"/>
        <w:ind w:left="567"/>
        <w:jc w:val="both"/>
        <w:rPr>
          <w:rFonts w:eastAsia="Calibri"/>
          <w:noProof/>
          <w:sz w:val="24"/>
          <w:szCs w:val="22"/>
          <w:lang w:val="es-GT" w:eastAsia="en-US"/>
        </w:rPr>
      </w:pPr>
    </w:p>
    <w:p w14:paraId="1F3E7A29" w14:textId="473687B9" w:rsidR="00443AD1" w:rsidRDefault="00AF7163" w:rsidP="00443AD1">
      <w:pPr>
        <w:pStyle w:val="Sinespaciado"/>
        <w:ind w:left="785" w:right="49"/>
        <w:jc w:val="center"/>
        <w:rPr>
          <w:rFonts w:ascii="Times New Roman" w:hAnsi="Times New Roman"/>
          <w:b/>
          <w:bCs/>
          <w:sz w:val="24"/>
          <w:szCs w:val="24"/>
          <w:lang w:val="es-MX"/>
        </w:rPr>
      </w:pPr>
      <w:r>
        <w:rPr>
          <w:rFonts w:ascii="Times New Roman" w:hAnsi="Times New Roman"/>
          <w:b/>
          <w:bCs/>
          <w:sz w:val="24"/>
          <w:szCs w:val="24"/>
          <w:lang w:val="es-MX"/>
        </w:rPr>
        <w:t>Gráfica 53</w:t>
      </w:r>
      <w:r w:rsidR="00443AD1">
        <w:rPr>
          <w:rFonts w:ascii="Times New Roman" w:hAnsi="Times New Roman"/>
          <w:b/>
          <w:bCs/>
          <w:sz w:val="24"/>
          <w:szCs w:val="24"/>
          <w:lang w:val="es-MX"/>
        </w:rPr>
        <w:t xml:space="preserve">. </w:t>
      </w:r>
      <w:r w:rsidR="00443AD1" w:rsidRPr="00BB4A07">
        <w:rPr>
          <w:rFonts w:ascii="Times New Roman" w:hAnsi="Times New Roman"/>
          <w:b/>
          <w:bCs/>
          <w:sz w:val="24"/>
          <w:szCs w:val="24"/>
          <w:lang w:val="es-MX"/>
        </w:rPr>
        <w:t xml:space="preserve">Obligaciones financieras de las </w:t>
      </w:r>
      <w:r w:rsidR="00443AD1">
        <w:rPr>
          <w:rFonts w:ascii="Times New Roman" w:hAnsi="Times New Roman"/>
          <w:b/>
          <w:bCs/>
          <w:sz w:val="24"/>
          <w:szCs w:val="24"/>
          <w:lang w:val="es-MX"/>
        </w:rPr>
        <w:t xml:space="preserve">Empresas Públicas </w:t>
      </w:r>
    </w:p>
    <w:p w14:paraId="3AE12B0C" w14:textId="77777777" w:rsidR="00443AD1" w:rsidRPr="00BB4A07" w:rsidRDefault="00443AD1" w:rsidP="00443AD1">
      <w:pPr>
        <w:pStyle w:val="Sinespaciado"/>
        <w:ind w:left="785" w:right="49"/>
        <w:jc w:val="center"/>
        <w:rPr>
          <w:rFonts w:ascii="Times New Roman" w:hAnsi="Times New Roman"/>
          <w:b/>
          <w:bCs/>
          <w:sz w:val="24"/>
          <w:szCs w:val="24"/>
          <w:lang w:val="es-MX"/>
        </w:rPr>
      </w:pPr>
      <w:r>
        <w:rPr>
          <w:rFonts w:ascii="Times New Roman" w:hAnsi="Times New Roman"/>
          <w:b/>
          <w:bCs/>
          <w:sz w:val="24"/>
          <w:szCs w:val="24"/>
          <w:lang w:val="es-MX"/>
        </w:rPr>
        <w:t>No Financieras Nacionales</w:t>
      </w:r>
    </w:p>
    <w:p w14:paraId="6B3D2F04" w14:textId="77777777" w:rsidR="00443AD1" w:rsidRPr="00BB5E60" w:rsidRDefault="00443AD1" w:rsidP="00443AD1">
      <w:pPr>
        <w:jc w:val="center"/>
        <w:rPr>
          <w:sz w:val="22"/>
          <w:szCs w:val="24"/>
        </w:rPr>
      </w:pPr>
      <w:r w:rsidRPr="00BB5E60">
        <w:rPr>
          <w:sz w:val="22"/>
          <w:szCs w:val="24"/>
        </w:rPr>
        <w:t>Como porcentaje de sus ingresos totales</w:t>
      </w:r>
    </w:p>
    <w:p w14:paraId="2541AD7B" w14:textId="77777777" w:rsidR="00443AD1" w:rsidRDefault="00443AD1" w:rsidP="00443AD1">
      <w:pPr>
        <w:widowControl/>
        <w:spacing w:line="259" w:lineRule="auto"/>
        <w:ind w:left="567"/>
        <w:jc w:val="both"/>
        <w:rPr>
          <w:rFonts w:eastAsia="Calibri"/>
          <w:sz w:val="24"/>
          <w:szCs w:val="24"/>
          <w:lang w:val="es-GT" w:eastAsia="en-US"/>
        </w:rPr>
      </w:pPr>
      <w:r>
        <w:rPr>
          <w:noProof/>
          <w:sz w:val="18"/>
          <w:szCs w:val="24"/>
          <w:lang w:val="es-GT" w:eastAsia="es-GT"/>
        </w:rPr>
        <w:drawing>
          <wp:inline distT="0" distB="0" distL="0" distR="0" wp14:anchorId="63A9196E" wp14:editId="1C923B49">
            <wp:extent cx="5486400" cy="1635369"/>
            <wp:effectExtent l="0" t="0" r="0" b="31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873FD86" w14:textId="77777777" w:rsidR="00443AD1" w:rsidRPr="004C5FE3" w:rsidRDefault="00443AD1" w:rsidP="00443AD1">
      <w:pPr>
        <w:widowControl/>
        <w:ind w:left="567"/>
        <w:rPr>
          <w:rFonts w:eastAsia="Calibri"/>
          <w:sz w:val="16"/>
          <w:szCs w:val="24"/>
          <w:lang w:val="es-GT" w:eastAsia="en-US"/>
        </w:rPr>
      </w:pPr>
      <w:r w:rsidRPr="004C5FE3">
        <w:rPr>
          <w:rFonts w:eastAsia="Calibri"/>
          <w:sz w:val="16"/>
          <w:szCs w:val="24"/>
          <w:lang w:val="es-GT" w:eastAsia="en-US"/>
        </w:rPr>
        <w:t>Fuente: Sicoin</w:t>
      </w:r>
    </w:p>
    <w:p w14:paraId="23728B86" w14:textId="77777777" w:rsidR="00443AD1" w:rsidRDefault="00443AD1" w:rsidP="004C5FE3">
      <w:pPr>
        <w:widowControl/>
        <w:spacing w:line="259" w:lineRule="auto"/>
        <w:ind w:left="567"/>
        <w:jc w:val="both"/>
        <w:rPr>
          <w:rFonts w:eastAsia="Calibri"/>
          <w:noProof/>
          <w:sz w:val="24"/>
          <w:szCs w:val="22"/>
          <w:lang w:val="es-GT" w:eastAsia="en-US"/>
        </w:rPr>
      </w:pPr>
    </w:p>
    <w:p w14:paraId="46783E9E" w14:textId="7651D157" w:rsidR="004C5FE3" w:rsidRDefault="004C5FE3" w:rsidP="004C5FE3">
      <w:pPr>
        <w:widowControl/>
        <w:spacing w:line="259" w:lineRule="auto"/>
        <w:ind w:left="567"/>
        <w:jc w:val="both"/>
        <w:rPr>
          <w:rFonts w:eastAsia="Calibri"/>
          <w:sz w:val="24"/>
          <w:szCs w:val="24"/>
          <w:lang w:val="es-GT" w:eastAsia="en-US"/>
        </w:rPr>
      </w:pPr>
      <w:r w:rsidRPr="00F22FB7">
        <w:rPr>
          <w:rFonts w:eastAsia="Calibri"/>
          <w:noProof/>
          <w:sz w:val="24"/>
          <w:szCs w:val="22"/>
          <w:lang w:val="es-GT" w:eastAsia="en-US"/>
        </w:rPr>
        <w:t>E</w:t>
      </w:r>
      <w:r w:rsidRPr="00F22FB7">
        <w:rPr>
          <w:rFonts w:eastAsia="Calibri"/>
          <w:noProof/>
          <w:sz w:val="24"/>
          <w:szCs w:val="24"/>
          <w:lang w:val="es-GT" w:eastAsia="en-US"/>
        </w:rPr>
        <w:t>l endeudamiento del subgrupo institucional de Empresas Públicas No Financieras Nacionales ha venido disminuyendo desde el 2016, cuando la misma representaba un 25.8% del total de los ingresos totales de estas entidades y para 2020 se observa que la deuda por prestamos a corto y largo plazo equivale al 21.4% (Q903.5 millones) de los ingresos totales</w:t>
      </w:r>
      <w:r w:rsidRPr="00F22FB7">
        <w:rPr>
          <w:rFonts w:eastAsia="Calibri"/>
          <w:sz w:val="24"/>
          <w:szCs w:val="24"/>
          <w:lang w:val="es-GT" w:eastAsia="en-US"/>
        </w:rPr>
        <w:t>. El endeudamiento del subgrupo proviene específicamente de 2 entidades, siendo el INDE quien tiene el mayor valor de deuda (equivale al 99% del total del subgrupo institucional) y seguido de Indeca que representa el 1%.</w:t>
      </w:r>
    </w:p>
    <w:p w14:paraId="3BD8EB6B" w14:textId="77777777" w:rsidR="0010033C" w:rsidRDefault="0010033C" w:rsidP="004C5FE3">
      <w:pPr>
        <w:widowControl/>
        <w:spacing w:line="259" w:lineRule="auto"/>
        <w:ind w:left="567"/>
        <w:jc w:val="both"/>
        <w:rPr>
          <w:rFonts w:eastAsia="Calibri"/>
          <w:sz w:val="24"/>
          <w:szCs w:val="24"/>
          <w:lang w:val="es-GT" w:eastAsia="en-US"/>
        </w:rPr>
      </w:pPr>
    </w:p>
    <w:p w14:paraId="5600C351" w14:textId="77777777" w:rsidR="0010033C" w:rsidRDefault="0010033C" w:rsidP="0010033C">
      <w:pPr>
        <w:widowControl/>
        <w:spacing w:line="259" w:lineRule="auto"/>
        <w:ind w:left="567"/>
        <w:jc w:val="both"/>
        <w:rPr>
          <w:rFonts w:eastAsia="Calibri"/>
          <w:sz w:val="24"/>
          <w:szCs w:val="24"/>
          <w:lang w:val="es-GT" w:eastAsia="en-US"/>
        </w:rPr>
      </w:pPr>
      <w:r w:rsidRPr="00F22FB7">
        <w:rPr>
          <w:rFonts w:eastAsia="Calibri"/>
          <w:sz w:val="24"/>
          <w:szCs w:val="24"/>
          <w:lang w:val="es-GT" w:eastAsia="en-US"/>
        </w:rPr>
        <w:t>El endeudamiento del INDE para el año 2020 equivale a un 32.4% (Q898.3 millones) de sus ingresos totales y está constituido en un 72% por prestamos internos a largo plazo, un 24% de préstamos externos de largo plazo y un 4.4% de deuda a corto plazo por préstamos externos. Por su parte</w:t>
      </w:r>
      <w:r>
        <w:rPr>
          <w:rFonts w:eastAsia="Calibri"/>
          <w:sz w:val="24"/>
          <w:szCs w:val="24"/>
          <w:lang w:val="es-GT" w:eastAsia="en-US"/>
        </w:rPr>
        <w:t>,</w:t>
      </w:r>
      <w:r w:rsidRPr="00F22FB7">
        <w:rPr>
          <w:rFonts w:eastAsia="Calibri"/>
          <w:sz w:val="24"/>
          <w:szCs w:val="24"/>
          <w:lang w:val="es-GT" w:eastAsia="en-US"/>
        </w:rPr>
        <w:t xml:space="preserve"> el endeudamiento de Indeca equivale al 32.4% (Q5.14 millones) de sus ingresos totales siendo la totalidad por obligaciones de deuda interna a largo plazo con el Ministerio de Finanzas Públicas.</w:t>
      </w:r>
    </w:p>
    <w:p w14:paraId="5BAEA51A" w14:textId="77777777" w:rsidR="0010033C" w:rsidRDefault="0010033C" w:rsidP="004C5FE3">
      <w:pPr>
        <w:widowControl/>
        <w:spacing w:line="259" w:lineRule="auto"/>
        <w:ind w:left="567"/>
        <w:jc w:val="both"/>
        <w:rPr>
          <w:rFonts w:eastAsia="Calibri"/>
          <w:sz w:val="24"/>
          <w:szCs w:val="24"/>
          <w:lang w:val="es-GT" w:eastAsia="en-US"/>
        </w:rPr>
      </w:pPr>
    </w:p>
    <w:tbl>
      <w:tblPr>
        <w:tblStyle w:val="Tablaconcuadrcula1"/>
        <w:tblW w:w="9316" w:type="dxa"/>
        <w:jc w:val="center"/>
        <w:tblCellMar>
          <w:left w:w="70" w:type="dxa"/>
          <w:right w:w="70" w:type="dxa"/>
        </w:tblCellMar>
        <w:tblLook w:val="04A0" w:firstRow="1" w:lastRow="0" w:firstColumn="1" w:lastColumn="0" w:noHBand="0" w:noVBand="1"/>
      </w:tblPr>
      <w:tblGrid>
        <w:gridCol w:w="4790"/>
        <w:gridCol w:w="4526"/>
      </w:tblGrid>
      <w:tr w:rsidR="004C5FE3" w:rsidRPr="00F22FB7" w14:paraId="50C57C7B" w14:textId="77777777" w:rsidTr="00D5021C">
        <w:trPr>
          <w:trHeight w:val="2931"/>
          <w:jc w:val="center"/>
        </w:trPr>
        <w:tc>
          <w:tcPr>
            <w:tcW w:w="4790" w:type="dxa"/>
            <w:tcBorders>
              <w:top w:val="nil"/>
              <w:left w:val="nil"/>
              <w:bottom w:val="nil"/>
            </w:tcBorders>
          </w:tcPr>
          <w:p w14:paraId="3FF28A91" w14:textId="5BCDF4D8" w:rsidR="004C5FE3" w:rsidRPr="00F22FB7" w:rsidRDefault="00495053" w:rsidP="00BC0D90">
            <w:pPr>
              <w:widowControl/>
              <w:spacing w:after="160" w:line="259" w:lineRule="auto"/>
              <w:jc w:val="both"/>
              <w:rPr>
                <w:rFonts w:eastAsia="Calibri"/>
                <w:sz w:val="18"/>
                <w:szCs w:val="24"/>
                <w:lang w:val="es-GT" w:eastAsia="en-US"/>
              </w:rPr>
            </w:pPr>
            <w:r>
              <w:rPr>
                <w:noProof/>
                <w:lang w:val="es-GT" w:eastAsia="es-GT"/>
              </w:rPr>
              <w:lastRenderedPageBreak/>
              <w:drawing>
                <wp:inline distT="0" distB="0" distL="0" distR="0" wp14:anchorId="0736DBC9" wp14:editId="106DE9C9">
                  <wp:extent cx="2947670" cy="1905000"/>
                  <wp:effectExtent l="0" t="0" r="5080" b="0"/>
                  <wp:docPr id="40" name="Gráfico 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2626820-019C-4929-8653-D1B146AED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4526" w:type="dxa"/>
            <w:tcBorders>
              <w:top w:val="nil"/>
              <w:bottom w:val="nil"/>
              <w:right w:val="nil"/>
            </w:tcBorders>
          </w:tcPr>
          <w:p w14:paraId="56BAA129" w14:textId="1F850114" w:rsidR="004C5FE3" w:rsidRPr="00F22FB7" w:rsidRDefault="00495053" w:rsidP="00BC0D90">
            <w:pPr>
              <w:widowControl/>
              <w:spacing w:after="160" w:line="259" w:lineRule="auto"/>
              <w:jc w:val="both"/>
              <w:rPr>
                <w:rFonts w:eastAsia="Calibri"/>
                <w:sz w:val="6"/>
                <w:szCs w:val="24"/>
                <w:lang w:val="es-GT" w:eastAsia="en-US"/>
              </w:rPr>
            </w:pPr>
            <w:r w:rsidRPr="00F22FB7">
              <w:rPr>
                <w:rFonts w:eastAsia="Calibri"/>
                <w:noProof/>
                <w:sz w:val="18"/>
                <w:szCs w:val="24"/>
                <w:lang w:val="es-GT" w:eastAsia="es-GT"/>
              </w:rPr>
              <w:drawing>
                <wp:inline distT="0" distB="0" distL="0" distR="0" wp14:anchorId="4C873282" wp14:editId="56D4BE72">
                  <wp:extent cx="2766695" cy="1852247"/>
                  <wp:effectExtent l="0" t="0" r="0" b="0"/>
                  <wp:docPr id="6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14:paraId="43456BAD" w14:textId="77777777" w:rsidR="004C5FE3" w:rsidRPr="00706DBC" w:rsidRDefault="00706DBC" w:rsidP="004C5FE3">
      <w:pPr>
        <w:ind w:left="567"/>
        <w:jc w:val="both"/>
        <w:rPr>
          <w:rFonts w:eastAsia="Calibri"/>
          <w:sz w:val="16"/>
          <w:szCs w:val="24"/>
          <w:lang w:val="es-GT" w:eastAsia="en-US"/>
        </w:rPr>
      </w:pPr>
      <w:r w:rsidRPr="00706DBC">
        <w:rPr>
          <w:rFonts w:eastAsia="Calibri"/>
          <w:sz w:val="16"/>
          <w:szCs w:val="24"/>
          <w:lang w:val="es-GT" w:eastAsia="en-US"/>
        </w:rPr>
        <w:t>Fuente: Sicoin.</w:t>
      </w:r>
    </w:p>
    <w:p w14:paraId="5940A263" w14:textId="77777777" w:rsidR="004C5FE3" w:rsidRDefault="004C5FE3" w:rsidP="004C5FE3">
      <w:pPr>
        <w:ind w:left="567"/>
        <w:jc w:val="both"/>
        <w:rPr>
          <w:rFonts w:eastAsia="Calibri"/>
          <w:sz w:val="24"/>
          <w:szCs w:val="24"/>
          <w:lang w:val="es-GT" w:eastAsia="en-US"/>
        </w:rPr>
      </w:pPr>
    </w:p>
    <w:p w14:paraId="53EF190F" w14:textId="56808235" w:rsidR="00706DBC" w:rsidRDefault="00706DBC" w:rsidP="00706DBC">
      <w:pPr>
        <w:widowControl/>
        <w:tabs>
          <w:tab w:val="left" w:pos="2980"/>
        </w:tabs>
        <w:ind w:left="567"/>
        <w:jc w:val="both"/>
        <w:rPr>
          <w:rFonts w:eastAsia="Calibri"/>
          <w:sz w:val="24"/>
          <w:szCs w:val="24"/>
          <w:lang w:val="es-GT" w:eastAsia="en-US"/>
        </w:rPr>
      </w:pPr>
      <w:r w:rsidRPr="00F22FB7">
        <w:rPr>
          <w:rFonts w:eastAsia="Calibri"/>
          <w:sz w:val="24"/>
          <w:szCs w:val="24"/>
          <w:lang w:val="es-GT" w:eastAsia="en-US"/>
        </w:rPr>
        <w:t xml:space="preserve">Las otras obligaciones por pagar se conforman principalmente por gastos de personal a pagar (incluye indemnizaciones, retenciones a pagar y otros aportes salariales por pagar) las cuentas comerciales a pagar y fondos de terceros los cuales representan una obligación de pago por parte de las empresas públicas. En 2020 se observa que el valor de estas representa el </w:t>
      </w:r>
      <w:r>
        <w:rPr>
          <w:rFonts w:eastAsia="Calibri"/>
          <w:sz w:val="24"/>
          <w:szCs w:val="24"/>
          <w:lang w:val="es-GT" w:eastAsia="en-US"/>
        </w:rPr>
        <w:t>4</w:t>
      </w:r>
      <w:r w:rsidRPr="00F22FB7">
        <w:rPr>
          <w:rFonts w:eastAsia="Calibri"/>
          <w:sz w:val="24"/>
          <w:szCs w:val="24"/>
          <w:lang w:val="es-GT" w:eastAsia="en-US"/>
        </w:rPr>
        <w:t>.6% (Q</w:t>
      </w:r>
      <w:r>
        <w:rPr>
          <w:rFonts w:eastAsia="Calibri"/>
          <w:sz w:val="24"/>
          <w:szCs w:val="24"/>
          <w:lang w:val="es-GT" w:eastAsia="en-US"/>
        </w:rPr>
        <w:t xml:space="preserve">195.3 </w:t>
      </w:r>
      <w:r w:rsidRPr="00F22FB7">
        <w:rPr>
          <w:rFonts w:eastAsia="Calibri"/>
          <w:sz w:val="24"/>
          <w:szCs w:val="24"/>
          <w:lang w:val="es-GT" w:eastAsia="en-US"/>
        </w:rPr>
        <w:t xml:space="preserve">millones) de los ingresos totales del subgrupo institucional y siendo este </w:t>
      </w:r>
      <w:r>
        <w:rPr>
          <w:rFonts w:eastAsia="Calibri"/>
          <w:sz w:val="24"/>
          <w:szCs w:val="24"/>
          <w:lang w:val="es-GT" w:eastAsia="en-US"/>
        </w:rPr>
        <w:t xml:space="preserve">un aumento </w:t>
      </w:r>
      <w:r w:rsidRPr="00F22FB7">
        <w:rPr>
          <w:rFonts w:eastAsia="Calibri"/>
          <w:sz w:val="24"/>
          <w:szCs w:val="24"/>
          <w:lang w:val="es-GT" w:eastAsia="en-US"/>
        </w:rPr>
        <w:t>con relación a lo observado en el año previo del 4.</w:t>
      </w:r>
      <w:r>
        <w:rPr>
          <w:rFonts w:eastAsia="Calibri"/>
          <w:sz w:val="24"/>
          <w:szCs w:val="24"/>
          <w:lang w:val="es-GT" w:eastAsia="en-US"/>
        </w:rPr>
        <w:t>3</w:t>
      </w:r>
      <w:r w:rsidRPr="00F22FB7">
        <w:rPr>
          <w:rFonts w:eastAsia="Calibri"/>
          <w:sz w:val="24"/>
          <w:szCs w:val="24"/>
          <w:lang w:val="es-GT" w:eastAsia="en-US"/>
        </w:rPr>
        <w:t>%</w:t>
      </w:r>
      <w:r>
        <w:rPr>
          <w:rFonts w:eastAsia="Calibri"/>
          <w:sz w:val="24"/>
          <w:szCs w:val="24"/>
          <w:lang w:val="es-GT" w:eastAsia="en-US"/>
        </w:rPr>
        <w:t xml:space="preserve"> (Q163.4 millones)</w:t>
      </w:r>
      <w:r w:rsidR="00AE1027">
        <w:rPr>
          <w:rFonts w:eastAsia="Calibri"/>
          <w:sz w:val="24"/>
          <w:szCs w:val="24"/>
          <w:lang w:val="es-GT" w:eastAsia="en-US"/>
        </w:rPr>
        <w:t xml:space="preserve"> de los ingresos totales</w:t>
      </w:r>
      <w:r>
        <w:rPr>
          <w:rFonts w:eastAsia="Calibri"/>
          <w:sz w:val="24"/>
          <w:szCs w:val="24"/>
          <w:lang w:val="es-GT" w:eastAsia="en-US"/>
        </w:rPr>
        <w:t>.</w:t>
      </w:r>
    </w:p>
    <w:p w14:paraId="16A12FCA" w14:textId="77777777" w:rsidR="00706DBC" w:rsidRDefault="00706DBC" w:rsidP="00706DBC">
      <w:pPr>
        <w:widowControl/>
        <w:tabs>
          <w:tab w:val="left" w:pos="2980"/>
        </w:tabs>
        <w:ind w:left="567"/>
        <w:jc w:val="both"/>
        <w:rPr>
          <w:rFonts w:eastAsia="Calibri"/>
          <w:sz w:val="24"/>
          <w:szCs w:val="24"/>
          <w:lang w:val="es-GT" w:eastAsia="en-US"/>
        </w:rPr>
      </w:pPr>
    </w:p>
    <w:p w14:paraId="40B31BF8" w14:textId="77777777" w:rsidR="00706DBC" w:rsidRDefault="00706DBC" w:rsidP="00706DBC">
      <w:pPr>
        <w:widowControl/>
        <w:tabs>
          <w:tab w:val="left" w:pos="2980"/>
        </w:tabs>
        <w:ind w:left="567"/>
        <w:jc w:val="both"/>
        <w:rPr>
          <w:rFonts w:eastAsia="Calibri"/>
          <w:sz w:val="24"/>
          <w:szCs w:val="24"/>
          <w:lang w:val="es-GT" w:eastAsia="en-US"/>
        </w:rPr>
      </w:pPr>
      <w:r w:rsidRPr="00F22FB7">
        <w:rPr>
          <w:rFonts w:eastAsia="Calibri"/>
          <w:sz w:val="24"/>
          <w:szCs w:val="24"/>
          <w:lang w:val="es-GT" w:eastAsia="en-US"/>
        </w:rPr>
        <w:t xml:space="preserve">La Empresa Guatemalteca de Telecomunicaciones (Guatel) </w:t>
      </w:r>
      <w:r>
        <w:rPr>
          <w:rFonts w:eastAsia="Calibri"/>
          <w:sz w:val="24"/>
          <w:szCs w:val="24"/>
          <w:lang w:val="es-GT" w:eastAsia="en-US"/>
        </w:rPr>
        <w:t xml:space="preserve">es la entidad con las </w:t>
      </w:r>
      <w:r w:rsidRPr="00F22FB7">
        <w:rPr>
          <w:rFonts w:eastAsia="Calibri"/>
          <w:sz w:val="24"/>
          <w:szCs w:val="24"/>
          <w:lang w:val="es-GT" w:eastAsia="en-US"/>
        </w:rPr>
        <w:t>otras obligaciones por pagar que representan el</w:t>
      </w:r>
      <w:r>
        <w:rPr>
          <w:rFonts w:eastAsia="Calibri"/>
          <w:sz w:val="24"/>
          <w:szCs w:val="24"/>
          <w:lang w:val="es-GT" w:eastAsia="en-US"/>
        </w:rPr>
        <w:t xml:space="preserve"> mayor valor respecto a sus ingresos, siendo este del</w:t>
      </w:r>
      <w:r w:rsidRPr="00F22FB7">
        <w:rPr>
          <w:rFonts w:eastAsia="Calibri"/>
          <w:sz w:val="24"/>
          <w:szCs w:val="24"/>
          <w:lang w:val="es-GT" w:eastAsia="en-US"/>
        </w:rPr>
        <w:t xml:space="preserve"> 85.5% (Q17.9 millones) y con relación al valor total de todo el subsector institucional, representa el </w:t>
      </w:r>
      <w:r>
        <w:rPr>
          <w:rFonts w:eastAsia="Calibri"/>
          <w:sz w:val="24"/>
          <w:szCs w:val="24"/>
          <w:lang w:val="es-GT" w:eastAsia="en-US"/>
        </w:rPr>
        <w:t>9</w:t>
      </w:r>
      <w:r w:rsidRPr="00F22FB7">
        <w:rPr>
          <w:rFonts w:eastAsia="Calibri"/>
          <w:sz w:val="24"/>
          <w:szCs w:val="24"/>
          <w:lang w:val="es-GT" w:eastAsia="en-US"/>
        </w:rPr>
        <w:t>.</w:t>
      </w:r>
      <w:r>
        <w:rPr>
          <w:rFonts w:eastAsia="Calibri"/>
          <w:sz w:val="24"/>
          <w:szCs w:val="24"/>
          <w:lang w:val="es-GT" w:eastAsia="en-US"/>
        </w:rPr>
        <w:t>2</w:t>
      </w:r>
      <w:r w:rsidRPr="00F22FB7">
        <w:rPr>
          <w:rFonts w:eastAsia="Calibri"/>
          <w:sz w:val="24"/>
          <w:szCs w:val="24"/>
          <w:lang w:val="es-GT" w:eastAsia="en-US"/>
        </w:rPr>
        <w:t>% del valor total de las otras obligaciones por pagar. Sus principales obligaciones son las otras cuentas por pagar en el corto y largo plazo (principalmente el valor del IVA debito fiscal y utilidades a favor del gobierno) significando el 52% de todas sus obligaciones, seguido de cuentas comerciales a pagar en el corto plazo (con proveedores) que representa el 19%.</w:t>
      </w:r>
    </w:p>
    <w:p w14:paraId="3244CCCA" w14:textId="77777777" w:rsidR="004C5FE3" w:rsidRDefault="004C5FE3" w:rsidP="00706DBC">
      <w:pPr>
        <w:jc w:val="both"/>
        <w:rPr>
          <w:rFonts w:eastAsia="Calibri"/>
          <w:sz w:val="24"/>
          <w:szCs w:val="24"/>
          <w:lang w:val="es-GT" w:eastAsia="en-US"/>
        </w:rPr>
      </w:pPr>
    </w:p>
    <w:p w14:paraId="1D7344EC" w14:textId="77777777" w:rsidR="00706DBC" w:rsidRDefault="00706DBC" w:rsidP="00706DBC">
      <w:pPr>
        <w:widowControl/>
        <w:ind w:left="567"/>
        <w:jc w:val="both"/>
        <w:rPr>
          <w:rFonts w:eastAsia="Calibri"/>
          <w:sz w:val="24"/>
          <w:szCs w:val="24"/>
          <w:lang w:val="es-GT" w:eastAsia="en-US"/>
        </w:rPr>
      </w:pPr>
      <w:r w:rsidRPr="00F22FB7">
        <w:rPr>
          <w:rFonts w:eastAsia="Calibri"/>
          <w:sz w:val="24"/>
          <w:szCs w:val="24"/>
          <w:lang w:val="es-GT" w:eastAsia="en-US"/>
        </w:rPr>
        <w:t xml:space="preserve">La Empresa Ferrocarriles de Guatemala (Fegua) es la entidad </w:t>
      </w:r>
      <w:r>
        <w:rPr>
          <w:rFonts w:eastAsia="Calibri"/>
          <w:sz w:val="24"/>
          <w:szCs w:val="24"/>
          <w:lang w:val="es-GT" w:eastAsia="en-US"/>
        </w:rPr>
        <w:t>que posee un valor de otras obligaciones por pagar equivalente al 40.5</w:t>
      </w:r>
      <w:r w:rsidRPr="00F22FB7">
        <w:rPr>
          <w:rFonts w:eastAsia="Calibri"/>
          <w:sz w:val="24"/>
          <w:szCs w:val="24"/>
          <w:lang w:val="es-GT" w:eastAsia="en-US"/>
        </w:rPr>
        <w:t>% de los mismos (Q</w:t>
      </w:r>
      <w:r>
        <w:rPr>
          <w:rFonts w:eastAsia="Calibri"/>
          <w:sz w:val="24"/>
          <w:szCs w:val="24"/>
          <w:lang w:val="es-GT" w:eastAsia="en-US"/>
        </w:rPr>
        <w:t>9.6</w:t>
      </w:r>
      <w:r w:rsidRPr="00F22FB7">
        <w:rPr>
          <w:rFonts w:eastAsia="Calibri"/>
          <w:sz w:val="24"/>
          <w:szCs w:val="24"/>
          <w:lang w:val="es-GT" w:eastAsia="en-US"/>
        </w:rPr>
        <w:t xml:space="preserve"> millones), sin embargo, el valor total de sus obligaciones respecto al total del subgrupo institucional de Empresas Públicas No Financieras Nacionales significa solamente el 4</w:t>
      </w:r>
      <w:r>
        <w:rPr>
          <w:rFonts w:eastAsia="Calibri"/>
          <w:sz w:val="24"/>
          <w:szCs w:val="24"/>
          <w:lang w:val="es-GT" w:eastAsia="en-US"/>
        </w:rPr>
        <w:t>.9</w:t>
      </w:r>
      <w:r w:rsidRPr="00F22FB7">
        <w:rPr>
          <w:rFonts w:eastAsia="Calibri"/>
          <w:sz w:val="24"/>
          <w:szCs w:val="24"/>
          <w:lang w:val="es-GT" w:eastAsia="en-US"/>
        </w:rPr>
        <w:t xml:space="preserve">%. Sus obligaciones se encuentran en </w:t>
      </w:r>
      <w:r>
        <w:rPr>
          <w:rFonts w:eastAsia="Calibri"/>
          <w:sz w:val="24"/>
          <w:szCs w:val="24"/>
          <w:lang w:val="es-GT" w:eastAsia="en-US"/>
        </w:rPr>
        <w:t xml:space="preserve">cuentas a pagar en el corto plazo </w:t>
      </w:r>
      <w:r w:rsidRPr="00F22FB7">
        <w:rPr>
          <w:rFonts w:eastAsia="Calibri"/>
          <w:sz w:val="24"/>
          <w:szCs w:val="24"/>
          <w:lang w:val="es-GT" w:eastAsia="en-US"/>
        </w:rPr>
        <w:t xml:space="preserve">y </w:t>
      </w:r>
      <w:r>
        <w:rPr>
          <w:rFonts w:eastAsia="Calibri"/>
          <w:sz w:val="24"/>
          <w:szCs w:val="24"/>
          <w:lang w:val="es-GT" w:eastAsia="en-US"/>
        </w:rPr>
        <w:t xml:space="preserve">compuesto principalmente por </w:t>
      </w:r>
      <w:r w:rsidRPr="00F22FB7">
        <w:rPr>
          <w:rFonts w:eastAsia="Calibri"/>
          <w:sz w:val="24"/>
          <w:szCs w:val="24"/>
          <w:lang w:val="es-GT" w:eastAsia="en-US"/>
        </w:rPr>
        <w:t>gastos de personal a pagar. Cabe mencionar que, pese a que esta entidad es considerada como una empresa pública según el Manual de Clasificaciones Presupuestarias para el Sector Público de Guatemala, la misma no se encuentra realizando operaciones comerciales por lo que sus ingresos dependen principalmente de transferencias por parte de la administración central.</w:t>
      </w:r>
    </w:p>
    <w:p w14:paraId="6A27D851" w14:textId="77777777" w:rsidR="00706DBC" w:rsidRPr="00F22FB7" w:rsidRDefault="00706DBC" w:rsidP="00706DBC">
      <w:pPr>
        <w:widowControl/>
        <w:ind w:left="567"/>
        <w:jc w:val="both"/>
        <w:rPr>
          <w:rFonts w:eastAsia="Calibri"/>
          <w:sz w:val="24"/>
          <w:szCs w:val="24"/>
          <w:lang w:val="es-GT" w:eastAsia="en-US"/>
        </w:rPr>
      </w:pPr>
    </w:p>
    <w:p w14:paraId="15A27950" w14:textId="02B4F399" w:rsidR="00706DBC" w:rsidRDefault="00706DBC" w:rsidP="009F7577">
      <w:pPr>
        <w:widowControl/>
        <w:ind w:left="567"/>
        <w:jc w:val="both"/>
        <w:rPr>
          <w:rFonts w:eastAsia="Calibri"/>
          <w:sz w:val="24"/>
          <w:szCs w:val="24"/>
          <w:lang w:val="es-GT" w:eastAsia="en-US"/>
        </w:rPr>
      </w:pPr>
      <w:r w:rsidRPr="00F22FB7">
        <w:rPr>
          <w:rFonts w:eastAsia="Calibri"/>
          <w:sz w:val="24"/>
          <w:szCs w:val="24"/>
          <w:lang w:val="es-GT" w:eastAsia="en-US"/>
        </w:rPr>
        <w:t xml:space="preserve">Por su parte, la Zona Libre de Industria y Comercio Santo Tomás De Castilla (Zolic) tiene un valor de otras obligaciones por pagar equivalente al 40.4% (Q11.4 millones) de sus ingresos totales y representa el </w:t>
      </w:r>
      <w:r>
        <w:rPr>
          <w:rFonts w:eastAsia="Calibri"/>
          <w:sz w:val="24"/>
          <w:szCs w:val="24"/>
          <w:lang w:val="es-GT" w:eastAsia="en-US"/>
        </w:rPr>
        <w:t>5</w:t>
      </w:r>
      <w:r w:rsidRPr="00F22FB7">
        <w:rPr>
          <w:rFonts w:eastAsia="Calibri"/>
          <w:sz w:val="24"/>
          <w:szCs w:val="24"/>
          <w:lang w:val="es-GT" w:eastAsia="en-US"/>
        </w:rPr>
        <w:t>.</w:t>
      </w:r>
      <w:r>
        <w:rPr>
          <w:rFonts w:eastAsia="Calibri"/>
          <w:sz w:val="24"/>
          <w:szCs w:val="24"/>
          <w:lang w:val="es-GT" w:eastAsia="en-US"/>
        </w:rPr>
        <w:t>9</w:t>
      </w:r>
      <w:r w:rsidRPr="00F22FB7">
        <w:rPr>
          <w:rFonts w:eastAsia="Calibri"/>
          <w:sz w:val="24"/>
          <w:szCs w:val="24"/>
          <w:lang w:val="es-GT" w:eastAsia="en-US"/>
        </w:rPr>
        <w:t>% del valor total respecto a todo el subgrupo institucional. Su principal obligación está conformada por gastos de personal a pagar (especialmente en indemnizaciones) que representa el 86% del total de sus otras obligaciones por pagar, seguido de fondos de terceros que representa el 14% restante.</w:t>
      </w:r>
      <w:r w:rsidR="009F7577">
        <w:rPr>
          <w:rFonts w:eastAsia="Calibri"/>
          <w:sz w:val="24"/>
          <w:szCs w:val="24"/>
          <w:lang w:val="es-GT" w:eastAsia="en-US"/>
        </w:rPr>
        <w:t xml:space="preserve">  </w:t>
      </w:r>
      <w:r w:rsidRPr="00F22FB7">
        <w:rPr>
          <w:rFonts w:eastAsia="Calibri"/>
          <w:sz w:val="24"/>
          <w:szCs w:val="24"/>
          <w:lang w:val="es-GT" w:eastAsia="en-US"/>
        </w:rPr>
        <w:t xml:space="preserve">Cabe mencionar que pese a que las otras obligaciones por pagar del INDE representa el </w:t>
      </w:r>
      <w:r>
        <w:rPr>
          <w:rFonts w:eastAsia="Calibri"/>
          <w:sz w:val="24"/>
          <w:szCs w:val="24"/>
          <w:lang w:val="es-GT" w:eastAsia="en-US"/>
        </w:rPr>
        <w:t>2</w:t>
      </w:r>
      <w:r w:rsidRPr="00F22FB7">
        <w:rPr>
          <w:rFonts w:eastAsia="Calibri"/>
          <w:sz w:val="24"/>
          <w:szCs w:val="24"/>
          <w:lang w:val="es-GT" w:eastAsia="en-US"/>
        </w:rPr>
        <w:t>.</w:t>
      </w:r>
      <w:r>
        <w:rPr>
          <w:rFonts w:eastAsia="Calibri"/>
          <w:sz w:val="24"/>
          <w:szCs w:val="24"/>
          <w:lang w:val="es-GT" w:eastAsia="en-US"/>
        </w:rPr>
        <w:t>4</w:t>
      </w:r>
      <w:r w:rsidRPr="00F22FB7">
        <w:rPr>
          <w:rFonts w:eastAsia="Calibri"/>
          <w:sz w:val="24"/>
          <w:szCs w:val="24"/>
          <w:lang w:val="es-GT" w:eastAsia="en-US"/>
        </w:rPr>
        <w:t>% (Q6</w:t>
      </w:r>
      <w:r>
        <w:rPr>
          <w:rFonts w:eastAsia="Calibri"/>
          <w:sz w:val="24"/>
          <w:szCs w:val="24"/>
          <w:lang w:val="es-GT" w:eastAsia="en-US"/>
        </w:rPr>
        <w:t>7</w:t>
      </w:r>
      <w:r w:rsidRPr="00F22FB7">
        <w:rPr>
          <w:rFonts w:eastAsia="Calibri"/>
          <w:sz w:val="24"/>
          <w:szCs w:val="24"/>
          <w:lang w:val="es-GT" w:eastAsia="en-US"/>
        </w:rPr>
        <w:t>.</w:t>
      </w:r>
      <w:r>
        <w:rPr>
          <w:rFonts w:eastAsia="Calibri"/>
          <w:sz w:val="24"/>
          <w:szCs w:val="24"/>
          <w:lang w:val="es-GT" w:eastAsia="en-US"/>
        </w:rPr>
        <w:t>4</w:t>
      </w:r>
      <w:r w:rsidRPr="00F22FB7">
        <w:rPr>
          <w:rFonts w:eastAsia="Calibri"/>
          <w:sz w:val="24"/>
          <w:szCs w:val="24"/>
          <w:lang w:val="es-GT" w:eastAsia="en-US"/>
        </w:rPr>
        <w:t xml:space="preserve"> millones) de sus ingresos totales, en relación con todo subgrupo institucional este significa el </w:t>
      </w:r>
      <w:r>
        <w:rPr>
          <w:rFonts w:eastAsia="Calibri"/>
          <w:sz w:val="24"/>
          <w:szCs w:val="24"/>
          <w:lang w:val="es-GT" w:eastAsia="en-US"/>
        </w:rPr>
        <w:t>34</w:t>
      </w:r>
      <w:r w:rsidRPr="00F22FB7">
        <w:rPr>
          <w:rFonts w:eastAsia="Calibri"/>
          <w:sz w:val="24"/>
          <w:szCs w:val="24"/>
          <w:lang w:val="es-GT" w:eastAsia="en-US"/>
        </w:rPr>
        <w:t>.</w:t>
      </w:r>
      <w:r>
        <w:rPr>
          <w:rFonts w:eastAsia="Calibri"/>
          <w:sz w:val="24"/>
          <w:szCs w:val="24"/>
          <w:lang w:val="es-GT" w:eastAsia="en-US"/>
        </w:rPr>
        <w:t>5</w:t>
      </w:r>
      <w:r w:rsidRPr="00F22FB7">
        <w:rPr>
          <w:rFonts w:eastAsia="Calibri"/>
          <w:sz w:val="24"/>
          <w:szCs w:val="24"/>
          <w:lang w:val="es-GT" w:eastAsia="en-US"/>
        </w:rPr>
        <w:t xml:space="preserve">% de todas las otras obligaciones por pagar. </w:t>
      </w:r>
      <w:r>
        <w:rPr>
          <w:rFonts w:eastAsia="Calibri"/>
          <w:sz w:val="24"/>
          <w:szCs w:val="24"/>
          <w:lang w:val="es-GT" w:eastAsia="en-US"/>
        </w:rPr>
        <w:t xml:space="preserve">Dichas </w:t>
      </w:r>
      <w:r>
        <w:rPr>
          <w:rFonts w:eastAsia="Calibri"/>
          <w:sz w:val="24"/>
          <w:szCs w:val="24"/>
          <w:lang w:val="es-GT" w:eastAsia="en-US"/>
        </w:rPr>
        <w:lastRenderedPageBreak/>
        <w:t>obligaciones financieras provienen principalmente de</w:t>
      </w:r>
      <w:r w:rsidRPr="00F22FB7">
        <w:rPr>
          <w:rFonts w:eastAsia="Calibri"/>
          <w:sz w:val="24"/>
          <w:szCs w:val="24"/>
          <w:lang w:val="es-GT" w:eastAsia="en-US"/>
        </w:rPr>
        <w:t xml:space="preserve"> gastos de personal a pagar</w:t>
      </w:r>
      <w:r>
        <w:rPr>
          <w:rFonts w:eastAsia="Calibri"/>
          <w:sz w:val="24"/>
          <w:szCs w:val="24"/>
          <w:lang w:val="es-GT" w:eastAsia="en-US"/>
        </w:rPr>
        <w:t xml:space="preserve"> que representan el 97% del total de sus otras cuentas por pagar</w:t>
      </w:r>
      <w:r w:rsidRPr="00F22FB7">
        <w:rPr>
          <w:rFonts w:eastAsia="Calibri"/>
          <w:sz w:val="24"/>
          <w:szCs w:val="24"/>
          <w:lang w:val="es-GT" w:eastAsia="en-US"/>
        </w:rPr>
        <w:t>.</w:t>
      </w:r>
    </w:p>
    <w:p w14:paraId="72F1E8CE" w14:textId="457D17D5" w:rsidR="00927DEC" w:rsidRDefault="00927DEC" w:rsidP="009F7577">
      <w:pPr>
        <w:widowControl/>
        <w:ind w:left="567"/>
        <w:jc w:val="both"/>
        <w:rPr>
          <w:rFonts w:eastAsia="Calibri"/>
          <w:sz w:val="24"/>
          <w:szCs w:val="24"/>
          <w:lang w:val="es-GT" w:eastAsia="en-US"/>
        </w:rPr>
      </w:pPr>
    </w:p>
    <w:p w14:paraId="67081174" w14:textId="5F757932" w:rsidR="00443AD4" w:rsidRPr="0083128A" w:rsidRDefault="00443AD4" w:rsidP="00443AD4">
      <w:pPr>
        <w:pStyle w:val="Prrafodelista"/>
        <w:numPr>
          <w:ilvl w:val="2"/>
          <w:numId w:val="5"/>
        </w:numPr>
        <w:ind w:left="1134" w:hanging="425"/>
        <w:outlineLvl w:val="1"/>
        <w:rPr>
          <w:b/>
          <w:color w:val="1F3864" w:themeColor="accent1" w:themeShade="80"/>
          <w:sz w:val="24"/>
          <w:szCs w:val="24"/>
        </w:rPr>
      </w:pPr>
      <w:bookmarkStart w:id="75" w:name="_Toc83302183"/>
      <w:r w:rsidRPr="0083128A">
        <w:rPr>
          <w:b/>
          <w:color w:val="1F3864" w:themeColor="accent1" w:themeShade="80"/>
          <w:sz w:val="24"/>
          <w:szCs w:val="24"/>
        </w:rPr>
        <w:t>Liquidez Financiera</w:t>
      </w:r>
      <w:bookmarkEnd w:id="75"/>
    </w:p>
    <w:p w14:paraId="38B749A2" w14:textId="77777777" w:rsidR="00443AD4" w:rsidRPr="0083128A" w:rsidRDefault="00443AD4" w:rsidP="00443AD4">
      <w:pPr>
        <w:pStyle w:val="Prrafodelista"/>
        <w:ind w:left="1134"/>
        <w:outlineLvl w:val="1"/>
        <w:rPr>
          <w:b/>
          <w:color w:val="1F3864" w:themeColor="accent1" w:themeShade="80"/>
          <w:sz w:val="24"/>
          <w:szCs w:val="24"/>
        </w:rPr>
      </w:pPr>
    </w:p>
    <w:p w14:paraId="3B927F62" w14:textId="75D24024" w:rsidR="00443AD4" w:rsidRPr="0083128A" w:rsidRDefault="00443AD4" w:rsidP="00E8039C">
      <w:pPr>
        <w:widowControl/>
        <w:ind w:left="567"/>
        <w:jc w:val="both"/>
        <w:rPr>
          <w:rFonts w:eastAsia="Calibri"/>
          <w:sz w:val="24"/>
          <w:szCs w:val="24"/>
          <w:lang w:val="es-GT" w:eastAsia="en-US"/>
        </w:rPr>
      </w:pPr>
      <w:r w:rsidRPr="0083128A">
        <w:rPr>
          <w:rFonts w:eastAsia="Calibri"/>
          <w:sz w:val="24"/>
          <w:szCs w:val="24"/>
          <w:lang w:val="es-GT" w:eastAsia="en-US"/>
        </w:rPr>
        <w:t xml:space="preserve">Las Empresas Públicas No Financieras Nacionales, han mantenido un alto nivel de liquidez. Se observa que el mismo ha fluctuado a lo largo del tiempo, pasando de ser 21.4 veces mayor sus activos corrientes respecto a sus pasivos corrientes en el año 2016 a ser 14.5 veces mayor en 2020, por abajo del promedio que es de 16.8 veces en dichos años. Cabe mencionar que la reducción de liquidez no debe ser considerado como un indicador negativo, ya que mantener un alto grado de liquidez implica también la existencia de recursos ociosos y considerando que estas son empresas públicas, una liquidez muy alta puede ser contraproducente para el giro del negocio. También es importante recalcar que el tener el indicador de liquidez financiera menor a 1 </w:t>
      </w:r>
      <w:r w:rsidR="002E016C" w:rsidRPr="0083128A">
        <w:rPr>
          <w:rFonts w:eastAsia="Calibri"/>
          <w:sz w:val="24"/>
          <w:szCs w:val="24"/>
          <w:lang w:val="es-GT" w:eastAsia="en-US"/>
        </w:rPr>
        <w:t xml:space="preserve">puede ser </w:t>
      </w:r>
      <w:r w:rsidRPr="0083128A">
        <w:rPr>
          <w:rFonts w:eastAsia="Calibri"/>
          <w:sz w:val="24"/>
          <w:szCs w:val="24"/>
          <w:lang w:val="es-GT" w:eastAsia="en-US"/>
        </w:rPr>
        <w:t xml:space="preserve">considerado como </w:t>
      </w:r>
      <w:r w:rsidR="002E016C" w:rsidRPr="0083128A">
        <w:rPr>
          <w:rFonts w:eastAsia="Calibri"/>
          <w:sz w:val="24"/>
          <w:szCs w:val="24"/>
          <w:lang w:val="es-GT" w:eastAsia="en-US"/>
        </w:rPr>
        <w:t xml:space="preserve">un </w:t>
      </w:r>
      <w:r w:rsidRPr="0083128A">
        <w:rPr>
          <w:rFonts w:eastAsia="Calibri"/>
          <w:sz w:val="24"/>
          <w:szCs w:val="24"/>
          <w:lang w:val="es-GT" w:eastAsia="en-US"/>
        </w:rPr>
        <w:t>riesgo, derivado a problemas que puedan surgir en las capacidades financieras para hacer frente a compromisos de pago a corto plazo.</w:t>
      </w:r>
    </w:p>
    <w:p w14:paraId="421C4AF9" w14:textId="77777777" w:rsidR="00D25E76" w:rsidRPr="0083128A" w:rsidRDefault="00D25E76" w:rsidP="00443AD4">
      <w:pPr>
        <w:tabs>
          <w:tab w:val="left" w:pos="2980"/>
        </w:tabs>
        <w:jc w:val="both"/>
        <w:rPr>
          <w:sz w:val="24"/>
          <w:szCs w:val="24"/>
        </w:rPr>
      </w:pPr>
    </w:p>
    <w:p w14:paraId="3CB57794" w14:textId="01DAD4E7" w:rsidR="00D25E76" w:rsidRPr="0083128A" w:rsidRDefault="0006386A" w:rsidP="00D25E76">
      <w:pPr>
        <w:tabs>
          <w:tab w:val="left" w:pos="2980"/>
        </w:tabs>
        <w:jc w:val="center"/>
        <w:rPr>
          <w:sz w:val="24"/>
          <w:szCs w:val="24"/>
        </w:rPr>
      </w:pPr>
      <w:r w:rsidRPr="00B51A48">
        <w:rPr>
          <w:noProof/>
          <w:lang w:val="es-GT" w:eastAsia="es-GT"/>
        </w:rPr>
        <w:drawing>
          <wp:inline distT="0" distB="0" distL="0" distR="0" wp14:anchorId="43265DDC" wp14:editId="523A1D9C">
            <wp:extent cx="4800600" cy="2198077"/>
            <wp:effectExtent l="0" t="0" r="0" b="12065"/>
            <wp:docPr id="29" name="Gráfico 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E918498-F267-49AB-ACC1-DA4525193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0578F9F" w14:textId="44108713" w:rsidR="00443AD4" w:rsidRPr="0083128A" w:rsidRDefault="00443AD4" w:rsidP="00E8039C">
      <w:pPr>
        <w:widowControl/>
        <w:ind w:left="567"/>
        <w:jc w:val="both"/>
        <w:rPr>
          <w:rFonts w:eastAsia="Calibri"/>
          <w:sz w:val="24"/>
          <w:szCs w:val="24"/>
          <w:lang w:val="es-GT" w:eastAsia="en-US"/>
        </w:rPr>
      </w:pPr>
      <w:r w:rsidRPr="0083128A">
        <w:rPr>
          <w:rFonts w:eastAsia="Calibri"/>
          <w:sz w:val="24"/>
          <w:szCs w:val="24"/>
          <w:lang w:val="es-GT" w:eastAsia="en-US"/>
        </w:rPr>
        <w:t>En términos individuales, sobresale la Empresa Portuaria Nacional de Champerico (EPNCH) como la empresa con el mayor indicador de liquidez, siendo este en 123.6 veces mayor seguido de Indeca con 48.4 veces y EPQ con un 21.2 veces. Estas entidades tienen un nivel de liquidez muy por encima del resto de entidades y esto puede ser un indicador de contar con recursos ociosos que podría ser invertidos para el fortalecimiento institucional por medio de inversiones. Por el contrario, Fegua tiene el menor indicador de liquidez, siendo este solamente 0.6 veces mayor sus activos corrientes respecto a sus pasivos corrientes, esto podría convertirse en un riesgo institucional de liquidez si no se mejora el indicador.</w:t>
      </w:r>
    </w:p>
    <w:p w14:paraId="491AADC8" w14:textId="77777777" w:rsidR="009F59C3" w:rsidRPr="0083128A" w:rsidRDefault="009F59C3" w:rsidP="00D25E76">
      <w:pPr>
        <w:tabs>
          <w:tab w:val="left" w:pos="2980"/>
        </w:tabs>
        <w:jc w:val="both"/>
        <w:rPr>
          <w:sz w:val="24"/>
          <w:szCs w:val="24"/>
        </w:rPr>
      </w:pPr>
    </w:p>
    <w:p w14:paraId="16223B9B" w14:textId="77777777" w:rsidR="00A145BD" w:rsidRPr="0083128A" w:rsidRDefault="00443AD4" w:rsidP="00A145BD">
      <w:pPr>
        <w:contextualSpacing/>
        <w:jc w:val="center"/>
        <w:rPr>
          <w:sz w:val="18"/>
          <w:szCs w:val="24"/>
        </w:rPr>
      </w:pPr>
      <w:r w:rsidRPr="0083128A">
        <w:rPr>
          <w:noProof/>
          <w:lang w:val="es-GT" w:eastAsia="es-GT"/>
        </w:rPr>
        <w:lastRenderedPageBreak/>
        <w:drawing>
          <wp:inline distT="0" distB="0" distL="0" distR="0" wp14:anchorId="46616F22" wp14:editId="1B8B54A3">
            <wp:extent cx="5864469" cy="2637693"/>
            <wp:effectExtent l="0" t="0" r="3175" b="0"/>
            <wp:docPr id="27" name="Gráfico 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AF93B66-AE5B-45A4-A13B-012059F65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A2DAA7E" w14:textId="22B85F06" w:rsidR="00443AD4" w:rsidRPr="0083128A" w:rsidRDefault="00443AD4" w:rsidP="00A145BD">
      <w:pPr>
        <w:ind w:left="709"/>
        <w:contextualSpacing/>
        <w:rPr>
          <w:rFonts w:ascii="Arial" w:eastAsiaTheme="minorEastAsia" w:hAnsi="Arial" w:cs="Arial"/>
          <w:color w:val="44546A" w:themeColor="text2"/>
          <w:kern w:val="24"/>
          <w:lang w:val="es-ES" w:eastAsia="es-GT"/>
        </w:rPr>
      </w:pPr>
      <w:r w:rsidRPr="0083128A">
        <w:rPr>
          <w:sz w:val="18"/>
          <w:szCs w:val="24"/>
        </w:rPr>
        <w:t>Fuente: Sicoin</w:t>
      </w:r>
    </w:p>
    <w:p w14:paraId="1514BC65" w14:textId="77777777" w:rsidR="00706DBC" w:rsidRPr="0083128A" w:rsidRDefault="00706DBC" w:rsidP="00706DBC">
      <w:pPr>
        <w:widowControl/>
        <w:ind w:left="567"/>
        <w:jc w:val="both"/>
        <w:rPr>
          <w:rFonts w:eastAsia="Calibri"/>
          <w:sz w:val="24"/>
          <w:szCs w:val="24"/>
          <w:lang w:val="es-GT" w:eastAsia="en-US"/>
        </w:rPr>
      </w:pPr>
    </w:p>
    <w:p w14:paraId="2A865F98" w14:textId="0BB3475D" w:rsidR="00EE5A93" w:rsidRDefault="00706DBC" w:rsidP="00DA0C58">
      <w:pPr>
        <w:widowControl/>
        <w:tabs>
          <w:tab w:val="left" w:pos="993"/>
        </w:tabs>
        <w:ind w:left="567"/>
        <w:jc w:val="both"/>
        <w:rPr>
          <w:rFonts w:eastAsia="Calibri"/>
          <w:sz w:val="24"/>
          <w:szCs w:val="22"/>
          <w:lang w:val="es-GT" w:eastAsia="en-US"/>
        </w:rPr>
      </w:pPr>
      <w:r w:rsidRPr="0083128A">
        <w:rPr>
          <w:rFonts w:eastAsia="Calibri"/>
          <w:sz w:val="24"/>
          <w:szCs w:val="22"/>
          <w:lang w:val="es-GT" w:eastAsia="en-US"/>
        </w:rPr>
        <w:t xml:space="preserve">Para finalizar, como subgrupo institucional, las Empresas Públicas No Financieras Nacionales no se encuentran en una situación en la que pueda catalogarse como de alto riesgo dado que las principales entidades </w:t>
      </w:r>
      <w:r w:rsidR="00765E35" w:rsidRPr="0083128A">
        <w:rPr>
          <w:rFonts w:eastAsia="Calibri"/>
          <w:sz w:val="24"/>
          <w:szCs w:val="22"/>
          <w:lang w:val="es-GT" w:eastAsia="en-US"/>
        </w:rPr>
        <w:t>(</w:t>
      </w:r>
      <w:r w:rsidRPr="0083128A">
        <w:rPr>
          <w:rFonts w:eastAsia="Calibri"/>
          <w:sz w:val="24"/>
          <w:szCs w:val="22"/>
          <w:lang w:val="es-GT" w:eastAsia="en-US"/>
        </w:rPr>
        <w:t>EPQ, E</w:t>
      </w:r>
      <w:r w:rsidR="00762095" w:rsidRPr="0083128A">
        <w:rPr>
          <w:rFonts w:eastAsia="Calibri"/>
          <w:sz w:val="24"/>
          <w:szCs w:val="22"/>
          <w:lang w:val="es-GT" w:eastAsia="en-US"/>
        </w:rPr>
        <w:t>mp</w:t>
      </w:r>
      <w:r w:rsidRPr="0083128A">
        <w:rPr>
          <w:rFonts w:eastAsia="Calibri"/>
          <w:sz w:val="24"/>
          <w:szCs w:val="22"/>
          <w:lang w:val="es-GT" w:eastAsia="en-US"/>
        </w:rPr>
        <w:t>o</w:t>
      </w:r>
      <w:r w:rsidR="00762095" w:rsidRPr="0083128A">
        <w:rPr>
          <w:rFonts w:eastAsia="Calibri"/>
          <w:sz w:val="24"/>
          <w:szCs w:val="22"/>
          <w:lang w:val="es-GT" w:eastAsia="en-US"/>
        </w:rPr>
        <w:t>r</w:t>
      </w:r>
      <w:r w:rsidRPr="0083128A">
        <w:rPr>
          <w:rFonts w:eastAsia="Calibri"/>
          <w:sz w:val="24"/>
          <w:szCs w:val="22"/>
          <w:lang w:val="es-GT" w:eastAsia="en-US"/>
        </w:rPr>
        <w:t>nac y el INDE</w:t>
      </w:r>
      <w:r w:rsidR="00765E35" w:rsidRPr="0083128A">
        <w:rPr>
          <w:rFonts w:eastAsia="Calibri"/>
          <w:sz w:val="24"/>
          <w:szCs w:val="22"/>
          <w:lang w:val="es-GT" w:eastAsia="en-US"/>
        </w:rPr>
        <w:t>)</w:t>
      </w:r>
      <w:r w:rsidRPr="0083128A">
        <w:rPr>
          <w:rFonts w:eastAsia="Calibri"/>
          <w:sz w:val="24"/>
          <w:szCs w:val="22"/>
          <w:lang w:val="es-GT" w:eastAsia="en-US"/>
        </w:rPr>
        <w:t xml:space="preserve"> han mantenido superávits en los últimos años</w:t>
      </w:r>
      <w:r w:rsidR="00C10694" w:rsidRPr="0083128A">
        <w:rPr>
          <w:rFonts w:eastAsia="Calibri"/>
          <w:sz w:val="24"/>
          <w:szCs w:val="22"/>
          <w:lang w:val="es-GT" w:eastAsia="en-US"/>
        </w:rPr>
        <w:t>, a</w:t>
      </w:r>
      <w:r w:rsidRPr="0083128A">
        <w:rPr>
          <w:rFonts w:eastAsia="Calibri"/>
          <w:sz w:val="24"/>
          <w:szCs w:val="22"/>
          <w:lang w:val="es-GT" w:eastAsia="en-US"/>
        </w:rPr>
        <w:t>demás</w:t>
      </w:r>
      <w:r w:rsidR="00C10694" w:rsidRPr="0083128A">
        <w:rPr>
          <w:rFonts w:eastAsia="Calibri"/>
          <w:sz w:val="24"/>
          <w:szCs w:val="22"/>
          <w:lang w:val="es-GT" w:eastAsia="en-US"/>
        </w:rPr>
        <w:t xml:space="preserve"> sus</w:t>
      </w:r>
      <w:r w:rsidRPr="0083128A">
        <w:rPr>
          <w:rFonts w:eastAsia="Calibri"/>
          <w:sz w:val="24"/>
          <w:szCs w:val="22"/>
          <w:lang w:val="es-GT" w:eastAsia="en-US"/>
        </w:rPr>
        <w:t xml:space="preserve"> activos financieros (depósitos e inversiones) superan el monto de </w:t>
      </w:r>
      <w:r w:rsidR="006D1734" w:rsidRPr="0083128A">
        <w:rPr>
          <w:rFonts w:eastAsia="Calibri"/>
          <w:sz w:val="24"/>
          <w:szCs w:val="22"/>
          <w:lang w:val="es-GT" w:eastAsia="en-US"/>
        </w:rPr>
        <w:t>las</w:t>
      </w:r>
      <w:r w:rsidRPr="0083128A">
        <w:rPr>
          <w:rFonts w:eastAsia="Calibri"/>
          <w:sz w:val="24"/>
          <w:szCs w:val="22"/>
          <w:lang w:val="es-GT" w:eastAsia="en-US"/>
        </w:rPr>
        <w:t xml:space="preserve"> obligaciones</w:t>
      </w:r>
      <w:r w:rsidR="006D1734" w:rsidRPr="0083128A">
        <w:rPr>
          <w:rFonts w:eastAsia="Calibri"/>
          <w:sz w:val="24"/>
          <w:szCs w:val="22"/>
          <w:lang w:val="es-GT" w:eastAsia="en-US"/>
        </w:rPr>
        <w:t xml:space="preserve"> financieras por pagar</w:t>
      </w:r>
      <w:r w:rsidRPr="0083128A">
        <w:rPr>
          <w:rFonts w:eastAsia="Calibri"/>
          <w:sz w:val="24"/>
          <w:szCs w:val="22"/>
          <w:lang w:val="es-GT" w:eastAsia="en-US"/>
        </w:rPr>
        <w:t xml:space="preserve">. </w:t>
      </w:r>
      <w:r w:rsidR="00EE5A93" w:rsidRPr="0083128A">
        <w:rPr>
          <w:rFonts w:eastAsia="Calibri"/>
          <w:sz w:val="24"/>
          <w:szCs w:val="22"/>
          <w:lang w:val="es-GT" w:eastAsia="en-US"/>
        </w:rPr>
        <w:t>Mientras que, a nivel individual,</w:t>
      </w:r>
      <w:r w:rsidR="006339A4" w:rsidRPr="0083128A">
        <w:rPr>
          <w:rFonts w:eastAsia="Calibri"/>
          <w:sz w:val="24"/>
          <w:szCs w:val="22"/>
          <w:lang w:val="es-GT" w:eastAsia="en-US"/>
        </w:rPr>
        <w:t xml:space="preserve"> el caso de</w:t>
      </w:r>
      <w:r w:rsidR="00EE5A93" w:rsidRPr="0083128A">
        <w:rPr>
          <w:rFonts w:eastAsia="Calibri"/>
          <w:sz w:val="24"/>
          <w:szCs w:val="22"/>
          <w:lang w:val="es-GT" w:eastAsia="en-US"/>
        </w:rPr>
        <w:t xml:space="preserve"> </w:t>
      </w:r>
      <w:r w:rsidR="006339A4" w:rsidRPr="0083128A">
        <w:rPr>
          <w:rFonts w:eastAsia="Calibri"/>
          <w:sz w:val="24"/>
          <w:szCs w:val="22"/>
          <w:lang w:val="es-GT" w:eastAsia="en-US"/>
        </w:rPr>
        <w:t xml:space="preserve">EPNCH y de Fegua muestran problemas operacionales </w:t>
      </w:r>
      <w:r w:rsidR="002C6107" w:rsidRPr="0083128A">
        <w:rPr>
          <w:rFonts w:eastAsia="Calibri"/>
          <w:sz w:val="24"/>
          <w:szCs w:val="22"/>
          <w:lang w:val="es-GT" w:eastAsia="en-US"/>
        </w:rPr>
        <w:t>dado que estas</w:t>
      </w:r>
      <w:r w:rsidR="00DA0C58" w:rsidRPr="0083128A">
        <w:rPr>
          <w:rFonts w:eastAsia="Calibri"/>
          <w:sz w:val="24"/>
          <w:szCs w:val="22"/>
          <w:lang w:val="es-GT" w:eastAsia="en-US"/>
        </w:rPr>
        <w:t xml:space="preserve"> entidades que no están funcionando realmente como empresas</w:t>
      </w:r>
      <w:r w:rsidR="002C6107" w:rsidRPr="0083128A">
        <w:rPr>
          <w:rFonts w:eastAsia="Calibri"/>
          <w:sz w:val="24"/>
          <w:szCs w:val="22"/>
          <w:lang w:val="es-GT" w:eastAsia="en-US"/>
        </w:rPr>
        <w:t xml:space="preserve">, dependiendo fuertemente de los aportes que realiza la administración central para financiar sus gastos operacionales </w:t>
      </w:r>
      <w:r w:rsidR="00762095" w:rsidRPr="0083128A">
        <w:rPr>
          <w:rFonts w:eastAsia="Calibri"/>
          <w:sz w:val="24"/>
          <w:szCs w:val="22"/>
          <w:lang w:val="es-GT" w:eastAsia="en-US"/>
        </w:rPr>
        <w:t>y,</w:t>
      </w:r>
      <w:r w:rsidR="002C6107" w:rsidRPr="0083128A">
        <w:rPr>
          <w:rFonts w:eastAsia="Calibri"/>
          <w:sz w:val="24"/>
          <w:szCs w:val="22"/>
          <w:lang w:val="es-GT" w:eastAsia="en-US"/>
        </w:rPr>
        <w:t xml:space="preserve"> por lo tanto</w:t>
      </w:r>
      <w:r w:rsidR="00480E2C" w:rsidRPr="0083128A">
        <w:rPr>
          <w:rFonts w:eastAsia="Calibri"/>
          <w:sz w:val="24"/>
          <w:szCs w:val="22"/>
          <w:lang w:val="es-GT" w:eastAsia="en-US"/>
        </w:rPr>
        <w:t>, las mismas</w:t>
      </w:r>
      <w:r w:rsidR="002C6107" w:rsidRPr="0083128A">
        <w:rPr>
          <w:rFonts w:eastAsia="Calibri"/>
          <w:sz w:val="24"/>
          <w:szCs w:val="22"/>
          <w:lang w:val="es-GT" w:eastAsia="en-US"/>
        </w:rPr>
        <w:t xml:space="preserve"> </w:t>
      </w:r>
      <w:r w:rsidR="00DA0C58" w:rsidRPr="0083128A">
        <w:rPr>
          <w:rFonts w:eastAsia="Calibri"/>
          <w:sz w:val="24"/>
          <w:szCs w:val="22"/>
          <w:lang w:val="es-GT" w:eastAsia="en-US"/>
        </w:rPr>
        <w:t>n</w:t>
      </w:r>
      <w:r w:rsidR="00002212" w:rsidRPr="0083128A">
        <w:rPr>
          <w:rFonts w:eastAsia="Calibri"/>
          <w:sz w:val="24"/>
          <w:szCs w:val="22"/>
          <w:lang w:val="es-GT" w:eastAsia="en-US"/>
        </w:rPr>
        <w:t xml:space="preserve">o han sido </w:t>
      </w:r>
      <w:r w:rsidR="00DA0C58" w:rsidRPr="0083128A">
        <w:rPr>
          <w:rFonts w:eastAsia="Calibri"/>
          <w:sz w:val="24"/>
          <w:szCs w:val="22"/>
          <w:lang w:val="es-GT" w:eastAsia="en-US"/>
        </w:rPr>
        <w:t>rentables</w:t>
      </w:r>
      <w:r w:rsidR="00480E2C" w:rsidRPr="0083128A">
        <w:rPr>
          <w:rFonts w:eastAsia="Calibri"/>
          <w:sz w:val="24"/>
          <w:szCs w:val="22"/>
          <w:lang w:val="es-GT" w:eastAsia="en-US"/>
        </w:rPr>
        <w:t xml:space="preserve"> en términos de ganancias operativas</w:t>
      </w:r>
      <w:r w:rsidR="00DA0C58" w:rsidRPr="0083128A">
        <w:rPr>
          <w:rFonts w:eastAsia="Calibri"/>
          <w:sz w:val="24"/>
          <w:szCs w:val="22"/>
          <w:lang w:val="es-GT" w:eastAsia="en-US"/>
        </w:rPr>
        <w:t>.</w:t>
      </w:r>
    </w:p>
    <w:p w14:paraId="371B90E1" w14:textId="77777777" w:rsidR="00706DBC" w:rsidRPr="00F22FB7" w:rsidRDefault="00706DBC" w:rsidP="00706DBC">
      <w:pPr>
        <w:widowControl/>
        <w:ind w:left="567"/>
        <w:jc w:val="both"/>
        <w:rPr>
          <w:rFonts w:eastAsia="Calibri"/>
          <w:sz w:val="24"/>
          <w:szCs w:val="22"/>
          <w:lang w:val="es-GT" w:eastAsia="en-US"/>
        </w:rPr>
      </w:pPr>
    </w:p>
    <w:p w14:paraId="5AAC443A" w14:textId="77777777" w:rsidR="00706DBC" w:rsidRPr="00F00ACB" w:rsidRDefault="00706DBC" w:rsidP="00706DBC">
      <w:pPr>
        <w:pStyle w:val="Ttulo1"/>
        <w:widowControl/>
        <w:numPr>
          <w:ilvl w:val="0"/>
          <w:numId w:val="5"/>
        </w:numPr>
        <w:ind w:right="49"/>
        <w:jc w:val="left"/>
        <w:rPr>
          <w:color w:val="1F3864" w:themeColor="accent1" w:themeShade="80"/>
          <w:sz w:val="28"/>
          <w:szCs w:val="24"/>
        </w:rPr>
      </w:pPr>
      <w:bookmarkStart w:id="76" w:name="_Toc83302184"/>
      <w:r w:rsidRPr="00F00ACB">
        <w:rPr>
          <w:color w:val="1F3864" w:themeColor="accent1" w:themeShade="80"/>
          <w:sz w:val="28"/>
          <w:szCs w:val="24"/>
        </w:rPr>
        <w:t>Pasivos contingentes por Demandas Judiciales contra el Estado</w:t>
      </w:r>
      <w:bookmarkEnd w:id="76"/>
    </w:p>
    <w:p w14:paraId="1DC241E9" w14:textId="77777777" w:rsidR="00706DBC" w:rsidRPr="00706DBC" w:rsidRDefault="00706DBC" w:rsidP="004C5FE3">
      <w:pPr>
        <w:ind w:left="567"/>
        <w:jc w:val="both"/>
        <w:rPr>
          <w:rFonts w:eastAsia="OptimaLTStd"/>
          <w:color w:val="FF0000"/>
          <w:sz w:val="24"/>
          <w:szCs w:val="24"/>
        </w:rPr>
      </w:pPr>
    </w:p>
    <w:p w14:paraId="40673D25" w14:textId="77777777" w:rsidR="00706DBC" w:rsidRPr="00306F57" w:rsidRDefault="00706DBC" w:rsidP="009F1BCF">
      <w:pPr>
        <w:pStyle w:val="Ttulo1"/>
        <w:widowControl/>
        <w:numPr>
          <w:ilvl w:val="1"/>
          <w:numId w:val="5"/>
        </w:numPr>
        <w:ind w:left="993" w:right="49"/>
        <w:jc w:val="left"/>
        <w:rPr>
          <w:color w:val="1F3864" w:themeColor="accent1" w:themeShade="80"/>
          <w:sz w:val="24"/>
          <w:szCs w:val="24"/>
        </w:rPr>
      </w:pPr>
      <w:bookmarkStart w:id="77" w:name="_Toc83302185"/>
      <w:r>
        <w:rPr>
          <w:color w:val="1F3864" w:themeColor="accent1" w:themeShade="80"/>
          <w:sz w:val="24"/>
          <w:szCs w:val="24"/>
        </w:rPr>
        <w:t>Aspectos generales</w:t>
      </w:r>
      <w:bookmarkEnd w:id="77"/>
    </w:p>
    <w:p w14:paraId="0D58FBF6" w14:textId="77777777" w:rsidR="00E25BDC" w:rsidRDefault="00E25BDC" w:rsidP="00706DBC">
      <w:pPr>
        <w:ind w:left="567"/>
        <w:jc w:val="both"/>
        <w:rPr>
          <w:sz w:val="24"/>
          <w:szCs w:val="24"/>
        </w:rPr>
      </w:pPr>
    </w:p>
    <w:p w14:paraId="76160642" w14:textId="79BAC65E" w:rsidR="00706DBC" w:rsidRDefault="00CC6121" w:rsidP="00706DBC">
      <w:pPr>
        <w:ind w:left="567"/>
        <w:jc w:val="both"/>
        <w:rPr>
          <w:sz w:val="24"/>
          <w:szCs w:val="24"/>
        </w:rPr>
      </w:pPr>
      <w:r>
        <w:rPr>
          <w:sz w:val="24"/>
          <w:szCs w:val="24"/>
        </w:rPr>
        <w:t>L</w:t>
      </w:r>
      <w:r w:rsidR="00706DBC" w:rsidRPr="00B43A63">
        <w:rPr>
          <w:sz w:val="24"/>
          <w:szCs w:val="24"/>
        </w:rPr>
        <w:t>os pasivos contingentes son “las obligaciones fiscales potenciales que surgen de hechos pasados ​​y cuya materialización será confirmada por la ocurrencia o no de uno o más hechos futuros inciertos que pueden no caer enteramente dentro del control de la entidad pública”</w:t>
      </w:r>
      <w:r w:rsidR="00706DBC" w:rsidRPr="00B43A63">
        <w:rPr>
          <w:rStyle w:val="Refdenotaalpie"/>
          <w:sz w:val="24"/>
          <w:szCs w:val="24"/>
        </w:rPr>
        <w:footnoteReference w:id="2"/>
      </w:r>
      <w:r w:rsidR="00706DBC" w:rsidRPr="00B43A63">
        <w:rPr>
          <w:sz w:val="24"/>
          <w:szCs w:val="24"/>
        </w:rPr>
        <w:t xml:space="preserve">. </w:t>
      </w:r>
    </w:p>
    <w:p w14:paraId="45FB10AE" w14:textId="77777777" w:rsidR="00706DBC" w:rsidRPr="00B43A63" w:rsidRDefault="00706DBC" w:rsidP="00706DBC">
      <w:pPr>
        <w:ind w:left="567"/>
        <w:jc w:val="both"/>
        <w:rPr>
          <w:sz w:val="24"/>
          <w:szCs w:val="24"/>
        </w:rPr>
      </w:pPr>
    </w:p>
    <w:p w14:paraId="2A82AC56" w14:textId="75FE097C" w:rsidR="00706DBC" w:rsidRDefault="00706DBC" w:rsidP="00706DBC">
      <w:pPr>
        <w:ind w:left="567"/>
        <w:jc w:val="both"/>
        <w:rPr>
          <w:sz w:val="24"/>
          <w:szCs w:val="24"/>
        </w:rPr>
      </w:pPr>
      <w:r w:rsidRPr="00B43A63">
        <w:rPr>
          <w:sz w:val="24"/>
          <w:szCs w:val="24"/>
        </w:rPr>
        <w:t>En ese sentido, demandas judiciales en contra del Estado, aplican como una contingencia que podría surgir en el futuro por los actos que el gobierno ha realizado para el cumplimiento de la función pública que ante la ocurrencia de un determinado evento generó en una demanda contra el Estado.</w:t>
      </w:r>
      <w:r w:rsidR="009F7577">
        <w:rPr>
          <w:sz w:val="24"/>
          <w:szCs w:val="24"/>
        </w:rPr>
        <w:t xml:space="preserve">  </w:t>
      </w:r>
      <w:r w:rsidRPr="00B43A63">
        <w:rPr>
          <w:sz w:val="24"/>
          <w:szCs w:val="24"/>
        </w:rPr>
        <w:t xml:space="preserve">Se puede observar que existe una tendencia al alza de casos judiciales en los que el Estado es parte procesal, lo cual comenzó a hacerse notable en el contexto de las profundas reformas normativas e institucionales en América Latina y en Guatemala en las dos últimas décadas.  Además, de las modificaciones legales que se introdujeron para extender el ámbito de los derechos públicos al conjunto de la ciudadanía, así como también la notable mejora del acceso de la población a los servicios de los tribunales, que aplica muy bien en el caso de las </w:t>
      </w:r>
      <w:r w:rsidRPr="00B43A63">
        <w:rPr>
          <w:sz w:val="24"/>
          <w:szCs w:val="24"/>
        </w:rPr>
        <w:lastRenderedPageBreak/>
        <w:t>demandas laborales o de proveedores y contratistas del Estado, así como las relacionadas con Derechos Humanos. Asimismo, otros factores han contribuido al continuo aumento de casos en los que el Estado es parte, derivado de inversiones directas de compañías extranjeras relacionadas a privatizaciones, concesiones para explotación minera, entre otras.</w:t>
      </w:r>
      <w:r w:rsidR="0003265F">
        <w:rPr>
          <w:sz w:val="24"/>
          <w:szCs w:val="24"/>
        </w:rPr>
        <w:t xml:space="preserve"> </w:t>
      </w:r>
    </w:p>
    <w:p w14:paraId="2DBED5AE" w14:textId="13C0B78A" w:rsidR="003C74C1" w:rsidRDefault="003C74C1" w:rsidP="00706DBC">
      <w:pPr>
        <w:ind w:left="567"/>
        <w:jc w:val="both"/>
        <w:rPr>
          <w:sz w:val="24"/>
          <w:szCs w:val="24"/>
        </w:rPr>
      </w:pPr>
    </w:p>
    <w:p w14:paraId="630A6CFB" w14:textId="77777777" w:rsidR="003C74C1" w:rsidRDefault="003C74C1" w:rsidP="003C74C1">
      <w:pPr>
        <w:ind w:left="567"/>
        <w:jc w:val="both"/>
        <w:rPr>
          <w:sz w:val="24"/>
          <w:szCs w:val="24"/>
        </w:rPr>
      </w:pPr>
      <w:r w:rsidRPr="00B43A63">
        <w:rPr>
          <w:sz w:val="24"/>
          <w:szCs w:val="24"/>
        </w:rPr>
        <w:t xml:space="preserve">Las demandas interpuestas contra el Estado vienen acompañadas de pretensiones económicas en la forma de indemnizaciones o reparaciones por el daño supuestamente infligido por la administración pública. Esto preocupa a los responsables de las cuentas públicas, principalmente al Ministerio de Finanzas Públicas, ya que debe lograr cuantificar estas pretensiones y traducirlas en riesgos fiscales en forma de pasivos contingentes. </w:t>
      </w:r>
    </w:p>
    <w:p w14:paraId="2203BFEA" w14:textId="77777777" w:rsidR="003C74C1" w:rsidRPr="00B43A63" w:rsidRDefault="003C74C1" w:rsidP="003C74C1">
      <w:pPr>
        <w:ind w:left="567"/>
        <w:jc w:val="both"/>
        <w:rPr>
          <w:sz w:val="24"/>
          <w:szCs w:val="24"/>
        </w:rPr>
      </w:pPr>
    </w:p>
    <w:p w14:paraId="04E6289D" w14:textId="7D99FF7A" w:rsidR="003C74C1" w:rsidRDefault="003C74C1" w:rsidP="003C74C1">
      <w:pPr>
        <w:ind w:left="567"/>
        <w:jc w:val="both"/>
        <w:rPr>
          <w:rFonts w:eastAsia="OptimaLTStd"/>
          <w:color w:val="FF0000"/>
          <w:sz w:val="24"/>
          <w:szCs w:val="24"/>
          <w:lang w:val="es-GT"/>
        </w:rPr>
      </w:pPr>
      <w:r w:rsidRPr="00B43A63">
        <w:rPr>
          <w:sz w:val="24"/>
          <w:szCs w:val="24"/>
        </w:rPr>
        <w:t>Lo anterior muestra la importancia que tiene en la actualidad los servicios jurídicos del Estado para reducir el riesgo fiscal que representan las demandas contra el Estado. La efectividad de los organismos de defensa jurídica como la Procuraduría General de la Nación o la contratación adecuada de juristas internacionales para defender los casos por arbitraje internacional puede coadyuvar a reducir los costos por litigios y por ende la mitigación del riesgo fiscal respectivo.</w:t>
      </w:r>
    </w:p>
    <w:p w14:paraId="721A2526" w14:textId="77777777" w:rsidR="00706DBC" w:rsidRPr="00B43A63" w:rsidRDefault="00706DBC" w:rsidP="00706DBC">
      <w:pPr>
        <w:ind w:left="567"/>
        <w:jc w:val="both"/>
        <w:rPr>
          <w:sz w:val="24"/>
          <w:szCs w:val="24"/>
        </w:rPr>
      </w:pPr>
    </w:p>
    <w:p w14:paraId="284C6B27" w14:textId="77777777" w:rsidR="009F1BCF" w:rsidRPr="00306F57" w:rsidRDefault="009F1BCF" w:rsidP="009F1BCF">
      <w:pPr>
        <w:pStyle w:val="Ttulo1"/>
        <w:widowControl/>
        <w:numPr>
          <w:ilvl w:val="1"/>
          <w:numId w:val="5"/>
        </w:numPr>
        <w:ind w:left="993" w:right="49"/>
        <w:jc w:val="left"/>
        <w:rPr>
          <w:color w:val="1F3864" w:themeColor="accent1" w:themeShade="80"/>
          <w:sz w:val="24"/>
          <w:szCs w:val="24"/>
        </w:rPr>
      </w:pPr>
      <w:bookmarkStart w:id="78" w:name="_Toc83302186"/>
      <w:r>
        <w:rPr>
          <w:color w:val="1F3864" w:themeColor="accent1" w:themeShade="80"/>
          <w:sz w:val="24"/>
          <w:szCs w:val="24"/>
        </w:rPr>
        <w:t>Evolución del gasto en sentencias judiciales</w:t>
      </w:r>
      <w:bookmarkEnd w:id="78"/>
    </w:p>
    <w:p w14:paraId="16B77390" w14:textId="77777777" w:rsidR="00706DBC" w:rsidRPr="009F1BCF" w:rsidRDefault="00706DBC" w:rsidP="004C5FE3">
      <w:pPr>
        <w:ind w:left="567"/>
        <w:jc w:val="both"/>
        <w:rPr>
          <w:rFonts w:eastAsia="OptimaLTStd"/>
          <w:color w:val="FF0000"/>
          <w:sz w:val="24"/>
          <w:szCs w:val="24"/>
        </w:rPr>
      </w:pPr>
    </w:p>
    <w:p w14:paraId="16D91E3A" w14:textId="6155431A" w:rsidR="009F1BCF" w:rsidRDefault="009F1BCF" w:rsidP="009F1BCF">
      <w:pPr>
        <w:ind w:left="567"/>
        <w:jc w:val="both"/>
        <w:rPr>
          <w:sz w:val="24"/>
          <w:szCs w:val="24"/>
        </w:rPr>
      </w:pPr>
      <w:r w:rsidRPr="00B43A63">
        <w:rPr>
          <w:sz w:val="24"/>
          <w:szCs w:val="24"/>
        </w:rPr>
        <w:t>Se analizó el comportamiento del gasto en sentencias judiciales que ha realizado el gobierno en el período 2010-2021, en el cual se observa que, en los primeros 5 años el gasto se mantuvo más o menos constante con un promedio de Q62.5 millones anuales. Sin embargo, recientemente ha experimentado un comportamiento creciente, principalmente a partir de 2016 en donde este tipo de gasto ha crecido de manera importante, a excepción de 2020. La causa principal de este comportamiento es derivada de las sentencias de los tribunales de justicia asociados en su mayoría a demandas de índole laboral en los diferentes ministerios y secretarías de Estado</w:t>
      </w:r>
      <w:r w:rsidR="005254D1">
        <w:rPr>
          <w:sz w:val="24"/>
          <w:szCs w:val="24"/>
        </w:rPr>
        <w:t>,</w:t>
      </w:r>
      <w:r w:rsidR="005254D1" w:rsidRPr="005254D1">
        <w:rPr>
          <w:sz w:val="24"/>
          <w:szCs w:val="24"/>
        </w:rPr>
        <w:t xml:space="preserve"> entre lo que destaca, el pago de prestaciones del personal temporal (029) ya que según la apreciación de las autoridades de justicia las personas, bajo este renglón, en realidad estuvieron ejerciendo funciones de personal permanente por lo que la resolución indica que amerita el pago de sus prestaciones al finalizar sus labores.  Asimismo, hay casos de reinstalación de trabajadores por despidos, así como demandas que provienen por cumplimiento de Pactos Colectivos en algunas entidades que puede generar el pago retroactivo de algún beneficio económico, entre otras causas.</w:t>
      </w:r>
    </w:p>
    <w:p w14:paraId="2269526A" w14:textId="77777777" w:rsidR="009F1BCF" w:rsidRPr="00B43A63" w:rsidRDefault="009F1BCF" w:rsidP="009F1BCF">
      <w:pPr>
        <w:ind w:left="567"/>
        <w:jc w:val="both"/>
        <w:rPr>
          <w:sz w:val="24"/>
          <w:szCs w:val="24"/>
        </w:rPr>
      </w:pPr>
    </w:p>
    <w:p w14:paraId="3D8B80F4" w14:textId="49543385" w:rsidR="009F1BCF" w:rsidRDefault="009F1BCF" w:rsidP="009F1BCF">
      <w:pPr>
        <w:ind w:left="567"/>
        <w:jc w:val="both"/>
        <w:rPr>
          <w:sz w:val="24"/>
          <w:szCs w:val="24"/>
        </w:rPr>
      </w:pPr>
      <w:r w:rsidRPr="00B43A63">
        <w:rPr>
          <w:sz w:val="24"/>
          <w:szCs w:val="24"/>
        </w:rPr>
        <w:t>Sin embargo, es importante indicar que en 2019 hubo eventos extraordinarios como es el caso de lo acontecido en el Ministerio de Salud Pública y Asistencia Social, en el cual este gasto aumentó de manera considerable debido a la resolución del tribunal de justicia como resultado de un conflicto colectivo de carácter económico social contra el Estado de Guatemala y el Ministerio de Salud Pública y Asistencia Social (Hospital General San Juan de Dios</w:t>
      </w:r>
      <w:r w:rsidR="006D6239">
        <w:rPr>
          <w:sz w:val="24"/>
          <w:szCs w:val="24"/>
        </w:rPr>
        <w:t xml:space="preserve">) cuya </w:t>
      </w:r>
      <w:r w:rsidRPr="00B43A63">
        <w:rPr>
          <w:sz w:val="24"/>
          <w:szCs w:val="24"/>
        </w:rPr>
        <w:t>resolución tuvo un impacto de al menos Q100.0 millones sobre lo pagado</w:t>
      </w:r>
      <w:r>
        <w:rPr>
          <w:sz w:val="24"/>
          <w:szCs w:val="24"/>
        </w:rPr>
        <w:t xml:space="preserve">, </w:t>
      </w:r>
      <w:r w:rsidRPr="00B43A63">
        <w:rPr>
          <w:sz w:val="24"/>
          <w:szCs w:val="24"/>
        </w:rPr>
        <w:t>en promedio, en años anteriores.</w:t>
      </w:r>
    </w:p>
    <w:p w14:paraId="2BDEDF51" w14:textId="77777777" w:rsidR="009F1BCF" w:rsidRPr="00B43A63" w:rsidRDefault="009F1BCF" w:rsidP="009F1BCF">
      <w:pPr>
        <w:ind w:left="567"/>
        <w:jc w:val="both"/>
        <w:rPr>
          <w:sz w:val="24"/>
          <w:szCs w:val="24"/>
        </w:rPr>
      </w:pPr>
    </w:p>
    <w:p w14:paraId="2029F5A1" w14:textId="77777777" w:rsidR="009F1BCF" w:rsidRDefault="009F1BCF" w:rsidP="009F1BCF">
      <w:pPr>
        <w:ind w:left="567"/>
        <w:jc w:val="both"/>
        <w:rPr>
          <w:sz w:val="24"/>
          <w:szCs w:val="24"/>
        </w:rPr>
      </w:pPr>
      <w:r w:rsidRPr="00B43A63">
        <w:rPr>
          <w:sz w:val="24"/>
          <w:szCs w:val="24"/>
        </w:rPr>
        <w:t>Asimismo, en 2019 en la Comisión Presidencial Coordinadora de la Política del Ejecutivo en Materia de Derechos Humanos tuvo que atender gastos adicionales derivado de sentencias internacionales en materia de derechos humanos que fue cerca de Q40.0 millones adicionales a lo realizado en 2018, es importante indicar que en 2020 esta obligación disminuyó nuevamente.</w:t>
      </w:r>
    </w:p>
    <w:p w14:paraId="04C0D4BE" w14:textId="77777777" w:rsidR="009F1BCF" w:rsidRPr="00B43A63" w:rsidRDefault="009F1BCF" w:rsidP="009F1BCF">
      <w:pPr>
        <w:ind w:left="567"/>
        <w:jc w:val="both"/>
        <w:rPr>
          <w:sz w:val="24"/>
          <w:szCs w:val="24"/>
        </w:rPr>
      </w:pPr>
    </w:p>
    <w:p w14:paraId="74AE39CA" w14:textId="58144249" w:rsidR="00706DBC" w:rsidRDefault="009F1BCF" w:rsidP="009F1BCF">
      <w:pPr>
        <w:ind w:left="567"/>
        <w:jc w:val="both"/>
        <w:rPr>
          <w:rFonts w:eastAsia="OptimaLTStd"/>
          <w:color w:val="FF0000"/>
          <w:sz w:val="24"/>
          <w:szCs w:val="24"/>
          <w:lang w:val="es-GT"/>
        </w:rPr>
      </w:pPr>
      <w:r w:rsidRPr="00B43A63">
        <w:rPr>
          <w:sz w:val="24"/>
          <w:szCs w:val="24"/>
        </w:rPr>
        <w:t xml:space="preserve">El año en donde se reporta el mayor aumento en términos de pago por sentencias judiciales fue en </w:t>
      </w:r>
      <w:r w:rsidRPr="00B43A63">
        <w:rPr>
          <w:sz w:val="24"/>
          <w:szCs w:val="24"/>
        </w:rPr>
        <w:lastRenderedPageBreak/>
        <w:t>2020, en donde apareció un nuevo tipo de sentencia procedente de arbitrajes internacionales, en la cual el Ministerio de Economía tuvo que realizar un pago por Q292.5 millones, derivado del laudo dictado a favor de Teco Guatemala Holdings LLC</w:t>
      </w:r>
      <w:r w:rsidR="005254D1">
        <w:rPr>
          <w:sz w:val="24"/>
          <w:szCs w:val="24"/>
        </w:rPr>
        <w:t xml:space="preserve">; </w:t>
      </w:r>
      <w:r w:rsidR="005254D1" w:rsidRPr="005254D1">
        <w:rPr>
          <w:sz w:val="24"/>
          <w:szCs w:val="24"/>
        </w:rPr>
        <w:t>en el cual por segunda vez el Estado de Guatemala tuvo una resolución en contra por un tribunal internacional de arbitraje de materia de inversión, ya que el primer caso fue derivado de la demanda realizada por Railroad Development Corporation, la cual se pagó en 2013 por FEGUA que es una empresa pública por ende dicho pago no aparece en los registros del gobierno central.</w:t>
      </w:r>
    </w:p>
    <w:p w14:paraId="5AEBE022" w14:textId="2545005A" w:rsidR="009F1BCF" w:rsidRDefault="009F1BCF" w:rsidP="009F1BCF">
      <w:pPr>
        <w:jc w:val="both"/>
        <w:rPr>
          <w:sz w:val="24"/>
          <w:szCs w:val="24"/>
        </w:rPr>
      </w:pPr>
    </w:p>
    <w:p w14:paraId="26026BF8" w14:textId="7B46DFCD" w:rsidR="009F1BCF" w:rsidRPr="009F1BCF" w:rsidRDefault="00814706" w:rsidP="009F1BCF">
      <w:pPr>
        <w:ind w:left="567"/>
        <w:jc w:val="center"/>
        <w:rPr>
          <w:b/>
          <w:sz w:val="24"/>
          <w:szCs w:val="24"/>
        </w:rPr>
      </w:pPr>
      <w:r>
        <w:rPr>
          <w:b/>
          <w:sz w:val="24"/>
          <w:szCs w:val="24"/>
        </w:rPr>
        <w:t>Gráfi</w:t>
      </w:r>
      <w:r w:rsidR="00AF7163">
        <w:rPr>
          <w:b/>
          <w:sz w:val="24"/>
          <w:szCs w:val="24"/>
        </w:rPr>
        <w:t>ca 58</w:t>
      </w:r>
      <w:r>
        <w:rPr>
          <w:b/>
          <w:sz w:val="24"/>
          <w:szCs w:val="24"/>
        </w:rPr>
        <w:t xml:space="preserve">.  </w:t>
      </w:r>
      <w:r w:rsidR="009F1BCF" w:rsidRPr="009F1BCF">
        <w:rPr>
          <w:b/>
          <w:sz w:val="24"/>
          <w:szCs w:val="24"/>
        </w:rPr>
        <w:t>Gasto en Sentencias Judiciales</w:t>
      </w:r>
    </w:p>
    <w:p w14:paraId="45F4C6FC" w14:textId="77777777" w:rsidR="009F1BCF" w:rsidRPr="009F7577" w:rsidRDefault="009F1BCF" w:rsidP="009F1BCF">
      <w:pPr>
        <w:ind w:left="567"/>
        <w:jc w:val="center"/>
        <w:rPr>
          <w:sz w:val="22"/>
          <w:szCs w:val="24"/>
        </w:rPr>
      </w:pPr>
      <w:r w:rsidRPr="009F7577">
        <w:rPr>
          <w:sz w:val="22"/>
          <w:szCs w:val="24"/>
        </w:rPr>
        <w:t>2010 – 2021*</w:t>
      </w:r>
    </w:p>
    <w:p w14:paraId="5A828CBC" w14:textId="77777777" w:rsidR="009F1BCF" w:rsidRPr="009F7577" w:rsidRDefault="009F1BCF" w:rsidP="009F1BCF">
      <w:pPr>
        <w:ind w:left="567"/>
        <w:jc w:val="center"/>
        <w:rPr>
          <w:sz w:val="22"/>
          <w:szCs w:val="24"/>
        </w:rPr>
      </w:pPr>
      <w:r w:rsidRPr="009F7577">
        <w:rPr>
          <w:sz w:val="22"/>
          <w:szCs w:val="24"/>
        </w:rPr>
        <w:t>Millones de quetzales</w:t>
      </w:r>
    </w:p>
    <w:p w14:paraId="5D5DE44F" w14:textId="77777777" w:rsidR="009F1BCF" w:rsidRPr="00B43A63" w:rsidRDefault="009F1BCF" w:rsidP="009F1BCF">
      <w:pPr>
        <w:ind w:left="708"/>
        <w:jc w:val="both"/>
        <w:rPr>
          <w:sz w:val="24"/>
          <w:szCs w:val="24"/>
        </w:rPr>
      </w:pPr>
      <w:r w:rsidRPr="00B43A63">
        <w:rPr>
          <w:noProof/>
          <w:sz w:val="24"/>
          <w:szCs w:val="24"/>
          <w:lang w:val="es-GT" w:eastAsia="es-GT"/>
        </w:rPr>
        <w:drawing>
          <wp:inline distT="0" distB="0" distL="0" distR="0" wp14:anchorId="02859418" wp14:editId="1582C9E6">
            <wp:extent cx="5591908" cy="2101361"/>
            <wp:effectExtent l="0" t="0" r="889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60C86A2" w14:textId="77777777" w:rsidR="009F1BCF" w:rsidRDefault="009F1BCF" w:rsidP="009F1BCF">
      <w:pPr>
        <w:jc w:val="both"/>
        <w:rPr>
          <w:sz w:val="24"/>
          <w:szCs w:val="24"/>
        </w:rPr>
      </w:pPr>
      <w:r>
        <w:rPr>
          <w:sz w:val="24"/>
          <w:szCs w:val="24"/>
        </w:rPr>
        <w:tab/>
      </w:r>
    </w:p>
    <w:p w14:paraId="5995F02F" w14:textId="77777777" w:rsidR="00706DBC" w:rsidRDefault="009F1BCF" w:rsidP="009F1BCF">
      <w:pPr>
        <w:ind w:left="567"/>
        <w:jc w:val="both"/>
        <w:rPr>
          <w:rFonts w:eastAsia="OptimaLTStd"/>
          <w:color w:val="FF0000"/>
          <w:sz w:val="24"/>
          <w:szCs w:val="24"/>
          <w:lang w:val="es-GT"/>
        </w:rPr>
      </w:pPr>
      <w:r w:rsidRPr="00B43A63">
        <w:rPr>
          <w:sz w:val="24"/>
          <w:szCs w:val="24"/>
        </w:rPr>
        <w:t>Merece especial atención, el hecho de que, aunque este gasto ha mostrado un comportamiento creciente en los últimos años, su participación en términos de los ingresos tributarios es relativamente baja, ya que esta relación en todos los años es menor al 1%, destacando que para el periodo 2010-2017 representó entre 0.1% y 0.2% de los ingresos tributarios, entre 2018-2019 se ubicó entre 0.3% y 0.5% respectivamente, y solo en 2020, dado la sentencia por arbitraje internacional de inversión, este indicador se situó en 0.7%.  Asimismo, se espera que para 2021 se ubique nuevamente en torno al 0.2% y de no darse eventos extraordinarios se puede afirmar que para el período 2022-2026, este indicador podría ubicarse entre 0.2% y 0.4% en cada año.</w:t>
      </w:r>
    </w:p>
    <w:p w14:paraId="682C1450" w14:textId="2F60DC88" w:rsidR="00F00ACB" w:rsidRDefault="00F00ACB" w:rsidP="004C5FE3">
      <w:pPr>
        <w:ind w:left="567"/>
        <w:jc w:val="both"/>
        <w:rPr>
          <w:rFonts w:eastAsia="OptimaLTStd"/>
          <w:color w:val="FF0000"/>
          <w:sz w:val="24"/>
          <w:szCs w:val="24"/>
          <w:lang w:val="es-GT"/>
        </w:rPr>
      </w:pPr>
    </w:p>
    <w:p w14:paraId="31F90D3F" w14:textId="3AA092CF" w:rsidR="00B51A48" w:rsidRDefault="00B51A48" w:rsidP="004C5FE3">
      <w:pPr>
        <w:ind w:left="567"/>
        <w:jc w:val="both"/>
        <w:rPr>
          <w:rFonts w:eastAsia="OptimaLTStd"/>
          <w:color w:val="FF0000"/>
          <w:sz w:val="24"/>
          <w:szCs w:val="24"/>
          <w:lang w:val="es-GT"/>
        </w:rPr>
      </w:pPr>
    </w:p>
    <w:p w14:paraId="3D2CF2C8" w14:textId="2622D3D8" w:rsidR="00B51A48" w:rsidRDefault="00B51A48" w:rsidP="004C5FE3">
      <w:pPr>
        <w:ind w:left="567"/>
        <w:jc w:val="both"/>
        <w:rPr>
          <w:rFonts w:eastAsia="OptimaLTStd"/>
          <w:color w:val="FF0000"/>
          <w:sz w:val="24"/>
          <w:szCs w:val="24"/>
          <w:lang w:val="es-GT"/>
        </w:rPr>
      </w:pPr>
    </w:p>
    <w:p w14:paraId="2125D891" w14:textId="77777777" w:rsidR="00B51A48" w:rsidRDefault="00B51A48" w:rsidP="004C5FE3">
      <w:pPr>
        <w:ind w:left="567"/>
        <w:jc w:val="both"/>
        <w:rPr>
          <w:rFonts w:eastAsia="OptimaLTStd"/>
          <w:color w:val="FF0000"/>
          <w:sz w:val="24"/>
          <w:szCs w:val="24"/>
          <w:lang w:val="es-GT"/>
        </w:rPr>
      </w:pPr>
    </w:p>
    <w:p w14:paraId="7E1427B6" w14:textId="77777777" w:rsidR="009F1BCF" w:rsidRPr="00306F57" w:rsidRDefault="009F1BCF" w:rsidP="009F1BCF">
      <w:pPr>
        <w:pStyle w:val="Ttulo1"/>
        <w:widowControl/>
        <w:numPr>
          <w:ilvl w:val="1"/>
          <w:numId w:val="5"/>
        </w:numPr>
        <w:ind w:left="993" w:right="49"/>
        <w:jc w:val="left"/>
        <w:rPr>
          <w:color w:val="1F3864" w:themeColor="accent1" w:themeShade="80"/>
          <w:sz w:val="24"/>
          <w:szCs w:val="24"/>
        </w:rPr>
      </w:pPr>
      <w:bookmarkStart w:id="79" w:name="_Toc83302187"/>
      <w:r>
        <w:rPr>
          <w:color w:val="1F3864" w:themeColor="accent1" w:themeShade="80"/>
          <w:sz w:val="24"/>
          <w:szCs w:val="24"/>
        </w:rPr>
        <w:t>Arbitraje internacional</w:t>
      </w:r>
      <w:bookmarkEnd w:id="79"/>
    </w:p>
    <w:p w14:paraId="66446B79" w14:textId="77777777" w:rsidR="00706DBC" w:rsidRDefault="00706DBC" w:rsidP="004C5FE3">
      <w:pPr>
        <w:ind w:left="567"/>
        <w:jc w:val="both"/>
        <w:rPr>
          <w:rFonts w:eastAsia="OptimaLTStd"/>
          <w:color w:val="FF0000"/>
          <w:sz w:val="24"/>
          <w:szCs w:val="24"/>
        </w:rPr>
      </w:pPr>
    </w:p>
    <w:p w14:paraId="69DBF29F" w14:textId="77777777" w:rsidR="009F1BCF" w:rsidRPr="00B43A63" w:rsidRDefault="009F1BCF" w:rsidP="009F1BCF">
      <w:pPr>
        <w:pStyle w:val="Sinespaciado"/>
        <w:ind w:left="567"/>
        <w:jc w:val="both"/>
        <w:rPr>
          <w:rFonts w:ascii="Times New Roman" w:hAnsi="Times New Roman"/>
          <w:sz w:val="24"/>
          <w:szCs w:val="24"/>
          <w:lang w:val="es-MX"/>
        </w:rPr>
      </w:pPr>
      <w:r w:rsidRPr="00B43A63">
        <w:rPr>
          <w:rFonts w:ascii="Times New Roman" w:hAnsi="Times New Roman"/>
          <w:sz w:val="24"/>
          <w:szCs w:val="24"/>
          <w:lang w:val="es-MX"/>
        </w:rPr>
        <w:t>Dada la importancia que tuvo en 2020, este tipo de sentencias, en este apartado se trata de definir y evaluar en la medida de lo posible este tipo de demandas judiciales para la mejor compresión de los analistas económicos.</w:t>
      </w:r>
    </w:p>
    <w:p w14:paraId="35F7ACA8" w14:textId="77777777" w:rsidR="009F1BCF" w:rsidRPr="00B43A63" w:rsidRDefault="009F1BCF" w:rsidP="009F1BCF">
      <w:pPr>
        <w:pStyle w:val="Sinespaciado"/>
        <w:ind w:left="567"/>
        <w:jc w:val="both"/>
        <w:rPr>
          <w:rFonts w:ascii="Times New Roman" w:hAnsi="Times New Roman"/>
          <w:sz w:val="24"/>
          <w:szCs w:val="24"/>
          <w:lang w:val="es-MX"/>
        </w:rPr>
      </w:pPr>
    </w:p>
    <w:p w14:paraId="79A77C46" w14:textId="77777777" w:rsidR="009F1BCF" w:rsidRPr="00B43A63" w:rsidRDefault="009F1BCF" w:rsidP="009F1BCF">
      <w:pPr>
        <w:pStyle w:val="Sinespaciado"/>
        <w:ind w:left="567"/>
        <w:jc w:val="both"/>
        <w:rPr>
          <w:rFonts w:ascii="Times New Roman" w:hAnsi="Times New Roman"/>
          <w:sz w:val="24"/>
          <w:szCs w:val="24"/>
          <w:u w:val="single"/>
          <w:lang w:val="es-MX"/>
        </w:rPr>
      </w:pPr>
      <w:r w:rsidRPr="00B43A63">
        <w:rPr>
          <w:rFonts w:ascii="Times New Roman" w:hAnsi="Times New Roman"/>
          <w:sz w:val="24"/>
          <w:szCs w:val="24"/>
          <w:lang w:val="es-MX"/>
        </w:rPr>
        <w:t>El arbitraje es un método alternativo de resolución de conflictos mayormente usado para dilucidar disputas comerciales internacionales, en los mismos las partes deciden no someter su controversia a la jurisdicción de un país, sino a la tutela de un tribunal arbitral.</w:t>
      </w:r>
    </w:p>
    <w:p w14:paraId="29578211" w14:textId="77777777" w:rsidR="009F1BCF" w:rsidRPr="00B43A63" w:rsidRDefault="009F1BCF" w:rsidP="009F1BCF">
      <w:pPr>
        <w:pStyle w:val="Sinespaciado"/>
        <w:ind w:left="567"/>
        <w:jc w:val="both"/>
        <w:rPr>
          <w:rFonts w:ascii="Times New Roman" w:hAnsi="Times New Roman"/>
          <w:sz w:val="24"/>
          <w:szCs w:val="24"/>
          <w:u w:val="single"/>
          <w:lang w:val="es-MX"/>
        </w:rPr>
      </w:pPr>
    </w:p>
    <w:p w14:paraId="1D258ABD" w14:textId="26A6855A" w:rsidR="009F1BCF" w:rsidRDefault="009F1BCF" w:rsidP="009F1BCF">
      <w:pPr>
        <w:pStyle w:val="Sinespaciado"/>
        <w:ind w:left="567"/>
        <w:jc w:val="both"/>
        <w:rPr>
          <w:rFonts w:ascii="Times New Roman" w:hAnsi="Times New Roman"/>
          <w:sz w:val="24"/>
          <w:szCs w:val="24"/>
          <w:lang w:val="es-MX"/>
        </w:rPr>
      </w:pPr>
      <w:r w:rsidRPr="00B43A63">
        <w:rPr>
          <w:rFonts w:ascii="Times New Roman" w:hAnsi="Times New Roman"/>
          <w:sz w:val="24"/>
          <w:szCs w:val="24"/>
          <w:lang w:val="es-MX"/>
        </w:rPr>
        <w:lastRenderedPageBreak/>
        <w:t xml:space="preserve">Para que exista un arbitraje internacional, debe de existir un instrumento que permita a los Estados o inversionistas someterse a la jurisdicción de un tribunal arbitral, regularmente esto se materializa por medio de cláusulas de arbitraje contenidas en Acuerdos de Inversión, Tratados de Libre Comercio o Acuerdos Comerciales entre Estados, en las mismas se establece regularmente que de existir algún tipo de controversia entre las partes siempre que las mismas no pueda solucionarla mediante consultas o negociaciones, podrán someterse a arbitraje. </w:t>
      </w:r>
    </w:p>
    <w:p w14:paraId="5D56A19D" w14:textId="66F4F256" w:rsidR="005254D1" w:rsidRDefault="005254D1" w:rsidP="009F1BCF">
      <w:pPr>
        <w:pStyle w:val="Sinespaciado"/>
        <w:ind w:left="567"/>
        <w:jc w:val="both"/>
        <w:rPr>
          <w:rFonts w:ascii="Times New Roman" w:hAnsi="Times New Roman"/>
          <w:sz w:val="24"/>
          <w:szCs w:val="24"/>
          <w:lang w:val="es-MX"/>
        </w:rPr>
      </w:pPr>
    </w:p>
    <w:p w14:paraId="38203C74" w14:textId="77777777" w:rsidR="005254D1" w:rsidRDefault="005254D1" w:rsidP="005254D1">
      <w:pPr>
        <w:pStyle w:val="Sinespaciado"/>
        <w:ind w:left="567"/>
        <w:jc w:val="both"/>
        <w:rPr>
          <w:rFonts w:ascii="Times New Roman" w:hAnsi="Times New Roman"/>
          <w:sz w:val="24"/>
          <w:szCs w:val="24"/>
          <w:lang w:val="es-MX"/>
        </w:rPr>
      </w:pPr>
      <w:r w:rsidRPr="00B43A63">
        <w:rPr>
          <w:rFonts w:ascii="Times New Roman" w:hAnsi="Times New Roman"/>
          <w:sz w:val="24"/>
          <w:szCs w:val="24"/>
          <w:lang w:val="es-MX"/>
        </w:rPr>
        <w:t>Aunque no existe una clasificación doctrinaria de los arbitrajes, estos se podrían dividir de la siguiente forma:</w:t>
      </w:r>
    </w:p>
    <w:p w14:paraId="47BC1085" w14:textId="77777777" w:rsidR="005254D1" w:rsidRPr="00B43A63" w:rsidRDefault="005254D1" w:rsidP="005254D1">
      <w:pPr>
        <w:pStyle w:val="Sinespaciado"/>
        <w:ind w:left="567"/>
        <w:jc w:val="both"/>
        <w:rPr>
          <w:rFonts w:ascii="Times New Roman" w:hAnsi="Times New Roman"/>
          <w:sz w:val="24"/>
          <w:szCs w:val="24"/>
          <w:lang w:val="es-MX"/>
        </w:rPr>
      </w:pPr>
    </w:p>
    <w:p w14:paraId="14D2AB1E" w14:textId="7D3CC60D" w:rsidR="005254D1" w:rsidRPr="00B43A63" w:rsidRDefault="005254D1" w:rsidP="005254D1">
      <w:pPr>
        <w:pStyle w:val="Sinespaciado"/>
        <w:numPr>
          <w:ilvl w:val="0"/>
          <w:numId w:val="16"/>
        </w:numPr>
        <w:ind w:left="993"/>
        <w:jc w:val="both"/>
        <w:rPr>
          <w:rFonts w:ascii="Times New Roman" w:hAnsi="Times New Roman"/>
          <w:bCs/>
          <w:sz w:val="24"/>
          <w:szCs w:val="24"/>
          <w:lang w:val="es-MX"/>
        </w:rPr>
      </w:pPr>
      <w:r w:rsidRPr="00B43A63">
        <w:rPr>
          <w:rFonts w:ascii="Times New Roman" w:hAnsi="Times New Roman"/>
          <w:bCs/>
          <w:sz w:val="24"/>
          <w:szCs w:val="24"/>
          <w:lang w:val="es-MX"/>
        </w:rPr>
        <w:t>Doméstico o Nacional: Es el arbitraje en el que un ente especializado denominado Tribunal arbitral, actúa como juez en la solución de una controversia, emitiendo un fallo llamado laudo arbitral, el cual posee los mismos efectos legales que los de una sentencia judicial. Estos arbitrajes se rigen por la ley aplicable de la jurisdicción donde se firma el co</w:t>
      </w:r>
      <w:r>
        <w:rPr>
          <w:rFonts w:ascii="Times New Roman" w:hAnsi="Times New Roman"/>
          <w:bCs/>
          <w:sz w:val="24"/>
          <w:szCs w:val="24"/>
          <w:lang w:val="es-MX"/>
        </w:rPr>
        <w:t>ntrato, convenio, acuerdo, etc.</w:t>
      </w:r>
      <w:r w:rsidRPr="00B43A63">
        <w:rPr>
          <w:rFonts w:ascii="Times New Roman" w:hAnsi="Times New Roman"/>
          <w:bCs/>
          <w:sz w:val="24"/>
          <w:szCs w:val="24"/>
          <w:lang w:val="es-MX"/>
        </w:rPr>
        <w:t xml:space="preserve"> o bien la que se pacte por las partes. </w:t>
      </w:r>
    </w:p>
    <w:p w14:paraId="70FB477B" w14:textId="77777777" w:rsidR="005254D1" w:rsidRPr="00B43A63" w:rsidRDefault="005254D1" w:rsidP="005254D1">
      <w:pPr>
        <w:pStyle w:val="Sinespaciado"/>
        <w:ind w:left="993"/>
        <w:jc w:val="both"/>
        <w:rPr>
          <w:rFonts w:ascii="Times New Roman" w:hAnsi="Times New Roman"/>
          <w:bCs/>
          <w:sz w:val="24"/>
          <w:szCs w:val="24"/>
          <w:lang w:val="es-MX"/>
        </w:rPr>
      </w:pPr>
    </w:p>
    <w:p w14:paraId="72F2329D" w14:textId="77777777" w:rsidR="005254D1" w:rsidRDefault="005254D1" w:rsidP="005254D1">
      <w:pPr>
        <w:pStyle w:val="Sinespaciado"/>
        <w:numPr>
          <w:ilvl w:val="0"/>
          <w:numId w:val="16"/>
        </w:numPr>
        <w:ind w:left="993"/>
        <w:jc w:val="both"/>
        <w:rPr>
          <w:rFonts w:ascii="Times New Roman" w:hAnsi="Times New Roman"/>
          <w:bCs/>
          <w:sz w:val="24"/>
          <w:szCs w:val="24"/>
          <w:lang w:val="es-MX"/>
        </w:rPr>
      </w:pPr>
      <w:r w:rsidRPr="00B43A63">
        <w:rPr>
          <w:rFonts w:ascii="Times New Roman" w:hAnsi="Times New Roman"/>
          <w:bCs/>
          <w:sz w:val="24"/>
          <w:szCs w:val="24"/>
          <w:lang w:val="es-MX"/>
        </w:rPr>
        <w:t xml:space="preserve">Internacionales: Surgen derivado de una relación jurídica que se encuentra supeditada a más de un ordenamiento jurídico, ya sea por:  a) la nacionalidad o el domicilio de las partes, b) lugar de celebración o ejecución del convenio arbitral, c) ley aplicable al procedimiento, d) ley aplicable el fondo de la controversia, e) sede del tribunal arbitral, f) obligación que dio origen al conflicto. Asimismo, el arbitraje internacional se subdivide en: </w:t>
      </w:r>
    </w:p>
    <w:p w14:paraId="508CB7D5" w14:textId="77777777" w:rsidR="005254D1" w:rsidRPr="00B43A63" w:rsidRDefault="005254D1" w:rsidP="005254D1">
      <w:pPr>
        <w:pStyle w:val="Sinespaciado"/>
        <w:jc w:val="both"/>
        <w:rPr>
          <w:rFonts w:ascii="Times New Roman" w:hAnsi="Times New Roman"/>
          <w:bCs/>
          <w:sz w:val="24"/>
          <w:szCs w:val="24"/>
          <w:lang w:val="es-MX"/>
        </w:rPr>
      </w:pPr>
    </w:p>
    <w:p w14:paraId="41753787" w14:textId="77777777" w:rsidR="005254D1" w:rsidRPr="00B43A63" w:rsidRDefault="005254D1" w:rsidP="005254D1">
      <w:pPr>
        <w:pStyle w:val="Sinespaciado"/>
        <w:numPr>
          <w:ilvl w:val="0"/>
          <w:numId w:val="17"/>
        </w:numPr>
        <w:ind w:left="1276"/>
        <w:jc w:val="both"/>
        <w:rPr>
          <w:rFonts w:ascii="Times New Roman" w:hAnsi="Times New Roman"/>
          <w:bCs/>
          <w:sz w:val="24"/>
          <w:szCs w:val="24"/>
          <w:lang w:val="es-MX"/>
        </w:rPr>
      </w:pPr>
      <w:r w:rsidRPr="00B43A63">
        <w:rPr>
          <w:rFonts w:ascii="Times New Roman" w:hAnsi="Times New Roman"/>
          <w:bCs/>
          <w:sz w:val="24"/>
          <w:szCs w:val="24"/>
          <w:lang w:val="es-MX"/>
        </w:rPr>
        <w:t>Arbitraje Comercial Internacional: Es una forma de resolución de conflictos y disputas comerciales entre personas físicas o jurídicas de diferentes Estados, por medio de árbitros designados por estas, de forma voluntaria, para resolver sus desavenencias evitando asistir a los tribunales.</w:t>
      </w:r>
    </w:p>
    <w:p w14:paraId="48E00504" w14:textId="77777777" w:rsidR="005254D1" w:rsidRPr="00B43A63" w:rsidRDefault="005254D1" w:rsidP="005254D1">
      <w:pPr>
        <w:pStyle w:val="Sinespaciado"/>
        <w:numPr>
          <w:ilvl w:val="0"/>
          <w:numId w:val="17"/>
        </w:numPr>
        <w:ind w:left="1276"/>
        <w:jc w:val="both"/>
        <w:rPr>
          <w:rFonts w:ascii="Times New Roman" w:hAnsi="Times New Roman"/>
          <w:sz w:val="24"/>
          <w:szCs w:val="24"/>
          <w:lang w:val="es-MX"/>
        </w:rPr>
      </w:pPr>
      <w:r w:rsidRPr="00B43A63">
        <w:rPr>
          <w:rFonts w:ascii="Times New Roman" w:hAnsi="Times New Roman"/>
          <w:bCs/>
          <w:sz w:val="24"/>
          <w:szCs w:val="24"/>
          <w:lang w:val="es-MX"/>
        </w:rPr>
        <w:t>Arbitraje de Inversión Internacional: También llamados de Solución de controversias inversor-Estado, los cuales surge como una reclamación</w:t>
      </w:r>
      <w:r w:rsidRPr="00B43A63">
        <w:rPr>
          <w:rFonts w:ascii="Times New Roman" w:hAnsi="Times New Roman"/>
          <w:sz w:val="24"/>
          <w:szCs w:val="24"/>
          <w:lang w:val="es-MX"/>
        </w:rPr>
        <w:t xml:space="preserve"> hecha por el inversionista hacia el Estado, en virtud de una afectación a la inversión de este por medio de una violación cometida por el Estado a los términos contenidos en un Acuerdo de Inversión o Tratado de Libre Comercio. También se aplica a demandas de Estados hacia inversores, pero estas son menos comunes. </w:t>
      </w:r>
    </w:p>
    <w:p w14:paraId="552D5586" w14:textId="77777777" w:rsidR="005254D1" w:rsidRPr="00B43A63" w:rsidRDefault="005254D1" w:rsidP="005254D1">
      <w:pPr>
        <w:pStyle w:val="Sinespaciado"/>
        <w:ind w:left="567"/>
        <w:jc w:val="both"/>
        <w:rPr>
          <w:rFonts w:ascii="Times New Roman" w:hAnsi="Times New Roman"/>
          <w:sz w:val="24"/>
          <w:szCs w:val="24"/>
          <w:lang w:val="es-MX"/>
        </w:rPr>
      </w:pPr>
    </w:p>
    <w:p w14:paraId="4736E52C" w14:textId="77777777" w:rsidR="005254D1" w:rsidRPr="00B43A63" w:rsidRDefault="005254D1" w:rsidP="005254D1">
      <w:pPr>
        <w:pStyle w:val="Sinespaciado"/>
        <w:ind w:left="567"/>
        <w:jc w:val="both"/>
        <w:rPr>
          <w:rFonts w:ascii="Times New Roman" w:hAnsi="Times New Roman"/>
          <w:sz w:val="24"/>
          <w:szCs w:val="24"/>
          <w:lang w:val="es-MX"/>
        </w:rPr>
      </w:pPr>
      <w:r w:rsidRPr="00B43A63">
        <w:rPr>
          <w:rFonts w:ascii="Times New Roman" w:hAnsi="Times New Roman"/>
          <w:sz w:val="24"/>
          <w:szCs w:val="24"/>
          <w:lang w:val="es-MX"/>
        </w:rPr>
        <w:t>Por otro lado, es importante conocer el tiempo promedio que puede llevar un proceso de arbitraje.  En ese sentido, un arbitraje de inversión puede demorar en promedio hasta tres años</w:t>
      </w:r>
      <w:r w:rsidRPr="00B43A63">
        <w:rPr>
          <w:rStyle w:val="Refdenotaalpie"/>
          <w:rFonts w:ascii="Times New Roman" w:hAnsi="Times New Roman"/>
          <w:sz w:val="24"/>
          <w:szCs w:val="24"/>
          <w:lang w:val="es-MX"/>
        </w:rPr>
        <w:footnoteReference w:id="3"/>
      </w:r>
      <w:r w:rsidRPr="00B43A63">
        <w:rPr>
          <w:rFonts w:ascii="Times New Roman" w:hAnsi="Times New Roman"/>
          <w:sz w:val="24"/>
          <w:szCs w:val="24"/>
          <w:lang w:val="es-MX"/>
        </w:rPr>
        <w:t xml:space="preserve"> contados desde la constitución del tribunal arbitral hasta la emisión del laudo. Vale la pena resaltar que los laudos arbitrales no son apelables. Sin embargo, están sujetos a ciertos motivos muy limitados de anulación, lo cual en determinado momento podría extender el plazo de la controversia si se plantea una anulación al laudo hasta que este se anule </w:t>
      </w:r>
      <w:r>
        <w:rPr>
          <w:rFonts w:ascii="Times New Roman" w:hAnsi="Times New Roman"/>
          <w:sz w:val="24"/>
          <w:szCs w:val="24"/>
          <w:lang w:val="es-MX"/>
        </w:rPr>
        <w:t>o</w:t>
      </w:r>
      <w:r w:rsidRPr="00B43A63">
        <w:rPr>
          <w:rFonts w:ascii="Times New Roman" w:hAnsi="Times New Roman"/>
          <w:sz w:val="24"/>
          <w:szCs w:val="24"/>
          <w:lang w:val="es-MX"/>
        </w:rPr>
        <w:t xml:space="preserve"> se confirme, lo cual implicaría la extensión del proceso hasta por dos años más.</w:t>
      </w:r>
    </w:p>
    <w:p w14:paraId="5E01BB03" w14:textId="55357F98" w:rsidR="005254D1" w:rsidRDefault="005254D1" w:rsidP="009F1BCF">
      <w:pPr>
        <w:pStyle w:val="Sinespaciado"/>
        <w:ind w:left="567"/>
        <w:jc w:val="both"/>
        <w:rPr>
          <w:rFonts w:ascii="Times New Roman" w:hAnsi="Times New Roman"/>
          <w:sz w:val="24"/>
          <w:szCs w:val="24"/>
          <w:lang w:val="es-MX"/>
        </w:rPr>
      </w:pPr>
    </w:p>
    <w:p w14:paraId="006CBEAB" w14:textId="77777777" w:rsidR="005254D1" w:rsidRPr="00B43A63" w:rsidRDefault="005254D1" w:rsidP="009F1BCF">
      <w:pPr>
        <w:pStyle w:val="Sinespaciado"/>
        <w:ind w:left="567"/>
        <w:jc w:val="both"/>
        <w:rPr>
          <w:rFonts w:ascii="Times New Roman" w:hAnsi="Times New Roman"/>
          <w:sz w:val="24"/>
          <w:szCs w:val="24"/>
          <w:lang w:val="es-MX"/>
        </w:rPr>
      </w:pPr>
    </w:p>
    <w:p w14:paraId="44482FDB" w14:textId="77777777" w:rsidR="009F1BCF" w:rsidRPr="00B43A63" w:rsidRDefault="009F1BCF" w:rsidP="009F1BCF">
      <w:pPr>
        <w:pStyle w:val="Sinespaciado"/>
        <w:ind w:left="567"/>
        <w:jc w:val="both"/>
        <w:rPr>
          <w:rFonts w:ascii="Times New Roman" w:hAnsi="Times New Roman"/>
          <w:sz w:val="24"/>
          <w:szCs w:val="24"/>
          <w:u w:val="single"/>
          <w:lang w:val="es-MX"/>
        </w:rPr>
      </w:pPr>
    </w:p>
    <w:p w14:paraId="3A68B644" w14:textId="77777777" w:rsidR="009F1BCF" w:rsidRPr="00B43A63" w:rsidRDefault="009F1BCF" w:rsidP="009F1BCF">
      <w:pPr>
        <w:pStyle w:val="Sinespaciado"/>
        <w:ind w:left="567"/>
        <w:jc w:val="both"/>
        <w:rPr>
          <w:rFonts w:ascii="Times New Roman" w:hAnsi="Times New Roman"/>
          <w:sz w:val="24"/>
          <w:szCs w:val="24"/>
          <w:lang w:val="es-MX"/>
        </w:rPr>
      </w:pPr>
      <w:r w:rsidRPr="00B43A63">
        <w:rPr>
          <w:rFonts w:ascii="Times New Roman" w:hAnsi="Times New Roman"/>
          <w:sz w:val="24"/>
          <w:szCs w:val="24"/>
          <w:lang w:val="es-MX"/>
        </w:rPr>
        <w:t xml:space="preserve">Las instituciones administradoras de procesos de arbitraje pueden ser: a) Centro internacional de Solución de Controversias de Inversión (CIADI), b) Corte Permanente de Arbitraje (CPA), c) </w:t>
      </w:r>
      <w:r w:rsidRPr="00B43A63">
        <w:rPr>
          <w:rFonts w:ascii="Times New Roman" w:hAnsi="Times New Roman"/>
          <w:sz w:val="24"/>
          <w:szCs w:val="24"/>
          <w:lang w:val="es-MX"/>
        </w:rPr>
        <w:lastRenderedPageBreak/>
        <w:t>Cámara Internacional de Comercio (ICC).  Asimismo, los arbitrajes se rigen por las reglas de CNUDMI (Comisión de las Naciones Unidas para el Derecho Mercantil) o bien por las Reglas del Convenio CIADI (Centro Internacional de Arreglo de Diferencias Relativas a Inversiones).</w:t>
      </w:r>
    </w:p>
    <w:p w14:paraId="5E25235F" w14:textId="77777777" w:rsidR="009F1BCF" w:rsidRPr="00B43A63" w:rsidRDefault="009F1BCF" w:rsidP="009F1BCF">
      <w:pPr>
        <w:pStyle w:val="Sinespaciado"/>
        <w:ind w:left="567"/>
        <w:jc w:val="both"/>
        <w:rPr>
          <w:rFonts w:ascii="Times New Roman" w:hAnsi="Times New Roman"/>
          <w:sz w:val="24"/>
          <w:szCs w:val="24"/>
          <w:u w:val="single"/>
          <w:lang w:val="es-MX"/>
        </w:rPr>
      </w:pPr>
    </w:p>
    <w:p w14:paraId="51CAD717" w14:textId="77777777" w:rsidR="009F1BCF" w:rsidRPr="00B43A63" w:rsidRDefault="009F1BCF" w:rsidP="009F1BCF">
      <w:pPr>
        <w:pStyle w:val="Sinespaciado"/>
        <w:ind w:left="567"/>
        <w:jc w:val="both"/>
        <w:rPr>
          <w:rFonts w:ascii="Times New Roman" w:hAnsi="Times New Roman"/>
          <w:sz w:val="24"/>
          <w:szCs w:val="24"/>
          <w:lang w:val="es-MX"/>
        </w:rPr>
      </w:pPr>
      <w:r w:rsidRPr="00B43A63">
        <w:rPr>
          <w:rFonts w:ascii="Times New Roman" w:hAnsi="Times New Roman"/>
          <w:sz w:val="24"/>
          <w:szCs w:val="24"/>
          <w:lang w:val="es-MX"/>
        </w:rPr>
        <w:t>Resulta frecuente que un componente importante de los casos de arbitraje sean en contra de</w:t>
      </w:r>
      <w:r>
        <w:rPr>
          <w:rFonts w:ascii="Times New Roman" w:hAnsi="Times New Roman"/>
          <w:sz w:val="24"/>
          <w:szCs w:val="24"/>
          <w:lang w:val="es-MX"/>
        </w:rPr>
        <w:t>l</w:t>
      </w:r>
      <w:r w:rsidRPr="00B43A63">
        <w:rPr>
          <w:rFonts w:ascii="Times New Roman" w:hAnsi="Times New Roman"/>
          <w:sz w:val="24"/>
          <w:szCs w:val="24"/>
          <w:lang w:val="es-MX"/>
        </w:rPr>
        <w:t xml:space="preserve"> Estado,</w:t>
      </w:r>
      <w:r w:rsidRPr="00B43A63">
        <w:rPr>
          <w:rFonts w:ascii="Times New Roman" w:hAnsi="Times New Roman"/>
          <w:sz w:val="24"/>
          <w:szCs w:val="24"/>
          <w:u w:val="single"/>
          <w:lang w:val="es-MX"/>
        </w:rPr>
        <w:t xml:space="preserve"> </w:t>
      </w:r>
      <w:r w:rsidRPr="00B43A63">
        <w:rPr>
          <w:rFonts w:ascii="Times New Roman" w:hAnsi="Times New Roman"/>
          <w:sz w:val="24"/>
          <w:szCs w:val="24"/>
          <w:lang w:val="es-MX"/>
        </w:rPr>
        <w:t>en la página de CIADI en la búsqueda por casos aparece un recuento de 819</w:t>
      </w:r>
      <w:r w:rsidRPr="00B43A63">
        <w:rPr>
          <w:rStyle w:val="Refdenotaalpie"/>
          <w:rFonts w:ascii="Times New Roman" w:hAnsi="Times New Roman"/>
          <w:sz w:val="24"/>
          <w:szCs w:val="24"/>
          <w:lang w:val="es-MX"/>
        </w:rPr>
        <w:footnoteReference w:id="4"/>
      </w:r>
      <w:r w:rsidRPr="00B43A63">
        <w:rPr>
          <w:rFonts w:ascii="Times New Roman" w:hAnsi="Times New Roman"/>
          <w:sz w:val="24"/>
          <w:szCs w:val="24"/>
          <w:lang w:val="es-MX"/>
        </w:rPr>
        <w:t xml:space="preserve"> casos de los cuales puede apreciarse que la gran mayoría son demandas que inversionistas han planteado en contra de los Estados, profundizar respecto a cuantos </w:t>
      </w:r>
      <w:r w:rsidRPr="003E0476">
        <w:rPr>
          <w:rFonts w:ascii="Times New Roman" w:hAnsi="Times New Roman"/>
          <w:sz w:val="24"/>
          <w:szCs w:val="24"/>
          <w:lang w:val="es-MX"/>
        </w:rPr>
        <w:t xml:space="preserve">laudos </w:t>
      </w:r>
      <w:r w:rsidR="003E0476">
        <w:rPr>
          <w:rFonts w:ascii="Times New Roman" w:hAnsi="Times New Roman"/>
          <w:sz w:val="24"/>
          <w:szCs w:val="24"/>
          <w:lang w:val="es-MX"/>
        </w:rPr>
        <w:t>h</w:t>
      </w:r>
      <w:r w:rsidRPr="003E0476">
        <w:rPr>
          <w:rFonts w:ascii="Times New Roman" w:hAnsi="Times New Roman"/>
          <w:sz w:val="24"/>
          <w:szCs w:val="24"/>
          <w:lang w:val="es-MX"/>
        </w:rPr>
        <w:t>a emitido</w:t>
      </w:r>
      <w:r w:rsidRPr="00B43A63">
        <w:rPr>
          <w:rFonts w:ascii="Times New Roman" w:hAnsi="Times New Roman"/>
          <w:sz w:val="24"/>
          <w:szCs w:val="24"/>
          <w:lang w:val="es-MX"/>
        </w:rPr>
        <w:t xml:space="preserve"> el CIADI a favor de los inversionistas resulta complejo derivado que casi todas las actuaciones están sujetas a cláusulas de confidencialidad y la mayoría de las veces no se encuentran publicados los laudos arbitrales. </w:t>
      </w:r>
    </w:p>
    <w:p w14:paraId="6DAA768D" w14:textId="77777777" w:rsidR="009F1BCF" w:rsidRPr="00B43A63" w:rsidRDefault="009F1BCF" w:rsidP="009F1BCF">
      <w:pPr>
        <w:pStyle w:val="Sinespaciado"/>
        <w:ind w:left="567"/>
        <w:jc w:val="both"/>
        <w:rPr>
          <w:rFonts w:ascii="Times New Roman" w:hAnsi="Times New Roman"/>
          <w:sz w:val="24"/>
          <w:szCs w:val="24"/>
          <w:lang w:val="es-MX"/>
        </w:rPr>
      </w:pPr>
    </w:p>
    <w:p w14:paraId="3F930053" w14:textId="01A790BF" w:rsidR="009F1BCF" w:rsidRDefault="009F1BCF" w:rsidP="009F1BCF">
      <w:pPr>
        <w:pStyle w:val="Sinespaciado"/>
        <w:ind w:left="567"/>
        <w:jc w:val="both"/>
        <w:rPr>
          <w:rFonts w:ascii="Times New Roman" w:hAnsi="Times New Roman"/>
          <w:sz w:val="24"/>
          <w:szCs w:val="24"/>
          <w:lang w:val="es-MX"/>
        </w:rPr>
      </w:pPr>
      <w:r w:rsidRPr="00B43A63">
        <w:rPr>
          <w:rFonts w:ascii="Times New Roman" w:hAnsi="Times New Roman"/>
          <w:sz w:val="24"/>
          <w:szCs w:val="24"/>
          <w:lang w:val="es-MX"/>
        </w:rPr>
        <w:t>Es importante resaltar, el auge que ha tenido esta modalidad de procesos, en el informe anual de 2020</w:t>
      </w:r>
      <w:r w:rsidRPr="00B43A63">
        <w:rPr>
          <w:rStyle w:val="Refdenotaalpie"/>
          <w:rFonts w:ascii="Times New Roman" w:hAnsi="Times New Roman"/>
          <w:sz w:val="24"/>
          <w:szCs w:val="24"/>
          <w:lang w:val="es-MX"/>
        </w:rPr>
        <w:footnoteReference w:id="5"/>
      </w:r>
      <w:r w:rsidRPr="00B43A63">
        <w:rPr>
          <w:rFonts w:ascii="Times New Roman" w:hAnsi="Times New Roman"/>
          <w:sz w:val="24"/>
          <w:szCs w:val="24"/>
          <w:lang w:val="es-MX"/>
        </w:rPr>
        <w:t xml:space="preserve"> que elabora el CIADI, establece que los casos administrados a nivel mundial han tenido un aumento importante a lo largo del tiempo llegando a 303 casos en 2020.</w:t>
      </w:r>
    </w:p>
    <w:p w14:paraId="058048CC" w14:textId="1CAA3A61" w:rsidR="009F1BCF" w:rsidRDefault="009F1BCF" w:rsidP="00C67259">
      <w:pPr>
        <w:pStyle w:val="Sinespaciado"/>
        <w:jc w:val="both"/>
        <w:rPr>
          <w:rFonts w:ascii="Times New Roman" w:hAnsi="Times New Roman"/>
          <w:sz w:val="24"/>
          <w:szCs w:val="24"/>
          <w:lang w:val="es-MX"/>
        </w:rPr>
      </w:pPr>
    </w:p>
    <w:p w14:paraId="25756904" w14:textId="2E693F9A" w:rsidR="009F1BCF" w:rsidRPr="009F1BCF" w:rsidRDefault="00AF7163" w:rsidP="009F1BCF">
      <w:pPr>
        <w:pStyle w:val="Sinespaciado"/>
        <w:ind w:left="567"/>
        <w:jc w:val="center"/>
        <w:rPr>
          <w:rFonts w:ascii="Times New Roman" w:hAnsi="Times New Roman"/>
          <w:b/>
          <w:sz w:val="24"/>
          <w:szCs w:val="24"/>
          <w:lang w:val="es-MX"/>
        </w:rPr>
      </w:pPr>
      <w:r>
        <w:rPr>
          <w:rFonts w:ascii="Times New Roman" w:hAnsi="Times New Roman"/>
          <w:b/>
          <w:sz w:val="24"/>
          <w:szCs w:val="24"/>
          <w:lang w:val="es-MX"/>
        </w:rPr>
        <w:t>Gráfica 59</w:t>
      </w:r>
      <w:r w:rsidR="00814706">
        <w:rPr>
          <w:rFonts w:ascii="Times New Roman" w:hAnsi="Times New Roman"/>
          <w:b/>
          <w:sz w:val="24"/>
          <w:szCs w:val="24"/>
          <w:lang w:val="es-MX"/>
        </w:rPr>
        <w:t xml:space="preserve">.  </w:t>
      </w:r>
      <w:r w:rsidR="009F1BCF" w:rsidRPr="009F1BCF">
        <w:rPr>
          <w:rFonts w:ascii="Times New Roman" w:hAnsi="Times New Roman"/>
          <w:b/>
          <w:sz w:val="24"/>
          <w:szCs w:val="24"/>
          <w:lang w:val="es-MX"/>
        </w:rPr>
        <w:t>Casos administrados por CIADI</w:t>
      </w:r>
    </w:p>
    <w:p w14:paraId="244A8D0E" w14:textId="77777777" w:rsidR="009F1BCF" w:rsidRPr="009F1BCF" w:rsidRDefault="009F1BCF" w:rsidP="009F1BCF">
      <w:pPr>
        <w:pStyle w:val="Sinespaciado"/>
        <w:ind w:left="567"/>
        <w:jc w:val="center"/>
        <w:rPr>
          <w:rFonts w:ascii="Times New Roman" w:hAnsi="Times New Roman"/>
          <w:szCs w:val="24"/>
          <w:lang w:val="es-MX"/>
        </w:rPr>
      </w:pPr>
      <w:r w:rsidRPr="009F1BCF">
        <w:rPr>
          <w:rFonts w:ascii="Times New Roman" w:hAnsi="Times New Roman"/>
          <w:szCs w:val="24"/>
          <w:lang w:val="es-MX"/>
        </w:rPr>
        <w:t>Número de casos</w:t>
      </w:r>
    </w:p>
    <w:p w14:paraId="5B121A51" w14:textId="77777777" w:rsidR="009F1BCF" w:rsidRPr="00B43A63" w:rsidRDefault="009F1BCF" w:rsidP="009F1BCF">
      <w:pPr>
        <w:pStyle w:val="Sinespaciado"/>
        <w:ind w:left="567"/>
        <w:jc w:val="center"/>
        <w:rPr>
          <w:rFonts w:ascii="Times New Roman" w:hAnsi="Times New Roman"/>
          <w:sz w:val="24"/>
          <w:szCs w:val="24"/>
          <w:lang w:val="es-MX"/>
        </w:rPr>
      </w:pPr>
      <w:r w:rsidRPr="00B43A63">
        <w:rPr>
          <w:rFonts w:ascii="Times New Roman" w:hAnsi="Times New Roman"/>
          <w:noProof/>
          <w:sz w:val="24"/>
          <w:szCs w:val="24"/>
          <w:lang w:val="es-GT" w:eastAsia="es-GT"/>
        </w:rPr>
        <w:drawing>
          <wp:inline distT="0" distB="0" distL="0" distR="0" wp14:anchorId="62082D58" wp14:editId="348297C1">
            <wp:extent cx="5318760" cy="1960685"/>
            <wp:effectExtent l="0" t="0" r="0" b="190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0887329" w14:textId="77777777" w:rsidR="009F1BCF" w:rsidRPr="009F1BCF" w:rsidRDefault="009F1BCF" w:rsidP="009F1BCF">
      <w:pPr>
        <w:pStyle w:val="Sinespaciado"/>
        <w:ind w:left="1275" w:firstLine="141"/>
        <w:jc w:val="both"/>
        <w:rPr>
          <w:rFonts w:ascii="Times New Roman" w:hAnsi="Times New Roman"/>
          <w:sz w:val="16"/>
          <w:szCs w:val="24"/>
          <w:lang w:val="es-MX"/>
        </w:rPr>
      </w:pPr>
      <w:r w:rsidRPr="009F1BCF">
        <w:rPr>
          <w:rFonts w:ascii="Times New Roman" w:hAnsi="Times New Roman"/>
          <w:sz w:val="16"/>
          <w:szCs w:val="24"/>
          <w:lang w:val="es-MX"/>
        </w:rPr>
        <w:t>Fuente: Reporte anual 2020 de CIADI</w:t>
      </w:r>
    </w:p>
    <w:p w14:paraId="6DB6CEA6" w14:textId="77777777" w:rsidR="009F1BCF" w:rsidRPr="00B43A63" w:rsidRDefault="009F1BCF" w:rsidP="009F1BCF">
      <w:pPr>
        <w:pStyle w:val="Sinespaciado"/>
        <w:ind w:left="567"/>
        <w:jc w:val="both"/>
        <w:rPr>
          <w:rFonts w:ascii="Times New Roman" w:hAnsi="Times New Roman"/>
          <w:sz w:val="24"/>
          <w:szCs w:val="24"/>
          <w:lang w:val="es-MX"/>
        </w:rPr>
      </w:pPr>
    </w:p>
    <w:p w14:paraId="17AA2046" w14:textId="4BFB73C8" w:rsidR="009F1BCF" w:rsidRPr="00B43A63" w:rsidRDefault="009F1BCF" w:rsidP="00C67259">
      <w:pPr>
        <w:pStyle w:val="Sinespaciado"/>
        <w:ind w:left="567"/>
        <w:jc w:val="both"/>
        <w:rPr>
          <w:rFonts w:ascii="Times New Roman" w:hAnsi="Times New Roman"/>
          <w:sz w:val="24"/>
          <w:szCs w:val="24"/>
          <w:lang w:val="es-MX"/>
        </w:rPr>
      </w:pPr>
      <w:r w:rsidRPr="00B43A63">
        <w:rPr>
          <w:rFonts w:ascii="Times New Roman" w:hAnsi="Times New Roman"/>
          <w:sz w:val="24"/>
          <w:szCs w:val="24"/>
          <w:lang w:val="es-MX"/>
        </w:rPr>
        <w:t>Para el caso de las demandas presentadas ante el CIADI, los laudos emitidos por este son obligatoriedad para las partes de conformidad con el artículo 53 del Convenio CIADI</w:t>
      </w:r>
      <w:r w:rsidRPr="00B43A63">
        <w:rPr>
          <w:rStyle w:val="Refdenotaalpie"/>
          <w:rFonts w:ascii="Times New Roman" w:hAnsi="Times New Roman"/>
          <w:sz w:val="24"/>
          <w:szCs w:val="24"/>
          <w:lang w:val="es-MX"/>
        </w:rPr>
        <w:footnoteReference w:id="6"/>
      </w:r>
      <w:r w:rsidRPr="00B43A63">
        <w:rPr>
          <w:rFonts w:ascii="Times New Roman" w:hAnsi="Times New Roman"/>
          <w:sz w:val="24"/>
          <w:szCs w:val="24"/>
          <w:lang w:val="es-MX"/>
        </w:rPr>
        <w:t>, los laudos no tienen un plazo para hacerse efectivos, pero dado que la mayoría computan monto de deuda más intereses hasta la fecha en que se cumpla con la obligación, dependerá de cada Estado y de su normativa legal el tiempo para</w:t>
      </w:r>
      <w:r w:rsidR="00C67259">
        <w:rPr>
          <w:rFonts w:ascii="Times New Roman" w:hAnsi="Times New Roman"/>
          <w:sz w:val="24"/>
          <w:szCs w:val="24"/>
          <w:lang w:val="es-MX"/>
        </w:rPr>
        <w:t xml:space="preserve"> poder hacer efectivo el mismo.  </w:t>
      </w:r>
      <w:r w:rsidRPr="00B43A63">
        <w:rPr>
          <w:rFonts w:ascii="Times New Roman" w:hAnsi="Times New Roman"/>
          <w:sz w:val="24"/>
          <w:szCs w:val="24"/>
          <w:lang w:val="es-MX"/>
        </w:rPr>
        <w:t xml:space="preserve">Guatemala de conformidad con la información recabada al 30 de junio de 2021, ha sido objeto de 8 arbitrajes de inversión estado-inversionista, de los cuales 6 procesos están finalizados con laudo arbitral, 3 de ellos fueron a favor del Estado de Guatemala y 3 de ellos tienen laudo arbitral en contra, dos de los cuales, como se indicó anteriormente, se pagaron en 2013 y 2020, el otro caso las autoridades lo impugnaron mediante un proceso de anulación, que estaría pendiente que el tribunal de arbitraje emita su sentencia.  Asimismo, adicionalmente al caso en proceso de anulación hay otro caso </w:t>
      </w:r>
      <w:r w:rsidRPr="00B43A63">
        <w:rPr>
          <w:rFonts w:ascii="Times New Roman" w:hAnsi="Times New Roman"/>
          <w:sz w:val="24"/>
          <w:szCs w:val="24"/>
          <w:lang w:val="es-MX"/>
        </w:rPr>
        <w:lastRenderedPageBreak/>
        <w:t>activo y uno en disputa que ha sido suspendido por las partes y está pendiente de resolver.</w:t>
      </w:r>
      <w:r w:rsidR="003E0476">
        <w:rPr>
          <w:rFonts w:ascii="Times New Roman" w:hAnsi="Times New Roman"/>
          <w:sz w:val="24"/>
          <w:szCs w:val="24"/>
          <w:lang w:val="es-MX"/>
        </w:rPr>
        <w:t xml:space="preserve"> </w:t>
      </w:r>
      <w:r w:rsidRPr="00B43A63">
        <w:rPr>
          <w:rFonts w:ascii="Times New Roman" w:hAnsi="Times New Roman"/>
          <w:sz w:val="24"/>
          <w:szCs w:val="24"/>
          <w:lang w:val="es-MX"/>
        </w:rPr>
        <w:t>La información de estos casos, de acuerdo a las cláusulas de los convenios, son confidenciales.</w:t>
      </w:r>
    </w:p>
    <w:p w14:paraId="74A4E7FB" w14:textId="77777777" w:rsidR="009F1BCF" w:rsidRPr="00B43A63" w:rsidRDefault="009F1BCF" w:rsidP="009F1BCF">
      <w:pPr>
        <w:pStyle w:val="Sinespaciado"/>
        <w:ind w:left="567"/>
        <w:jc w:val="both"/>
        <w:rPr>
          <w:rFonts w:ascii="Times New Roman" w:hAnsi="Times New Roman"/>
          <w:sz w:val="24"/>
          <w:szCs w:val="24"/>
          <w:lang w:val="es-MX"/>
        </w:rPr>
      </w:pPr>
      <w:r w:rsidRPr="00B43A63">
        <w:rPr>
          <w:rFonts w:ascii="Times New Roman" w:hAnsi="Times New Roman"/>
          <w:sz w:val="24"/>
          <w:szCs w:val="24"/>
          <w:lang w:val="es-MX"/>
        </w:rPr>
        <w:t xml:space="preserve"> </w:t>
      </w:r>
    </w:p>
    <w:p w14:paraId="75647E1E" w14:textId="77777777" w:rsidR="009F1BCF" w:rsidRPr="00B43A63" w:rsidRDefault="009F1BCF" w:rsidP="009F1BCF">
      <w:pPr>
        <w:pStyle w:val="Sinespaciado"/>
        <w:ind w:left="567"/>
        <w:jc w:val="both"/>
        <w:rPr>
          <w:rFonts w:ascii="Times New Roman" w:hAnsi="Times New Roman"/>
          <w:sz w:val="24"/>
          <w:szCs w:val="24"/>
        </w:rPr>
      </w:pPr>
      <w:r w:rsidRPr="00B43A63">
        <w:rPr>
          <w:rFonts w:ascii="Times New Roman" w:hAnsi="Times New Roman"/>
          <w:sz w:val="24"/>
          <w:szCs w:val="24"/>
        </w:rPr>
        <w:t xml:space="preserve">Derivado de lo anterior, las erogaciones que el Estado de Guatemala ha realizado por intermedio del Ministerio de Economía en concepto de arbitrajes internacionales Inversionista-Estado, incluyen los montos que se han pagado al CIADI y a la CPA por la administración de los arbitrajes, pago de abogados internacionales que han litigado los casos respectivos, pago de peritos, testigos, entre otros. Estos datos son referenciales, obtenidos del SICOIN.  Dichos gastos muestran un comportamiento que es bastante fluctuante que depende de las resoluciones de los tribunales de arbitraje y de los resultados que se obtienen por parte de los abogados y peritos respectivos.  </w:t>
      </w:r>
    </w:p>
    <w:p w14:paraId="2B474181" w14:textId="77777777" w:rsidR="009F1BCF" w:rsidRDefault="009F1BCF" w:rsidP="009F1BCF">
      <w:pPr>
        <w:pStyle w:val="Sinespaciado"/>
        <w:ind w:left="567"/>
        <w:jc w:val="both"/>
        <w:rPr>
          <w:rFonts w:ascii="Times New Roman" w:hAnsi="Times New Roman"/>
          <w:b/>
          <w:sz w:val="24"/>
          <w:szCs w:val="24"/>
          <w:u w:val="single"/>
        </w:rPr>
      </w:pPr>
    </w:p>
    <w:p w14:paraId="67A8CE66" w14:textId="74FA7C25" w:rsidR="009F1BCF" w:rsidRDefault="00AF7163" w:rsidP="009F1BCF">
      <w:pPr>
        <w:pStyle w:val="Sinespaciado"/>
        <w:ind w:left="567"/>
        <w:jc w:val="center"/>
        <w:rPr>
          <w:rFonts w:ascii="Times New Roman" w:hAnsi="Times New Roman"/>
          <w:b/>
          <w:sz w:val="24"/>
          <w:szCs w:val="24"/>
        </w:rPr>
      </w:pPr>
      <w:r>
        <w:rPr>
          <w:rFonts w:ascii="Times New Roman" w:hAnsi="Times New Roman"/>
          <w:b/>
          <w:sz w:val="24"/>
          <w:szCs w:val="24"/>
        </w:rPr>
        <w:t>Gráfica 60</w:t>
      </w:r>
      <w:r w:rsidR="00814706">
        <w:rPr>
          <w:rFonts w:ascii="Times New Roman" w:hAnsi="Times New Roman"/>
          <w:b/>
          <w:sz w:val="24"/>
          <w:szCs w:val="24"/>
        </w:rPr>
        <w:t xml:space="preserve">.  </w:t>
      </w:r>
      <w:r w:rsidR="009F1BCF" w:rsidRPr="009F1BCF">
        <w:rPr>
          <w:rFonts w:ascii="Times New Roman" w:hAnsi="Times New Roman"/>
          <w:b/>
          <w:sz w:val="24"/>
          <w:szCs w:val="24"/>
        </w:rPr>
        <w:t>Gastos del Ministerio de Economía en temas de controversias</w:t>
      </w:r>
    </w:p>
    <w:p w14:paraId="52030568" w14:textId="77777777" w:rsidR="009F1BCF" w:rsidRPr="009F7577" w:rsidRDefault="009F1BCF" w:rsidP="009F1BCF">
      <w:pPr>
        <w:pStyle w:val="Sinespaciado"/>
        <w:ind w:left="567"/>
        <w:jc w:val="center"/>
        <w:rPr>
          <w:rFonts w:ascii="Times New Roman" w:hAnsi="Times New Roman"/>
          <w:szCs w:val="24"/>
        </w:rPr>
      </w:pPr>
      <w:r w:rsidRPr="009F7577">
        <w:rPr>
          <w:rFonts w:ascii="Times New Roman" w:hAnsi="Times New Roman"/>
          <w:szCs w:val="24"/>
        </w:rPr>
        <w:t>2009-2021*</w:t>
      </w:r>
    </w:p>
    <w:p w14:paraId="58F34544" w14:textId="77777777" w:rsidR="009F1BCF" w:rsidRPr="009F7577" w:rsidRDefault="009F1BCF" w:rsidP="009F1BCF">
      <w:pPr>
        <w:pStyle w:val="Sinespaciado"/>
        <w:ind w:left="567"/>
        <w:jc w:val="center"/>
        <w:rPr>
          <w:rFonts w:ascii="Times New Roman" w:hAnsi="Times New Roman"/>
          <w:szCs w:val="24"/>
        </w:rPr>
      </w:pPr>
      <w:r w:rsidRPr="009F7577">
        <w:rPr>
          <w:rFonts w:ascii="Times New Roman" w:hAnsi="Times New Roman"/>
          <w:szCs w:val="24"/>
        </w:rPr>
        <w:t>Millones de quetzales</w:t>
      </w:r>
    </w:p>
    <w:p w14:paraId="07B51D6B" w14:textId="77777777" w:rsidR="009F1BCF" w:rsidRPr="00B43A63" w:rsidRDefault="009F1BCF" w:rsidP="009F1BCF">
      <w:pPr>
        <w:pStyle w:val="Sinespaciado"/>
        <w:ind w:left="567"/>
        <w:jc w:val="center"/>
        <w:rPr>
          <w:rFonts w:ascii="Times New Roman" w:hAnsi="Times New Roman"/>
          <w:bCs/>
          <w:sz w:val="24"/>
          <w:szCs w:val="24"/>
        </w:rPr>
      </w:pPr>
      <w:r w:rsidRPr="00B43A63">
        <w:rPr>
          <w:rFonts w:ascii="Times New Roman" w:hAnsi="Times New Roman"/>
          <w:bCs/>
          <w:noProof/>
          <w:sz w:val="24"/>
          <w:szCs w:val="24"/>
          <w:lang w:val="es-GT" w:eastAsia="es-GT"/>
        </w:rPr>
        <w:drawing>
          <wp:inline distT="0" distB="0" distL="0" distR="0" wp14:anchorId="66E8E1DE" wp14:editId="473FA828">
            <wp:extent cx="5516880" cy="1969135"/>
            <wp:effectExtent l="0" t="0" r="762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A3651EF" w14:textId="77777777" w:rsidR="009F1BCF" w:rsidRPr="009F1BCF" w:rsidRDefault="009F1BCF" w:rsidP="009F1BCF">
      <w:pPr>
        <w:pStyle w:val="Sinespaciado"/>
        <w:ind w:left="567"/>
        <w:rPr>
          <w:rFonts w:ascii="Times New Roman" w:hAnsi="Times New Roman"/>
          <w:sz w:val="16"/>
          <w:szCs w:val="24"/>
        </w:rPr>
      </w:pPr>
      <w:r>
        <w:rPr>
          <w:rFonts w:ascii="Times New Roman" w:hAnsi="Times New Roman"/>
          <w:sz w:val="16"/>
          <w:szCs w:val="24"/>
        </w:rPr>
        <w:t xml:space="preserve">                </w:t>
      </w:r>
      <w:r w:rsidRPr="009F1BCF">
        <w:rPr>
          <w:rFonts w:ascii="Times New Roman" w:hAnsi="Times New Roman"/>
          <w:sz w:val="16"/>
          <w:szCs w:val="24"/>
        </w:rPr>
        <w:t>Fuente: Sicoin.</w:t>
      </w:r>
    </w:p>
    <w:p w14:paraId="20F22348" w14:textId="77777777" w:rsidR="009F1BCF" w:rsidRDefault="009F1BCF" w:rsidP="009F1BCF">
      <w:pPr>
        <w:ind w:left="567"/>
        <w:jc w:val="both"/>
        <w:rPr>
          <w:bCs/>
          <w:sz w:val="24"/>
          <w:szCs w:val="24"/>
        </w:rPr>
      </w:pPr>
    </w:p>
    <w:p w14:paraId="04403263" w14:textId="696F18D8" w:rsidR="009F1BCF" w:rsidRPr="00A3122C" w:rsidRDefault="009F1BCF" w:rsidP="00A3122C">
      <w:pPr>
        <w:ind w:left="567"/>
        <w:jc w:val="both"/>
        <w:rPr>
          <w:bCs/>
          <w:sz w:val="24"/>
          <w:szCs w:val="24"/>
        </w:rPr>
      </w:pPr>
      <w:r w:rsidRPr="00B43A63">
        <w:rPr>
          <w:bCs/>
          <w:sz w:val="24"/>
          <w:szCs w:val="24"/>
        </w:rPr>
        <w:t>Es importante indicar que la adecuada conducción de estos casos de arbitraje internacional y la ejecución de las sentencias mediante embargos de bienes del Estado en el exterior tiene un efecto sobre la percepción de riesgo en los diferentes agentes económicos, en el caso de los inversionistas internacionales y locales puede afectar la negociación de Bonos del Tesoro en el mercado doméstico y en el mercado internacional de capitales ya que puede incidir en una disminución en la demanda de dichos títulos en el mercado o en el encarecimiento de estos. </w:t>
      </w:r>
      <w:r w:rsidR="00A3122C" w:rsidRPr="00A3122C">
        <w:rPr>
          <w:bCs/>
          <w:sz w:val="24"/>
          <w:szCs w:val="24"/>
        </w:rPr>
        <w:t xml:space="preserve">Asimismo, las calificadoras de riesgo pueden reducir la perspectiva y calificación del país afectando los créditos tanto del sector público como del privado, así como de los inversionistas extranjeros que quieran invertir en el aparato productivo nacional.  </w:t>
      </w:r>
    </w:p>
    <w:p w14:paraId="2DD9C068" w14:textId="77777777" w:rsidR="009F1BCF" w:rsidRDefault="009F1BCF" w:rsidP="004C5FE3">
      <w:pPr>
        <w:ind w:left="567"/>
        <w:jc w:val="both"/>
        <w:rPr>
          <w:rFonts w:eastAsia="OptimaLTStd"/>
          <w:color w:val="FF0000"/>
          <w:sz w:val="24"/>
          <w:szCs w:val="24"/>
        </w:rPr>
      </w:pPr>
    </w:p>
    <w:p w14:paraId="5F93CFC9" w14:textId="77777777" w:rsidR="009F1BCF" w:rsidRPr="009F1BCF" w:rsidRDefault="009F1BCF" w:rsidP="009F1BCF">
      <w:pPr>
        <w:pStyle w:val="Ttulo1"/>
        <w:widowControl/>
        <w:numPr>
          <w:ilvl w:val="1"/>
          <w:numId w:val="5"/>
        </w:numPr>
        <w:ind w:left="993" w:right="49"/>
        <w:jc w:val="left"/>
        <w:rPr>
          <w:color w:val="1F3864" w:themeColor="accent1" w:themeShade="80"/>
          <w:sz w:val="24"/>
          <w:szCs w:val="24"/>
        </w:rPr>
      </w:pPr>
      <w:bookmarkStart w:id="80" w:name="_Toc83302188"/>
      <w:r>
        <w:rPr>
          <w:color w:val="1F3864" w:themeColor="accent1" w:themeShade="80"/>
          <w:sz w:val="24"/>
          <w:szCs w:val="24"/>
        </w:rPr>
        <w:t>Cuantificación del pasivo contingente por demandas judiciales</w:t>
      </w:r>
      <w:bookmarkEnd w:id="80"/>
    </w:p>
    <w:p w14:paraId="4497476F" w14:textId="77777777" w:rsidR="009F1BCF" w:rsidRPr="009F1BCF" w:rsidRDefault="009F1BCF" w:rsidP="004C5FE3">
      <w:pPr>
        <w:ind w:left="567"/>
        <w:jc w:val="both"/>
        <w:rPr>
          <w:rFonts w:eastAsia="OptimaLTStd"/>
          <w:color w:val="FF0000"/>
          <w:sz w:val="24"/>
          <w:szCs w:val="24"/>
        </w:rPr>
      </w:pPr>
    </w:p>
    <w:p w14:paraId="74D735BC" w14:textId="77777777" w:rsidR="00A3122C" w:rsidRDefault="009F1BCF" w:rsidP="00C67259">
      <w:pPr>
        <w:ind w:left="567"/>
        <w:jc w:val="both"/>
        <w:rPr>
          <w:sz w:val="24"/>
          <w:szCs w:val="24"/>
        </w:rPr>
      </w:pPr>
      <w:r w:rsidRPr="00E9196B">
        <w:rPr>
          <w:sz w:val="24"/>
          <w:szCs w:val="24"/>
        </w:rPr>
        <w:t>Con base en la información proporcionada por la Procuraduría General de la Nación, se detalla los diferentes procesos derivados de demandas judiciales contra el Estado de Guatemala, los cuales se dividen en 2 grupos los procesos que se llevan en cortes nacionales y los que se resue</w:t>
      </w:r>
      <w:r w:rsidR="00C67259">
        <w:rPr>
          <w:sz w:val="24"/>
          <w:szCs w:val="24"/>
        </w:rPr>
        <w:t xml:space="preserve">lven en cortes internacionales.  </w:t>
      </w:r>
    </w:p>
    <w:p w14:paraId="270A3B7C" w14:textId="77777777" w:rsidR="00A3122C" w:rsidRDefault="00A3122C" w:rsidP="00C67259">
      <w:pPr>
        <w:ind w:left="567"/>
        <w:jc w:val="both"/>
        <w:rPr>
          <w:sz w:val="24"/>
          <w:szCs w:val="24"/>
        </w:rPr>
      </w:pPr>
    </w:p>
    <w:p w14:paraId="7B6C4196" w14:textId="0AE24F56" w:rsidR="009F1BCF" w:rsidRPr="00E9196B" w:rsidRDefault="009F1BCF" w:rsidP="00C67259">
      <w:pPr>
        <w:ind w:left="567"/>
        <w:jc w:val="both"/>
        <w:rPr>
          <w:sz w:val="24"/>
          <w:szCs w:val="24"/>
        </w:rPr>
      </w:pPr>
      <w:r w:rsidRPr="00E9196B">
        <w:rPr>
          <w:sz w:val="24"/>
          <w:szCs w:val="24"/>
        </w:rPr>
        <w:t xml:space="preserve">Los procesos que se llevan en cortes nacionales se dividen en 3 tipos de procesos: Penales, </w:t>
      </w:r>
      <w:r w:rsidRPr="00E9196B">
        <w:rPr>
          <w:sz w:val="24"/>
          <w:szCs w:val="24"/>
        </w:rPr>
        <w:lastRenderedPageBreak/>
        <w:t>Laborales y en Materia Civil, en los 3 procesos se reportan en conjunto 8,192 casos, representando una demanda potencial de Q4,574.5</w:t>
      </w:r>
      <w:r w:rsidR="00513BE8">
        <w:rPr>
          <w:sz w:val="24"/>
          <w:szCs w:val="24"/>
        </w:rPr>
        <w:t xml:space="preserve"> </w:t>
      </w:r>
      <w:r w:rsidRPr="00E9196B">
        <w:rPr>
          <w:sz w:val="24"/>
          <w:szCs w:val="24"/>
        </w:rPr>
        <w:t xml:space="preserve">millones, destacando en este caso los procesos civiles asociados principalmente a juicios económico coactivo (Q2,492.8 millones), arbitrajes nacionales </w:t>
      </w:r>
      <w:r w:rsidRPr="00E9196B">
        <w:rPr>
          <w:sz w:val="24"/>
          <w:szCs w:val="24"/>
          <w:lang w:val="es-MX"/>
        </w:rPr>
        <w:t>los cuales son motivados por algún tipo de incumplimiento en contratos de entes o empresas mercantiles con el Estado de Guatemala</w:t>
      </w:r>
      <w:r w:rsidRPr="00E9196B">
        <w:rPr>
          <w:sz w:val="24"/>
          <w:szCs w:val="24"/>
        </w:rPr>
        <w:t xml:space="preserve"> (Q732.6 millones), Ejecutivo y sentencia </w:t>
      </w:r>
      <w:r w:rsidRPr="00E9196B">
        <w:rPr>
          <w:sz w:val="24"/>
          <w:szCs w:val="24"/>
          <w:lang w:val="es-MX"/>
        </w:rPr>
        <w:t xml:space="preserve">que es derivado de sentencias propiamente dichas o algún tipo de título ejecutivo que particulares, entes o empresas mercantiles ejecutaron en contra del Estado (Q602.2 millones) y </w:t>
      </w:r>
      <w:r w:rsidRPr="00E9196B">
        <w:rPr>
          <w:sz w:val="24"/>
          <w:szCs w:val="24"/>
        </w:rPr>
        <w:t xml:space="preserve">juicios ordinarios o sumarios que </w:t>
      </w:r>
      <w:r w:rsidRPr="00E9196B">
        <w:rPr>
          <w:sz w:val="24"/>
          <w:szCs w:val="24"/>
          <w:lang w:val="es-MX"/>
        </w:rPr>
        <w:t>se derivan de contratos firmados por el Estado en los que ha sido demandado por entidades o entes mercantiles</w:t>
      </w:r>
      <w:r w:rsidRPr="00E9196B">
        <w:rPr>
          <w:sz w:val="24"/>
          <w:szCs w:val="24"/>
        </w:rPr>
        <w:t xml:space="preserve"> (Q293.8 millones). </w:t>
      </w:r>
    </w:p>
    <w:p w14:paraId="031D18F9" w14:textId="77777777" w:rsidR="009F1BCF" w:rsidRPr="00E9196B" w:rsidRDefault="009F1BCF" w:rsidP="009F1BCF">
      <w:pPr>
        <w:ind w:left="567"/>
        <w:jc w:val="both"/>
        <w:rPr>
          <w:sz w:val="24"/>
          <w:szCs w:val="24"/>
        </w:rPr>
      </w:pPr>
    </w:p>
    <w:p w14:paraId="145CFACC" w14:textId="77777777" w:rsidR="00A3122C" w:rsidRDefault="009F1BCF" w:rsidP="00C67259">
      <w:pPr>
        <w:ind w:left="567"/>
        <w:jc w:val="both"/>
        <w:rPr>
          <w:sz w:val="24"/>
          <w:szCs w:val="24"/>
        </w:rPr>
      </w:pPr>
      <w:r w:rsidRPr="00E9196B">
        <w:rPr>
          <w:sz w:val="24"/>
          <w:szCs w:val="24"/>
        </w:rPr>
        <w:t>Asimismo, es importante indicar que los procesos laborales son los que más casos tienen pendientes de resolución, algunos inclusive se remontan al año 2012. A la fecha se han acumulado 7,957 casos, en lo que respecta a los montos económicos no es posible estimarlo, dado que este es determinado mediante la emisión de autos judiciales, los cuales deben causar firmeza y ser debidamente notificados y tramitados en la fase ejecutiva de cada proceso, por lo que hasta en ese momento se conoce el pago que debe r</w:t>
      </w:r>
      <w:r w:rsidR="00C67259">
        <w:rPr>
          <w:sz w:val="24"/>
          <w:szCs w:val="24"/>
        </w:rPr>
        <w:t xml:space="preserve">ealizar el Estado de Guatemala.  </w:t>
      </w:r>
    </w:p>
    <w:p w14:paraId="40A3B16A" w14:textId="77777777" w:rsidR="00A3122C" w:rsidRDefault="00A3122C" w:rsidP="00C67259">
      <w:pPr>
        <w:ind w:left="567"/>
        <w:jc w:val="both"/>
        <w:rPr>
          <w:sz w:val="24"/>
          <w:szCs w:val="24"/>
        </w:rPr>
      </w:pPr>
    </w:p>
    <w:p w14:paraId="38092C87" w14:textId="1BF928EC" w:rsidR="009F1BCF" w:rsidRDefault="009F1BCF" w:rsidP="00C67259">
      <w:pPr>
        <w:ind w:left="567"/>
        <w:jc w:val="both"/>
        <w:rPr>
          <w:sz w:val="24"/>
          <w:szCs w:val="24"/>
        </w:rPr>
      </w:pPr>
      <w:r w:rsidRPr="00E9196B">
        <w:rPr>
          <w:sz w:val="24"/>
          <w:szCs w:val="24"/>
        </w:rPr>
        <w:t xml:space="preserve">Los procesos que se resuelven en cortes internacionales muestran un total de 175 casos activos por el equivalente a Q6,705.5 millones, de los cuales 3 casos están asociados a arbitrajes de inversión, por un estimado de demanda de US$838.2 </w:t>
      </w:r>
      <w:r w:rsidRPr="00486DDE">
        <w:rPr>
          <w:sz w:val="24"/>
          <w:szCs w:val="24"/>
        </w:rPr>
        <w:t>millones.</w:t>
      </w:r>
      <w:r w:rsidRPr="00E9196B">
        <w:rPr>
          <w:sz w:val="24"/>
          <w:szCs w:val="24"/>
        </w:rPr>
        <w:t xml:space="preserve"> Asimismo, se tienen amenazas por 3 casos más de los cuales solo uno se tiene certeza del monto a demandar por US$527 millones.  Los 172 casos restantes de los procesos ligados a cortes internacionales corresponden a procesos ante el Sistema Interamericano de Protección de Derechos Humanos, los cuales derivado de cláusulas de confidencialidad se desconoce el monto a imponer por parte de la Corte Interamericana de Derechos Humanos ya que dicho monto se sujeta al tipo de violación que se le impute al Estado.</w:t>
      </w:r>
    </w:p>
    <w:p w14:paraId="52FE0A96" w14:textId="77777777" w:rsidR="00E9196B" w:rsidRPr="00E9196B" w:rsidRDefault="00E9196B" w:rsidP="009F1BCF">
      <w:pPr>
        <w:ind w:left="567"/>
        <w:jc w:val="both"/>
        <w:rPr>
          <w:sz w:val="24"/>
          <w:szCs w:val="24"/>
        </w:rPr>
      </w:pPr>
    </w:p>
    <w:p w14:paraId="76E90AA2" w14:textId="51B92DCD" w:rsidR="009F1BCF" w:rsidRDefault="009F1BCF" w:rsidP="009F1BCF">
      <w:pPr>
        <w:ind w:left="567"/>
        <w:jc w:val="both"/>
        <w:rPr>
          <w:sz w:val="24"/>
          <w:szCs w:val="24"/>
        </w:rPr>
      </w:pPr>
      <w:r w:rsidRPr="00E9196B">
        <w:rPr>
          <w:sz w:val="24"/>
          <w:szCs w:val="24"/>
        </w:rPr>
        <w:t>Por lo anterior, el total de demandas en contra del Estado de Guatemala son de 8,367 casos y lo que actualmente se tiene cuantificado del costo potencial de dichas demandas es de Q11,280 millones, equivalente a 1.8% del PIB estimado para 2021.</w:t>
      </w:r>
      <w:r w:rsidR="009D60E9">
        <w:rPr>
          <w:sz w:val="24"/>
          <w:szCs w:val="24"/>
        </w:rPr>
        <w:t xml:space="preserve">  Dicha información es preliminar y está sujeta a cambios conforme evolucionen los casos en los juzgados o tribunales respectivos.</w:t>
      </w:r>
    </w:p>
    <w:p w14:paraId="6549E980" w14:textId="2945278A" w:rsidR="00F00ACB" w:rsidRDefault="00F00ACB" w:rsidP="004F108B">
      <w:pPr>
        <w:jc w:val="both"/>
        <w:rPr>
          <w:sz w:val="24"/>
          <w:szCs w:val="24"/>
        </w:rPr>
      </w:pPr>
    </w:p>
    <w:p w14:paraId="5D0A9CCB" w14:textId="519C59E5" w:rsidR="00E74323" w:rsidRDefault="00E74323" w:rsidP="004F108B">
      <w:pPr>
        <w:jc w:val="both"/>
        <w:rPr>
          <w:sz w:val="24"/>
          <w:szCs w:val="24"/>
        </w:rPr>
      </w:pPr>
    </w:p>
    <w:p w14:paraId="76318965" w14:textId="487A8564" w:rsidR="00E74323" w:rsidRDefault="00E74323" w:rsidP="004F108B">
      <w:pPr>
        <w:jc w:val="both"/>
        <w:rPr>
          <w:sz w:val="24"/>
          <w:szCs w:val="24"/>
        </w:rPr>
      </w:pPr>
    </w:p>
    <w:p w14:paraId="1F5C3B2D" w14:textId="18BC7CC5" w:rsidR="00E74323" w:rsidRDefault="00E74323" w:rsidP="004F108B">
      <w:pPr>
        <w:jc w:val="both"/>
        <w:rPr>
          <w:sz w:val="24"/>
          <w:szCs w:val="24"/>
        </w:rPr>
      </w:pPr>
    </w:p>
    <w:p w14:paraId="120B548E" w14:textId="6DDC6961" w:rsidR="00E74323" w:rsidRDefault="00E74323" w:rsidP="004F108B">
      <w:pPr>
        <w:jc w:val="both"/>
        <w:rPr>
          <w:sz w:val="24"/>
          <w:szCs w:val="24"/>
        </w:rPr>
      </w:pPr>
    </w:p>
    <w:p w14:paraId="3BC39FFB" w14:textId="61CB65AD" w:rsidR="00E74323" w:rsidRDefault="00E74323" w:rsidP="004F108B">
      <w:pPr>
        <w:jc w:val="both"/>
        <w:rPr>
          <w:sz w:val="24"/>
          <w:szCs w:val="24"/>
        </w:rPr>
      </w:pPr>
    </w:p>
    <w:p w14:paraId="5308961B" w14:textId="77777777" w:rsidR="00E74323" w:rsidRDefault="00E74323" w:rsidP="004F108B">
      <w:pPr>
        <w:jc w:val="both"/>
        <w:rPr>
          <w:sz w:val="24"/>
          <w:szCs w:val="24"/>
        </w:rPr>
      </w:pPr>
    </w:p>
    <w:p w14:paraId="6133214F" w14:textId="6E8C967E" w:rsidR="009F1BCF" w:rsidRPr="00E9196B" w:rsidRDefault="00092C79" w:rsidP="009F1BCF">
      <w:pPr>
        <w:pStyle w:val="Sinespaciado"/>
        <w:ind w:left="567"/>
        <w:jc w:val="center"/>
        <w:rPr>
          <w:rFonts w:ascii="Times New Roman" w:hAnsi="Times New Roman"/>
          <w:b/>
          <w:bCs/>
          <w:sz w:val="24"/>
          <w:szCs w:val="24"/>
        </w:rPr>
      </w:pPr>
      <w:r>
        <w:rPr>
          <w:rFonts w:ascii="Times New Roman" w:hAnsi="Times New Roman"/>
          <w:b/>
          <w:bCs/>
          <w:sz w:val="24"/>
          <w:szCs w:val="24"/>
        </w:rPr>
        <w:t>Tabla 7</w:t>
      </w:r>
      <w:r w:rsidR="00282882">
        <w:rPr>
          <w:rFonts w:ascii="Times New Roman" w:hAnsi="Times New Roman"/>
          <w:b/>
          <w:bCs/>
          <w:sz w:val="24"/>
          <w:szCs w:val="24"/>
        </w:rPr>
        <w:t xml:space="preserve">.  </w:t>
      </w:r>
      <w:r w:rsidR="009F1BCF" w:rsidRPr="00E9196B">
        <w:rPr>
          <w:rFonts w:ascii="Times New Roman" w:hAnsi="Times New Roman"/>
          <w:b/>
          <w:bCs/>
          <w:sz w:val="24"/>
          <w:szCs w:val="24"/>
        </w:rPr>
        <w:t>Demandas Judiciales En Contra del Estado de Guatemala</w:t>
      </w:r>
    </w:p>
    <w:p w14:paraId="0191CDD6" w14:textId="77777777" w:rsidR="009F1BCF" w:rsidRPr="00E9196B" w:rsidRDefault="009F1BCF" w:rsidP="009F1BCF">
      <w:pPr>
        <w:pStyle w:val="Sinespaciado"/>
        <w:ind w:left="567"/>
        <w:jc w:val="center"/>
        <w:rPr>
          <w:rFonts w:ascii="Times New Roman" w:hAnsi="Times New Roman"/>
          <w:szCs w:val="24"/>
        </w:rPr>
      </w:pPr>
      <w:r w:rsidRPr="00E9196B">
        <w:rPr>
          <w:rFonts w:ascii="Times New Roman" w:hAnsi="Times New Roman"/>
          <w:szCs w:val="24"/>
        </w:rPr>
        <w:t>Al 30 de junio de 2021</w:t>
      </w:r>
    </w:p>
    <w:p w14:paraId="51924111" w14:textId="77777777" w:rsidR="00486DDE" w:rsidRPr="00AE0A67" w:rsidRDefault="009F1BCF" w:rsidP="009F1BCF">
      <w:pPr>
        <w:pStyle w:val="Sinespaciado"/>
        <w:ind w:left="567"/>
        <w:jc w:val="center"/>
        <w:rPr>
          <w:rFonts w:ascii="Times New Roman" w:hAnsi="Times New Roman"/>
          <w:szCs w:val="24"/>
          <w:highlight w:val="yellow"/>
        </w:rPr>
      </w:pPr>
      <w:r w:rsidRPr="00E9196B">
        <w:rPr>
          <w:rFonts w:ascii="Times New Roman" w:hAnsi="Times New Roman"/>
          <w:szCs w:val="24"/>
        </w:rPr>
        <w:t>Número de Casos y Millones de quetzales</w:t>
      </w:r>
    </w:p>
    <w:tbl>
      <w:tblPr>
        <w:tblW w:w="9074" w:type="dxa"/>
        <w:jc w:val="center"/>
        <w:tblCellMar>
          <w:left w:w="70" w:type="dxa"/>
          <w:right w:w="70" w:type="dxa"/>
        </w:tblCellMar>
        <w:tblLook w:val="04A0" w:firstRow="1" w:lastRow="0" w:firstColumn="1" w:lastColumn="0" w:noHBand="0" w:noVBand="1"/>
      </w:tblPr>
      <w:tblGrid>
        <w:gridCol w:w="5618"/>
        <w:gridCol w:w="1728"/>
        <w:gridCol w:w="1728"/>
      </w:tblGrid>
      <w:tr w:rsidR="001A445E" w:rsidRPr="001A445E" w14:paraId="16B6E3B6" w14:textId="77777777" w:rsidTr="00C67259">
        <w:trPr>
          <w:trHeight w:val="411"/>
          <w:jc w:val="center"/>
        </w:trPr>
        <w:tc>
          <w:tcPr>
            <w:tcW w:w="5618" w:type="dxa"/>
            <w:tcBorders>
              <w:top w:val="single" w:sz="4" w:space="0" w:color="auto"/>
              <w:left w:val="single" w:sz="4" w:space="0" w:color="auto"/>
              <w:bottom w:val="single" w:sz="4" w:space="0" w:color="auto"/>
              <w:right w:val="nil"/>
            </w:tcBorders>
            <w:shd w:val="clear" w:color="auto" w:fill="8EAADB" w:themeFill="accent1" w:themeFillTint="99"/>
            <w:vAlign w:val="center"/>
            <w:hideMark/>
          </w:tcPr>
          <w:p w14:paraId="72D6F719" w14:textId="77777777" w:rsidR="001A445E" w:rsidRPr="001A445E" w:rsidRDefault="001A445E" w:rsidP="001A445E">
            <w:pPr>
              <w:widowControl/>
              <w:jc w:val="center"/>
              <w:rPr>
                <w:b/>
                <w:bCs/>
                <w:color w:val="000000"/>
                <w:lang w:val="es-GT" w:eastAsia="es-GT"/>
              </w:rPr>
            </w:pPr>
            <w:r w:rsidRPr="001A445E">
              <w:rPr>
                <w:b/>
                <w:bCs/>
                <w:color w:val="000000"/>
                <w:lang w:val="es-GT" w:eastAsia="es-GT"/>
              </w:rPr>
              <w:t>Tipo de Proceso</w:t>
            </w:r>
          </w:p>
        </w:tc>
        <w:tc>
          <w:tcPr>
            <w:tcW w:w="172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BD28227" w14:textId="77777777" w:rsidR="001A445E" w:rsidRPr="001A445E" w:rsidRDefault="001A445E" w:rsidP="001A445E">
            <w:pPr>
              <w:widowControl/>
              <w:jc w:val="center"/>
              <w:rPr>
                <w:b/>
                <w:bCs/>
                <w:color w:val="000000"/>
                <w:lang w:val="es-GT" w:eastAsia="es-GT"/>
              </w:rPr>
            </w:pPr>
            <w:r w:rsidRPr="001A445E">
              <w:rPr>
                <w:b/>
                <w:bCs/>
                <w:color w:val="000000"/>
                <w:lang w:val="es-GT" w:eastAsia="es-GT"/>
              </w:rPr>
              <w:t>Casos</w:t>
            </w:r>
          </w:p>
        </w:tc>
        <w:tc>
          <w:tcPr>
            <w:tcW w:w="1728"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15D7E69D" w14:textId="77777777" w:rsidR="001A445E" w:rsidRPr="001A445E" w:rsidRDefault="001A445E" w:rsidP="001A445E">
            <w:pPr>
              <w:widowControl/>
              <w:jc w:val="center"/>
              <w:rPr>
                <w:b/>
                <w:bCs/>
                <w:color w:val="000000"/>
                <w:lang w:val="es-GT" w:eastAsia="es-GT"/>
              </w:rPr>
            </w:pPr>
            <w:r w:rsidRPr="001A445E">
              <w:rPr>
                <w:b/>
                <w:bCs/>
                <w:color w:val="000000"/>
                <w:lang w:val="es-GT" w:eastAsia="es-GT"/>
              </w:rPr>
              <w:t>Monto demandado</w:t>
            </w:r>
          </w:p>
        </w:tc>
      </w:tr>
      <w:tr w:rsidR="001A445E" w:rsidRPr="001A445E" w14:paraId="362C2518" w14:textId="77777777" w:rsidTr="00C67259">
        <w:trPr>
          <w:trHeight w:val="78"/>
          <w:jc w:val="center"/>
        </w:trPr>
        <w:tc>
          <w:tcPr>
            <w:tcW w:w="5618" w:type="dxa"/>
            <w:tcBorders>
              <w:top w:val="nil"/>
              <w:left w:val="single" w:sz="4" w:space="0" w:color="auto"/>
              <w:bottom w:val="nil"/>
              <w:right w:val="nil"/>
            </w:tcBorders>
            <w:shd w:val="clear" w:color="auto" w:fill="auto"/>
            <w:noWrap/>
            <w:vAlign w:val="center"/>
            <w:hideMark/>
          </w:tcPr>
          <w:p w14:paraId="014A8C52" w14:textId="77777777" w:rsidR="001A445E" w:rsidRPr="001A445E" w:rsidRDefault="001A445E" w:rsidP="001A445E">
            <w:pPr>
              <w:widowControl/>
              <w:jc w:val="center"/>
              <w:rPr>
                <w:b/>
                <w:bCs/>
                <w:color w:val="000000"/>
                <w:lang w:val="es-GT" w:eastAsia="es-GT"/>
              </w:rPr>
            </w:pPr>
            <w:r w:rsidRPr="001A445E">
              <w:rPr>
                <w:b/>
                <w:bCs/>
                <w:color w:val="000000"/>
                <w:lang w:val="es-GT" w:eastAsia="es-GT"/>
              </w:rPr>
              <w:t>Total</w:t>
            </w:r>
          </w:p>
        </w:tc>
        <w:tc>
          <w:tcPr>
            <w:tcW w:w="1728" w:type="dxa"/>
            <w:tcBorders>
              <w:top w:val="nil"/>
              <w:left w:val="single" w:sz="4" w:space="0" w:color="auto"/>
              <w:bottom w:val="nil"/>
              <w:right w:val="single" w:sz="4" w:space="0" w:color="auto"/>
            </w:tcBorders>
            <w:shd w:val="clear" w:color="auto" w:fill="auto"/>
            <w:noWrap/>
            <w:vAlign w:val="center"/>
            <w:hideMark/>
          </w:tcPr>
          <w:p w14:paraId="23F5D90B" w14:textId="77777777" w:rsidR="001A445E" w:rsidRPr="001A445E" w:rsidRDefault="001A445E" w:rsidP="001A445E">
            <w:pPr>
              <w:widowControl/>
              <w:jc w:val="center"/>
              <w:rPr>
                <w:b/>
                <w:bCs/>
                <w:color w:val="000000"/>
                <w:lang w:val="es-GT" w:eastAsia="es-GT"/>
              </w:rPr>
            </w:pPr>
            <w:r w:rsidRPr="001A445E">
              <w:rPr>
                <w:b/>
                <w:bCs/>
                <w:color w:val="000000"/>
                <w:lang w:val="es-GT" w:eastAsia="es-GT"/>
              </w:rPr>
              <w:t>8,367</w:t>
            </w:r>
          </w:p>
        </w:tc>
        <w:tc>
          <w:tcPr>
            <w:tcW w:w="1728" w:type="dxa"/>
            <w:tcBorders>
              <w:top w:val="nil"/>
              <w:left w:val="nil"/>
              <w:bottom w:val="nil"/>
              <w:right w:val="single" w:sz="4" w:space="0" w:color="auto"/>
            </w:tcBorders>
            <w:shd w:val="clear" w:color="auto" w:fill="auto"/>
            <w:noWrap/>
            <w:vAlign w:val="center"/>
            <w:hideMark/>
          </w:tcPr>
          <w:p w14:paraId="299437C4" w14:textId="77777777" w:rsidR="001A445E" w:rsidRPr="001A445E" w:rsidRDefault="001A445E" w:rsidP="001A445E">
            <w:pPr>
              <w:widowControl/>
              <w:jc w:val="center"/>
              <w:rPr>
                <w:b/>
                <w:bCs/>
                <w:color w:val="000000"/>
                <w:lang w:val="es-GT" w:eastAsia="es-GT"/>
              </w:rPr>
            </w:pPr>
            <w:r w:rsidRPr="001A445E">
              <w:rPr>
                <w:b/>
                <w:bCs/>
                <w:color w:val="000000"/>
                <w:lang w:val="es-GT" w:eastAsia="es-GT"/>
              </w:rPr>
              <w:t>11,280.0</w:t>
            </w:r>
          </w:p>
        </w:tc>
      </w:tr>
      <w:tr w:rsidR="001A445E" w:rsidRPr="001A445E" w14:paraId="3F069782" w14:textId="77777777" w:rsidTr="00C67259">
        <w:trPr>
          <w:trHeight w:val="187"/>
          <w:jc w:val="center"/>
        </w:trPr>
        <w:tc>
          <w:tcPr>
            <w:tcW w:w="5618" w:type="dxa"/>
            <w:tcBorders>
              <w:top w:val="nil"/>
              <w:left w:val="single" w:sz="4" w:space="0" w:color="auto"/>
              <w:bottom w:val="nil"/>
              <w:right w:val="nil"/>
            </w:tcBorders>
            <w:shd w:val="clear" w:color="auto" w:fill="auto"/>
            <w:noWrap/>
            <w:vAlign w:val="center"/>
            <w:hideMark/>
          </w:tcPr>
          <w:p w14:paraId="5697E578" w14:textId="77777777" w:rsidR="001A445E" w:rsidRPr="001A445E" w:rsidRDefault="001A445E" w:rsidP="001A445E">
            <w:pPr>
              <w:widowControl/>
              <w:rPr>
                <w:b/>
                <w:bCs/>
                <w:color w:val="000000"/>
                <w:lang w:val="es-GT" w:eastAsia="es-GT"/>
              </w:rPr>
            </w:pPr>
            <w:r w:rsidRPr="001A445E">
              <w:rPr>
                <w:b/>
                <w:bCs/>
                <w:color w:val="000000"/>
                <w:lang w:val="es-GT" w:eastAsia="es-GT"/>
              </w:rPr>
              <w:t>Procesos en cortes nacionales</w:t>
            </w:r>
          </w:p>
        </w:tc>
        <w:tc>
          <w:tcPr>
            <w:tcW w:w="1728" w:type="dxa"/>
            <w:tcBorders>
              <w:top w:val="nil"/>
              <w:left w:val="single" w:sz="4" w:space="0" w:color="auto"/>
              <w:bottom w:val="nil"/>
              <w:right w:val="single" w:sz="4" w:space="0" w:color="auto"/>
            </w:tcBorders>
            <w:shd w:val="clear" w:color="auto" w:fill="auto"/>
            <w:noWrap/>
            <w:vAlign w:val="center"/>
            <w:hideMark/>
          </w:tcPr>
          <w:p w14:paraId="1C4B035D" w14:textId="77777777" w:rsidR="001A445E" w:rsidRPr="001A445E" w:rsidRDefault="001A445E" w:rsidP="001A445E">
            <w:pPr>
              <w:widowControl/>
              <w:jc w:val="center"/>
              <w:rPr>
                <w:b/>
                <w:bCs/>
                <w:color w:val="000000"/>
                <w:lang w:val="es-GT" w:eastAsia="es-GT"/>
              </w:rPr>
            </w:pPr>
            <w:r w:rsidRPr="001A445E">
              <w:rPr>
                <w:b/>
                <w:bCs/>
                <w:color w:val="000000"/>
                <w:lang w:val="es-GT" w:eastAsia="es-GT"/>
              </w:rPr>
              <w:t>8,192</w:t>
            </w:r>
          </w:p>
        </w:tc>
        <w:tc>
          <w:tcPr>
            <w:tcW w:w="1728" w:type="dxa"/>
            <w:tcBorders>
              <w:top w:val="nil"/>
              <w:left w:val="nil"/>
              <w:bottom w:val="nil"/>
              <w:right w:val="single" w:sz="4" w:space="0" w:color="auto"/>
            </w:tcBorders>
            <w:shd w:val="clear" w:color="auto" w:fill="auto"/>
            <w:noWrap/>
            <w:vAlign w:val="center"/>
            <w:hideMark/>
          </w:tcPr>
          <w:p w14:paraId="04CCC74D" w14:textId="77777777" w:rsidR="001A445E" w:rsidRPr="001A445E" w:rsidRDefault="001A445E" w:rsidP="001A445E">
            <w:pPr>
              <w:widowControl/>
              <w:jc w:val="center"/>
              <w:rPr>
                <w:b/>
                <w:bCs/>
                <w:color w:val="000000"/>
                <w:lang w:val="es-GT" w:eastAsia="es-GT"/>
              </w:rPr>
            </w:pPr>
            <w:r w:rsidRPr="001A445E">
              <w:rPr>
                <w:b/>
                <w:bCs/>
                <w:color w:val="000000"/>
                <w:lang w:val="es-GT" w:eastAsia="es-GT"/>
              </w:rPr>
              <w:t>4,574.5</w:t>
            </w:r>
          </w:p>
        </w:tc>
      </w:tr>
      <w:tr w:rsidR="001A445E" w:rsidRPr="001A445E" w14:paraId="79BED27E" w14:textId="77777777" w:rsidTr="00C67259">
        <w:trPr>
          <w:trHeight w:val="103"/>
          <w:jc w:val="center"/>
        </w:trPr>
        <w:tc>
          <w:tcPr>
            <w:tcW w:w="5618" w:type="dxa"/>
            <w:tcBorders>
              <w:top w:val="nil"/>
              <w:left w:val="single" w:sz="4" w:space="0" w:color="auto"/>
              <w:bottom w:val="nil"/>
              <w:right w:val="nil"/>
            </w:tcBorders>
            <w:shd w:val="clear" w:color="auto" w:fill="auto"/>
            <w:noWrap/>
            <w:vAlign w:val="center"/>
            <w:hideMark/>
          </w:tcPr>
          <w:p w14:paraId="7AEF3B74" w14:textId="77777777" w:rsidR="001A445E" w:rsidRPr="001A445E" w:rsidRDefault="001A445E" w:rsidP="001A445E">
            <w:pPr>
              <w:widowControl/>
              <w:ind w:firstLineChars="200" w:firstLine="400"/>
              <w:rPr>
                <w:color w:val="000000"/>
                <w:lang w:val="es-GT" w:eastAsia="es-GT"/>
              </w:rPr>
            </w:pPr>
            <w:r w:rsidRPr="001A445E">
              <w:rPr>
                <w:color w:val="000000"/>
                <w:lang w:val="es-GT" w:eastAsia="es-GT"/>
              </w:rPr>
              <w:t>Procesos Penales</w:t>
            </w:r>
          </w:p>
        </w:tc>
        <w:tc>
          <w:tcPr>
            <w:tcW w:w="1728" w:type="dxa"/>
            <w:tcBorders>
              <w:top w:val="nil"/>
              <w:left w:val="single" w:sz="4" w:space="0" w:color="auto"/>
              <w:bottom w:val="nil"/>
              <w:right w:val="single" w:sz="4" w:space="0" w:color="auto"/>
            </w:tcBorders>
            <w:shd w:val="clear" w:color="auto" w:fill="auto"/>
            <w:noWrap/>
            <w:vAlign w:val="center"/>
            <w:hideMark/>
          </w:tcPr>
          <w:p w14:paraId="46C8BA31" w14:textId="77777777" w:rsidR="001A445E" w:rsidRPr="001A445E" w:rsidRDefault="001A445E" w:rsidP="001A445E">
            <w:pPr>
              <w:widowControl/>
              <w:jc w:val="center"/>
              <w:rPr>
                <w:color w:val="000000"/>
                <w:lang w:val="es-GT" w:eastAsia="es-GT"/>
              </w:rPr>
            </w:pPr>
            <w:r w:rsidRPr="001A445E">
              <w:rPr>
                <w:color w:val="000000"/>
                <w:lang w:val="es-GT" w:eastAsia="es-GT"/>
              </w:rPr>
              <w:t>5</w:t>
            </w:r>
          </w:p>
        </w:tc>
        <w:tc>
          <w:tcPr>
            <w:tcW w:w="1728" w:type="dxa"/>
            <w:tcBorders>
              <w:top w:val="nil"/>
              <w:left w:val="nil"/>
              <w:bottom w:val="nil"/>
              <w:right w:val="single" w:sz="4" w:space="0" w:color="auto"/>
            </w:tcBorders>
            <w:shd w:val="clear" w:color="auto" w:fill="auto"/>
            <w:noWrap/>
            <w:vAlign w:val="center"/>
            <w:hideMark/>
          </w:tcPr>
          <w:p w14:paraId="1D9BB6C1" w14:textId="77777777" w:rsidR="001A445E" w:rsidRPr="001A445E" w:rsidRDefault="001A445E" w:rsidP="001A445E">
            <w:pPr>
              <w:widowControl/>
              <w:jc w:val="center"/>
              <w:rPr>
                <w:color w:val="000000"/>
                <w:lang w:val="es-GT" w:eastAsia="es-GT"/>
              </w:rPr>
            </w:pPr>
            <w:r w:rsidRPr="001A445E">
              <w:rPr>
                <w:color w:val="000000"/>
                <w:lang w:val="es-GT" w:eastAsia="es-GT"/>
              </w:rPr>
              <w:t>3.1</w:t>
            </w:r>
          </w:p>
        </w:tc>
      </w:tr>
      <w:tr w:rsidR="001A445E" w:rsidRPr="001A445E" w14:paraId="1145F9D2" w14:textId="77777777" w:rsidTr="00C67259">
        <w:trPr>
          <w:trHeight w:val="150"/>
          <w:jc w:val="center"/>
        </w:trPr>
        <w:tc>
          <w:tcPr>
            <w:tcW w:w="5618" w:type="dxa"/>
            <w:tcBorders>
              <w:top w:val="nil"/>
              <w:left w:val="single" w:sz="4" w:space="0" w:color="auto"/>
              <w:bottom w:val="nil"/>
              <w:right w:val="nil"/>
            </w:tcBorders>
            <w:shd w:val="clear" w:color="auto" w:fill="auto"/>
            <w:noWrap/>
            <w:vAlign w:val="center"/>
            <w:hideMark/>
          </w:tcPr>
          <w:p w14:paraId="289E1772" w14:textId="77777777" w:rsidR="001A445E" w:rsidRPr="001A445E" w:rsidRDefault="001A445E" w:rsidP="001A445E">
            <w:pPr>
              <w:widowControl/>
              <w:ind w:firstLineChars="200" w:firstLine="400"/>
              <w:rPr>
                <w:color w:val="000000"/>
                <w:lang w:val="es-GT" w:eastAsia="es-GT"/>
              </w:rPr>
            </w:pPr>
            <w:r w:rsidRPr="001A445E">
              <w:rPr>
                <w:color w:val="000000"/>
                <w:lang w:val="es-GT" w:eastAsia="es-GT"/>
              </w:rPr>
              <w:t>Procesos Laborales</w:t>
            </w:r>
          </w:p>
        </w:tc>
        <w:tc>
          <w:tcPr>
            <w:tcW w:w="1728" w:type="dxa"/>
            <w:tcBorders>
              <w:top w:val="nil"/>
              <w:left w:val="single" w:sz="4" w:space="0" w:color="auto"/>
              <w:bottom w:val="nil"/>
              <w:right w:val="single" w:sz="4" w:space="0" w:color="auto"/>
            </w:tcBorders>
            <w:shd w:val="clear" w:color="auto" w:fill="auto"/>
            <w:noWrap/>
            <w:vAlign w:val="center"/>
            <w:hideMark/>
          </w:tcPr>
          <w:p w14:paraId="53F64B00" w14:textId="77777777" w:rsidR="001A445E" w:rsidRPr="001A445E" w:rsidRDefault="001A445E" w:rsidP="001A445E">
            <w:pPr>
              <w:widowControl/>
              <w:jc w:val="center"/>
              <w:rPr>
                <w:color w:val="000000"/>
                <w:lang w:val="es-GT" w:eastAsia="es-GT"/>
              </w:rPr>
            </w:pPr>
            <w:r w:rsidRPr="001A445E">
              <w:rPr>
                <w:color w:val="000000"/>
                <w:lang w:val="es-GT" w:eastAsia="es-GT"/>
              </w:rPr>
              <w:t>7,957</w:t>
            </w:r>
          </w:p>
        </w:tc>
        <w:tc>
          <w:tcPr>
            <w:tcW w:w="1728" w:type="dxa"/>
            <w:tcBorders>
              <w:top w:val="nil"/>
              <w:left w:val="nil"/>
              <w:bottom w:val="nil"/>
              <w:right w:val="single" w:sz="4" w:space="0" w:color="auto"/>
            </w:tcBorders>
            <w:shd w:val="clear" w:color="auto" w:fill="auto"/>
            <w:noWrap/>
            <w:vAlign w:val="center"/>
            <w:hideMark/>
          </w:tcPr>
          <w:p w14:paraId="2AA82FFE" w14:textId="77777777" w:rsidR="001A445E" w:rsidRPr="001A445E" w:rsidRDefault="001A445E" w:rsidP="001A445E">
            <w:pPr>
              <w:widowControl/>
              <w:jc w:val="center"/>
              <w:rPr>
                <w:color w:val="000000"/>
                <w:lang w:val="es-GT" w:eastAsia="es-GT"/>
              </w:rPr>
            </w:pPr>
            <w:r w:rsidRPr="001A445E">
              <w:rPr>
                <w:color w:val="000000"/>
                <w:lang w:val="es-GT" w:eastAsia="es-GT"/>
              </w:rPr>
              <w:t>n.d.</w:t>
            </w:r>
          </w:p>
        </w:tc>
      </w:tr>
      <w:tr w:rsidR="001A445E" w:rsidRPr="001A445E" w14:paraId="29C99A24" w14:textId="77777777" w:rsidTr="00C67259">
        <w:trPr>
          <w:trHeight w:val="210"/>
          <w:jc w:val="center"/>
        </w:trPr>
        <w:tc>
          <w:tcPr>
            <w:tcW w:w="5618" w:type="dxa"/>
            <w:tcBorders>
              <w:top w:val="nil"/>
              <w:left w:val="single" w:sz="4" w:space="0" w:color="auto"/>
              <w:bottom w:val="nil"/>
              <w:right w:val="nil"/>
            </w:tcBorders>
            <w:shd w:val="clear" w:color="auto" w:fill="auto"/>
            <w:noWrap/>
            <w:vAlign w:val="center"/>
            <w:hideMark/>
          </w:tcPr>
          <w:p w14:paraId="448D98E6" w14:textId="77777777" w:rsidR="001A445E" w:rsidRPr="001A445E" w:rsidRDefault="001A445E" w:rsidP="001A445E">
            <w:pPr>
              <w:widowControl/>
              <w:ind w:firstLineChars="400" w:firstLine="800"/>
              <w:rPr>
                <w:color w:val="000000"/>
                <w:lang w:val="es-GT" w:eastAsia="es-GT"/>
              </w:rPr>
            </w:pPr>
            <w:r w:rsidRPr="001A445E">
              <w:rPr>
                <w:color w:val="000000"/>
                <w:lang w:val="es-GT" w:eastAsia="es-GT"/>
              </w:rPr>
              <w:lastRenderedPageBreak/>
              <w:t>Procesos ordinarios</w:t>
            </w:r>
          </w:p>
        </w:tc>
        <w:tc>
          <w:tcPr>
            <w:tcW w:w="1728" w:type="dxa"/>
            <w:tcBorders>
              <w:top w:val="nil"/>
              <w:left w:val="single" w:sz="4" w:space="0" w:color="auto"/>
              <w:bottom w:val="nil"/>
              <w:right w:val="single" w:sz="4" w:space="0" w:color="auto"/>
            </w:tcBorders>
            <w:shd w:val="clear" w:color="auto" w:fill="auto"/>
            <w:noWrap/>
            <w:vAlign w:val="center"/>
            <w:hideMark/>
          </w:tcPr>
          <w:p w14:paraId="072F7E75" w14:textId="77777777" w:rsidR="001A445E" w:rsidRPr="001A445E" w:rsidRDefault="001A445E" w:rsidP="001A445E">
            <w:pPr>
              <w:widowControl/>
              <w:jc w:val="center"/>
              <w:rPr>
                <w:color w:val="000000"/>
                <w:lang w:val="es-GT" w:eastAsia="es-GT"/>
              </w:rPr>
            </w:pPr>
            <w:r w:rsidRPr="001A445E">
              <w:rPr>
                <w:color w:val="000000"/>
                <w:lang w:val="es-GT" w:eastAsia="es-GT"/>
              </w:rPr>
              <w:t>7,732</w:t>
            </w:r>
          </w:p>
        </w:tc>
        <w:tc>
          <w:tcPr>
            <w:tcW w:w="1728" w:type="dxa"/>
            <w:tcBorders>
              <w:top w:val="nil"/>
              <w:left w:val="nil"/>
              <w:bottom w:val="nil"/>
              <w:right w:val="single" w:sz="4" w:space="0" w:color="auto"/>
            </w:tcBorders>
            <w:shd w:val="clear" w:color="auto" w:fill="auto"/>
            <w:noWrap/>
            <w:vAlign w:val="center"/>
            <w:hideMark/>
          </w:tcPr>
          <w:p w14:paraId="44130C3F" w14:textId="77777777" w:rsidR="001A445E" w:rsidRPr="001A445E" w:rsidRDefault="001A445E" w:rsidP="001A445E">
            <w:pPr>
              <w:widowControl/>
              <w:jc w:val="center"/>
              <w:rPr>
                <w:color w:val="000000"/>
                <w:lang w:val="es-GT" w:eastAsia="es-GT"/>
              </w:rPr>
            </w:pPr>
            <w:r w:rsidRPr="001A445E">
              <w:rPr>
                <w:color w:val="000000"/>
                <w:lang w:val="es-GT" w:eastAsia="es-GT"/>
              </w:rPr>
              <w:t>n.d.</w:t>
            </w:r>
          </w:p>
        </w:tc>
      </w:tr>
      <w:tr w:rsidR="001A445E" w:rsidRPr="001A445E" w14:paraId="2ABCEC8F" w14:textId="77777777" w:rsidTr="00C67259">
        <w:trPr>
          <w:trHeight w:val="113"/>
          <w:jc w:val="center"/>
        </w:trPr>
        <w:tc>
          <w:tcPr>
            <w:tcW w:w="5618" w:type="dxa"/>
            <w:tcBorders>
              <w:top w:val="nil"/>
              <w:left w:val="single" w:sz="4" w:space="0" w:color="auto"/>
              <w:bottom w:val="nil"/>
              <w:right w:val="nil"/>
            </w:tcBorders>
            <w:shd w:val="clear" w:color="auto" w:fill="auto"/>
            <w:noWrap/>
            <w:vAlign w:val="center"/>
            <w:hideMark/>
          </w:tcPr>
          <w:p w14:paraId="362B14F8" w14:textId="77777777" w:rsidR="001A445E" w:rsidRPr="001A445E" w:rsidRDefault="001A445E" w:rsidP="001A445E">
            <w:pPr>
              <w:widowControl/>
              <w:ind w:firstLineChars="400" w:firstLine="800"/>
              <w:rPr>
                <w:color w:val="000000"/>
                <w:lang w:val="es-GT" w:eastAsia="es-GT"/>
              </w:rPr>
            </w:pPr>
            <w:r w:rsidRPr="001A445E">
              <w:rPr>
                <w:color w:val="000000"/>
                <w:lang w:val="es-GT" w:eastAsia="es-GT"/>
              </w:rPr>
              <w:t>Procesos colectivos</w:t>
            </w:r>
          </w:p>
        </w:tc>
        <w:tc>
          <w:tcPr>
            <w:tcW w:w="1728" w:type="dxa"/>
            <w:tcBorders>
              <w:top w:val="nil"/>
              <w:left w:val="single" w:sz="4" w:space="0" w:color="auto"/>
              <w:bottom w:val="nil"/>
              <w:right w:val="single" w:sz="4" w:space="0" w:color="auto"/>
            </w:tcBorders>
            <w:shd w:val="clear" w:color="auto" w:fill="auto"/>
            <w:noWrap/>
            <w:vAlign w:val="center"/>
            <w:hideMark/>
          </w:tcPr>
          <w:p w14:paraId="2DD04948" w14:textId="77777777" w:rsidR="001A445E" w:rsidRPr="001A445E" w:rsidRDefault="001A445E" w:rsidP="001A445E">
            <w:pPr>
              <w:widowControl/>
              <w:jc w:val="center"/>
              <w:rPr>
                <w:color w:val="000000"/>
                <w:lang w:val="es-GT" w:eastAsia="es-GT"/>
              </w:rPr>
            </w:pPr>
            <w:r w:rsidRPr="001A445E">
              <w:rPr>
                <w:color w:val="000000"/>
                <w:lang w:val="es-GT" w:eastAsia="es-GT"/>
              </w:rPr>
              <w:t>225</w:t>
            </w:r>
          </w:p>
        </w:tc>
        <w:tc>
          <w:tcPr>
            <w:tcW w:w="1728" w:type="dxa"/>
            <w:tcBorders>
              <w:top w:val="nil"/>
              <w:left w:val="nil"/>
              <w:bottom w:val="nil"/>
              <w:right w:val="single" w:sz="4" w:space="0" w:color="auto"/>
            </w:tcBorders>
            <w:shd w:val="clear" w:color="auto" w:fill="auto"/>
            <w:noWrap/>
            <w:vAlign w:val="center"/>
            <w:hideMark/>
          </w:tcPr>
          <w:p w14:paraId="2A982B2B" w14:textId="77777777" w:rsidR="001A445E" w:rsidRPr="001A445E" w:rsidRDefault="001A445E" w:rsidP="001A445E">
            <w:pPr>
              <w:widowControl/>
              <w:jc w:val="center"/>
              <w:rPr>
                <w:color w:val="000000"/>
                <w:lang w:val="es-GT" w:eastAsia="es-GT"/>
              </w:rPr>
            </w:pPr>
            <w:r w:rsidRPr="001A445E">
              <w:rPr>
                <w:color w:val="000000"/>
                <w:lang w:val="es-GT" w:eastAsia="es-GT"/>
              </w:rPr>
              <w:t>n.d.</w:t>
            </w:r>
          </w:p>
        </w:tc>
      </w:tr>
      <w:tr w:rsidR="001A445E" w:rsidRPr="001A445E" w14:paraId="5A3CC15D" w14:textId="77777777" w:rsidTr="00C67259">
        <w:trPr>
          <w:trHeight w:val="175"/>
          <w:jc w:val="center"/>
        </w:trPr>
        <w:tc>
          <w:tcPr>
            <w:tcW w:w="5618" w:type="dxa"/>
            <w:tcBorders>
              <w:top w:val="nil"/>
              <w:left w:val="single" w:sz="4" w:space="0" w:color="auto"/>
              <w:bottom w:val="nil"/>
              <w:right w:val="nil"/>
            </w:tcBorders>
            <w:shd w:val="clear" w:color="auto" w:fill="auto"/>
            <w:noWrap/>
            <w:vAlign w:val="center"/>
            <w:hideMark/>
          </w:tcPr>
          <w:p w14:paraId="2CCBFEEB" w14:textId="77777777" w:rsidR="001A445E" w:rsidRPr="001A445E" w:rsidRDefault="001A445E" w:rsidP="001A445E">
            <w:pPr>
              <w:widowControl/>
              <w:ind w:firstLineChars="200" w:firstLine="400"/>
              <w:rPr>
                <w:color w:val="000000"/>
                <w:lang w:val="es-GT" w:eastAsia="es-GT"/>
              </w:rPr>
            </w:pPr>
            <w:r w:rsidRPr="001A445E">
              <w:rPr>
                <w:color w:val="000000"/>
                <w:lang w:val="es-GT" w:eastAsia="es-GT"/>
              </w:rPr>
              <w:t>Procesos en Materia Civil</w:t>
            </w:r>
          </w:p>
        </w:tc>
        <w:tc>
          <w:tcPr>
            <w:tcW w:w="1728" w:type="dxa"/>
            <w:tcBorders>
              <w:top w:val="nil"/>
              <w:left w:val="single" w:sz="4" w:space="0" w:color="auto"/>
              <w:bottom w:val="nil"/>
              <w:right w:val="single" w:sz="4" w:space="0" w:color="auto"/>
            </w:tcBorders>
            <w:shd w:val="clear" w:color="auto" w:fill="auto"/>
            <w:noWrap/>
            <w:vAlign w:val="center"/>
            <w:hideMark/>
          </w:tcPr>
          <w:p w14:paraId="28FF5676" w14:textId="77777777" w:rsidR="001A445E" w:rsidRPr="001A445E" w:rsidRDefault="001A445E" w:rsidP="001A445E">
            <w:pPr>
              <w:widowControl/>
              <w:jc w:val="center"/>
              <w:rPr>
                <w:color w:val="000000"/>
                <w:lang w:val="es-GT" w:eastAsia="es-GT"/>
              </w:rPr>
            </w:pPr>
            <w:r w:rsidRPr="001A445E">
              <w:rPr>
                <w:color w:val="000000"/>
                <w:lang w:val="es-GT" w:eastAsia="es-GT"/>
              </w:rPr>
              <w:t>230</w:t>
            </w:r>
          </w:p>
        </w:tc>
        <w:tc>
          <w:tcPr>
            <w:tcW w:w="1728" w:type="dxa"/>
            <w:tcBorders>
              <w:top w:val="nil"/>
              <w:left w:val="nil"/>
              <w:bottom w:val="nil"/>
              <w:right w:val="single" w:sz="4" w:space="0" w:color="auto"/>
            </w:tcBorders>
            <w:shd w:val="clear" w:color="auto" w:fill="auto"/>
            <w:noWrap/>
            <w:vAlign w:val="center"/>
            <w:hideMark/>
          </w:tcPr>
          <w:p w14:paraId="66A4C595" w14:textId="77777777" w:rsidR="001A445E" w:rsidRPr="001A445E" w:rsidRDefault="001A445E" w:rsidP="001A445E">
            <w:pPr>
              <w:widowControl/>
              <w:jc w:val="center"/>
              <w:rPr>
                <w:color w:val="000000"/>
                <w:lang w:val="es-GT" w:eastAsia="es-GT"/>
              </w:rPr>
            </w:pPr>
            <w:r w:rsidRPr="001A445E">
              <w:rPr>
                <w:color w:val="000000"/>
                <w:lang w:val="es-GT" w:eastAsia="es-GT"/>
              </w:rPr>
              <w:t>4,571.4</w:t>
            </w:r>
          </w:p>
        </w:tc>
      </w:tr>
      <w:tr w:rsidR="001A445E" w:rsidRPr="001A445E" w14:paraId="2BDCEAFA" w14:textId="77777777" w:rsidTr="00C67259">
        <w:trPr>
          <w:trHeight w:val="87"/>
          <w:jc w:val="center"/>
        </w:trPr>
        <w:tc>
          <w:tcPr>
            <w:tcW w:w="5618" w:type="dxa"/>
            <w:tcBorders>
              <w:top w:val="nil"/>
              <w:left w:val="single" w:sz="4" w:space="0" w:color="auto"/>
              <w:bottom w:val="nil"/>
              <w:right w:val="nil"/>
            </w:tcBorders>
            <w:shd w:val="clear" w:color="auto" w:fill="auto"/>
            <w:noWrap/>
            <w:vAlign w:val="center"/>
            <w:hideMark/>
          </w:tcPr>
          <w:p w14:paraId="67D2FDA0" w14:textId="77777777" w:rsidR="001A445E" w:rsidRPr="001A445E" w:rsidRDefault="001A445E" w:rsidP="001A445E">
            <w:pPr>
              <w:widowControl/>
              <w:ind w:firstLineChars="400" w:firstLine="800"/>
              <w:rPr>
                <w:color w:val="000000"/>
                <w:lang w:val="es-GT" w:eastAsia="es-GT"/>
              </w:rPr>
            </w:pPr>
            <w:r w:rsidRPr="001A445E">
              <w:rPr>
                <w:color w:val="000000"/>
                <w:lang w:val="es-GT" w:eastAsia="es-GT"/>
              </w:rPr>
              <w:t>Arbitraje Nacional</w:t>
            </w:r>
          </w:p>
        </w:tc>
        <w:tc>
          <w:tcPr>
            <w:tcW w:w="1728" w:type="dxa"/>
            <w:tcBorders>
              <w:top w:val="nil"/>
              <w:left w:val="single" w:sz="4" w:space="0" w:color="auto"/>
              <w:bottom w:val="nil"/>
              <w:right w:val="single" w:sz="4" w:space="0" w:color="auto"/>
            </w:tcBorders>
            <w:shd w:val="clear" w:color="auto" w:fill="auto"/>
            <w:noWrap/>
            <w:vAlign w:val="center"/>
            <w:hideMark/>
          </w:tcPr>
          <w:p w14:paraId="2458D219" w14:textId="77777777" w:rsidR="001A445E" w:rsidRPr="001A445E" w:rsidRDefault="001A445E" w:rsidP="001A445E">
            <w:pPr>
              <w:widowControl/>
              <w:jc w:val="center"/>
              <w:rPr>
                <w:color w:val="000000"/>
                <w:lang w:val="es-GT" w:eastAsia="es-GT"/>
              </w:rPr>
            </w:pPr>
            <w:r w:rsidRPr="001A445E">
              <w:rPr>
                <w:color w:val="000000"/>
                <w:lang w:val="es-GT" w:eastAsia="es-GT"/>
              </w:rPr>
              <w:t>38</w:t>
            </w:r>
          </w:p>
        </w:tc>
        <w:tc>
          <w:tcPr>
            <w:tcW w:w="1728" w:type="dxa"/>
            <w:tcBorders>
              <w:top w:val="nil"/>
              <w:left w:val="nil"/>
              <w:bottom w:val="nil"/>
              <w:right w:val="single" w:sz="4" w:space="0" w:color="auto"/>
            </w:tcBorders>
            <w:shd w:val="clear" w:color="auto" w:fill="auto"/>
            <w:noWrap/>
            <w:vAlign w:val="center"/>
            <w:hideMark/>
          </w:tcPr>
          <w:p w14:paraId="7E80BCEE" w14:textId="77777777" w:rsidR="001A445E" w:rsidRPr="001A445E" w:rsidRDefault="001A445E" w:rsidP="001A445E">
            <w:pPr>
              <w:widowControl/>
              <w:jc w:val="center"/>
              <w:rPr>
                <w:color w:val="000000"/>
                <w:lang w:val="es-GT" w:eastAsia="es-GT"/>
              </w:rPr>
            </w:pPr>
            <w:r w:rsidRPr="001A445E">
              <w:rPr>
                <w:color w:val="000000"/>
                <w:lang w:val="es-GT" w:eastAsia="es-GT"/>
              </w:rPr>
              <w:t>732.6</w:t>
            </w:r>
          </w:p>
        </w:tc>
      </w:tr>
      <w:tr w:rsidR="001A445E" w:rsidRPr="001A445E" w14:paraId="6A812820" w14:textId="77777777" w:rsidTr="00C67259">
        <w:trPr>
          <w:trHeight w:val="281"/>
          <w:jc w:val="center"/>
        </w:trPr>
        <w:tc>
          <w:tcPr>
            <w:tcW w:w="5618" w:type="dxa"/>
            <w:tcBorders>
              <w:top w:val="nil"/>
              <w:left w:val="single" w:sz="4" w:space="0" w:color="auto"/>
              <w:bottom w:val="nil"/>
              <w:right w:val="nil"/>
            </w:tcBorders>
            <w:shd w:val="clear" w:color="auto" w:fill="auto"/>
            <w:noWrap/>
            <w:vAlign w:val="center"/>
            <w:hideMark/>
          </w:tcPr>
          <w:p w14:paraId="552F3DAE" w14:textId="77777777" w:rsidR="001A445E" w:rsidRPr="001A445E" w:rsidRDefault="001A445E" w:rsidP="001A445E">
            <w:pPr>
              <w:widowControl/>
              <w:ind w:firstLineChars="400" w:firstLine="800"/>
              <w:rPr>
                <w:color w:val="000000"/>
                <w:lang w:val="es-GT" w:eastAsia="es-GT"/>
              </w:rPr>
            </w:pPr>
            <w:r w:rsidRPr="001A445E">
              <w:rPr>
                <w:color w:val="000000"/>
                <w:lang w:val="es-GT" w:eastAsia="es-GT"/>
              </w:rPr>
              <w:t>Sentencias</w:t>
            </w:r>
          </w:p>
        </w:tc>
        <w:tc>
          <w:tcPr>
            <w:tcW w:w="1728" w:type="dxa"/>
            <w:tcBorders>
              <w:top w:val="nil"/>
              <w:left w:val="single" w:sz="4" w:space="0" w:color="auto"/>
              <w:bottom w:val="nil"/>
              <w:right w:val="single" w:sz="4" w:space="0" w:color="auto"/>
            </w:tcBorders>
            <w:shd w:val="clear" w:color="auto" w:fill="auto"/>
            <w:noWrap/>
            <w:vAlign w:val="center"/>
            <w:hideMark/>
          </w:tcPr>
          <w:p w14:paraId="105E1348" w14:textId="77777777" w:rsidR="001A445E" w:rsidRPr="001A445E" w:rsidRDefault="001A445E" w:rsidP="001A445E">
            <w:pPr>
              <w:widowControl/>
              <w:jc w:val="center"/>
              <w:rPr>
                <w:color w:val="000000"/>
                <w:lang w:val="es-GT" w:eastAsia="es-GT"/>
              </w:rPr>
            </w:pPr>
            <w:r w:rsidRPr="001A445E">
              <w:rPr>
                <w:color w:val="000000"/>
                <w:lang w:val="es-GT" w:eastAsia="es-GT"/>
              </w:rPr>
              <w:t>26</w:t>
            </w:r>
          </w:p>
        </w:tc>
        <w:tc>
          <w:tcPr>
            <w:tcW w:w="1728" w:type="dxa"/>
            <w:tcBorders>
              <w:top w:val="nil"/>
              <w:left w:val="nil"/>
              <w:bottom w:val="nil"/>
              <w:right w:val="single" w:sz="4" w:space="0" w:color="auto"/>
            </w:tcBorders>
            <w:shd w:val="clear" w:color="auto" w:fill="auto"/>
            <w:noWrap/>
            <w:vAlign w:val="center"/>
            <w:hideMark/>
          </w:tcPr>
          <w:p w14:paraId="0416672F" w14:textId="77777777" w:rsidR="001A445E" w:rsidRPr="001A445E" w:rsidRDefault="001A445E" w:rsidP="001A445E">
            <w:pPr>
              <w:widowControl/>
              <w:jc w:val="center"/>
              <w:rPr>
                <w:color w:val="000000"/>
                <w:lang w:val="es-GT" w:eastAsia="es-GT"/>
              </w:rPr>
            </w:pPr>
            <w:r w:rsidRPr="001A445E">
              <w:rPr>
                <w:color w:val="000000"/>
                <w:lang w:val="es-GT" w:eastAsia="es-GT"/>
              </w:rPr>
              <w:t>602.2</w:t>
            </w:r>
          </w:p>
        </w:tc>
      </w:tr>
      <w:tr w:rsidR="001A445E" w:rsidRPr="001A445E" w14:paraId="3DB4B98B" w14:textId="77777777" w:rsidTr="00C67259">
        <w:trPr>
          <w:trHeight w:val="142"/>
          <w:jc w:val="center"/>
        </w:trPr>
        <w:tc>
          <w:tcPr>
            <w:tcW w:w="5618" w:type="dxa"/>
            <w:tcBorders>
              <w:top w:val="nil"/>
              <w:left w:val="single" w:sz="4" w:space="0" w:color="auto"/>
              <w:bottom w:val="nil"/>
              <w:right w:val="nil"/>
            </w:tcBorders>
            <w:shd w:val="clear" w:color="auto" w:fill="auto"/>
            <w:noWrap/>
            <w:vAlign w:val="center"/>
            <w:hideMark/>
          </w:tcPr>
          <w:p w14:paraId="77ED3A59" w14:textId="77777777" w:rsidR="001A445E" w:rsidRPr="001A445E" w:rsidRDefault="001A445E" w:rsidP="001A445E">
            <w:pPr>
              <w:widowControl/>
              <w:ind w:firstLineChars="400" w:firstLine="800"/>
              <w:rPr>
                <w:color w:val="000000"/>
                <w:lang w:val="es-GT" w:eastAsia="es-GT"/>
              </w:rPr>
            </w:pPr>
            <w:r w:rsidRPr="001A445E">
              <w:rPr>
                <w:color w:val="000000"/>
                <w:lang w:val="es-GT" w:eastAsia="es-GT"/>
              </w:rPr>
              <w:t>Juicios ordinarios y sumarios</w:t>
            </w:r>
          </w:p>
        </w:tc>
        <w:tc>
          <w:tcPr>
            <w:tcW w:w="1728" w:type="dxa"/>
            <w:tcBorders>
              <w:top w:val="nil"/>
              <w:left w:val="single" w:sz="4" w:space="0" w:color="auto"/>
              <w:bottom w:val="nil"/>
              <w:right w:val="single" w:sz="4" w:space="0" w:color="auto"/>
            </w:tcBorders>
            <w:shd w:val="clear" w:color="auto" w:fill="auto"/>
            <w:noWrap/>
            <w:vAlign w:val="center"/>
            <w:hideMark/>
          </w:tcPr>
          <w:p w14:paraId="62E469A8" w14:textId="77777777" w:rsidR="001A445E" w:rsidRPr="001A445E" w:rsidRDefault="001A445E" w:rsidP="001A445E">
            <w:pPr>
              <w:widowControl/>
              <w:jc w:val="center"/>
              <w:rPr>
                <w:color w:val="000000"/>
                <w:lang w:val="es-GT" w:eastAsia="es-GT"/>
              </w:rPr>
            </w:pPr>
            <w:r w:rsidRPr="001A445E">
              <w:rPr>
                <w:color w:val="000000"/>
                <w:lang w:val="es-GT" w:eastAsia="es-GT"/>
              </w:rPr>
              <w:t>105</w:t>
            </w:r>
          </w:p>
        </w:tc>
        <w:tc>
          <w:tcPr>
            <w:tcW w:w="1728" w:type="dxa"/>
            <w:tcBorders>
              <w:top w:val="nil"/>
              <w:left w:val="nil"/>
              <w:bottom w:val="nil"/>
              <w:right w:val="single" w:sz="4" w:space="0" w:color="auto"/>
            </w:tcBorders>
            <w:shd w:val="clear" w:color="auto" w:fill="auto"/>
            <w:noWrap/>
            <w:vAlign w:val="center"/>
            <w:hideMark/>
          </w:tcPr>
          <w:p w14:paraId="6FB63FA6" w14:textId="77777777" w:rsidR="001A445E" w:rsidRPr="001A445E" w:rsidRDefault="001A445E" w:rsidP="001A445E">
            <w:pPr>
              <w:widowControl/>
              <w:jc w:val="center"/>
              <w:rPr>
                <w:color w:val="000000"/>
                <w:lang w:val="es-GT" w:eastAsia="es-GT"/>
              </w:rPr>
            </w:pPr>
            <w:r w:rsidRPr="001A445E">
              <w:rPr>
                <w:color w:val="000000"/>
                <w:lang w:val="es-GT" w:eastAsia="es-GT"/>
              </w:rPr>
              <w:t>293.8</w:t>
            </w:r>
          </w:p>
        </w:tc>
      </w:tr>
      <w:tr w:rsidR="001A445E" w:rsidRPr="001A445E" w14:paraId="31D9F629" w14:textId="77777777" w:rsidTr="00C67259">
        <w:trPr>
          <w:trHeight w:val="202"/>
          <w:jc w:val="center"/>
        </w:trPr>
        <w:tc>
          <w:tcPr>
            <w:tcW w:w="5618" w:type="dxa"/>
            <w:tcBorders>
              <w:top w:val="nil"/>
              <w:left w:val="single" w:sz="4" w:space="0" w:color="auto"/>
              <w:bottom w:val="nil"/>
              <w:right w:val="nil"/>
            </w:tcBorders>
            <w:shd w:val="clear" w:color="auto" w:fill="auto"/>
            <w:noWrap/>
            <w:vAlign w:val="center"/>
            <w:hideMark/>
          </w:tcPr>
          <w:p w14:paraId="593ED53F" w14:textId="77777777" w:rsidR="001A445E" w:rsidRPr="001A445E" w:rsidRDefault="001A445E" w:rsidP="001A445E">
            <w:pPr>
              <w:widowControl/>
              <w:ind w:firstLineChars="400" w:firstLine="800"/>
              <w:rPr>
                <w:color w:val="000000"/>
                <w:lang w:val="es-GT" w:eastAsia="es-GT"/>
              </w:rPr>
            </w:pPr>
            <w:r w:rsidRPr="001A445E">
              <w:rPr>
                <w:color w:val="000000"/>
                <w:lang w:val="es-GT" w:eastAsia="es-GT"/>
              </w:rPr>
              <w:t>Juicios económicos Coactivos</w:t>
            </w:r>
          </w:p>
        </w:tc>
        <w:tc>
          <w:tcPr>
            <w:tcW w:w="1728" w:type="dxa"/>
            <w:tcBorders>
              <w:top w:val="nil"/>
              <w:left w:val="single" w:sz="4" w:space="0" w:color="auto"/>
              <w:bottom w:val="nil"/>
              <w:right w:val="single" w:sz="4" w:space="0" w:color="auto"/>
            </w:tcBorders>
            <w:shd w:val="clear" w:color="auto" w:fill="auto"/>
            <w:noWrap/>
            <w:vAlign w:val="center"/>
            <w:hideMark/>
          </w:tcPr>
          <w:p w14:paraId="5A87C43A" w14:textId="77777777" w:rsidR="001A445E" w:rsidRPr="001A445E" w:rsidRDefault="001A445E" w:rsidP="001A445E">
            <w:pPr>
              <w:widowControl/>
              <w:jc w:val="center"/>
              <w:rPr>
                <w:color w:val="000000"/>
                <w:lang w:val="es-GT" w:eastAsia="es-GT"/>
              </w:rPr>
            </w:pPr>
            <w:r w:rsidRPr="001A445E">
              <w:rPr>
                <w:color w:val="000000"/>
                <w:lang w:val="es-GT" w:eastAsia="es-GT"/>
              </w:rPr>
              <w:t>61</w:t>
            </w:r>
          </w:p>
        </w:tc>
        <w:tc>
          <w:tcPr>
            <w:tcW w:w="1728" w:type="dxa"/>
            <w:tcBorders>
              <w:top w:val="nil"/>
              <w:left w:val="nil"/>
              <w:bottom w:val="nil"/>
              <w:right w:val="single" w:sz="4" w:space="0" w:color="auto"/>
            </w:tcBorders>
            <w:shd w:val="clear" w:color="auto" w:fill="auto"/>
            <w:noWrap/>
            <w:vAlign w:val="center"/>
            <w:hideMark/>
          </w:tcPr>
          <w:p w14:paraId="257FC5F4" w14:textId="77777777" w:rsidR="001A445E" w:rsidRPr="001A445E" w:rsidRDefault="001A445E" w:rsidP="001A445E">
            <w:pPr>
              <w:widowControl/>
              <w:jc w:val="center"/>
              <w:rPr>
                <w:color w:val="000000"/>
                <w:lang w:val="es-GT" w:eastAsia="es-GT"/>
              </w:rPr>
            </w:pPr>
            <w:r w:rsidRPr="001A445E">
              <w:rPr>
                <w:color w:val="000000"/>
                <w:lang w:val="es-GT" w:eastAsia="es-GT"/>
              </w:rPr>
              <w:t>2,942.8</w:t>
            </w:r>
          </w:p>
        </w:tc>
      </w:tr>
      <w:tr w:rsidR="001A445E" w:rsidRPr="001A445E" w14:paraId="65BD5FEA" w14:textId="77777777" w:rsidTr="00C67259">
        <w:trPr>
          <w:trHeight w:val="249"/>
          <w:jc w:val="center"/>
        </w:trPr>
        <w:tc>
          <w:tcPr>
            <w:tcW w:w="5618" w:type="dxa"/>
            <w:tcBorders>
              <w:top w:val="nil"/>
              <w:left w:val="single" w:sz="4" w:space="0" w:color="auto"/>
              <w:bottom w:val="nil"/>
              <w:right w:val="nil"/>
            </w:tcBorders>
            <w:shd w:val="clear" w:color="auto" w:fill="auto"/>
            <w:noWrap/>
            <w:vAlign w:val="center"/>
            <w:hideMark/>
          </w:tcPr>
          <w:p w14:paraId="11C5588A" w14:textId="77777777" w:rsidR="001A445E" w:rsidRPr="001A445E" w:rsidRDefault="001A445E" w:rsidP="001A445E">
            <w:pPr>
              <w:widowControl/>
              <w:rPr>
                <w:b/>
                <w:bCs/>
                <w:color w:val="000000"/>
                <w:lang w:val="es-GT" w:eastAsia="es-GT"/>
              </w:rPr>
            </w:pPr>
            <w:r w:rsidRPr="001A445E">
              <w:rPr>
                <w:b/>
                <w:bCs/>
                <w:color w:val="000000"/>
                <w:lang w:val="es-GT" w:eastAsia="es-GT"/>
              </w:rPr>
              <w:t>Procesos en cortes internacionales</w:t>
            </w:r>
          </w:p>
        </w:tc>
        <w:tc>
          <w:tcPr>
            <w:tcW w:w="1728" w:type="dxa"/>
            <w:tcBorders>
              <w:top w:val="nil"/>
              <w:left w:val="single" w:sz="4" w:space="0" w:color="auto"/>
              <w:bottom w:val="nil"/>
              <w:right w:val="single" w:sz="4" w:space="0" w:color="auto"/>
            </w:tcBorders>
            <w:shd w:val="clear" w:color="auto" w:fill="auto"/>
            <w:noWrap/>
            <w:vAlign w:val="center"/>
            <w:hideMark/>
          </w:tcPr>
          <w:p w14:paraId="5AE27136" w14:textId="77777777" w:rsidR="001A445E" w:rsidRPr="001A445E" w:rsidRDefault="001A445E" w:rsidP="001A445E">
            <w:pPr>
              <w:widowControl/>
              <w:jc w:val="center"/>
              <w:rPr>
                <w:b/>
                <w:bCs/>
                <w:color w:val="000000"/>
                <w:lang w:val="es-GT" w:eastAsia="es-GT"/>
              </w:rPr>
            </w:pPr>
            <w:r w:rsidRPr="001A445E">
              <w:rPr>
                <w:b/>
                <w:bCs/>
                <w:color w:val="000000"/>
                <w:lang w:val="es-GT" w:eastAsia="es-GT"/>
              </w:rPr>
              <w:t>175</w:t>
            </w:r>
          </w:p>
        </w:tc>
        <w:tc>
          <w:tcPr>
            <w:tcW w:w="1728" w:type="dxa"/>
            <w:tcBorders>
              <w:top w:val="nil"/>
              <w:left w:val="nil"/>
              <w:bottom w:val="nil"/>
              <w:right w:val="single" w:sz="4" w:space="0" w:color="auto"/>
            </w:tcBorders>
            <w:shd w:val="clear" w:color="auto" w:fill="auto"/>
            <w:noWrap/>
            <w:vAlign w:val="center"/>
            <w:hideMark/>
          </w:tcPr>
          <w:p w14:paraId="3C1DFE9B" w14:textId="77777777" w:rsidR="001A445E" w:rsidRPr="001A445E" w:rsidRDefault="001A445E" w:rsidP="001A445E">
            <w:pPr>
              <w:widowControl/>
              <w:jc w:val="center"/>
              <w:rPr>
                <w:b/>
                <w:bCs/>
                <w:color w:val="000000"/>
                <w:lang w:val="es-GT" w:eastAsia="es-GT"/>
              </w:rPr>
            </w:pPr>
            <w:r w:rsidRPr="001A445E">
              <w:rPr>
                <w:b/>
                <w:bCs/>
                <w:color w:val="000000"/>
                <w:lang w:val="es-GT" w:eastAsia="es-GT"/>
              </w:rPr>
              <w:t>6,705.5</w:t>
            </w:r>
          </w:p>
        </w:tc>
      </w:tr>
      <w:tr w:rsidR="001A445E" w:rsidRPr="001A445E" w14:paraId="4550F922" w14:textId="77777777" w:rsidTr="00C67259">
        <w:trPr>
          <w:trHeight w:val="152"/>
          <w:jc w:val="center"/>
        </w:trPr>
        <w:tc>
          <w:tcPr>
            <w:tcW w:w="5618" w:type="dxa"/>
            <w:tcBorders>
              <w:top w:val="nil"/>
              <w:left w:val="single" w:sz="4" w:space="0" w:color="auto"/>
              <w:bottom w:val="nil"/>
              <w:right w:val="nil"/>
            </w:tcBorders>
            <w:shd w:val="clear" w:color="auto" w:fill="auto"/>
            <w:noWrap/>
            <w:vAlign w:val="center"/>
            <w:hideMark/>
          </w:tcPr>
          <w:p w14:paraId="2D158B85" w14:textId="77777777" w:rsidR="001A445E" w:rsidRPr="001A445E" w:rsidRDefault="001A445E" w:rsidP="001A445E">
            <w:pPr>
              <w:widowControl/>
              <w:ind w:firstLineChars="200" w:firstLine="400"/>
              <w:rPr>
                <w:color w:val="000000"/>
                <w:lang w:val="es-GT" w:eastAsia="es-GT"/>
              </w:rPr>
            </w:pPr>
            <w:r w:rsidRPr="001A445E">
              <w:rPr>
                <w:color w:val="000000"/>
                <w:lang w:val="es-GT" w:eastAsia="es-GT"/>
              </w:rPr>
              <w:t>Arbitraje de Inversión* (Arbitraje)</w:t>
            </w:r>
          </w:p>
        </w:tc>
        <w:tc>
          <w:tcPr>
            <w:tcW w:w="1728" w:type="dxa"/>
            <w:tcBorders>
              <w:top w:val="nil"/>
              <w:left w:val="single" w:sz="4" w:space="0" w:color="auto"/>
              <w:bottom w:val="nil"/>
              <w:right w:val="single" w:sz="4" w:space="0" w:color="auto"/>
            </w:tcBorders>
            <w:shd w:val="clear" w:color="auto" w:fill="auto"/>
            <w:noWrap/>
            <w:vAlign w:val="center"/>
            <w:hideMark/>
          </w:tcPr>
          <w:p w14:paraId="2E963C4B" w14:textId="77777777" w:rsidR="001A445E" w:rsidRPr="001A445E" w:rsidRDefault="001A445E" w:rsidP="001A445E">
            <w:pPr>
              <w:widowControl/>
              <w:jc w:val="center"/>
              <w:rPr>
                <w:color w:val="000000"/>
                <w:lang w:val="es-GT" w:eastAsia="es-GT"/>
              </w:rPr>
            </w:pPr>
            <w:r w:rsidRPr="001A445E">
              <w:rPr>
                <w:color w:val="000000"/>
                <w:lang w:val="es-GT" w:eastAsia="es-GT"/>
              </w:rPr>
              <w:t>3</w:t>
            </w:r>
          </w:p>
        </w:tc>
        <w:tc>
          <w:tcPr>
            <w:tcW w:w="1728" w:type="dxa"/>
            <w:tcBorders>
              <w:top w:val="nil"/>
              <w:left w:val="nil"/>
              <w:bottom w:val="nil"/>
              <w:right w:val="single" w:sz="4" w:space="0" w:color="auto"/>
            </w:tcBorders>
            <w:shd w:val="clear" w:color="auto" w:fill="auto"/>
            <w:noWrap/>
            <w:vAlign w:val="center"/>
            <w:hideMark/>
          </w:tcPr>
          <w:p w14:paraId="5493CDF4" w14:textId="77777777" w:rsidR="001A445E" w:rsidRPr="001A445E" w:rsidRDefault="001A445E" w:rsidP="001A445E">
            <w:pPr>
              <w:widowControl/>
              <w:jc w:val="center"/>
              <w:rPr>
                <w:color w:val="000000"/>
                <w:lang w:val="es-GT" w:eastAsia="es-GT"/>
              </w:rPr>
            </w:pPr>
            <w:r w:rsidRPr="001A445E">
              <w:rPr>
                <w:color w:val="000000"/>
                <w:lang w:val="es-GT" w:eastAsia="es-GT"/>
              </w:rPr>
              <w:t>6,705.5</w:t>
            </w:r>
          </w:p>
        </w:tc>
      </w:tr>
      <w:tr w:rsidR="001A445E" w:rsidRPr="001A445E" w14:paraId="7357A4C1" w14:textId="77777777" w:rsidTr="00C67259">
        <w:trPr>
          <w:trHeight w:val="146"/>
          <w:jc w:val="center"/>
        </w:trPr>
        <w:tc>
          <w:tcPr>
            <w:tcW w:w="5618" w:type="dxa"/>
            <w:tcBorders>
              <w:top w:val="nil"/>
              <w:left w:val="single" w:sz="4" w:space="0" w:color="auto"/>
              <w:bottom w:val="single" w:sz="4" w:space="0" w:color="auto"/>
              <w:right w:val="nil"/>
            </w:tcBorders>
            <w:shd w:val="clear" w:color="auto" w:fill="auto"/>
            <w:vAlign w:val="center"/>
            <w:hideMark/>
          </w:tcPr>
          <w:p w14:paraId="4E7271FB" w14:textId="77777777" w:rsidR="001A445E" w:rsidRPr="001A445E" w:rsidRDefault="001A445E" w:rsidP="001A445E">
            <w:pPr>
              <w:widowControl/>
              <w:ind w:firstLineChars="200" w:firstLine="400"/>
              <w:rPr>
                <w:color w:val="000000"/>
                <w:lang w:val="es-GT" w:eastAsia="es-GT"/>
              </w:rPr>
            </w:pPr>
            <w:r w:rsidRPr="001A445E">
              <w:rPr>
                <w:color w:val="000000"/>
                <w:lang w:val="es-GT" w:eastAsia="es-GT"/>
              </w:rPr>
              <w:t>Procesos ante el Sistema Interamericano de Protección de Derechos Humanos**</w:t>
            </w:r>
          </w:p>
        </w:tc>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178B81DA" w14:textId="77777777" w:rsidR="001A445E" w:rsidRPr="001A445E" w:rsidRDefault="001A445E" w:rsidP="001A445E">
            <w:pPr>
              <w:widowControl/>
              <w:jc w:val="center"/>
              <w:rPr>
                <w:color w:val="000000"/>
                <w:lang w:val="es-GT" w:eastAsia="es-GT"/>
              </w:rPr>
            </w:pPr>
            <w:r w:rsidRPr="001A445E">
              <w:rPr>
                <w:color w:val="000000"/>
                <w:lang w:val="es-GT" w:eastAsia="es-GT"/>
              </w:rPr>
              <w:t>172</w:t>
            </w:r>
          </w:p>
        </w:tc>
        <w:tc>
          <w:tcPr>
            <w:tcW w:w="1728" w:type="dxa"/>
            <w:tcBorders>
              <w:top w:val="nil"/>
              <w:left w:val="nil"/>
              <w:bottom w:val="single" w:sz="4" w:space="0" w:color="auto"/>
              <w:right w:val="single" w:sz="4" w:space="0" w:color="auto"/>
            </w:tcBorders>
            <w:shd w:val="clear" w:color="auto" w:fill="auto"/>
            <w:noWrap/>
            <w:vAlign w:val="center"/>
            <w:hideMark/>
          </w:tcPr>
          <w:p w14:paraId="5E014F9A" w14:textId="77777777" w:rsidR="001A445E" w:rsidRPr="001A445E" w:rsidRDefault="001A445E" w:rsidP="001A445E">
            <w:pPr>
              <w:widowControl/>
              <w:jc w:val="center"/>
              <w:rPr>
                <w:color w:val="000000"/>
                <w:lang w:val="es-GT" w:eastAsia="es-GT"/>
              </w:rPr>
            </w:pPr>
            <w:r w:rsidRPr="001A445E">
              <w:rPr>
                <w:color w:val="000000"/>
                <w:lang w:val="es-GT" w:eastAsia="es-GT"/>
              </w:rPr>
              <w:t>n.d.</w:t>
            </w:r>
          </w:p>
        </w:tc>
      </w:tr>
    </w:tbl>
    <w:p w14:paraId="045869D7" w14:textId="77777777" w:rsidR="009F1BCF" w:rsidRPr="001A445E" w:rsidRDefault="001A445E" w:rsidP="001A445E">
      <w:pPr>
        <w:ind w:left="1416"/>
        <w:rPr>
          <w:bCs/>
          <w:sz w:val="16"/>
          <w:szCs w:val="24"/>
        </w:rPr>
      </w:pPr>
      <w:r w:rsidRPr="001A445E">
        <w:rPr>
          <w:bCs/>
          <w:sz w:val="16"/>
          <w:szCs w:val="24"/>
        </w:rPr>
        <w:t>*Además hay 3 amenazas de arbitraje, 2 de las cuales se desconoce el monto y 1 por US$527 millones</w:t>
      </w:r>
    </w:p>
    <w:p w14:paraId="4EE11BF8" w14:textId="77777777" w:rsidR="001A445E" w:rsidRPr="001A445E" w:rsidRDefault="001A445E" w:rsidP="001A445E">
      <w:pPr>
        <w:ind w:left="1416"/>
        <w:rPr>
          <w:bCs/>
          <w:sz w:val="16"/>
          <w:szCs w:val="24"/>
        </w:rPr>
      </w:pPr>
      <w:r w:rsidRPr="001A445E">
        <w:rPr>
          <w:bCs/>
          <w:sz w:val="16"/>
          <w:szCs w:val="24"/>
        </w:rPr>
        <w:t>**La CIDH aún tiene en admisibilidad 37 expedientes</w:t>
      </w:r>
    </w:p>
    <w:p w14:paraId="2CFAE225" w14:textId="77777777" w:rsidR="001A445E" w:rsidRPr="001A445E" w:rsidRDefault="001A445E" w:rsidP="001A445E">
      <w:pPr>
        <w:ind w:left="1416"/>
        <w:rPr>
          <w:bCs/>
          <w:sz w:val="16"/>
          <w:szCs w:val="24"/>
        </w:rPr>
      </w:pPr>
      <w:r w:rsidRPr="001A445E">
        <w:rPr>
          <w:bCs/>
          <w:sz w:val="16"/>
          <w:szCs w:val="24"/>
        </w:rPr>
        <w:t>n.d.: no disponible debido a que el monto se obtiene hasta que el juez emita la sentencia</w:t>
      </w:r>
    </w:p>
    <w:p w14:paraId="2FC2723F" w14:textId="7233D3BF" w:rsidR="001A445E" w:rsidRDefault="001A445E" w:rsidP="001A445E">
      <w:pPr>
        <w:ind w:left="1416"/>
        <w:rPr>
          <w:bCs/>
          <w:sz w:val="16"/>
          <w:szCs w:val="24"/>
        </w:rPr>
      </w:pPr>
      <w:r w:rsidRPr="001A445E">
        <w:rPr>
          <w:bCs/>
          <w:sz w:val="16"/>
          <w:szCs w:val="24"/>
        </w:rPr>
        <w:t>Fuente: Procuraduría General de la Nación.</w:t>
      </w:r>
    </w:p>
    <w:p w14:paraId="7F693653" w14:textId="08A3E75B" w:rsidR="00A3122C" w:rsidRDefault="00A3122C" w:rsidP="00A3122C">
      <w:pPr>
        <w:rPr>
          <w:bCs/>
          <w:sz w:val="16"/>
          <w:szCs w:val="24"/>
        </w:rPr>
      </w:pPr>
    </w:p>
    <w:p w14:paraId="12EF4954" w14:textId="40F0EEB2" w:rsidR="00A3122C" w:rsidRDefault="00A3122C" w:rsidP="00A3122C">
      <w:pPr>
        <w:rPr>
          <w:bCs/>
          <w:sz w:val="16"/>
          <w:szCs w:val="24"/>
        </w:rPr>
      </w:pPr>
    </w:p>
    <w:p w14:paraId="74F58175" w14:textId="471D8B97" w:rsidR="00A3122C" w:rsidRPr="009F1BCF" w:rsidRDefault="00A3122C" w:rsidP="002B7978">
      <w:pPr>
        <w:pStyle w:val="Ttulo1"/>
        <w:widowControl/>
        <w:numPr>
          <w:ilvl w:val="1"/>
          <w:numId w:val="5"/>
        </w:numPr>
        <w:ind w:left="993" w:right="49"/>
        <w:jc w:val="left"/>
        <w:rPr>
          <w:color w:val="1F3864" w:themeColor="accent1" w:themeShade="80"/>
          <w:sz w:val="24"/>
          <w:szCs w:val="24"/>
        </w:rPr>
      </w:pPr>
      <w:bookmarkStart w:id="81" w:name="_Toc79140789"/>
      <w:bookmarkStart w:id="82" w:name="_Toc83302189"/>
      <w:r>
        <w:rPr>
          <w:color w:val="1F3864" w:themeColor="accent1" w:themeShade="80"/>
          <w:sz w:val="24"/>
          <w:szCs w:val="24"/>
        </w:rPr>
        <w:t>Pasos importantes para una adecuada gestión de riesgo</w:t>
      </w:r>
      <w:bookmarkEnd w:id="81"/>
      <w:bookmarkEnd w:id="82"/>
    </w:p>
    <w:p w14:paraId="09746BDB" w14:textId="77777777" w:rsidR="00A3122C" w:rsidRPr="00AE0A67" w:rsidRDefault="00A3122C" w:rsidP="00A3122C">
      <w:pPr>
        <w:ind w:left="567"/>
        <w:jc w:val="both"/>
        <w:rPr>
          <w:rFonts w:eastAsia="OptimaLTStd"/>
          <w:color w:val="FF0000"/>
          <w:sz w:val="24"/>
          <w:szCs w:val="24"/>
        </w:rPr>
      </w:pPr>
    </w:p>
    <w:p w14:paraId="525A6648" w14:textId="77777777" w:rsidR="00A3122C" w:rsidRPr="00B43A63" w:rsidRDefault="00A3122C" w:rsidP="00A3122C">
      <w:pPr>
        <w:pStyle w:val="Prrafodelista"/>
        <w:widowControl/>
        <w:numPr>
          <w:ilvl w:val="0"/>
          <w:numId w:val="18"/>
        </w:numPr>
        <w:spacing w:after="160" w:line="259" w:lineRule="auto"/>
        <w:ind w:left="851"/>
        <w:jc w:val="both"/>
        <w:rPr>
          <w:sz w:val="24"/>
          <w:szCs w:val="24"/>
        </w:rPr>
      </w:pPr>
      <w:r w:rsidRPr="00B43A63">
        <w:rPr>
          <w:sz w:val="24"/>
          <w:szCs w:val="24"/>
        </w:rPr>
        <w:t>Evaluación del hecho generador de las demandas judiciales.  Cada entidad pública debe conocer la causa que origina los procesos judiciales y debe tomar las medidas necesarias administrativas y jurídicas, para evitar que estos procesos judiciales se repitan en el futuro o al menos disminuir esa vulnerabilidad.</w:t>
      </w:r>
    </w:p>
    <w:p w14:paraId="7112BB0F" w14:textId="77777777" w:rsidR="00A3122C" w:rsidRPr="00B43A63" w:rsidRDefault="00A3122C" w:rsidP="00A3122C">
      <w:pPr>
        <w:pStyle w:val="Prrafodelista"/>
        <w:widowControl/>
        <w:numPr>
          <w:ilvl w:val="0"/>
          <w:numId w:val="18"/>
        </w:numPr>
        <w:spacing w:after="160" w:line="259" w:lineRule="auto"/>
        <w:ind w:left="851"/>
        <w:jc w:val="both"/>
        <w:rPr>
          <w:sz w:val="24"/>
          <w:szCs w:val="24"/>
        </w:rPr>
      </w:pPr>
      <w:r w:rsidRPr="00B43A63">
        <w:rPr>
          <w:sz w:val="24"/>
          <w:szCs w:val="24"/>
        </w:rPr>
        <w:t xml:space="preserve">Mejor control de los riesgos contingentes fiscales.  Es importante contar con un dato lo más exacto posible del valor económico de las pretensiones que están dilucidándose en los tribunales. Esto supone la PGN debe tener protocolos claros de captura de los datos y actualización de la información económica, así como también contar con sistemas de información adecuados, de tal forma que los datos disponibles sobre las pretensiones sean sólidos, oportunos y susceptibles de su posterior cuantificación en valores reales, que debe compartir periódicamente con el Ministerio de Finanzas Públicas. </w:t>
      </w:r>
    </w:p>
    <w:p w14:paraId="769F25A8" w14:textId="77777777" w:rsidR="00A3122C" w:rsidRPr="00267F06" w:rsidRDefault="00A3122C" w:rsidP="00A3122C">
      <w:pPr>
        <w:pStyle w:val="Prrafodelista"/>
        <w:widowControl/>
        <w:numPr>
          <w:ilvl w:val="0"/>
          <w:numId w:val="18"/>
        </w:numPr>
        <w:spacing w:after="160" w:line="259" w:lineRule="auto"/>
        <w:ind w:left="851"/>
        <w:jc w:val="both"/>
        <w:rPr>
          <w:rFonts w:eastAsia="OptimaLTStd"/>
          <w:color w:val="FF0000"/>
          <w:sz w:val="24"/>
          <w:szCs w:val="24"/>
          <w:lang w:val="es-GT"/>
        </w:rPr>
      </w:pPr>
      <w:r w:rsidRPr="00E9196B">
        <w:rPr>
          <w:sz w:val="24"/>
          <w:szCs w:val="24"/>
        </w:rPr>
        <w:t>Mejora de la efectividad ante los tribunales. Se pretende que los resultados de la acción judicial de los servicios jurídicos sean más eficaces, es decir, que tengan mejores tasas de éxito en los tribunales. Una mejora sustancial en la efectividad ante los tribunales supone, por un lado, una reducción de los pagos que el Estado debería asumir por los litigios, y, por otro lado, la emisión de señales a otros actores acerca de la fortaleza de la acción jurídica del Estado. La experiencia acumulada indica que la efectividad en la gestión jurídica no radica exclusivamente en la acción directa en los tribunales, sino que los aspectos de prevención del daño antijurídico desempeñan un papel importante. La racionalización de los procedimientos administrativos y una mejor capacitación de los funcionarios públicos deben servir para reducir las acciones antijurídicas y, por lo tanto, las demandas contra el fisco que suponen en realidad gran parte de la carga jurídica de los servicios de abogacía del Estado.</w:t>
      </w:r>
    </w:p>
    <w:p w14:paraId="28D92BE7" w14:textId="77777777" w:rsidR="00C67259" w:rsidRDefault="00C67259" w:rsidP="001A445E">
      <w:pPr>
        <w:ind w:left="1416"/>
        <w:rPr>
          <w:bCs/>
          <w:sz w:val="16"/>
          <w:szCs w:val="24"/>
        </w:rPr>
      </w:pPr>
    </w:p>
    <w:p w14:paraId="71844DC4" w14:textId="77777777" w:rsidR="00267F06" w:rsidRPr="004F108B" w:rsidRDefault="00267F06" w:rsidP="004F108B">
      <w:pPr>
        <w:pStyle w:val="Ttulo1"/>
        <w:widowControl/>
        <w:numPr>
          <w:ilvl w:val="0"/>
          <w:numId w:val="5"/>
        </w:numPr>
        <w:ind w:right="49"/>
        <w:jc w:val="left"/>
        <w:rPr>
          <w:color w:val="1F3864" w:themeColor="accent1" w:themeShade="80"/>
          <w:sz w:val="28"/>
          <w:szCs w:val="24"/>
        </w:rPr>
      </w:pPr>
      <w:bookmarkStart w:id="83" w:name="_Toc83302190"/>
      <w:r w:rsidRPr="004F108B">
        <w:rPr>
          <w:color w:val="1F3864" w:themeColor="accent1" w:themeShade="80"/>
          <w:sz w:val="28"/>
          <w:szCs w:val="24"/>
        </w:rPr>
        <w:t>Riesgos de desastres provocados por fenómenos naturales</w:t>
      </w:r>
      <w:bookmarkEnd w:id="83"/>
    </w:p>
    <w:p w14:paraId="7BA83FC0" w14:textId="77777777" w:rsidR="00267F06" w:rsidRPr="0050292E" w:rsidRDefault="00267F06" w:rsidP="00267F06">
      <w:pPr>
        <w:rPr>
          <w:lang w:val="es-GT"/>
        </w:rPr>
      </w:pPr>
    </w:p>
    <w:p w14:paraId="00A2AA28" w14:textId="77777777" w:rsidR="00267F06" w:rsidRPr="004F108B" w:rsidRDefault="00267F06" w:rsidP="004F108B">
      <w:pPr>
        <w:pStyle w:val="Ttulo1"/>
        <w:widowControl/>
        <w:numPr>
          <w:ilvl w:val="1"/>
          <w:numId w:val="5"/>
        </w:numPr>
        <w:ind w:left="993" w:right="49"/>
        <w:jc w:val="left"/>
        <w:rPr>
          <w:color w:val="1F3864" w:themeColor="accent1" w:themeShade="80"/>
          <w:sz w:val="24"/>
          <w:szCs w:val="24"/>
        </w:rPr>
      </w:pPr>
      <w:bookmarkStart w:id="84" w:name="_Toc83302191"/>
      <w:r w:rsidRPr="004F108B">
        <w:rPr>
          <w:color w:val="1F3864" w:themeColor="accent1" w:themeShade="80"/>
          <w:sz w:val="24"/>
          <w:szCs w:val="24"/>
        </w:rPr>
        <w:t>Aspectos Generales</w:t>
      </w:r>
      <w:bookmarkEnd w:id="84"/>
    </w:p>
    <w:p w14:paraId="7B666851" w14:textId="77777777" w:rsidR="00267F06" w:rsidRPr="004F108B" w:rsidRDefault="00267F06" w:rsidP="004F108B">
      <w:pPr>
        <w:ind w:left="567"/>
        <w:jc w:val="both"/>
        <w:rPr>
          <w:sz w:val="24"/>
          <w:szCs w:val="24"/>
          <w:lang w:val="es-ES" w:eastAsia="en-US"/>
        </w:rPr>
      </w:pPr>
    </w:p>
    <w:p w14:paraId="22BCD694" w14:textId="77777777" w:rsidR="00267F06" w:rsidRPr="004F108B" w:rsidRDefault="00267F06" w:rsidP="004F108B">
      <w:pPr>
        <w:ind w:left="567"/>
        <w:jc w:val="both"/>
        <w:rPr>
          <w:sz w:val="24"/>
          <w:szCs w:val="24"/>
          <w:lang w:val="es-ES" w:eastAsia="en-US"/>
        </w:rPr>
      </w:pPr>
      <w:r w:rsidRPr="004F108B">
        <w:rPr>
          <w:sz w:val="24"/>
          <w:szCs w:val="24"/>
          <w:lang w:val="es-ES" w:eastAsia="en-US"/>
        </w:rPr>
        <w:t xml:space="preserve">Las pérdidas asociadas a desastres provocados por fenómenos naturales están aumentando en una tasa mucho mayor que el crecimiento económico en la mayoría de los países de América Latina y </w:t>
      </w:r>
      <w:r w:rsidRPr="004F108B">
        <w:rPr>
          <w:sz w:val="24"/>
          <w:szCs w:val="24"/>
          <w:lang w:val="es-ES" w:eastAsia="en-US"/>
        </w:rPr>
        <w:lastRenderedPageBreak/>
        <w:t>el Caribe. Dentro de las amenazas latentes en Guatemala se clasifican las siguientes; geológicas (terremotos, lahares, erupciones volcánicas, movimientos de masa, deslizamiento de montañas, deslizamiento de tierra y hundimientos), meteorológicas (huracanes, tormentas tropicales y depresiones tropicales), hidrológicas (inundaciones, movimientos de masa húmedos, hundimientos y deslizamientos de montaña y tierra) y las climatológicas (temperaturas extremas, sequias, incendios forestales).</w:t>
      </w:r>
    </w:p>
    <w:p w14:paraId="4180A10A" w14:textId="77777777" w:rsidR="00267F06" w:rsidRPr="004F108B" w:rsidRDefault="00267F06" w:rsidP="004F108B">
      <w:pPr>
        <w:ind w:left="567"/>
        <w:jc w:val="both"/>
        <w:rPr>
          <w:sz w:val="24"/>
          <w:szCs w:val="24"/>
          <w:lang w:val="es-ES" w:eastAsia="en-US"/>
        </w:rPr>
      </w:pPr>
    </w:p>
    <w:p w14:paraId="7EAEDC17" w14:textId="018A77D4" w:rsidR="00267F06" w:rsidRDefault="00267F06" w:rsidP="004F108B">
      <w:pPr>
        <w:ind w:left="567"/>
        <w:jc w:val="both"/>
        <w:rPr>
          <w:sz w:val="24"/>
          <w:szCs w:val="24"/>
          <w:lang w:val="es-ES" w:eastAsia="en-US"/>
        </w:rPr>
      </w:pPr>
      <w:r w:rsidRPr="004F108B">
        <w:rPr>
          <w:sz w:val="24"/>
          <w:szCs w:val="24"/>
          <w:lang w:val="es-ES" w:eastAsia="en-US"/>
        </w:rPr>
        <w:t xml:space="preserve">Por lo anteriormente descrito y sumando otros factores económicos, ambientales y sociales, Guatemala es uno de los países con mayor vulnerabilidad ante el cambio climático, como muestra de ello es que el Índice de Riesgo Climático menciona que aun cuando el país genera bajas emisiones de Gases de Efecto Invernadero, es uno de los más afectados por el cambio en las variables del clima. Según el Indicé Global de Riesgos Climáticos, Germanwatch para el año 2020 Guatemala se ubica en la posición 10 de los países con mayor riesgo de desastres del mundo con un 20.1 por ciento. Este Índice de Riesgo Climático Global (IRC) indica el nivel de exposición y la vulnerabilidad a los fenómenos climáticos en los países. </w:t>
      </w:r>
    </w:p>
    <w:p w14:paraId="3823A7CE" w14:textId="320FFE2F" w:rsidR="00196C78" w:rsidRDefault="00196C78" w:rsidP="004F108B">
      <w:pPr>
        <w:ind w:left="567"/>
        <w:jc w:val="both"/>
        <w:rPr>
          <w:sz w:val="24"/>
          <w:szCs w:val="24"/>
          <w:lang w:val="es-ES" w:eastAsia="en-US"/>
        </w:rPr>
      </w:pPr>
    </w:p>
    <w:p w14:paraId="013A539B" w14:textId="7A3629DD" w:rsidR="00196C78" w:rsidRDefault="00196C78" w:rsidP="004F108B">
      <w:pPr>
        <w:ind w:left="567"/>
        <w:jc w:val="both"/>
        <w:rPr>
          <w:sz w:val="24"/>
          <w:szCs w:val="24"/>
          <w:lang w:val="es-ES" w:eastAsia="en-US"/>
        </w:rPr>
      </w:pPr>
    </w:p>
    <w:p w14:paraId="503F530A" w14:textId="2AFCE82D" w:rsidR="00267F06" w:rsidRPr="004F108B" w:rsidRDefault="00C67259" w:rsidP="004F108B">
      <w:pPr>
        <w:ind w:left="567"/>
        <w:jc w:val="center"/>
        <w:rPr>
          <w:b/>
          <w:bCs/>
          <w:sz w:val="24"/>
          <w:szCs w:val="24"/>
          <w:lang w:val="es-ES" w:eastAsia="en-US"/>
        </w:rPr>
      </w:pPr>
      <w:r>
        <w:rPr>
          <w:b/>
          <w:bCs/>
          <w:sz w:val="24"/>
          <w:szCs w:val="24"/>
          <w:lang w:val="es-ES" w:eastAsia="en-US"/>
        </w:rPr>
        <w:t xml:space="preserve">Gráfica </w:t>
      </w:r>
      <w:r w:rsidR="00AF7163">
        <w:rPr>
          <w:b/>
          <w:bCs/>
          <w:sz w:val="24"/>
          <w:szCs w:val="24"/>
          <w:lang w:val="es-ES" w:eastAsia="en-US"/>
        </w:rPr>
        <w:t>61</w:t>
      </w:r>
      <w:r w:rsidR="00814706" w:rsidRPr="004F108B">
        <w:rPr>
          <w:b/>
          <w:bCs/>
          <w:sz w:val="24"/>
          <w:szCs w:val="24"/>
          <w:lang w:val="es-ES" w:eastAsia="en-US"/>
        </w:rPr>
        <w:t xml:space="preserve">.  </w:t>
      </w:r>
      <w:r w:rsidR="00267F06" w:rsidRPr="004F108B">
        <w:rPr>
          <w:b/>
          <w:bCs/>
          <w:sz w:val="24"/>
          <w:szCs w:val="24"/>
          <w:lang w:val="es-ES" w:eastAsia="en-US"/>
        </w:rPr>
        <w:t>Índice de Riesgo Climático Global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0"/>
        <w:gridCol w:w="3088"/>
      </w:tblGrid>
      <w:tr w:rsidR="00267F06" w:rsidRPr="004F108B" w14:paraId="07BA6D05" w14:textId="77777777" w:rsidTr="004F108B">
        <w:trPr>
          <w:jc w:val="center"/>
        </w:trPr>
        <w:tc>
          <w:tcPr>
            <w:tcW w:w="6126" w:type="dxa"/>
          </w:tcPr>
          <w:p w14:paraId="2861990D" w14:textId="77777777" w:rsidR="00267F06" w:rsidRPr="004F108B" w:rsidRDefault="004F108B" w:rsidP="004F108B">
            <w:pPr>
              <w:ind w:left="567"/>
              <w:jc w:val="center"/>
              <w:rPr>
                <w:sz w:val="24"/>
                <w:szCs w:val="24"/>
                <w:lang w:val="es-GT"/>
              </w:rPr>
            </w:pPr>
            <w:r w:rsidRPr="004F108B">
              <w:rPr>
                <w:noProof/>
                <w:sz w:val="24"/>
                <w:szCs w:val="24"/>
                <w:lang w:val="es-GT" w:eastAsia="es-GT"/>
              </w:rPr>
              <w:drawing>
                <wp:anchor distT="0" distB="0" distL="114300" distR="114300" simplePos="0" relativeHeight="251721728" behindDoc="0" locked="0" layoutInCell="1" allowOverlap="1" wp14:anchorId="7057F8E7" wp14:editId="318324E6">
                  <wp:simplePos x="0" y="0"/>
                  <wp:positionH relativeFrom="margin">
                    <wp:posOffset>64135</wp:posOffset>
                  </wp:positionH>
                  <wp:positionV relativeFrom="margin">
                    <wp:posOffset>247650</wp:posOffset>
                  </wp:positionV>
                  <wp:extent cx="4041140" cy="2048510"/>
                  <wp:effectExtent l="0" t="0" r="0" b="8890"/>
                  <wp:wrapSquare wrapText="bothSides"/>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4114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88" w:type="dxa"/>
          </w:tcPr>
          <w:p w14:paraId="43394936" w14:textId="77777777" w:rsidR="00267F06" w:rsidRPr="004F108B" w:rsidRDefault="00267F06" w:rsidP="004F108B">
            <w:pPr>
              <w:ind w:left="567"/>
              <w:jc w:val="center"/>
              <w:rPr>
                <w:sz w:val="24"/>
                <w:szCs w:val="24"/>
                <w:lang w:val="es-GT"/>
              </w:rPr>
            </w:pPr>
            <w:r w:rsidRPr="004F108B">
              <w:rPr>
                <w:noProof/>
                <w:sz w:val="24"/>
                <w:szCs w:val="24"/>
                <w:lang w:val="es-GT" w:eastAsia="es-GT"/>
              </w:rPr>
              <w:drawing>
                <wp:anchor distT="0" distB="0" distL="114300" distR="114300" simplePos="0" relativeHeight="251722752" behindDoc="0" locked="0" layoutInCell="1" allowOverlap="1" wp14:anchorId="3AA86445" wp14:editId="4CA61968">
                  <wp:simplePos x="0" y="0"/>
                  <wp:positionH relativeFrom="margin">
                    <wp:posOffset>18415</wp:posOffset>
                  </wp:positionH>
                  <wp:positionV relativeFrom="margin">
                    <wp:posOffset>194945</wp:posOffset>
                  </wp:positionV>
                  <wp:extent cx="1757045" cy="2101215"/>
                  <wp:effectExtent l="0" t="0" r="0" b="0"/>
                  <wp:wrapSquare wrapText="bothSides"/>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a:picLocks noChangeAspect="1" noChangeArrowheads="1"/>
                          </pic:cNvPicPr>
                        </pic:nvPicPr>
                        <pic:blipFill rotWithShape="1">
                          <a:blip r:embed="rId94">
                            <a:extLst>
                              <a:ext uri="{28A0092B-C50C-407E-A947-70E740481C1C}">
                                <a14:useLocalDpi xmlns:a14="http://schemas.microsoft.com/office/drawing/2010/main" val="0"/>
                              </a:ext>
                            </a:extLst>
                          </a:blip>
                          <a:srcRect l="2000" r="7601"/>
                          <a:stretch/>
                        </pic:blipFill>
                        <pic:spPr bwMode="auto">
                          <a:xfrm>
                            <a:off x="0" y="0"/>
                            <a:ext cx="1757045" cy="2101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5F50879" w14:textId="77777777" w:rsidR="00267F06" w:rsidRPr="004F108B" w:rsidRDefault="00267F06" w:rsidP="004F108B">
      <w:pPr>
        <w:ind w:left="567"/>
        <w:rPr>
          <w:sz w:val="16"/>
          <w:szCs w:val="24"/>
          <w:lang w:val="es-GT"/>
        </w:rPr>
      </w:pPr>
      <w:r w:rsidRPr="004F108B">
        <w:rPr>
          <w:sz w:val="16"/>
          <w:szCs w:val="24"/>
          <w:lang w:val="es-GT"/>
        </w:rPr>
        <w:t>Fuente: CONRED, 2021</w:t>
      </w:r>
    </w:p>
    <w:p w14:paraId="7452D183" w14:textId="77777777" w:rsidR="00267F06" w:rsidRPr="004F108B" w:rsidRDefault="00267F06" w:rsidP="004F108B">
      <w:pPr>
        <w:ind w:left="567"/>
        <w:rPr>
          <w:sz w:val="24"/>
          <w:szCs w:val="24"/>
          <w:lang w:val="es-GT"/>
        </w:rPr>
      </w:pPr>
    </w:p>
    <w:p w14:paraId="66F06D46" w14:textId="1244148D" w:rsidR="00C67259" w:rsidRDefault="00267F06" w:rsidP="00E74323">
      <w:pPr>
        <w:ind w:left="567"/>
        <w:jc w:val="both"/>
        <w:rPr>
          <w:sz w:val="24"/>
          <w:szCs w:val="24"/>
          <w:lang w:val="es-ES" w:eastAsia="en-US"/>
        </w:rPr>
      </w:pPr>
      <w:r w:rsidRPr="004F108B">
        <w:rPr>
          <w:sz w:val="24"/>
          <w:szCs w:val="24"/>
          <w:lang w:val="es-ES" w:eastAsia="en-US"/>
        </w:rPr>
        <w:t>Asimismo, el Índice de riesgo de INFORM, el cual mide el riesgo de la crisis humanitaria y desastres en 191 países, toma en cuenta el peligro y exposición humana y natural, la vulnerabilidad socioeconómica y de grupos vulnerables, y la falta de capacidad para afrontar tanto institucional</w:t>
      </w:r>
      <w:r w:rsidR="004F108B">
        <w:rPr>
          <w:sz w:val="24"/>
          <w:szCs w:val="24"/>
          <w:lang w:val="es-ES" w:eastAsia="en-US"/>
        </w:rPr>
        <w:t xml:space="preserve"> como de infraestructura. Para </w:t>
      </w:r>
      <w:r w:rsidRPr="004F108B">
        <w:rPr>
          <w:sz w:val="24"/>
          <w:szCs w:val="24"/>
          <w:lang w:val="es-ES" w:eastAsia="en-US"/>
        </w:rPr>
        <w:t xml:space="preserve">2020 sitúa a Guatemala en una posición alta con 5.7. </w:t>
      </w:r>
    </w:p>
    <w:p w14:paraId="132B841A" w14:textId="433676F4" w:rsidR="00267F06" w:rsidRPr="004F108B" w:rsidRDefault="00092C79" w:rsidP="004F108B">
      <w:pPr>
        <w:ind w:left="567"/>
        <w:jc w:val="center"/>
        <w:rPr>
          <w:b/>
          <w:bCs/>
          <w:sz w:val="24"/>
          <w:szCs w:val="24"/>
          <w:lang w:val="es-ES" w:eastAsia="en-US"/>
        </w:rPr>
      </w:pPr>
      <w:r>
        <w:rPr>
          <w:b/>
          <w:bCs/>
          <w:sz w:val="24"/>
          <w:szCs w:val="24"/>
          <w:lang w:val="es-ES" w:eastAsia="en-US"/>
        </w:rPr>
        <w:t>Tabla 8</w:t>
      </w:r>
      <w:r w:rsidR="00282882">
        <w:rPr>
          <w:b/>
          <w:bCs/>
          <w:sz w:val="24"/>
          <w:szCs w:val="24"/>
          <w:lang w:val="es-ES" w:eastAsia="en-US"/>
        </w:rPr>
        <w:t xml:space="preserve">.  </w:t>
      </w:r>
      <w:r w:rsidR="004F108B">
        <w:rPr>
          <w:b/>
          <w:bCs/>
          <w:sz w:val="24"/>
          <w:szCs w:val="24"/>
          <w:lang w:val="es-ES" w:eastAsia="en-US"/>
        </w:rPr>
        <w:t>Índice de Riesgo INFORM, a</w:t>
      </w:r>
      <w:r w:rsidR="00267F06" w:rsidRPr="004F108B">
        <w:rPr>
          <w:b/>
          <w:bCs/>
          <w:sz w:val="24"/>
          <w:szCs w:val="24"/>
          <w:lang w:val="es-ES" w:eastAsia="en-US"/>
        </w:rPr>
        <w:t>ño 2020</w:t>
      </w:r>
    </w:p>
    <w:p w14:paraId="07779039" w14:textId="77777777" w:rsidR="00267F06" w:rsidRPr="004F108B" w:rsidRDefault="00267F06" w:rsidP="004F108B">
      <w:pPr>
        <w:ind w:left="567"/>
        <w:jc w:val="center"/>
        <w:rPr>
          <w:sz w:val="24"/>
          <w:szCs w:val="24"/>
          <w:lang w:val="es-GT"/>
        </w:rPr>
      </w:pPr>
      <w:r w:rsidRPr="004F108B">
        <w:rPr>
          <w:noProof/>
          <w:sz w:val="24"/>
          <w:szCs w:val="24"/>
          <w:lang w:val="es-GT" w:eastAsia="es-GT"/>
        </w:rPr>
        <w:lastRenderedPageBreak/>
        <w:drawing>
          <wp:inline distT="0" distB="0" distL="0" distR="0" wp14:anchorId="5EE6540A" wp14:editId="5856F7D0">
            <wp:extent cx="5575182" cy="4542693"/>
            <wp:effectExtent l="0" t="0" r="6985"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99699" cy="4562669"/>
                    </a:xfrm>
                    <a:prstGeom prst="rect">
                      <a:avLst/>
                    </a:prstGeom>
                    <a:noFill/>
                    <a:ln>
                      <a:noFill/>
                    </a:ln>
                  </pic:spPr>
                </pic:pic>
              </a:graphicData>
            </a:graphic>
          </wp:inline>
        </w:drawing>
      </w:r>
    </w:p>
    <w:p w14:paraId="10E485B8" w14:textId="0AEFEA44" w:rsidR="00267F06" w:rsidRDefault="009F7577" w:rsidP="009F7577">
      <w:pPr>
        <w:rPr>
          <w:sz w:val="16"/>
          <w:szCs w:val="24"/>
          <w:lang w:val="es-GT"/>
        </w:rPr>
      </w:pPr>
      <w:r>
        <w:rPr>
          <w:sz w:val="16"/>
          <w:szCs w:val="24"/>
          <w:lang w:val="es-GT"/>
        </w:rPr>
        <w:t xml:space="preserve">                          </w:t>
      </w:r>
      <w:r w:rsidR="00267F06" w:rsidRPr="004F108B">
        <w:rPr>
          <w:sz w:val="16"/>
          <w:szCs w:val="24"/>
          <w:lang w:val="es-GT"/>
        </w:rPr>
        <w:t>Fuente: INFORM 2020</w:t>
      </w:r>
    </w:p>
    <w:p w14:paraId="30FAF9A9" w14:textId="77777777" w:rsidR="00C67259" w:rsidRPr="00C67259" w:rsidRDefault="00C67259" w:rsidP="009F7577">
      <w:pPr>
        <w:rPr>
          <w:sz w:val="22"/>
          <w:szCs w:val="24"/>
          <w:lang w:val="es-GT"/>
        </w:rPr>
      </w:pPr>
    </w:p>
    <w:p w14:paraId="293D2522" w14:textId="77777777" w:rsidR="00267F06" w:rsidRPr="004F108B" w:rsidRDefault="00267F06" w:rsidP="004F108B">
      <w:pPr>
        <w:pStyle w:val="Ttulo1"/>
        <w:widowControl/>
        <w:numPr>
          <w:ilvl w:val="1"/>
          <w:numId w:val="5"/>
        </w:numPr>
        <w:ind w:left="993" w:right="49"/>
        <w:jc w:val="left"/>
        <w:rPr>
          <w:color w:val="1F3864" w:themeColor="accent1" w:themeShade="80"/>
          <w:sz w:val="24"/>
          <w:szCs w:val="24"/>
        </w:rPr>
      </w:pPr>
      <w:bookmarkStart w:id="85" w:name="_Toc83302192"/>
      <w:r w:rsidRPr="004F108B">
        <w:rPr>
          <w:color w:val="1F3864" w:themeColor="accent1" w:themeShade="80"/>
          <w:sz w:val="24"/>
          <w:szCs w:val="24"/>
        </w:rPr>
        <w:t>Desastres provocados por fenómenos naturales en Guatemala</w:t>
      </w:r>
      <w:bookmarkEnd w:id="85"/>
    </w:p>
    <w:p w14:paraId="29C6539B" w14:textId="77777777" w:rsidR="00267F06" w:rsidRPr="004F108B" w:rsidRDefault="00267F06" w:rsidP="004F108B">
      <w:pPr>
        <w:ind w:left="567"/>
        <w:rPr>
          <w:sz w:val="24"/>
          <w:szCs w:val="24"/>
          <w:lang w:val="es-GT"/>
        </w:rPr>
      </w:pPr>
    </w:p>
    <w:p w14:paraId="38823B60" w14:textId="77777777" w:rsidR="00267F06" w:rsidRPr="004F108B" w:rsidRDefault="00267F06" w:rsidP="004F108B">
      <w:pPr>
        <w:ind w:left="567"/>
        <w:jc w:val="both"/>
        <w:rPr>
          <w:sz w:val="24"/>
          <w:szCs w:val="24"/>
          <w:lang w:val="es-ES" w:eastAsia="en-US"/>
        </w:rPr>
      </w:pPr>
      <w:r w:rsidRPr="004F108B">
        <w:rPr>
          <w:sz w:val="24"/>
          <w:szCs w:val="24"/>
          <w:lang w:val="es-ES" w:eastAsia="en-US"/>
        </w:rPr>
        <w:t xml:space="preserve">Para los años 2020-2021 los principales fenómenos naturales que han causado desastres son hidrometeorológicos, particularmente las tormentas tropicales Amanda y Cristóbal entre mayo y junio, </w:t>
      </w:r>
      <w:r w:rsidRPr="00486DDE">
        <w:rPr>
          <w:sz w:val="24"/>
          <w:szCs w:val="24"/>
          <w:lang w:val="es-ES" w:eastAsia="en-US"/>
        </w:rPr>
        <w:t>ETA y</w:t>
      </w:r>
      <w:r w:rsidRPr="004F108B">
        <w:rPr>
          <w:sz w:val="24"/>
          <w:szCs w:val="24"/>
          <w:lang w:val="es-ES" w:eastAsia="en-US"/>
        </w:rPr>
        <w:t xml:space="preserve"> IOTA en noviembre del 2020. </w:t>
      </w:r>
    </w:p>
    <w:p w14:paraId="772C9216" w14:textId="77777777" w:rsidR="00267F06" w:rsidRPr="004F108B" w:rsidRDefault="00267F06" w:rsidP="004F108B">
      <w:pPr>
        <w:ind w:left="567"/>
        <w:jc w:val="both"/>
        <w:rPr>
          <w:sz w:val="24"/>
          <w:szCs w:val="24"/>
          <w:lang w:val="es-GT"/>
        </w:rPr>
      </w:pPr>
    </w:p>
    <w:p w14:paraId="03ED4963" w14:textId="77777777" w:rsidR="00267F06" w:rsidRPr="004F108B" w:rsidRDefault="00267F06" w:rsidP="004F108B">
      <w:pPr>
        <w:pStyle w:val="Ttulo1"/>
        <w:widowControl/>
        <w:numPr>
          <w:ilvl w:val="2"/>
          <w:numId w:val="5"/>
        </w:numPr>
        <w:ind w:left="1276" w:right="49"/>
        <w:jc w:val="left"/>
        <w:rPr>
          <w:color w:val="1F3864" w:themeColor="accent1" w:themeShade="80"/>
          <w:sz w:val="24"/>
          <w:szCs w:val="24"/>
        </w:rPr>
      </w:pPr>
      <w:bookmarkStart w:id="86" w:name="_Toc83302193"/>
      <w:r w:rsidRPr="004F108B">
        <w:rPr>
          <w:color w:val="1F3864" w:themeColor="accent1" w:themeShade="80"/>
          <w:sz w:val="24"/>
          <w:szCs w:val="24"/>
        </w:rPr>
        <w:t>Amanda y Cristóbal</w:t>
      </w:r>
      <w:bookmarkEnd w:id="86"/>
      <w:r w:rsidRPr="004F108B">
        <w:rPr>
          <w:color w:val="1F3864" w:themeColor="accent1" w:themeShade="80"/>
          <w:sz w:val="24"/>
          <w:szCs w:val="24"/>
        </w:rPr>
        <w:t xml:space="preserve"> </w:t>
      </w:r>
    </w:p>
    <w:p w14:paraId="412503F3" w14:textId="77777777" w:rsidR="00267F06" w:rsidRPr="004F108B" w:rsidRDefault="00267F06" w:rsidP="004F108B">
      <w:pPr>
        <w:ind w:left="567"/>
        <w:jc w:val="both"/>
        <w:rPr>
          <w:i/>
          <w:sz w:val="24"/>
          <w:szCs w:val="24"/>
          <w:u w:val="single"/>
          <w:lang w:val="es-ES" w:eastAsia="en-US"/>
        </w:rPr>
      </w:pPr>
    </w:p>
    <w:p w14:paraId="441568D4" w14:textId="0BFE5C9E" w:rsidR="00267F06" w:rsidRDefault="00267F06" w:rsidP="004F108B">
      <w:pPr>
        <w:ind w:left="567"/>
        <w:jc w:val="both"/>
        <w:rPr>
          <w:sz w:val="24"/>
          <w:szCs w:val="24"/>
          <w:lang w:val="es-ES" w:eastAsia="en-US"/>
        </w:rPr>
      </w:pPr>
      <w:r w:rsidRPr="004F108B">
        <w:rPr>
          <w:sz w:val="24"/>
          <w:szCs w:val="24"/>
          <w:lang w:val="es-ES" w:eastAsia="en-US"/>
        </w:rPr>
        <w:t>El 24 de mayo de 2020, el Centro Nacional de Huracanes (NHC) discutió por primera vez la posibilidad de ciclogénesis tropical debido a una amplia área de baja presión que se pronosticaba se formaría frente a la costa de El Salvador y su ola tropical asociada. Para el 30 de mayo, el sistema alcanzó la convección para ser designado como depresión tropical Dos-E.</w:t>
      </w:r>
    </w:p>
    <w:p w14:paraId="3833BF76" w14:textId="77777777" w:rsidR="00C67259" w:rsidRPr="004F108B" w:rsidRDefault="00C67259" w:rsidP="004F108B">
      <w:pPr>
        <w:ind w:left="567"/>
        <w:jc w:val="both"/>
        <w:rPr>
          <w:sz w:val="24"/>
          <w:szCs w:val="24"/>
          <w:lang w:val="es-ES" w:eastAsia="en-US"/>
        </w:rPr>
      </w:pPr>
    </w:p>
    <w:p w14:paraId="7495EF6B" w14:textId="0DB7C9F4" w:rsidR="00267F06" w:rsidRPr="004F108B" w:rsidRDefault="00267F06" w:rsidP="004F108B">
      <w:pPr>
        <w:ind w:left="567"/>
        <w:jc w:val="both"/>
        <w:rPr>
          <w:sz w:val="24"/>
          <w:szCs w:val="24"/>
          <w:lang w:val="es-ES" w:eastAsia="en-US"/>
        </w:rPr>
      </w:pPr>
      <w:r w:rsidRPr="004F108B">
        <w:rPr>
          <w:sz w:val="24"/>
          <w:szCs w:val="24"/>
          <w:lang w:val="es-ES" w:eastAsia="en-US"/>
        </w:rPr>
        <w:t xml:space="preserve">Solo tres horas después de ser nombrada, a las 12:00 UTC, Amanda tocó tierra en el sureste de Guatemala y comenzó a extender fuertes lluvias hacia el interior.  Se debilitó rápidamente y se disipó sobre el país, sus remanentes continuaron hacia el norte, sus restos más tarde se regeneraron en la depresión tropical Tres y más tarde la tormenta tropical Cristóbal, el 1 de junio. Según la Oficina de Naciones Unidas para la Coordinación de Asuntos Humanitarios -OCHA- en Guatemala se vieron afectadas más de 306 mil personas, Amanda provocó inundaciones y </w:t>
      </w:r>
      <w:r w:rsidRPr="004F108B">
        <w:rPr>
          <w:sz w:val="24"/>
          <w:szCs w:val="24"/>
          <w:lang w:val="es-ES" w:eastAsia="en-US"/>
        </w:rPr>
        <w:lastRenderedPageBreak/>
        <w:t>deslizamientos en la mitad de los 22 departamentos de Guatemala, siendo los departamentos orientales de Chiquimula, El Progreso, Jalapa, Jutiapa y Santa Rosa los que registraron más daños.</w:t>
      </w:r>
    </w:p>
    <w:p w14:paraId="370EC84B" w14:textId="77777777" w:rsidR="00267F06" w:rsidRPr="009F7577" w:rsidRDefault="00267F06" w:rsidP="004F108B">
      <w:pPr>
        <w:ind w:left="567"/>
        <w:jc w:val="both"/>
        <w:rPr>
          <w:szCs w:val="24"/>
          <w:lang w:val="es-ES" w:eastAsia="en-US"/>
        </w:rPr>
      </w:pPr>
      <w:r w:rsidRPr="004F108B">
        <w:rPr>
          <w:sz w:val="24"/>
          <w:szCs w:val="24"/>
          <w:lang w:val="es-ES" w:eastAsia="en-US"/>
        </w:rPr>
        <w:t xml:space="preserve"> </w:t>
      </w:r>
    </w:p>
    <w:p w14:paraId="4D26B8CA" w14:textId="77777777" w:rsidR="00267F06" w:rsidRPr="004F108B" w:rsidRDefault="00267F06" w:rsidP="004F108B">
      <w:pPr>
        <w:ind w:left="567"/>
        <w:jc w:val="both"/>
        <w:rPr>
          <w:sz w:val="24"/>
          <w:szCs w:val="24"/>
          <w:lang w:eastAsia="en-US"/>
        </w:rPr>
      </w:pPr>
      <w:r w:rsidRPr="009D60E9">
        <w:rPr>
          <w:sz w:val="24"/>
          <w:szCs w:val="24"/>
          <w:lang w:val="es-ES" w:eastAsia="en-US"/>
        </w:rPr>
        <w:t xml:space="preserve">Aunque Cristóbal no entró directamente sobre Guatemala, sus lluvias </w:t>
      </w:r>
      <w:r w:rsidR="005B34A4" w:rsidRPr="009D60E9">
        <w:rPr>
          <w:sz w:val="24"/>
          <w:szCs w:val="24"/>
          <w:lang w:val="es-ES" w:eastAsia="en-US"/>
        </w:rPr>
        <w:t xml:space="preserve">afecto </w:t>
      </w:r>
      <w:r w:rsidRPr="009D60E9">
        <w:rPr>
          <w:sz w:val="24"/>
          <w:szCs w:val="24"/>
          <w:lang w:val="es-ES" w:eastAsia="en-US"/>
        </w:rPr>
        <w:t>algunas áreas del país, así como a otras zonas como Huehuetenango, Sacatepéquez, San Marcos y Sololá. La Coordinadora</w:t>
      </w:r>
      <w:r w:rsidRPr="004F108B">
        <w:rPr>
          <w:sz w:val="24"/>
          <w:szCs w:val="24"/>
          <w:lang w:val="es-ES" w:eastAsia="en-US"/>
        </w:rPr>
        <w:t xml:space="preserve"> Nacional para la Reducción de Desastres (CONRED) informa de que Amanda y Cristóbal afectaron a más de 306.000 personas, damnificando a 881 personas y causando también dos muertes. Hasta la fecha tanto para Amanda y Cristóbal no se cuenta con la cuantificación detallada de daños y pérdidas como lo hubo para otros fenómenos naturales. </w:t>
      </w:r>
    </w:p>
    <w:p w14:paraId="618C0B87" w14:textId="77777777" w:rsidR="00267F06" w:rsidRPr="009F7577" w:rsidRDefault="00267F06" w:rsidP="004F108B">
      <w:pPr>
        <w:jc w:val="both"/>
        <w:rPr>
          <w:szCs w:val="24"/>
          <w:lang w:val="es-ES" w:eastAsia="en-US"/>
        </w:rPr>
      </w:pPr>
    </w:p>
    <w:p w14:paraId="54A31455" w14:textId="77777777" w:rsidR="00267F06" w:rsidRPr="004F108B" w:rsidRDefault="00267F06" w:rsidP="004F108B">
      <w:pPr>
        <w:pStyle w:val="Ttulo1"/>
        <w:widowControl/>
        <w:numPr>
          <w:ilvl w:val="2"/>
          <w:numId w:val="5"/>
        </w:numPr>
        <w:ind w:left="1276" w:right="49"/>
        <w:jc w:val="left"/>
        <w:rPr>
          <w:color w:val="1F3864" w:themeColor="accent1" w:themeShade="80"/>
          <w:sz w:val="24"/>
          <w:szCs w:val="24"/>
        </w:rPr>
      </w:pPr>
      <w:bookmarkStart w:id="87" w:name="_Toc83302194"/>
      <w:r w:rsidRPr="00486DDE">
        <w:rPr>
          <w:color w:val="1F3864" w:themeColor="accent1" w:themeShade="80"/>
          <w:sz w:val="24"/>
          <w:szCs w:val="24"/>
        </w:rPr>
        <w:t>Eta y</w:t>
      </w:r>
      <w:r w:rsidRPr="004F108B">
        <w:rPr>
          <w:color w:val="1F3864" w:themeColor="accent1" w:themeShade="80"/>
          <w:sz w:val="24"/>
          <w:szCs w:val="24"/>
        </w:rPr>
        <w:t xml:space="preserve"> Iota</w:t>
      </w:r>
      <w:bookmarkEnd w:id="87"/>
    </w:p>
    <w:p w14:paraId="0F4FD600" w14:textId="77777777" w:rsidR="00267F06" w:rsidRPr="009F7577" w:rsidRDefault="00267F06" w:rsidP="004F108B">
      <w:pPr>
        <w:ind w:left="567"/>
        <w:jc w:val="both"/>
        <w:rPr>
          <w:szCs w:val="24"/>
          <w:lang w:val="es-ES" w:eastAsia="en-US"/>
        </w:rPr>
      </w:pPr>
    </w:p>
    <w:p w14:paraId="04D17EAB" w14:textId="0C75A220" w:rsidR="00267F06" w:rsidRPr="004F108B" w:rsidRDefault="00267F06" w:rsidP="004F108B">
      <w:pPr>
        <w:ind w:left="567"/>
        <w:jc w:val="both"/>
        <w:rPr>
          <w:sz w:val="24"/>
          <w:szCs w:val="24"/>
          <w:lang w:val="es-ES" w:eastAsia="en-US"/>
        </w:rPr>
      </w:pPr>
      <w:r w:rsidRPr="004F108B">
        <w:rPr>
          <w:sz w:val="24"/>
          <w:szCs w:val="24"/>
          <w:lang w:val="es-ES" w:eastAsia="en-US"/>
        </w:rPr>
        <w:t>Según el informe denominado “Evaluación de los efectos e impactos de las depresiones tropicales Eta y Iota en Guatemala” elaborado por la Secretaría de Planificación y Programación de la Presidencia -SEGEPLAN-, la Comisión Económica para América Latina y el Caribe -CEPAL-, el Banco Interamerican</w:t>
      </w:r>
      <w:r w:rsidR="00997794">
        <w:rPr>
          <w:sz w:val="24"/>
          <w:szCs w:val="24"/>
          <w:lang w:val="es-ES" w:eastAsia="en-US"/>
        </w:rPr>
        <w:t>o de Desarrollo -BID</w:t>
      </w:r>
      <w:r w:rsidR="00997794" w:rsidRPr="00486DDE">
        <w:rPr>
          <w:sz w:val="24"/>
          <w:szCs w:val="24"/>
          <w:lang w:val="es-ES" w:eastAsia="en-US"/>
        </w:rPr>
        <w:t>-, l</w:t>
      </w:r>
      <w:r w:rsidRPr="00486DDE">
        <w:rPr>
          <w:sz w:val="24"/>
          <w:szCs w:val="24"/>
          <w:lang w:val="es-ES" w:eastAsia="en-US"/>
        </w:rPr>
        <w:t>as</w:t>
      </w:r>
      <w:r w:rsidRPr="004F108B">
        <w:rPr>
          <w:sz w:val="24"/>
          <w:szCs w:val="24"/>
          <w:lang w:val="es-ES" w:eastAsia="en-US"/>
        </w:rPr>
        <w:t xml:space="preserve"> Naciones Unidas y el Banco Mundial, muestran que la trayectoria de los huracanes Eta y Iota no tocaron el territorio de Guatemala, sin embargo, en la zona de influencia de ambos ocurrieron intensas tormentas que tuvieron diversos efectos en la población.  </w:t>
      </w:r>
      <w:r w:rsidR="007B2547">
        <w:rPr>
          <w:sz w:val="24"/>
          <w:szCs w:val="24"/>
          <w:lang w:val="es-ES" w:eastAsia="en-US"/>
        </w:rPr>
        <w:t>L</w:t>
      </w:r>
      <w:r w:rsidRPr="004F108B">
        <w:rPr>
          <w:sz w:val="24"/>
          <w:szCs w:val="24"/>
          <w:lang w:val="es-ES" w:eastAsia="en-US"/>
        </w:rPr>
        <w:t>as depresiones tropicales de Eta y Iota impactaron la mayor parte del territorio guatemalteco entre el 3 y el 17 de noviembre de 2020 con intensas lluvias que ocasionaron inundaciones y decenas de deslizamientos y flujos de lodo catastróficos (Oficina de Coordinación de Asuntos Humanitarios de las Naciones Unidas (OCHA), 16 de diciembre de 2020). Según la Coordinadora Nacional para la Reducción de Desastres (CONRED), 16 de 22 departamentos fueron afectados</w:t>
      </w:r>
      <w:r w:rsidR="002D0120">
        <w:rPr>
          <w:sz w:val="24"/>
          <w:szCs w:val="24"/>
          <w:lang w:val="es-ES" w:eastAsia="en-US"/>
        </w:rPr>
        <w:t>,</w:t>
      </w:r>
      <w:r w:rsidRPr="004F108B">
        <w:rPr>
          <w:sz w:val="24"/>
          <w:szCs w:val="24"/>
          <w:lang w:val="es-ES" w:eastAsia="en-US"/>
        </w:rPr>
        <w:t xml:space="preserve"> concentrándose los daños en Alta Verapaz, Izabal, Quiché, Huehuetenango, Petén, Zacapa y Chiquimula. En estos territorios viven alrededor de 5 millones de personas.</w:t>
      </w:r>
    </w:p>
    <w:p w14:paraId="73F5103A" w14:textId="77777777" w:rsidR="00267F06" w:rsidRPr="004F108B" w:rsidRDefault="00267F06" w:rsidP="004F108B">
      <w:pPr>
        <w:ind w:left="567"/>
        <w:jc w:val="both"/>
        <w:rPr>
          <w:sz w:val="24"/>
          <w:szCs w:val="24"/>
          <w:lang w:val="es-ES" w:eastAsia="en-US"/>
        </w:rPr>
      </w:pPr>
    </w:p>
    <w:p w14:paraId="1B7C846C" w14:textId="17D94E04" w:rsidR="004F108B" w:rsidRDefault="00267F06" w:rsidP="009F7577">
      <w:pPr>
        <w:ind w:left="567"/>
        <w:jc w:val="both"/>
        <w:rPr>
          <w:sz w:val="24"/>
          <w:szCs w:val="24"/>
          <w:lang w:val="es-ES" w:eastAsia="en-US"/>
        </w:rPr>
      </w:pPr>
      <w:r w:rsidRPr="004F108B">
        <w:rPr>
          <w:sz w:val="24"/>
          <w:szCs w:val="24"/>
          <w:lang w:val="es-ES" w:eastAsia="en-US"/>
        </w:rPr>
        <w:t xml:space="preserve">De acuerdo con el Informe de Evaluación de los efectos e impactos de las depresiones tropicales Eta y Iota en Guatemala 2021, se estima que los efectos totales de estas depresiones tropicales fueron de </w:t>
      </w:r>
      <w:r w:rsidRPr="00486DDE">
        <w:rPr>
          <w:sz w:val="24"/>
          <w:szCs w:val="24"/>
          <w:lang w:val="es-ES" w:eastAsia="en-US"/>
        </w:rPr>
        <w:t>aproximadamente Q 6.</w:t>
      </w:r>
      <w:r w:rsidRPr="004F108B">
        <w:rPr>
          <w:sz w:val="24"/>
          <w:szCs w:val="24"/>
          <w:lang w:val="es-ES" w:eastAsia="en-US"/>
        </w:rPr>
        <w:t>002 millones. Los daños representaron el 52% de la afectación, las pérdidas el 31% y los costos adicionales el 17%. Nótese que el sector privado sufrió el 75% de la afectación total, incluyendo el 68% de la afectación de acervo y el 99% de los flujos de producción perdidos. Los costos adicionales es la única dimensión de los efectos en la que el sector público superó al privado. Los efectos totales que tuvo el desastre en el sector público fueron de aproximadamente Q 1.477 millones. Los sectores más afectados fueron la vivienda y el agropecuario. La afectación en infraestructura representó el 15% del total. El subsector más afectado fue transporte en el que ocurrieron el 93% de los daños, el 99% de las pérdidas y el 99% de los costos adicionales.</w:t>
      </w:r>
    </w:p>
    <w:p w14:paraId="0692B641" w14:textId="77777777" w:rsidR="002D0120" w:rsidRDefault="002D0120" w:rsidP="009F7577">
      <w:pPr>
        <w:ind w:left="567"/>
        <w:jc w:val="both"/>
        <w:rPr>
          <w:sz w:val="24"/>
          <w:szCs w:val="24"/>
          <w:lang w:val="es-ES" w:eastAsia="en-US"/>
        </w:rPr>
      </w:pPr>
    </w:p>
    <w:p w14:paraId="12F0E6BF" w14:textId="77777777" w:rsidR="00267F06" w:rsidRPr="004F108B" w:rsidRDefault="00267F06" w:rsidP="004F108B">
      <w:pPr>
        <w:pStyle w:val="Ttulo1"/>
        <w:widowControl/>
        <w:numPr>
          <w:ilvl w:val="1"/>
          <w:numId w:val="5"/>
        </w:numPr>
        <w:ind w:left="993" w:right="49"/>
        <w:jc w:val="left"/>
        <w:rPr>
          <w:b w:val="0"/>
          <w:sz w:val="24"/>
          <w:szCs w:val="24"/>
          <w:lang w:val="es-ES" w:eastAsia="en-US"/>
        </w:rPr>
      </w:pPr>
      <w:bookmarkStart w:id="88" w:name="_Toc83302195"/>
      <w:r w:rsidRPr="004F108B">
        <w:rPr>
          <w:color w:val="1F3864" w:themeColor="accent1" w:themeShade="80"/>
          <w:sz w:val="24"/>
          <w:szCs w:val="24"/>
        </w:rPr>
        <w:t>Estrategia Financiera ante el riesgo de desastres</w:t>
      </w:r>
      <w:bookmarkEnd w:id="88"/>
    </w:p>
    <w:p w14:paraId="3ED0FA1D" w14:textId="77777777" w:rsidR="00267F06" w:rsidRPr="004F108B" w:rsidRDefault="00267F06" w:rsidP="004F108B">
      <w:pPr>
        <w:ind w:left="567"/>
        <w:jc w:val="both"/>
        <w:rPr>
          <w:b/>
          <w:i/>
          <w:sz w:val="24"/>
          <w:szCs w:val="24"/>
          <w:lang w:val="es-GT"/>
        </w:rPr>
      </w:pPr>
    </w:p>
    <w:p w14:paraId="7218045F" w14:textId="77777777" w:rsidR="00267F06" w:rsidRPr="004F108B" w:rsidRDefault="00267F06" w:rsidP="004F108B">
      <w:pPr>
        <w:ind w:left="567"/>
        <w:jc w:val="both"/>
        <w:rPr>
          <w:sz w:val="24"/>
          <w:szCs w:val="24"/>
          <w:lang w:val="es-ES" w:eastAsia="en-US"/>
        </w:rPr>
      </w:pPr>
      <w:r w:rsidRPr="004F108B">
        <w:rPr>
          <w:sz w:val="24"/>
          <w:szCs w:val="24"/>
          <w:lang w:val="es-ES" w:eastAsia="en-US"/>
        </w:rPr>
        <w:t xml:space="preserve">El Ministro de </w:t>
      </w:r>
      <w:r w:rsidR="009F19C1">
        <w:rPr>
          <w:sz w:val="24"/>
          <w:szCs w:val="24"/>
          <w:lang w:val="es-ES" w:eastAsia="en-US"/>
        </w:rPr>
        <w:t>Finanzas Públicas</w:t>
      </w:r>
      <w:r w:rsidRPr="004F108B">
        <w:rPr>
          <w:sz w:val="24"/>
          <w:szCs w:val="24"/>
          <w:lang w:val="es-ES" w:eastAsia="en-US"/>
        </w:rPr>
        <w:t xml:space="preserve">, ha trabajado en el manejo integral de los riesgos fiscales frente a los desastres naturales, buscando el fortalecimiento de las finanzas públicas con una visión planificada que permita mayor estabilidad y desarrollo sostenible, por ello dentro del marco de la Estrategia Financiera del Riesgo de Desastres actualmente se ha avanzado en la formulación del Plan Operativo en donde dentro de seis líneas estratégicas se establecen actividades, productos,  responsables y plazos para la consecución de los objetivos establecidos. Las seis líneas </w:t>
      </w:r>
      <w:r w:rsidRPr="004F108B">
        <w:rPr>
          <w:sz w:val="24"/>
          <w:szCs w:val="24"/>
          <w:lang w:val="es-ES" w:eastAsia="en-US"/>
        </w:rPr>
        <w:lastRenderedPageBreak/>
        <w:t xml:space="preserve">estratégicas tiene una relación directa para abordar de forma integral el tema de riesgos fiscales frente a desastres, siendo estas; LE1: Conocimiento sobre amenaza, vulnerabilidad, exposición y riesgo, LE2: Identificación de instrumentos como Fondos de Emergencia, Seguros y Créditos contingentes, LE3: Seguros Catastróficos, pasivos contingentes del Estados, sector público y privado, LE4: Ejecución eficiente y transparente, clasificadores temáticos y mecanismos de compras y contrataciones eficiente, LE5: Gestión financiera en gestión de riesgo de desastres para Gobiernos Locales y LE6: Fortalecimiento institucional del Ministerio de Finanzas Públicas para la gestión fiscal y financiera del riesgo asociado a desastres provocados por fenómenos naturales. </w:t>
      </w:r>
    </w:p>
    <w:p w14:paraId="1E6CA88D" w14:textId="77777777" w:rsidR="00267F06" w:rsidRPr="004F108B" w:rsidRDefault="00267F06" w:rsidP="004F108B">
      <w:pPr>
        <w:ind w:left="567"/>
        <w:jc w:val="both"/>
        <w:rPr>
          <w:sz w:val="24"/>
          <w:szCs w:val="24"/>
          <w:lang w:val="es-ES" w:eastAsia="en-US"/>
        </w:rPr>
      </w:pPr>
    </w:p>
    <w:p w14:paraId="498ADC66" w14:textId="77777777" w:rsidR="00267F06" w:rsidRPr="004F108B" w:rsidRDefault="00267F06" w:rsidP="004F108B">
      <w:pPr>
        <w:tabs>
          <w:tab w:val="left" w:pos="3615"/>
        </w:tabs>
        <w:ind w:left="567"/>
        <w:jc w:val="both"/>
        <w:rPr>
          <w:sz w:val="24"/>
          <w:szCs w:val="24"/>
          <w:lang w:val="es-ES" w:eastAsia="en-US"/>
        </w:rPr>
      </w:pPr>
      <w:r w:rsidRPr="004F108B">
        <w:rPr>
          <w:sz w:val="24"/>
          <w:szCs w:val="24"/>
          <w:lang w:val="es-ES" w:eastAsia="en-US"/>
        </w:rPr>
        <w:t>Dentro de los aspectos importantes que actualmente se está trabajando en el Ministerio de Finanzas Públicas para contar con cobertura ante la ocurrencia de un determinado evento producido por un fenómeno natural, se encuentran los siguientes:</w:t>
      </w:r>
    </w:p>
    <w:p w14:paraId="6F361137" w14:textId="77777777" w:rsidR="00267F06" w:rsidRPr="004F108B" w:rsidRDefault="00267F06" w:rsidP="004F108B">
      <w:pPr>
        <w:tabs>
          <w:tab w:val="left" w:pos="3615"/>
        </w:tabs>
        <w:ind w:left="567"/>
        <w:rPr>
          <w:sz w:val="24"/>
          <w:szCs w:val="24"/>
          <w:lang w:val="es-ES" w:eastAsia="en-US"/>
        </w:rPr>
      </w:pPr>
    </w:p>
    <w:p w14:paraId="083F54DC" w14:textId="77777777" w:rsidR="00267F06" w:rsidRPr="004F108B" w:rsidRDefault="00267F06" w:rsidP="004F108B">
      <w:pPr>
        <w:pStyle w:val="Ttulo1"/>
        <w:widowControl/>
        <w:numPr>
          <w:ilvl w:val="2"/>
          <w:numId w:val="5"/>
        </w:numPr>
        <w:ind w:left="1276" w:right="49"/>
        <w:jc w:val="left"/>
        <w:rPr>
          <w:color w:val="1F3864" w:themeColor="accent1" w:themeShade="80"/>
          <w:sz w:val="24"/>
          <w:szCs w:val="24"/>
        </w:rPr>
      </w:pPr>
      <w:bookmarkStart w:id="89" w:name="_Toc83302196"/>
      <w:r w:rsidRPr="004F108B">
        <w:rPr>
          <w:color w:val="1F3864" w:themeColor="accent1" w:themeShade="80"/>
          <w:sz w:val="24"/>
          <w:szCs w:val="24"/>
        </w:rPr>
        <w:t>Mecanismo de Seguro contra riesgos de catástrofes del caribe -CCRIF-</w:t>
      </w:r>
      <w:bookmarkEnd w:id="89"/>
    </w:p>
    <w:p w14:paraId="00A7225D" w14:textId="77777777" w:rsidR="00267F06" w:rsidRPr="004F108B" w:rsidRDefault="00267F06" w:rsidP="004F108B">
      <w:pPr>
        <w:ind w:left="567"/>
        <w:rPr>
          <w:i/>
          <w:sz w:val="24"/>
          <w:szCs w:val="24"/>
          <w:lang w:val="es-ES" w:eastAsia="en-US"/>
        </w:rPr>
      </w:pPr>
    </w:p>
    <w:p w14:paraId="26DE043B" w14:textId="77777777" w:rsidR="00267F06" w:rsidRPr="004F108B" w:rsidRDefault="00267F06" w:rsidP="004F108B">
      <w:pPr>
        <w:ind w:left="567"/>
        <w:jc w:val="both"/>
        <w:rPr>
          <w:sz w:val="24"/>
          <w:szCs w:val="24"/>
          <w:lang w:val="es-ES" w:eastAsia="en-US"/>
        </w:rPr>
      </w:pPr>
      <w:r w:rsidRPr="004F108B">
        <w:rPr>
          <w:sz w:val="24"/>
          <w:szCs w:val="24"/>
          <w:lang w:val="es-ES" w:eastAsia="en-US"/>
        </w:rPr>
        <w:t>El Gobierno de Guatemala forma parte del Mecanismo desde octubre 2019, como el tercer miembro centroamericano. Guatemala adquirió un seguro paramétrico para exceso de lluvia para el año de póliza 2019/20. El 01 de junio 2021 se renovó la póliza para los años 2021-2022 contratada para ampliar la cobertura sin costo adicional, la cual cubre Eventos de Precipitación Pluviales en una Zona Cubierta -CARE- según las definiciones y estimaciones técnicas establecidas.   El país tiene una cobertura mínima por US$750,000 y máxima de US$54.9 millones.</w:t>
      </w:r>
    </w:p>
    <w:p w14:paraId="2E5518FD" w14:textId="77777777" w:rsidR="00267F06" w:rsidRPr="004F108B" w:rsidRDefault="00267F06" w:rsidP="004F108B">
      <w:pPr>
        <w:ind w:left="567"/>
        <w:jc w:val="both"/>
        <w:rPr>
          <w:sz w:val="24"/>
          <w:szCs w:val="24"/>
          <w:lang w:val="es-ES" w:eastAsia="en-US"/>
        </w:rPr>
      </w:pPr>
    </w:p>
    <w:p w14:paraId="11AC60D1" w14:textId="3104D08D" w:rsidR="00267F06" w:rsidRPr="004F108B" w:rsidRDefault="00AF7163" w:rsidP="004F108B">
      <w:pPr>
        <w:ind w:left="567"/>
        <w:jc w:val="center"/>
        <w:rPr>
          <w:b/>
          <w:sz w:val="24"/>
          <w:szCs w:val="24"/>
          <w:lang w:val="es-ES" w:eastAsia="en-US"/>
        </w:rPr>
      </w:pPr>
      <w:r>
        <w:rPr>
          <w:b/>
          <w:sz w:val="24"/>
          <w:szCs w:val="24"/>
          <w:lang w:val="es-ES" w:eastAsia="en-US"/>
        </w:rPr>
        <w:t>Tabla 9</w:t>
      </w:r>
      <w:r w:rsidR="00282882">
        <w:rPr>
          <w:b/>
          <w:sz w:val="24"/>
          <w:szCs w:val="24"/>
          <w:lang w:val="es-ES" w:eastAsia="en-US"/>
        </w:rPr>
        <w:t xml:space="preserve">.  </w:t>
      </w:r>
      <w:r w:rsidR="00267F06" w:rsidRPr="004F108B">
        <w:rPr>
          <w:b/>
          <w:sz w:val="24"/>
          <w:szCs w:val="24"/>
          <w:lang w:val="es-ES" w:eastAsia="en-US"/>
        </w:rPr>
        <w:t>Términos y condiciones técnicas</w:t>
      </w:r>
    </w:p>
    <w:tbl>
      <w:tblPr>
        <w:tblStyle w:val="Tablaconcuadrcula"/>
        <w:tblW w:w="0" w:type="auto"/>
        <w:jc w:val="center"/>
        <w:tblLook w:val="04A0" w:firstRow="1" w:lastRow="0" w:firstColumn="1" w:lastColumn="0" w:noHBand="0" w:noVBand="1"/>
      </w:tblPr>
      <w:tblGrid>
        <w:gridCol w:w="2972"/>
        <w:gridCol w:w="5387"/>
      </w:tblGrid>
      <w:tr w:rsidR="00267F06" w:rsidRPr="009F7577" w14:paraId="0CCF0576" w14:textId="77777777" w:rsidTr="001A445E">
        <w:trPr>
          <w:jc w:val="center"/>
        </w:trPr>
        <w:tc>
          <w:tcPr>
            <w:tcW w:w="2972" w:type="dxa"/>
          </w:tcPr>
          <w:p w14:paraId="1D0AE4EB" w14:textId="77777777" w:rsidR="00267F06" w:rsidRPr="009F7577" w:rsidRDefault="00267F06" w:rsidP="004F108B">
            <w:pPr>
              <w:ind w:left="567"/>
              <w:jc w:val="both"/>
              <w:rPr>
                <w:sz w:val="22"/>
                <w:szCs w:val="24"/>
                <w:lang w:val="es-ES" w:eastAsia="en-US"/>
              </w:rPr>
            </w:pPr>
            <w:r w:rsidRPr="009F7577">
              <w:rPr>
                <w:sz w:val="22"/>
                <w:szCs w:val="24"/>
                <w:lang w:val="es-ES" w:eastAsia="en-US"/>
              </w:rPr>
              <w:t xml:space="preserve">Periodo póliza </w:t>
            </w:r>
          </w:p>
        </w:tc>
        <w:tc>
          <w:tcPr>
            <w:tcW w:w="5387" w:type="dxa"/>
          </w:tcPr>
          <w:p w14:paraId="45FCC2EE" w14:textId="77777777" w:rsidR="00267F06" w:rsidRPr="009F7577" w:rsidRDefault="00267F06" w:rsidP="004F108B">
            <w:pPr>
              <w:ind w:left="567"/>
              <w:jc w:val="both"/>
              <w:rPr>
                <w:sz w:val="22"/>
                <w:szCs w:val="24"/>
                <w:lang w:val="es-ES" w:eastAsia="en-US"/>
              </w:rPr>
            </w:pPr>
            <w:r w:rsidRPr="009F7577">
              <w:rPr>
                <w:sz w:val="22"/>
                <w:szCs w:val="24"/>
                <w:lang w:val="es-ES" w:eastAsia="en-US"/>
              </w:rPr>
              <w:t>1 de junio 2021 – 1 junio 2022</w:t>
            </w:r>
          </w:p>
        </w:tc>
      </w:tr>
      <w:tr w:rsidR="00267F06" w:rsidRPr="009F7577" w14:paraId="34767B7D" w14:textId="77777777" w:rsidTr="001A445E">
        <w:trPr>
          <w:jc w:val="center"/>
        </w:trPr>
        <w:tc>
          <w:tcPr>
            <w:tcW w:w="2972" w:type="dxa"/>
          </w:tcPr>
          <w:p w14:paraId="7D112554" w14:textId="77777777" w:rsidR="00267F06" w:rsidRPr="009F7577" w:rsidRDefault="00267F06" w:rsidP="004F108B">
            <w:pPr>
              <w:ind w:left="567"/>
              <w:jc w:val="both"/>
              <w:rPr>
                <w:sz w:val="22"/>
                <w:szCs w:val="24"/>
                <w:lang w:val="es-ES" w:eastAsia="en-US"/>
              </w:rPr>
            </w:pPr>
            <w:r w:rsidRPr="009F7577">
              <w:rPr>
                <w:sz w:val="22"/>
                <w:szCs w:val="24"/>
                <w:lang w:val="es-ES" w:eastAsia="en-US"/>
              </w:rPr>
              <w:t>Prima por el periodo</w:t>
            </w:r>
          </w:p>
        </w:tc>
        <w:tc>
          <w:tcPr>
            <w:tcW w:w="5387" w:type="dxa"/>
          </w:tcPr>
          <w:p w14:paraId="15D200D4" w14:textId="77777777" w:rsidR="00267F06" w:rsidRPr="009F7577" w:rsidRDefault="00267F06" w:rsidP="004F108B">
            <w:pPr>
              <w:ind w:left="567"/>
              <w:jc w:val="both"/>
              <w:rPr>
                <w:sz w:val="22"/>
                <w:szCs w:val="24"/>
                <w:lang w:val="es-ES" w:eastAsia="en-US"/>
              </w:rPr>
            </w:pPr>
            <w:r w:rsidRPr="009F7577">
              <w:rPr>
                <w:sz w:val="22"/>
                <w:szCs w:val="24"/>
                <w:lang w:val="es-ES" w:eastAsia="en-US"/>
              </w:rPr>
              <w:t>US$ 750,000</w:t>
            </w:r>
          </w:p>
        </w:tc>
      </w:tr>
      <w:tr w:rsidR="00267F06" w:rsidRPr="009F7577" w14:paraId="26668E2C" w14:textId="77777777" w:rsidTr="001A445E">
        <w:trPr>
          <w:jc w:val="center"/>
        </w:trPr>
        <w:tc>
          <w:tcPr>
            <w:tcW w:w="2972" w:type="dxa"/>
          </w:tcPr>
          <w:p w14:paraId="406C4646" w14:textId="77777777" w:rsidR="00267F06" w:rsidRPr="009F7577" w:rsidRDefault="00267F06" w:rsidP="004F108B">
            <w:pPr>
              <w:ind w:left="567"/>
              <w:jc w:val="both"/>
              <w:rPr>
                <w:sz w:val="22"/>
                <w:szCs w:val="24"/>
                <w:lang w:val="es-ES" w:eastAsia="en-US"/>
              </w:rPr>
            </w:pPr>
            <w:r w:rsidRPr="009F7577">
              <w:rPr>
                <w:sz w:val="22"/>
                <w:szCs w:val="24"/>
                <w:lang w:val="es-ES" w:eastAsia="en-US"/>
              </w:rPr>
              <w:t>Zona cubierta</w:t>
            </w:r>
          </w:p>
        </w:tc>
        <w:tc>
          <w:tcPr>
            <w:tcW w:w="5387" w:type="dxa"/>
          </w:tcPr>
          <w:p w14:paraId="14D0B96F" w14:textId="77777777" w:rsidR="00267F06" w:rsidRPr="009F7577" w:rsidRDefault="00267F06" w:rsidP="004F108B">
            <w:pPr>
              <w:ind w:left="567"/>
              <w:jc w:val="both"/>
              <w:rPr>
                <w:sz w:val="22"/>
                <w:szCs w:val="24"/>
                <w:lang w:val="es-ES" w:eastAsia="en-US"/>
              </w:rPr>
            </w:pPr>
            <w:r w:rsidRPr="009F7577">
              <w:rPr>
                <w:sz w:val="22"/>
                <w:szCs w:val="24"/>
                <w:lang w:val="es-ES" w:eastAsia="en-US"/>
              </w:rPr>
              <w:t>La República de Guatemala como lo definido en el Modelo de Precipitación para Centroamérica</w:t>
            </w:r>
          </w:p>
        </w:tc>
      </w:tr>
      <w:tr w:rsidR="00267F06" w:rsidRPr="009F7577" w14:paraId="49FF32BA" w14:textId="77777777" w:rsidTr="001A445E">
        <w:trPr>
          <w:jc w:val="center"/>
        </w:trPr>
        <w:tc>
          <w:tcPr>
            <w:tcW w:w="2972" w:type="dxa"/>
          </w:tcPr>
          <w:p w14:paraId="47690653" w14:textId="77777777" w:rsidR="00267F06" w:rsidRPr="009F7577" w:rsidRDefault="00267F06" w:rsidP="004F108B">
            <w:pPr>
              <w:ind w:left="567"/>
              <w:jc w:val="both"/>
              <w:rPr>
                <w:sz w:val="22"/>
                <w:szCs w:val="24"/>
                <w:lang w:val="es-ES" w:eastAsia="en-US"/>
              </w:rPr>
            </w:pPr>
            <w:r w:rsidRPr="009F7577">
              <w:rPr>
                <w:sz w:val="22"/>
                <w:szCs w:val="24"/>
                <w:lang w:val="es-ES" w:eastAsia="en-US"/>
              </w:rPr>
              <w:t xml:space="preserve">Umbral perdida de país </w:t>
            </w:r>
          </w:p>
        </w:tc>
        <w:tc>
          <w:tcPr>
            <w:tcW w:w="5387" w:type="dxa"/>
          </w:tcPr>
          <w:p w14:paraId="23247DEA" w14:textId="77777777" w:rsidR="00267F06" w:rsidRPr="009F7577" w:rsidRDefault="00267F06" w:rsidP="004F108B">
            <w:pPr>
              <w:ind w:left="567"/>
              <w:jc w:val="both"/>
              <w:rPr>
                <w:sz w:val="22"/>
                <w:szCs w:val="24"/>
                <w:lang w:val="es-ES" w:eastAsia="en-US"/>
              </w:rPr>
            </w:pPr>
            <w:r w:rsidRPr="009F7577">
              <w:rPr>
                <w:sz w:val="22"/>
                <w:szCs w:val="24"/>
                <w:lang w:val="es-ES" w:eastAsia="en-US"/>
              </w:rPr>
              <w:t>US$ 10,500,000</w:t>
            </w:r>
          </w:p>
        </w:tc>
      </w:tr>
      <w:tr w:rsidR="00267F06" w:rsidRPr="009F7577" w14:paraId="57C3ED37" w14:textId="77777777" w:rsidTr="001A445E">
        <w:trPr>
          <w:jc w:val="center"/>
        </w:trPr>
        <w:tc>
          <w:tcPr>
            <w:tcW w:w="2972" w:type="dxa"/>
          </w:tcPr>
          <w:p w14:paraId="5E49F6AA" w14:textId="77777777" w:rsidR="00267F06" w:rsidRPr="009F7577" w:rsidRDefault="00267F06" w:rsidP="004F108B">
            <w:pPr>
              <w:ind w:left="567"/>
              <w:jc w:val="both"/>
              <w:rPr>
                <w:sz w:val="22"/>
                <w:szCs w:val="24"/>
                <w:lang w:val="es-ES" w:eastAsia="en-US"/>
              </w:rPr>
            </w:pPr>
            <w:r w:rsidRPr="009F7577">
              <w:rPr>
                <w:sz w:val="22"/>
                <w:szCs w:val="24"/>
                <w:lang w:val="es-ES" w:eastAsia="en-US"/>
              </w:rPr>
              <w:t>Límite de cobertura</w:t>
            </w:r>
          </w:p>
        </w:tc>
        <w:tc>
          <w:tcPr>
            <w:tcW w:w="5387" w:type="dxa"/>
          </w:tcPr>
          <w:p w14:paraId="5688C394" w14:textId="77777777" w:rsidR="00267F06" w:rsidRPr="009F7577" w:rsidRDefault="00267F06" w:rsidP="004F108B">
            <w:pPr>
              <w:ind w:left="567"/>
              <w:jc w:val="both"/>
              <w:rPr>
                <w:sz w:val="22"/>
                <w:szCs w:val="24"/>
                <w:lang w:val="es-ES" w:eastAsia="en-US"/>
              </w:rPr>
            </w:pPr>
            <w:r w:rsidRPr="009F7577">
              <w:rPr>
                <w:sz w:val="22"/>
                <w:szCs w:val="24"/>
                <w:lang w:val="es-ES" w:eastAsia="en-US"/>
              </w:rPr>
              <w:t>US$ 6,986,760</w:t>
            </w:r>
          </w:p>
        </w:tc>
      </w:tr>
      <w:tr w:rsidR="00267F06" w:rsidRPr="009F7577" w14:paraId="53CBC42B" w14:textId="77777777" w:rsidTr="001A445E">
        <w:trPr>
          <w:jc w:val="center"/>
        </w:trPr>
        <w:tc>
          <w:tcPr>
            <w:tcW w:w="2972" w:type="dxa"/>
          </w:tcPr>
          <w:p w14:paraId="127038C4" w14:textId="77777777" w:rsidR="00267F06" w:rsidRPr="009F7577" w:rsidRDefault="00267F06" w:rsidP="004F108B">
            <w:pPr>
              <w:ind w:left="567"/>
              <w:jc w:val="both"/>
              <w:rPr>
                <w:sz w:val="22"/>
                <w:szCs w:val="24"/>
                <w:lang w:val="es-ES" w:eastAsia="en-US"/>
              </w:rPr>
            </w:pPr>
            <w:r w:rsidRPr="009F7577">
              <w:rPr>
                <w:sz w:val="22"/>
                <w:szCs w:val="24"/>
                <w:lang w:val="es-ES" w:eastAsia="en-US"/>
              </w:rPr>
              <w:t xml:space="preserve">Pago mínimo </w:t>
            </w:r>
          </w:p>
        </w:tc>
        <w:tc>
          <w:tcPr>
            <w:tcW w:w="5387" w:type="dxa"/>
          </w:tcPr>
          <w:p w14:paraId="763E6C40" w14:textId="77777777" w:rsidR="00267F06" w:rsidRPr="009F7577" w:rsidRDefault="00267F06" w:rsidP="004F108B">
            <w:pPr>
              <w:ind w:left="567"/>
              <w:jc w:val="both"/>
              <w:rPr>
                <w:sz w:val="22"/>
                <w:szCs w:val="24"/>
                <w:lang w:val="es-ES" w:eastAsia="en-US"/>
              </w:rPr>
            </w:pPr>
            <w:r w:rsidRPr="009F7577">
              <w:rPr>
                <w:sz w:val="22"/>
                <w:szCs w:val="24"/>
                <w:lang w:val="es-ES" w:eastAsia="en-US"/>
              </w:rPr>
              <w:t xml:space="preserve">US$ 750,000 </w:t>
            </w:r>
          </w:p>
        </w:tc>
      </w:tr>
    </w:tbl>
    <w:p w14:paraId="4B317545" w14:textId="77777777" w:rsidR="00267F06" w:rsidRPr="004F108B" w:rsidRDefault="00267F06" w:rsidP="009F7577">
      <w:pPr>
        <w:jc w:val="both"/>
        <w:rPr>
          <w:sz w:val="24"/>
          <w:szCs w:val="24"/>
          <w:lang w:val="es-ES" w:eastAsia="en-US"/>
        </w:rPr>
      </w:pPr>
    </w:p>
    <w:p w14:paraId="436CB521" w14:textId="77777777" w:rsidR="00267F06" w:rsidRPr="004F108B" w:rsidRDefault="009F19C1" w:rsidP="004F108B">
      <w:pPr>
        <w:pStyle w:val="Ttulo1"/>
        <w:widowControl/>
        <w:numPr>
          <w:ilvl w:val="2"/>
          <w:numId w:val="5"/>
        </w:numPr>
        <w:ind w:left="1276" w:right="49"/>
        <w:jc w:val="left"/>
        <w:rPr>
          <w:color w:val="1F3864" w:themeColor="accent1" w:themeShade="80"/>
          <w:sz w:val="24"/>
          <w:szCs w:val="24"/>
        </w:rPr>
      </w:pPr>
      <w:bookmarkStart w:id="90" w:name="_Toc83302197"/>
      <w:r>
        <w:rPr>
          <w:color w:val="1F3864" w:themeColor="accent1" w:themeShade="80"/>
          <w:sz w:val="24"/>
          <w:szCs w:val="24"/>
        </w:rPr>
        <w:t>Operación</w:t>
      </w:r>
      <w:r w:rsidR="00267F06" w:rsidRPr="004F108B">
        <w:rPr>
          <w:color w:val="1F3864" w:themeColor="accent1" w:themeShade="80"/>
          <w:sz w:val="24"/>
          <w:szCs w:val="24"/>
        </w:rPr>
        <w:t xml:space="preserve"> en gestión </w:t>
      </w:r>
      <w:r>
        <w:rPr>
          <w:color w:val="1F3864" w:themeColor="accent1" w:themeShade="80"/>
          <w:sz w:val="24"/>
          <w:szCs w:val="24"/>
        </w:rPr>
        <w:t>préstamo</w:t>
      </w:r>
      <w:r w:rsidR="00267F06" w:rsidRPr="004F108B">
        <w:rPr>
          <w:color w:val="1F3864" w:themeColor="accent1" w:themeShade="80"/>
          <w:sz w:val="24"/>
          <w:szCs w:val="24"/>
        </w:rPr>
        <w:t xml:space="preserve"> contingente</w:t>
      </w:r>
      <w:r>
        <w:rPr>
          <w:color w:val="1F3864" w:themeColor="accent1" w:themeShade="80"/>
          <w:sz w:val="24"/>
          <w:szCs w:val="24"/>
        </w:rPr>
        <w:t xml:space="preserve"> para Emergencias por Desastres Naturales y de Salud Pública</w:t>
      </w:r>
      <w:bookmarkEnd w:id="90"/>
      <w:r>
        <w:rPr>
          <w:color w:val="1F3864" w:themeColor="accent1" w:themeShade="80"/>
          <w:sz w:val="24"/>
          <w:szCs w:val="24"/>
        </w:rPr>
        <w:t xml:space="preserve"> </w:t>
      </w:r>
      <w:r w:rsidR="00267F06" w:rsidRPr="004F108B">
        <w:rPr>
          <w:color w:val="1F3864" w:themeColor="accent1" w:themeShade="80"/>
          <w:sz w:val="24"/>
          <w:szCs w:val="24"/>
        </w:rPr>
        <w:t xml:space="preserve"> </w:t>
      </w:r>
    </w:p>
    <w:p w14:paraId="3C6D7D65" w14:textId="77777777" w:rsidR="00267F06" w:rsidRPr="004F108B" w:rsidRDefault="00267F06" w:rsidP="004F108B">
      <w:pPr>
        <w:ind w:left="567"/>
        <w:jc w:val="both"/>
        <w:rPr>
          <w:sz w:val="24"/>
          <w:szCs w:val="24"/>
          <w:lang w:val="es-ES" w:eastAsia="en-US"/>
        </w:rPr>
      </w:pPr>
    </w:p>
    <w:p w14:paraId="4F704D54" w14:textId="77777777" w:rsidR="007B1299" w:rsidRDefault="007B1299" w:rsidP="007B1299">
      <w:pPr>
        <w:ind w:left="567"/>
        <w:jc w:val="both"/>
        <w:rPr>
          <w:sz w:val="24"/>
          <w:szCs w:val="24"/>
          <w:lang w:val="es-ES" w:eastAsia="en-US"/>
        </w:rPr>
      </w:pPr>
      <w:r w:rsidRPr="007B1299">
        <w:rPr>
          <w:sz w:val="24"/>
          <w:szCs w:val="24"/>
          <w:lang w:val="es-ES" w:eastAsia="en-US"/>
        </w:rPr>
        <w:t xml:space="preserve">Actualmente </w:t>
      </w:r>
      <w:r w:rsidR="009F19C1">
        <w:rPr>
          <w:sz w:val="24"/>
          <w:szCs w:val="24"/>
          <w:lang w:val="es-ES" w:eastAsia="en-US"/>
        </w:rPr>
        <w:t>el Ministerio de Finanzas Públicas</w:t>
      </w:r>
      <w:r w:rsidRPr="007B1299">
        <w:rPr>
          <w:sz w:val="24"/>
          <w:szCs w:val="24"/>
          <w:lang w:val="es-ES" w:eastAsia="en-US"/>
        </w:rPr>
        <w:t xml:space="preserve"> se encuentra realizando las gestiones correspondientes para acceder a una facilidad de Crédito Contingente para Emergencias por Desastres Naturales y de Salud Pública (CCF) con el Banco Interamericano de Desarrollo, el cual tiene como objetivo proporcionar recursos líquidos inmediatamente después de un desastre natural o evento de salud pública de magnitud severa o catastrófica para apoyar a desplegar asistencia humanitaria y restablecer servicios básicos. La CCF es un instrumento de financiamiento ex ante debido a que los préstamos contingentes deben ser preparados y aprobados por el BID previo de que ocurra un evento elegible.</w:t>
      </w:r>
    </w:p>
    <w:p w14:paraId="22536DDA" w14:textId="77777777" w:rsidR="007B1299" w:rsidRDefault="007B1299" w:rsidP="007B1299">
      <w:pPr>
        <w:ind w:left="567"/>
        <w:jc w:val="both"/>
        <w:rPr>
          <w:sz w:val="24"/>
          <w:szCs w:val="24"/>
          <w:lang w:val="es-ES" w:eastAsia="en-US"/>
        </w:rPr>
      </w:pPr>
    </w:p>
    <w:p w14:paraId="75AA11F8" w14:textId="77777777" w:rsidR="009F19C1" w:rsidRDefault="009F19C1" w:rsidP="007B1299">
      <w:pPr>
        <w:ind w:left="567"/>
        <w:jc w:val="both"/>
        <w:rPr>
          <w:sz w:val="24"/>
          <w:szCs w:val="24"/>
          <w:lang w:val="es-ES" w:eastAsia="en-US"/>
        </w:rPr>
      </w:pPr>
      <w:r w:rsidRPr="009F19C1">
        <w:rPr>
          <w:b/>
          <w:sz w:val="24"/>
          <w:szCs w:val="24"/>
          <w:lang w:val="es-ES" w:eastAsia="en-US"/>
        </w:rPr>
        <w:t xml:space="preserve">Modalidad: </w:t>
      </w:r>
      <w:r w:rsidRPr="009F19C1">
        <w:rPr>
          <w:sz w:val="24"/>
          <w:szCs w:val="24"/>
          <w:lang w:val="es-ES" w:eastAsia="en-US"/>
        </w:rPr>
        <w:t xml:space="preserve">La operación consistirá en un préstamo de inversión, bajo la Facilidad de Crédito Contingente para Emergencias por Desastres Naturales y de Salud Pública (CCF, por sus siglas </w:t>
      </w:r>
      <w:r w:rsidRPr="009F19C1">
        <w:rPr>
          <w:sz w:val="24"/>
          <w:szCs w:val="24"/>
          <w:lang w:val="es-ES" w:eastAsia="en-US"/>
        </w:rPr>
        <w:lastRenderedPageBreak/>
        <w:t>en inglés), hasta por US$400.0 millones, distribuido de la siguiente manera:</w:t>
      </w:r>
    </w:p>
    <w:p w14:paraId="188045C4" w14:textId="77777777" w:rsidR="009F19C1" w:rsidRDefault="009F19C1" w:rsidP="007B1299">
      <w:pPr>
        <w:ind w:left="567"/>
        <w:jc w:val="both"/>
        <w:rPr>
          <w:b/>
          <w:sz w:val="24"/>
          <w:szCs w:val="24"/>
          <w:lang w:val="es-ES" w:eastAsia="en-US"/>
        </w:rPr>
      </w:pPr>
    </w:p>
    <w:p w14:paraId="0C012E9F" w14:textId="77777777" w:rsidR="009F19C1" w:rsidRDefault="009F19C1" w:rsidP="00555124">
      <w:pPr>
        <w:pStyle w:val="Prrafodelista"/>
        <w:numPr>
          <w:ilvl w:val="0"/>
          <w:numId w:val="9"/>
        </w:numPr>
        <w:ind w:left="993" w:hanging="284"/>
        <w:jc w:val="both"/>
        <w:rPr>
          <w:sz w:val="24"/>
          <w:szCs w:val="24"/>
          <w:lang w:val="es-ES" w:eastAsia="en-US"/>
        </w:rPr>
      </w:pPr>
      <w:r w:rsidRPr="009F19C1">
        <w:rPr>
          <w:sz w:val="24"/>
          <w:szCs w:val="24"/>
          <w:lang w:val="es-ES" w:eastAsia="en-US"/>
        </w:rPr>
        <w:t>Modalidad I hasta por US$300.0 millones, que financiará cobertura en caso de amenazas naturales de evolución rápida y baja probabilidad, de impacto severo o catastrófico, a través de disparadores paramétricos predefinidos y m</w:t>
      </w:r>
      <w:r>
        <w:rPr>
          <w:sz w:val="24"/>
          <w:szCs w:val="24"/>
          <w:lang w:val="es-ES" w:eastAsia="en-US"/>
        </w:rPr>
        <w:t>edibles;</w:t>
      </w:r>
    </w:p>
    <w:p w14:paraId="24664901" w14:textId="77777777" w:rsidR="009F19C1" w:rsidRDefault="009F19C1" w:rsidP="000A3EEE">
      <w:pPr>
        <w:pStyle w:val="Prrafodelista"/>
        <w:ind w:left="993"/>
        <w:jc w:val="both"/>
        <w:rPr>
          <w:sz w:val="24"/>
          <w:szCs w:val="24"/>
          <w:lang w:val="es-ES" w:eastAsia="en-US"/>
        </w:rPr>
      </w:pPr>
    </w:p>
    <w:p w14:paraId="68029B9A" w14:textId="5EF66DBC" w:rsidR="009F19C1" w:rsidRDefault="009F19C1" w:rsidP="00555124">
      <w:pPr>
        <w:pStyle w:val="Prrafodelista"/>
        <w:numPr>
          <w:ilvl w:val="1"/>
          <w:numId w:val="9"/>
        </w:numPr>
        <w:jc w:val="both"/>
        <w:rPr>
          <w:sz w:val="24"/>
          <w:szCs w:val="24"/>
          <w:lang w:val="es-ES" w:eastAsia="en-US"/>
        </w:rPr>
      </w:pPr>
      <w:r w:rsidRPr="0052484A">
        <w:rPr>
          <w:sz w:val="24"/>
          <w:szCs w:val="24"/>
          <w:lang w:val="es-ES" w:eastAsia="en-US"/>
        </w:rPr>
        <w:t xml:space="preserve">Eventos elegibles bajo la Modalidad I (CCF-MI). Bajo esta modalidad, los eventos elegibles serán los terremotos, huracanes y exceso de lluvia asociado con sistemas ciclónicos, según los parámetros de intensidad y población afectada establecidos contractualmente entre el país y el Banco, y </w:t>
      </w:r>
      <w:r w:rsidR="005B34A4" w:rsidRPr="0052484A">
        <w:rPr>
          <w:sz w:val="24"/>
          <w:szCs w:val="24"/>
          <w:lang w:val="es-ES" w:eastAsia="en-US"/>
        </w:rPr>
        <w:t xml:space="preserve">los mismos se encuentran </w:t>
      </w:r>
      <w:r w:rsidRPr="0052484A">
        <w:rPr>
          <w:sz w:val="24"/>
          <w:szCs w:val="24"/>
          <w:lang w:val="es-ES" w:eastAsia="en-US"/>
        </w:rPr>
        <w:t xml:space="preserve">definidos en los Términos y Condiciones de la Cobertura. </w:t>
      </w:r>
    </w:p>
    <w:p w14:paraId="2EDCB4B7" w14:textId="77777777" w:rsidR="00951758" w:rsidRPr="0052484A" w:rsidRDefault="00951758" w:rsidP="00951758">
      <w:pPr>
        <w:pStyle w:val="Prrafodelista"/>
        <w:ind w:left="993"/>
        <w:jc w:val="both"/>
        <w:rPr>
          <w:sz w:val="24"/>
          <w:szCs w:val="24"/>
          <w:lang w:val="es-ES" w:eastAsia="en-US"/>
        </w:rPr>
      </w:pPr>
    </w:p>
    <w:p w14:paraId="471845A1" w14:textId="77777777" w:rsidR="009F19C1" w:rsidRDefault="009F19C1" w:rsidP="00555124">
      <w:pPr>
        <w:pStyle w:val="Prrafodelista"/>
        <w:numPr>
          <w:ilvl w:val="0"/>
          <w:numId w:val="9"/>
        </w:numPr>
        <w:ind w:left="993" w:hanging="284"/>
        <w:jc w:val="both"/>
        <w:rPr>
          <w:sz w:val="24"/>
          <w:szCs w:val="24"/>
          <w:lang w:val="es-ES" w:eastAsia="en-US"/>
        </w:rPr>
      </w:pPr>
      <w:r w:rsidRPr="009F19C1">
        <w:rPr>
          <w:sz w:val="24"/>
          <w:szCs w:val="24"/>
          <w:lang w:val="es-ES" w:eastAsia="en-US"/>
        </w:rPr>
        <w:t>Modalidad II hasta por US$100.0 millones, para financiar oportunamente gastos públicos extraordinarios que se estima podrían llegar a producirse durante emergencias de salud pública o por desastres naturales severos o catastróficos no parametrizables</w:t>
      </w:r>
    </w:p>
    <w:p w14:paraId="09340470" w14:textId="77777777" w:rsidR="009F19C1" w:rsidRDefault="009F19C1" w:rsidP="000A3EEE">
      <w:pPr>
        <w:pStyle w:val="Prrafodelista"/>
        <w:ind w:left="993"/>
        <w:jc w:val="both"/>
        <w:rPr>
          <w:sz w:val="24"/>
          <w:szCs w:val="24"/>
          <w:lang w:val="es-ES" w:eastAsia="en-US"/>
        </w:rPr>
      </w:pPr>
    </w:p>
    <w:p w14:paraId="43DA4196" w14:textId="52AC37D5" w:rsidR="009F19C1" w:rsidRDefault="009F19C1" w:rsidP="00555124">
      <w:pPr>
        <w:pStyle w:val="Prrafodelista"/>
        <w:numPr>
          <w:ilvl w:val="1"/>
          <w:numId w:val="9"/>
        </w:numPr>
        <w:jc w:val="both"/>
        <w:rPr>
          <w:sz w:val="24"/>
          <w:szCs w:val="24"/>
          <w:lang w:val="es-ES" w:eastAsia="en-US"/>
        </w:rPr>
      </w:pPr>
      <w:r w:rsidRPr="00827A7B">
        <w:rPr>
          <w:sz w:val="24"/>
          <w:szCs w:val="24"/>
          <w:lang w:val="es-ES" w:eastAsia="en-US"/>
        </w:rPr>
        <w:t xml:space="preserve">Eventos elegibles bajo la Modalidad II (CCF-MII). Bajo esta modalidad, los eventos elegibles serán: (i) erupciones volcánicas y sequías que resulten en una declaración de estado de calamidad pública nacional; y (ii) pandemias y epidemias (excluyendo el actual brote pandémico COVID-19) que impliquen una declaración de emergencia nacional de salud pública. </w:t>
      </w:r>
    </w:p>
    <w:p w14:paraId="0A5B8260" w14:textId="77777777" w:rsidR="00951758" w:rsidRPr="00951758" w:rsidRDefault="00951758" w:rsidP="00951758">
      <w:pPr>
        <w:pStyle w:val="Prrafodelista"/>
        <w:rPr>
          <w:sz w:val="24"/>
          <w:szCs w:val="24"/>
          <w:lang w:val="es-ES" w:eastAsia="en-US"/>
        </w:rPr>
      </w:pPr>
    </w:p>
    <w:p w14:paraId="2712F455" w14:textId="77777777" w:rsidR="00267F06" w:rsidRPr="004F108B" w:rsidRDefault="009F19C1" w:rsidP="004F108B">
      <w:pPr>
        <w:pStyle w:val="Ttulo1"/>
        <w:widowControl/>
        <w:numPr>
          <w:ilvl w:val="2"/>
          <w:numId w:val="5"/>
        </w:numPr>
        <w:ind w:left="1276" w:right="49"/>
        <w:jc w:val="left"/>
        <w:rPr>
          <w:color w:val="1F3864" w:themeColor="accent1" w:themeShade="80"/>
          <w:sz w:val="24"/>
          <w:szCs w:val="24"/>
        </w:rPr>
      </w:pPr>
      <w:bookmarkStart w:id="91" w:name="_Toc83302198"/>
      <w:r>
        <w:rPr>
          <w:color w:val="1F3864" w:themeColor="accent1" w:themeShade="80"/>
          <w:sz w:val="24"/>
          <w:szCs w:val="24"/>
        </w:rPr>
        <w:t>Programa de Reducción de Emisiones</w:t>
      </w:r>
      <w:r w:rsidR="00A12F7D">
        <w:rPr>
          <w:color w:val="1F3864" w:themeColor="accent1" w:themeShade="80"/>
          <w:sz w:val="24"/>
          <w:szCs w:val="24"/>
        </w:rPr>
        <w:t xml:space="preserve"> (Bonos de Carbono)</w:t>
      </w:r>
      <w:bookmarkEnd w:id="91"/>
    </w:p>
    <w:p w14:paraId="1D341661" w14:textId="77777777" w:rsidR="00267F06" w:rsidRDefault="00267F06" w:rsidP="004F108B">
      <w:pPr>
        <w:ind w:left="567"/>
        <w:jc w:val="both"/>
        <w:rPr>
          <w:sz w:val="24"/>
          <w:szCs w:val="24"/>
          <w:lang w:val="es-ES" w:eastAsia="en-US"/>
        </w:rPr>
      </w:pPr>
    </w:p>
    <w:p w14:paraId="4F11E25F" w14:textId="77777777" w:rsidR="00D72AB9" w:rsidRPr="009D60E9" w:rsidRDefault="00D72AB9" w:rsidP="000A3EEE">
      <w:pPr>
        <w:pStyle w:val="Prrafodelista"/>
        <w:ind w:left="567"/>
        <w:jc w:val="both"/>
        <w:rPr>
          <w:sz w:val="24"/>
          <w:szCs w:val="24"/>
          <w:lang w:val="es-ES" w:eastAsia="en-US"/>
        </w:rPr>
      </w:pPr>
      <w:r w:rsidRPr="009D60E9">
        <w:rPr>
          <w:sz w:val="24"/>
          <w:szCs w:val="24"/>
          <w:lang w:val="es-ES" w:eastAsia="en-US"/>
        </w:rPr>
        <w:t>Actualmente el Programa se encuentra en una etapa final de negociaciones, lo cual permitirá avanzar hacia firma de los contratos del Acuerdo de Pago por Reducción de Emisiones (ERPAs) entre el Gobierno de Guatemala y el BIRF en su calidad de fiduciario del FCPF. Es importante resaltar que en el proceso de diseño y preparación de la operación han participado las siguientes entidades, cada una en el ámbito de su competencia: i) Ministerio de Ambiente y Recursos Naturales (MARN); ii) Ministerio de Agricultura, Ganadería y Alimentación (MAGA); iii) Instituto Nacional de Bosques (INAB); iv) Consejo Nacional de Áreas Protegidas (CONAP); v) Ministerio de Finanzas Públicas (MINFIN); y, vi) el Grupo Interinstitucional de Monitoreo de Bosques y Uso de la Tierra (GIMBUT).  Además, se ha contado con el acompañamiento y apoyo del Banco Mundial y de los implementadores de proyectos REDD+ que participarán en el programa, quienes están representados por la Fundación CALMECAC, Defensores de la Naturaleza Lacandón: Bosques para la Vida; y, la Asociación de Comunidades Forestales de Petén (ACOFOP).</w:t>
      </w:r>
    </w:p>
    <w:p w14:paraId="7C262ED9" w14:textId="77777777" w:rsidR="00D72AB9" w:rsidRPr="009D60E9" w:rsidRDefault="00D72AB9" w:rsidP="00D72AB9">
      <w:pPr>
        <w:pStyle w:val="Prrafodelista"/>
        <w:jc w:val="both"/>
        <w:rPr>
          <w:sz w:val="24"/>
          <w:szCs w:val="24"/>
          <w:lang w:val="es-ES" w:eastAsia="en-US"/>
        </w:rPr>
      </w:pPr>
    </w:p>
    <w:p w14:paraId="5FE040F4" w14:textId="77777777" w:rsidR="00D72AB9" w:rsidRDefault="00D72AB9" w:rsidP="000A3EEE">
      <w:pPr>
        <w:pStyle w:val="Prrafodelista"/>
        <w:ind w:left="567"/>
        <w:jc w:val="both"/>
        <w:rPr>
          <w:sz w:val="24"/>
          <w:szCs w:val="24"/>
          <w:lang w:val="es-ES" w:eastAsia="en-US"/>
        </w:rPr>
      </w:pPr>
      <w:r w:rsidRPr="009D60E9">
        <w:rPr>
          <w:sz w:val="24"/>
          <w:szCs w:val="24"/>
          <w:lang w:val="es-ES" w:eastAsia="en-US"/>
        </w:rPr>
        <w:t xml:space="preserve">Dentro de los avances realizados dentro del </w:t>
      </w:r>
      <w:r w:rsidR="004F50E4" w:rsidRPr="009D60E9">
        <w:rPr>
          <w:sz w:val="24"/>
          <w:szCs w:val="24"/>
          <w:lang w:val="es-ES" w:eastAsia="en-US"/>
        </w:rPr>
        <w:t>Programa</w:t>
      </w:r>
      <w:r w:rsidRPr="009D60E9">
        <w:rPr>
          <w:sz w:val="24"/>
          <w:szCs w:val="24"/>
          <w:lang w:val="es-ES" w:eastAsia="en-US"/>
        </w:rPr>
        <w:t xml:space="preserve"> se puede mencionar:</w:t>
      </w:r>
      <w:r>
        <w:rPr>
          <w:sz w:val="24"/>
          <w:szCs w:val="24"/>
          <w:lang w:val="es-ES" w:eastAsia="en-US"/>
        </w:rPr>
        <w:t xml:space="preserve"> </w:t>
      </w:r>
    </w:p>
    <w:p w14:paraId="3928AFE0" w14:textId="77777777" w:rsidR="00D72AB9" w:rsidRPr="004F108B" w:rsidRDefault="00D72AB9" w:rsidP="004F108B">
      <w:pPr>
        <w:ind w:left="567"/>
        <w:jc w:val="both"/>
        <w:rPr>
          <w:sz w:val="24"/>
          <w:szCs w:val="24"/>
          <w:lang w:val="es-ES" w:eastAsia="en-US"/>
        </w:rPr>
      </w:pPr>
    </w:p>
    <w:p w14:paraId="68EFF90B" w14:textId="3A0B6607" w:rsidR="009F19C1" w:rsidRPr="009F19C1" w:rsidRDefault="009F19C1" w:rsidP="00555124">
      <w:pPr>
        <w:pStyle w:val="Prrafodelista"/>
        <w:numPr>
          <w:ilvl w:val="0"/>
          <w:numId w:val="10"/>
        </w:numPr>
        <w:ind w:left="993"/>
        <w:jc w:val="both"/>
        <w:rPr>
          <w:sz w:val="24"/>
          <w:szCs w:val="24"/>
          <w:lang w:val="es-ES" w:eastAsia="en-US"/>
        </w:rPr>
      </w:pPr>
      <w:r w:rsidRPr="009F19C1">
        <w:rPr>
          <w:sz w:val="24"/>
          <w:szCs w:val="24"/>
          <w:lang w:val="es-ES" w:eastAsia="en-US"/>
        </w:rPr>
        <w:t xml:space="preserve">El Fondo Cooperativo para el Carbono de los Bosques (por sus siglas en inglés FCPF),  por medio </w:t>
      </w:r>
      <w:r w:rsidRPr="00D72AB9">
        <w:rPr>
          <w:sz w:val="24"/>
          <w:szCs w:val="24"/>
          <w:lang w:val="es-ES" w:eastAsia="en-US"/>
        </w:rPr>
        <w:t xml:space="preserve">de Resolución CFM/11/2014/1, manifestó entre otros, lo siguiente: 1) Reconocer los amplios esfuerzos realizados por Guatemala y la alta calidad de la Nota de Idea del Programa de Reducción de Emisiones de Guatemala ER-PIN; 2) Decidir incluir el ER-PIN de Guatemala en la Cartera del Tramo A y del Tramo B del Fondo de Carbono; 3) Autorizar al Fideicomisario del Fondo de Carbono a negociar una Carta de Intención (LOI) con </w:t>
      </w:r>
      <w:r w:rsidRPr="00D72AB9">
        <w:rPr>
          <w:sz w:val="24"/>
          <w:szCs w:val="24"/>
          <w:lang w:val="es-ES" w:eastAsia="en-US"/>
        </w:rPr>
        <w:lastRenderedPageBreak/>
        <w:t>Guatemala basada en la Resolución CFM/6/2013/1, para un Volumen de Contrato Máximo de 21 millones de Reducciones de Emisiones (ER); 4)</w:t>
      </w:r>
      <w:r w:rsidRPr="009F19C1">
        <w:rPr>
          <w:sz w:val="24"/>
          <w:szCs w:val="24"/>
          <w:lang w:val="es-ES" w:eastAsia="en-US"/>
        </w:rPr>
        <w:t xml:space="preserve"> Asignar hasta US$650,000.00, suj</w:t>
      </w:r>
      <w:r w:rsidR="006A3A04">
        <w:rPr>
          <w:sz w:val="24"/>
          <w:szCs w:val="24"/>
          <w:lang w:val="es-ES" w:eastAsia="en-US"/>
        </w:rPr>
        <w:t>eto a la Carta de Intención</w:t>
      </w:r>
      <w:r w:rsidRPr="009F19C1">
        <w:rPr>
          <w:sz w:val="24"/>
          <w:szCs w:val="24"/>
          <w:lang w:val="es-ES" w:eastAsia="en-US"/>
        </w:rPr>
        <w:t xml:space="preserve">, para apoyar el desarrollo del ER-PIN de Guatemala en un Documento de Programa de ER (ER-PD) y los costos asociados con tal desarrollo. Dicha asignación es administrada por el Banco Mundial (BIRF), de conformidad con las Directrices de Proceso para el Fondo de Carbono del FCPF. </w:t>
      </w:r>
    </w:p>
    <w:p w14:paraId="5931FE93" w14:textId="77777777" w:rsidR="009F19C1" w:rsidRPr="009F19C1" w:rsidRDefault="009F19C1" w:rsidP="000A3EEE">
      <w:pPr>
        <w:jc w:val="both"/>
        <w:rPr>
          <w:sz w:val="24"/>
          <w:szCs w:val="24"/>
          <w:lang w:val="es-ES" w:eastAsia="en-US"/>
        </w:rPr>
      </w:pPr>
    </w:p>
    <w:p w14:paraId="1C90EE38" w14:textId="23DD1ED1" w:rsidR="009F19C1" w:rsidRPr="009F19C1" w:rsidRDefault="009F19C1" w:rsidP="00555124">
      <w:pPr>
        <w:pStyle w:val="Prrafodelista"/>
        <w:numPr>
          <w:ilvl w:val="0"/>
          <w:numId w:val="10"/>
        </w:numPr>
        <w:ind w:left="993"/>
        <w:jc w:val="both"/>
        <w:rPr>
          <w:sz w:val="24"/>
          <w:szCs w:val="24"/>
          <w:lang w:val="es-ES" w:eastAsia="en-US"/>
        </w:rPr>
      </w:pPr>
      <w:r w:rsidRPr="009F19C1">
        <w:rPr>
          <w:sz w:val="24"/>
          <w:szCs w:val="24"/>
          <w:lang w:val="es-ES" w:eastAsia="en-US"/>
        </w:rPr>
        <w:t>Producto de las gestiones realizadas por el MINFIN ante el BIRF, el 26 de agosto de 2016, se realizó la negociación del borrador de la Carta de Intención, entre el BIRF y el Gobierno de la República de Guatemala.</w:t>
      </w:r>
    </w:p>
    <w:p w14:paraId="7F0F893F" w14:textId="77777777" w:rsidR="009F19C1" w:rsidRPr="009F19C1" w:rsidRDefault="009F19C1" w:rsidP="000A3EEE">
      <w:pPr>
        <w:ind w:left="993"/>
        <w:jc w:val="both"/>
        <w:rPr>
          <w:sz w:val="24"/>
          <w:szCs w:val="24"/>
          <w:lang w:val="es-ES" w:eastAsia="en-US"/>
        </w:rPr>
      </w:pPr>
    </w:p>
    <w:p w14:paraId="12112ADA" w14:textId="2B2C06E1" w:rsidR="009F19C1" w:rsidRPr="009F19C1" w:rsidRDefault="009F19C1" w:rsidP="00555124">
      <w:pPr>
        <w:pStyle w:val="Prrafodelista"/>
        <w:numPr>
          <w:ilvl w:val="0"/>
          <w:numId w:val="10"/>
        </w:numPr>
        <w:ind w:left="993"/>
        <w:jc w:val="both"/>
        <w:rPr>
          <w:sz w:val="24"/>
          <w:szCs w:val="24"/>
          <w:lang w:val="es-ES" w:eastAsia="en-US"/>
        </w:rPr>
      </w:pPr>
      <w:r w:rsidRPr="009F19C1">
        <w:rPr>
          <w:sz w:val="24"/>
          <w:szCs w:val="24"/>
          <w:lang w:val="es-ES" w:eastAsia="en-US"/>
        </w:rPr>
        <w:t xml:space="preserve">Con base en lo establecido en el Artículo 74 del Decreto 50-2016, Ley del Presupuesto General de Ingresos y Egresos del Estado para el Ejercicio Fiscal 2017, se suscribió la Carta de Intención del “Programa Nacional de Reducción de Emisiones de Guatemala a través del Fortalecimiento de la Gobernanza Forestal en Comunidades Vulnerables”, que tiene por objeto explorar acceder a compensaciones económicas de hasta 10.5 millones de toneladas de CO2, que se logren generar mediante acciones REDD+. </w:t>
      </w:r>
    </w:p>
    <w:p w14:paraId="37A5B580" w14:textId="77777777" w:rsidR="009F19C1" w:rsidRPr="009F19C1" w:rsidRDefault="009F19C1" w:rsidP="000A3EEE">
      <w:pPr>
        <w:ind w:left="993"/>
        <w:jc w:val="both"/>
        <w:rPr>
          <w:sz w:val="24"/>
          <w:szCs w:val="24"/>
          <w:lang w:val="es-ES" w:eastAsia="en-US"/>
        </w:rPr>
      </w:pPr>
    </w:p>
    <w:p w14:paraId="6B30D434" w14:textId="5C32FC20" w:rsidR="009F19C1" w:rsidRPr="009F19C1" w:rsidRDefault="009F19C1" w:rsidP="00555124">
      <w:pPr>
        <w:pStyle w:val="Prrafodelista"/>
        <w:numPr>
          <w:ilvl w:val="0"/>
          <w:numId w:val="10"/>
        </w:numPr>
        <w:ind w:left="993"/>
        <w:jc w:val="both"/>
        <w:rPr>
          <w:sz w:val="24"/>
          <w:szCs w:val="24"/>
          <w:lang w:val="es-ES" w:eastAsia="en-US"/>
        </w:rPr>
      </w:pPr>
      <w:r w:rsidRPr="009F19C1">
        <w:rPr>
          <w:sz w:val="24"/>
          <w:szCs w:val="24"/>
          <w:lang w:val="es-ES" w:eastAsia="en-US"/>
        </w:rPr>
        <w:t xml:space="preserve">El Fondo Cooperativo para el Carbono de los </w:t>
      </w:r>
      <w:r w:rsidR="00216911" w:rsidRPr="009F19C1">
        <w:rPr>
          <w:sz w:val="24"/>
          <w:szCs w:val="24"/>
          <w:lang w:val="es-ES" w:eastAsia="en-US"/>
        </w:rPr>
        <w:t>Bosques, por</w:t>
      </w:r>
      <w:r w:rsidRPr="009F19C1">
        <w:rPr>
          <w:sz w:val="24"/>
          <w:szCs w:val="24"/>
          <w:lang w:val="es-ES" w:eastAsia="en-US"/>
        </w:rPr>
        <w:t xml:space="preserve"> medio de Resolución CFM/20/2019/1, manifestó entre otros, lo siguiente: “… 1. Reconocer los amplios esfuerzos realizados por Guatemala y la alta calidad del ER-PD…; 3. Autorizar provisionalmente al Banco Internacional de Reconstrucción y Fomento (Banco) como fideicomisario del Tramo A y el Tramo B del Fondo de Carbono (Fiduciario), para liderar las negociaciones del ERPA con Guatemala para el Programa de RE…”.</w:t>
      </w:r>
    </w:p>
    <w:p w14:paraId="4B49AD86" w14:textId="77777777" w:rsidR="009F19C1" w:rsidRPr="009F19C1" w:rsidRDefault="009F19C1" w:rsidP="000A3EEE">
      <w:pPr>
        <w:ind w:left="993"/>
        <w:jc w:val="both"/>
        <w:rPr>
          <w:sz w:val="24"/>
          <w:szCs w:val="24"/>
          <w:lang w:val="es-ES" w:eastAsia="en-US"/>
        </w:rPr>
      </w:pPr>
    </w:p>
    <w:p w14:paraId="6492D767" w14:textId="5AB54F10" w:rsidR="00267F06" w:rsidRDefault="009F19C1" w:rsidP="00555124">
      <w:pPr>
        <w:pStyle w:val="Prrafodelista"/>
        <w:numPr>
          <w:ilvl w:val="0"/>
          <w:numId w:val="10"/>
        </w:numPr>
        <w:ind w:left="993"/>
        <w:jc w:val="both"/>
        <w:rPr>
          <w:sz w:val="24"/>
          <w:szCs w:val="24"/>
          <w:lang w:val="es-ES" w:eastAsia="en-US"/>
        </w:rPr>
      </w:pPr>
      <w:r w:rsidRPr="009F19C1">
        <w:rPr>
          <w:sz w:val="24"/>
          <w:szCs w:val="24"/>
          <w:lang w:val="es-ES" w:eastAsia="en-US"/>
        </w:rPr>
        <w:t>A través del Artículo 5 del Decreto No. 20-2020 del Congreso de la República, publicado en el Diario de Centro América, se faculta al Organismo Ejecutivo para que por intermedio de este Ministerio autorice las negociaciones y suscriba los convenios o contratos para el “Programa de Reducción de Emisiones”, a través del Acuerdo de Pagos por Reducción de Emisiones (ERPA), a ser suscrito entre la República de Guatemala y el Banco Internacional de Reconstrucción y Fomento (BIRF), como Fiduciario del Fondo Cooperativo para el Carbono de los Bosques (FCPF). Asimismo, el MINFIN estaría actuando como Entidad del Programa para firmar el ERPA y el INAB como Entidad Ejecutora del citado instrumento.</w:t>
      </w:r>
    </w:p>
    <w:p w14:paraId="705E6F92" w14:textId="77777777" w:rsidR="00D72AB9" w:rsidRPr="00D72AB9" w:rsidRDefault="00D72AB9" w:rsidP="000A3EEE">
      <w:pPr>
        <w:pStyle w:val="Prrafodelista"/>
        <w:ind w:left="993"/>
        <w:rPr>
          <w:sz w:val="24"/>
          <w:szCs w:val="24"/>
          <w:lang w:val="es-ES" w:eastAsia="en-US"/>
        </w:rPr>
      </w:pPr>
    </w:p>
    <w:p w14:paraId="71EB161E" w14:textId="0D8442A2" w:rsidR="004F50E4" w:rsidRDefault="004F50E4" w:rsidP="000A3EEE">
      <w:pPr>
        <w:pStyle w:val="Prrafodelista"/>
        <w:ind w:left="567"/>
        <w:jc w:val="both"/>
        <w:rPr>
          <w:sz w:val="24"/>
          <w:szCs w:val="24"/>
          <w:lang w:val="es-ES" w:eastAsia="en-US"/>
        </w:rPr>
      </w:pPr>
      <w:r w:rsidRPr="009D60E9">
        <w:rPr>
          <w:sz w:val="24"/>
          <w:szCs w:val="24"/>
          <w:lang w:val="es-ES" w:eastAsia="en-US"/>
        </w:rPr>
        <w:t>Es importante mencionar la importancia de la conservación de los bosques por medio de este tipo de programas, ya que brinda una oportunidad para luchar contra los efectos del cambio climático por medio de la reducción de emisiones causadas por la deforestación (tienen la capacidad de reducir el efecto invernadero por m</w:t>
      </w:r>
      <w:r w:rsidR="006A3A04">
        <w:rPr>
          <w:sz w:val="24"/>
          <w:szCs w:val="24"/>
          <w:lang w:val="es-ES" w:eastAsia="en-US"/>
        </w:rPr>
        <w:t xml:space="preserve">edio de la absorción del CO2), </w:t>
      </w:r>
      <w:r w:rsidRPr="009D60E9">
        <w:rPr>
          <w:sz w:val="24"/>
          <w:szCs w:val="24"/>
          <w:lang w:val="es-ES" w:eastAsia="en-US"/>
        </w:rPr>
        <w:t>degradación de los suelos y además constituyen una barrera natural para reducir el impacto que tienen los cambios en las variables climáticas que pueden provocar algún tipo de fenómeno naturales que se convierta en</w:t>
      </w:r>
      <w:r w:rsidR="006A3A04">
        <w:rPr>
          <w:sz w:val="24"/>
          <w:szCs w:val="24"/>
          <w:lang w:val="es-ES" w:eastAsia="en-US"/>
        </w:rPr>
        <w:t xml:space="preserve"> un potencial</w:t>
      </w:r>
      <w:r w:rsidRPr="009D60E9">
        <w:rPr>
          <w:sz w:val="24"/>
          <w:szCs w:val="24"/>
          <w:lang w:val="es-ES" w:eastAsia="en-US"/>
        </w:rPr>
        <w:t xml:space="preserve"> desastre.</w:t>
      </w:r>
      <w:r>
        <w:rPr>
          <w:sz w:val="24"/>
          <w:szCs w:val="24"/>
          <w:lang w:val="es-ES" w:eastAsia="en-US"/>
        </w:rPr>
        <w:t xml:space="preserve"> </w:t>
      </w:r>
    </w:p>
    <w:p w14:paraId="431F6F13" w14:textId="0E7BBCF1" w:rsidR="004F50E4" w:rsidRPr="00924BA7" w:rsidRDefault="004F50E4" w:rsidP="00924BA7">
      <w:pPr>
        <w:jc w:val="both"/>
        <w:rPr>
          <w:sz w:val="24"/>
          <w:szCs w:val="24"/>
          <w:lang w:val="es-ES" w:eastAsia="en-US"/>
        </w:rPr>
      </w:pPr>
    </w:p>
    <w:p w14:paraId="27F4F196" w14:textId="77777777" w:rsidR="00D72AB9" w:rsidRPr="00D72AB9" w:rsidRDefault="00D72AB9" w:rsidP="004F50E4">
      <w:pPr>
        <w:pStyle w:val="Prrafodelista"/>
        <w:jc w:val="both"/>
        <w:rPr>
          <w:sz w:val="24"/>
          <w:szCs w:val="24"/>
          <w:lang w:val="es-ES" w:eastAsia="en-US"/>
        </w:rPr>
      </w:pPr>
    </w:p>
    <w:sectPr w:rsidR="00D72AB9" w:rsidRPr="00D72AB9" w:rsidSect="00EC0893">
      <w:headerReference w:type="even" r:id="rId96"/>
      <w:headerReference w:type="default" r:id="rId97"/>
      <w:footerReference w:type="even" r:id="rId98"/>
      <w:footerReference w:type="default" r:id="rId99"/>
      <w:pgSz w:w="12240" w:h="15840" w:code="1"/>
      <w:pgMar w:top="1531" w:right="1134" w:bottom="1418" w:left="1134" w:header="397" w:footer="59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8FA8B" w14:textId="77777777" w:rsidR="00034E64" w:rsidRDefault="00034E64">
      <w:r>
        <w:separator/>
      </w:r>
    </w:p>
  </w:endnote>
  <w:endnote w:type="continuationSeparator" w:id="0">
    <w:p w14:paraId="712F2DBA" w14:textId="77777777" w:rsidR="00034E64" w:rsidRDefault="0003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dada">
    <w:altName w:val="Cambria"/>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ptimaLTStd">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Berylium">
    <w:altName w:val="Calibri"/>
    <w:charset w:val="00"/>
    <w:family w:val="auto"/>
    <w:pitch w:val="variable"/>
    <w:sig w:usb0="A00000AF" w:usb1="0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764683"/>
      <w:docPartObj>
        <w:docPartGallery w:val="Page Numbers (Bottom of Page)"/>
        <w:docPartUnique/>
      </w:docPartObj>
    </w:sdtPr>
    <w:sdtEndPr>
      <w:rPr>
        <w:b/>
        <w:i/>
        <w:noProof/>
        <w:color w:val="003399"/>
        <w:sz w:val="18"/>
      </w:rPr>
    </w:sdtEndPr>
    <w:sdtContent>
      <w:p w14:paraId="461D49EB" w14:textId="77777777" w:rsidR="005C20BF" w:rsidRPr="00DE1D8D" w:rsidRDefault="005C20BF" w:rsidP="000E17C6">
        <w:pPr>
          <w:jc w:val="center"/>
          <w:rPr>
            <w:b/>
            <w:i/>
            <w:color w:val="003399"/>
            <w:sz w:val="18"/>
          </w:rPr>
        </w:pPr>
        <w:r w:rsidRPr="00DE1D8D">
          <w:rPr>
            <w:b/>
            <w:i/>
            <w:noProof/>
            <w:color w:val="003399"/>
            <w:sz w:val="18"/>
            <w:lang w:val="es-GT" w:eastAsia="es-GT"/>
          </w:rPr>
          <mc:AlternateContent>
            <mc:Choice Requires="wps">
              <w:drawing>
                <wp:anchor distT="0" distB="0" distL="114300" distR="114300" simplePos="0" relativeHeight="251700224" behindDoc="0" locked="0" layoutInCell="1" allowOverlap="1" wp14:anchorId="55502760" wp14:editId="7F0383CF">
                  <wp:simplePos x="0" y="0"/>
                  <wp:positionH relativeFrom="rightMargin">
                    <wp:posOffset>2005330</wp:posOffset>
                  </wp:positionH>
                  <wp:positionV relativeFrom="bottomMargin">
                    <wp:posOffset>-1848485</wp:posOffset>
                  </wp:positionV>
                  <wp:extent cx="396240" cy="370840"/>
                  <wp:effectExtent l="0" t="0" r="22860" b="10160"/>
                  <wp:wrapNone/>
                  <wp:docPr id="1415" name="Óva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96240" cy="370840"/>
                          </a:xfrm>
                          <a:prstGeom prst="ellipse">
                            <a:avLst/>
                          </a:prstGeom>
                          <a:noFill/>
                          <a:ln w="12700">
                            <a:solidFill>
                              <a:srgbClr val="003399"/>
                            </a:solidFill>
                            <a:round/>
                            <a:headEnd/>
                            <a:tailEnd/>
                          </a:ln>
                          <a:extLst>
                            <a:ext uri="{909E8E84-426E-40DD-AFC4-6F175D3DCCD1}">
                              <a14:hiddenFill xmlns:a14="http://schemas.microsoft.com/office/drawing/2010/main">
                                <a:solidFill>
                                  <a:srgbClr val="C0504D"/>
                                </a:solidFill>
                              </a14:hiddenFill>
                            </a:ext>
                          </a:extLst>
                        </wps:spPr>
                        <wps:txbx>
                          <w:txbxContent>
                            <w:p w14:paraId="7CFD1360" w14:textId="2060BD75" w:rsidR="005C20BF" w:rsidRPr="009A62D8" w:rsidRDefault="005C20BF" w:rsidP="00D568B2">
                              <w:pPr>
                                <w:pStyle w:val="Piedepgina"/>
                                <w:jc w:val="center"/>
                                <w:rPr>
                                  <w:b/>
                                  <w:color w:val="003399"/>
                                </w:rPr>
                              </w:pPr>
                              <w:r w:rsidRPr="009A62D8">
                                <w:rPr>
                                  <w:b/>
                                  <w:color w:val="003399"/>
                                </w:rPr>
                                <w:fldChar w:fldCharType="begin"/>
                              </w:r>
                              <w:r w:rsidRPr="009A62D8">
                                <w:rPr>
                                  <w:b/>
                                  <w:color w:val="003399"/>
                                </w:rPr>
                                <w:instrText>PAGE  \* MERGEFORMAT</w:instrText>
                              </w:r>
                              <w:r w:rsidRPr="009A62D8">
                                <w:rPr>
                                  <w:b/>
                                  <w:color w:val="003399"/>
                                </w:rPr>
                                <w:fldChar w:fldCharType="separate"/>
                              </w:r>
                              <w:r w:rsidR="00BB7831" w:rsidRPr="00BB7831">
                                <w:rPr>
                                  <w:b/>
                                  <w:noProof/>
                                  <w:color w:val="003399"/>
                                  <w:lang w:val="es-ES"/>
                                </w:rPr>
                                <w:t>76</w:t>
                              </w:r>
                              <w:r w:rsidRPr="009A62D8">
                                <w:rPr>
                                  <w:b/>
                                  <w:color w:val="003399"/>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Óvalo 6" o:spid="_x0000_s1032" style="position:absolute;left:0;text-align:left;margin-left:157.9pt;margin-top:-145.55pt;width:31.2pt;height:29.2pt;rotation:180;flip:x;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" filled="f" fillcolor="#c0504d" strokecolor="#039" strokeweight="1pt">
                  <v:textbox inset="0,0,0,0">
                    <w:txbxContent>
                      <w:p w14:paraId="7CFD1360" w14:textId="2060BD75" w:rsidR="005C20BF" w:rsidRPr="009A62D8" w:rsidRDefault="005C20BF" w:rsidP="00D568B2">
                        <w:pPr>
                          <w:pStyle w:val="Piedepgina"/>
                          <w:jc w:val="center"/>
                          <w:rPr>
                            <w:b/>
                            <w:color w:val="003399"/>
                          </w:rPr>
                        </w:pPr>
                        <w:r w:rsidRPr="009A62D8">
                          <w:rPr>
                            <w:b/>
                            <w:color w:val="003399"/>
                          </w:rPr>
                          <w:fldChar w:fldCharType="begin"/>
                        </w:r>
                        <w:r w:rsidRPr="009A62D8">
                          <w:rPr>
                            <w:b/>
                            <w:color w:val="003399"/>
                          </w:rPr>
                          <w:instrText>PAGE  \* MERGEFORMAT</w:instrText>
                        </w:r>
                        <w:r w:rsidRPr="009A62D8">
                          <w:rPr>
                            <w:b/>
                            <w:color w:val="003399"/>
                          </w:rPr>
                          <w:fldChar w:fldCharType="separate"/>
                        </w:r>
                        <w:r w:rsidR="00BB7831" w:rsidRPr="00BB7831">
                          <w:rPr>
                            <w:b/>
                            <w:noProof/>
                            <w:color w:val="003399"/>
                            <w:lang w:val="es-ES"/>
                          </w:rPr>
                          <w:t>76</w:t>
                        </w:r>
                        <w:r w:rsidRPr="009A62D8">
                          <w:rPr>
                            <w:b/>
                            <w:color w:val="003399"/>
                          </w:rPr>
                          <w:fldChar w:fldCharType="end"/>
                        </w:r>
                      </w:p>
                    </w:txbxContent>
                  </v:textbox>
                  <w10:wrap anchorx="margin" anchory="margin"/>
                </v:oval>
              </w:pict>
            </mc:Fallback>
          </mc:AlternateContent>
        </w:r>
        <w:r w:rsidRPr="00DE1D8D">
          <w:rPr>
            <w:b/>
            <w:i/>
            <w:noProof/>
            <w:color w:val="003399"/>
            <w:sz w:val="18"/>
            <w:lang w:val="es-GT" w:eastAsia="es-GT"/>
          </w:rPr>
          <mc:AlternateContent>
            <mc:Choice Requires="wps">
              <w:drawing>
                <wp:anchor distT="0" distB="0" distL="114300" distR="114300" simplePos="0" relativeHeight="251701248" behindDoc="0" locked="0" layoutInCell="1" allowOverlap="1" wp14:anchorId="44E498A8" wp14:editId="10C133A2">
                  <wp:simplePos x="0" y="0"/>
                  <wp:positionH relativeFrom="rightMargin">
                    <wp:posOffset>2005330</wp:posOffset>
                  </wp:positionH>
                  <wp:positionV relativeFrom="bottomMargin">
                    <wp:posOffset>-1848485</wp:posOffset>
                  </wp:positionV>
                  <wp:extent cx="396240" cy="370840"/>
                  <wp:effectExtent l="0" t="0" r="22860" b="10160"/>
                  <wp:wrapNone/>
                  <wp:docPr id="1416" name="Óva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96240" cy="370840"/>
                          </a:xfrm>
                          <a:prstGeom prst="ellipse">
                            <a:avLst/>
                          </a:prstGeom>
                          <a:noFill/>
                          <a:ln w="12700">
                            <a:solidFill>
                              <a:srgbClr val="003399"/>
                            </a:solidFill>
                            <a:round/>
                            <a:headEnd/>
                            <a:tailEnd/>
                          </a:ln>
                          <a:extLst>
                            <a:ext uri="{909E8E84-426E-40DD-AFC4-6F175D3DCCD1}">
                              <a14:hiddenFill xmlns:a14="http://schemas.microsoft.com/office/drawing/2010/main">
                                <a:solidFill>
                                  <a:srgbClr val="C0504D"/>
                                </a:solidFill>
                              </a14:hiddenFill>
                            </a:ext>
                          </a:extLst>
                        </wps:spPr>
                        <wps:txbx>
                          <w:txbxContent>
                            <w:p w14:paraId="2BA370B0" w14:textId="4C5C03A2" w:rsidR="005C20BF" w:rsidRPr="009A62D8" w:rsidRDefault="005C20BF" w:rsidP="00D568B2">
                              <w:pPr>
                                <w:pStyle w:val="Piedepgina"/>
                                <w:jc w:val="center"/>
                                <w:rPr>
                                  <w:b/>
                                  <w:color w:val="003399"/>
                                </w:rPr>
                              </w:pPr>
                              <w:r w:rsidRPr="009A62D8">
                                <w:rPr>
                                  <w:b/>
                                  <w:color w:val="003399"/>
                                </w:rPr>
                                <w:fldChar w:fldCharType="begin"/>
                              </w:r>
                              <w:r w:rsidRPr="009A62D8">
                                <w:rPr>
                                  <w:b/>
                                  <w:color w:val="003399"/>
                                </w:rPr>
                                <w:instrText>PAGE  \* MERGEFORMAT</w:instrText>
                              </w:r>
                              <w:r w:rsidRPr="009A62D8">
                                <w:rPr>
                                  <w:b/>
                                  <w:color w:val="003399"/>
                                </w:rPr>
                                <w:fldChar w:fldCharType="separate"/>
                              </w:r>
                              <w:r w:rsidR="00BB7831" w:rsidRPr="00BB7831">
                                <w:rPr>
                                  <w:b/>
                                  <w:noProof/>
                                  <w:color w:val="003399"/>
                                  <w:lang w:val="es-ES"/>
                                </w:rPr>
                                <w:t>76</w:t>
                              </w:r>
                              <w:r w:rsidRPr="009A62D8">
                                <w:rPr>
                                  <w:b/>
                                  <w:color w:val="003399"/>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_x0000_s1033" style="position:absolute;left:0;text-align:left;margin-left:157.9pt;margin-top:-145.55pt;width:31.2pt;height:29.2pt;rotation:180;flip:x;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" filled="f" fillcolor="#c0504d" strokecolor="#039" strokeweight="1pt">
                  <v:textbox inset="0,0,0,0">
                    <w:txbxContent>
                      <w:p w14:paraId="2BA370B0" w14:textId="4C5C03A2" w:rsidR="005C20BF" w:rsidRPr="009A62D8" w:rsidRDefault="005C20BF" w:rsidP="00D568B2">
                        <w:pPr>
                          <w:pStyle w:val="Piedepgina"/>
                          <w:jc w:val="center"/>
                          <w:rPr>
                            <w:b/>
                            <w:color w:val="003399"/>
                          </w:rPr>
                        </w:pPr>
                        <w:r w:rsidRPr="009A62D8">
                          <w:rPr>
                            <w:b/>
                            <w:color w:val="003399"/>
                          </w:rPr>
                          <w:fldChar w:fldCharType="begin"/>
                        </w:r>
                        <w:r w:rsidRPr="009A62D8">
                          <w:rPr>
                            <w:b/>
                            <w:color w:val="003399"/>
                          </w:rPr>
                          <w:instrText>PAGE  \* MERGEFORMAT</w:instrText>
                        </w:r>
                        <w:r w:rsidRPr="009A62D8">
                          <w:rPr>
                            <w:b/>
                            <w:color w:val="003399"/>
                          </w:rPr>
                          <w:fldChar w:fldCharType="separate"/>
                        </w:r>
                        <w:r w:rsidR="00BB7831" w:rsidRPr="00BB7831">
                          <w:rPr>
                            <w:b/>
                            <w:noProof/>
                            <w:color w:val="003399"/>
                            <w:lang w:val="es-ES"/>
                          </w:rPr>
                          <w:t>76</w:t>
                        </w:r>
                        <w:r w:rsidRPr="009A62D8">
                          <w:rPr>
                            <w:b/>
                            <w:color w:val="003399"/>
                          </w:rPr>
                          <w:fldChar w:fldCharType="end"/>
                        </w:r>
                      </w:p>
                    </w:txbxContent>
                  </v:textbox>
                  <w10:wrap anchorx="margin" anchory="margin"/>
                </v:oval>
              </w:pict>
            </mc:Fallback>
          </mc:AlternateContent>
        </w:r>
        <w:r w:rsidRPr="00DE1D8D">
          <w:rPr>
            <w:b/>
            <w:i/>
            <w:color w:val="003399"/>
            <w:sz w:val="18"/>
          </w:rPr>
          <w:t xml:space="preserve"> Proyecto de Presupuesto General de Ingresos y Egresos del Estado para el Ejercicio Fiscal 2022 y Multianual 2022-2026</w:t>
        </w:r>
      </w:p>
      <w:p w14:paraId="6CA99023" w14:textId="0DA12E50" w:rsidR="005C20BF" w:rsidRPr="00D568B2" w:rsidRDefault="005C20BF">
        <w:pPr>
          <w:pStyle w:val="Piedepgina"/>
          <w:jc w:val="center"/>
          <w:rPr>
            <w:b/>
            <w:i/>
            <w:noProof/>
            <w:color w:val="003399"/>
            <w:sz w:val="18"/>
          </w:rPr>
        </w:pPr>
        <w:r w:rsidRPr="00D568B2">
          <w:rPr>
            <w:b/>
            <w:i/>
            <w:noProof/>
            <w:color w:val="003399"/>
            <w:sz w:val="18"/>
          </w:rPr>
          <w:t xml:space="preserve">Página </w:t>
        </w:r>
        <w:r w:rsidRPr="00D568B2">
          <w:rPr>
            <w:b/>
            <w:i/>
            <w:noProof/>
            <w:color w:val="003399"/>
            <w:sz w:val="18"/>
          </w:rPr>
          <w:fldChar w:fldCharType="begin"/>
        </w:r>
        <w:r w:rsidRPr="00D568B2">
          <w:rPr>
            <w:b/>
            <w:i/>
            <w:noProof/>
            <w:color w:val="003399"/>
            <w:sz w:val="18"/>
          </w:rPr>
          <w:instrText>PAGE   \* MERGEFORMAT</w:instrText>
        </w:r>
        <w:r w:rsidRPr="00D568B2">
          <w:rPr>
            <w:b/>
            <w:i/>
            <w:noProof/>
            <w:color w:val="003399"/>
            <w:sz w:val="18"/>
          </w:rPr>
          <w:fldChar w:fldCharType="separate"/>
        </w:r>
        <w:r w:rsidR="00BB7831">
          <w:rPr>
            <w:b/>
            <w:i/>
            <w:noProof/>
            <w:color w:val="003399"/>
            <w:sz w:val="18"/>
          </w:rPr>
          <w:t>76</w:t>
        </w:r>
        <w:r w:rsidRPr="00D568B2">
          <w:rPr>
            <w:b/>
            <w:i/>
            <w:noProof/>
            <w:color w:val="003399"/>
            <w:sz w:val="18"/>
          </w:rPr>
          <w:fldChar w:fldCharType="end"/>
        </w:r>
      </w:p>
    </w:sdtContent>
  </w:sdt>
  <w:p w14:paraId="400B91C4" w14:textId="77777777" w:rsidR="005C20BF" w:rsidRPr="009147EA" w:rsidRDefault="005C20BF" w:rsidP="009147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
        <w:color w:val="003399"/>
        <w:sz w:val="18"/>
      </w:rPr>
      <w:id w:val="1083336129"/>
      <w:docPartObj>
        <w:docPartGallery w:val="Page Numbers (Bottom of Page)"/>
        <w:docPartUnique/>
      </w:docPartObj>
    </w:sdtPr>
    <w:sdtEndPr/>
    <w:sdtContent>
      <w:p w14:paraId="3E36DA1A" w14:textId="0EB50705" w:rsidR="005C20BF" w:rsidRPr="00DD2A5D" w:rsidRDefault="005C20BF" w:rsidP="00E27B05">
        <w:pPr>
          <w:jc w:val="center"/>
          <w:rPr>
            <w:b/>
            <w:i/>
            <w:color w:val="003399"/>
            <w:sz w:val="18"/>
          </w:rPr>
        </w:pPr>
        <w:r w:rsidRPr="00D568B2">
          <w:rPr>
            <w:b/>
            <w:i/>
            <w:noProof/>
            <w:color w:val="003399"/>
            <w:sz w:val="18"/>
            <w:lang w:val="es-GT" w:eastAsia="es-GT"/>
          </w:rPr>
          <mc:AlternateContent>
            <mc:Choice Requires="wps">
              <w:drawing>
                <wp:anchor distT="0" distB="0" distL="114300" distR="114300" simplePos="0" relativeHeight="251657728" behindDoc="0" locked="0" layoutInCell="1" allowOverlap="1" wp14:anchorId="5EE69615" wp14:editId="4F18815D">
                  <wp:simplePos x="0" y="0"/>
                  <wp:positionH relativeFrom="rightMargin">
                    <wp:posOffset>2005330</wp:posOffset>
                  </wp:positionH>
                  <wp:positionV relativeFrom="bottomMargin">
                    <wp:posOffset>-1848485</wp:posOffset>
                  </wp:positionV>
                  <wp:extent cx="396240" cy="370840"/>
                  <wp:effectExtent l="0" t="0" r="22860" b="10160"/>
                  <wp:wrapNone/>
                  <wp:docPr id="12" name="Óva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96240" cy="370840"/>
                          </a:xfrm>
                          <a:prstGeom prst="ellipse">
                            <a:avLst/>
                          </a:prstGeom>
                          <a:noFill/>
                          <a:ln w="12700">
                            <a:solidFill>
                              <a:srgbClr val="003399"/>
                            </a:solidFill>
                            <a:round/>
                            <a:headEnd/>
                            <a:tailEnd/>
                          </a:ln>
                          <a:extLst>
                            <a:ext uri="{909E8E84-426E-40DD-AFC4-6F175D3DCCD1}">
                              <a14:hiddenFill xmlns:a14="http://schemas.microsoft.com/office/drawing/2010/main">
                                <a:solidFill>
                                  <a:srgbClr val="C0504D"/>
                                </a:solidFill>
                              </a14:hiddenFill>
                            </a:ext>
                          </a:extLst>
                        </wps:spPr>
                        <wps:txbx>
                          <w:txbxContent>
                            <w:p w14:paraId="437F5B88" w14:textId="7641A212" w:rsidR="005C20BF" w:rsidRPr="009A62D8" w:rsidRDefault="005C20BF" w:rsidP="00D568B2">
                              <w:pPr>
                                <w:pStyle w:val="Piedepgina"/>
                                <w:jc w:val="center"/>
                                <w:rPr>
                                  <w:b/>
                                  <w:color w:val="003399"/>
                                </w:rPr>
                              </w:pPr>
                              <w:r w:rsidRPr="009A62D8">
                                <w:rPr>
                                  <w:b/>
                                  <w:color w:val="003399"/>
                                </w:rPr>
                                <w:fldChar w:fldCharType="begin"/>
                              </w:r>
                              <w:r w:rsidRPr="009A62D8">
                                <w:rPr>
                                  <w:b/>
                                  <w:color w:val="003399"/>
                                </w:rPr>
                                <w:instrText>PAGE  \* MERGEFORMAT</w:instrText>
                              </w:r>
                              <w:r w:rsidRPr="009A62D8">
                                <w:rPr>
                                  <w:b/>
                                  <w:color w:val="003399"/>
                                </w:rPr>
                                <w:fldChar w:fldCharType="separate"/>
                              </w:r>
                              <w:r w:rsidR="00BB7831" w:rsidRPr="00BB7831">
                                <w:rPr>
                                  <w:b/>
                                  <w:noProof/>
                                  <w:color w:val="003399"/>
                                  <w:lang w:val="es-ES"/>
                                </w:rPr>
                                <w:t>75</w:t>
                              </w:r>
                              <w:r w:rsidRPr="009A62D8">
                                <w:rPr>
                                  <w:b/>
                                  <w:color w:val="003399"/>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_x0000_s1034" style="position:absolute;left:0;text-align:left;margin-left:157.9pt;margin-top:-145.55pt;width:31.2pt;height:29.2pt;rotation:180;flip:x;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" filled="f" fillcolor="#c0504d" strokecolor="#039" strokeweight="1pt">
                  <v:textbox inset="0,0,0,0">
                    <w:txbxContent>
                      <w:p w14:paraId="437F5B88" w14:textId="7641A212" w:rsidR="005C20BF" w:rsidRPr="009A62D8" w:rsidRDefault="005C20BF" w:rsidP="00D568B2">
                        <w:pPr>
                          <w:pStyle w:val="Piedepgina"/>
                          <w:jc w:val="center"/>
                          <w:rPr>
                            <w:b/>
                            <w:color w:val="003399"/>
                          </w:rPr>
                        </w:pPr>
                        <w:r w:rsidRPr="009A62D8">
                          <w:rPr>
                            <w:b/>
                            <w:color w:val="003399"/>
                          </w:rPr>
                          <w:fldChar w:fldCharType="begin"/>
                        </w:r>
                        <w:r w:rsidRPr="009A62D8">
                          <w:rPr>
                            <w:b/>
                            <w:color w:val="003399"/>
                          </w:rPr>
                          <w:instrText>PAGE  \* MERGEFORMAT</w:instrText>
                        </w:r>
                        <w:r w:rsidRPr="009A62D8">
                          <w:rPr>
                            <w:b/>
                            <w:color w:val="003399"/>
                          </w:rPr>
                          <w:fldChar w:fldCharType="separate"/>
                        </w:r>
                        <w:r w:rsidR="00BB7831" w:rsidRPr="00BB7831">
                          <w:rPr>
                            <w:b/>
                            <w:noProof/>
                            <w:color w:val="003399"/>
                            <w:lang w:val="es-ES"/>
                          </w:rPr>
                          <w:t>75</w:t>
                        </w:r>
                        <w:r w:rsidRPr="009A62D8">
                          <w:rPr>
                            <w:b/>
                            <w:color w:val="003399"/>
                          </w:rPr>
                          <w:fldChar w:fldCharType="end"/>
                        </w:r>
                      </w:p>
                    </w:txbxContent>
                  </v:textbox>
                  <w10:wrap anchorx="margin" anchory="margin"/>
                </v:oval>
              </w:pict>
            </mc:Fallback>
          </mc:AlternateContent>
        </w:r>
        <w:r w:rsidRPr="00D568B2">
          <w:rPr>
            <w:b/>
            <w:i/>
            <w:noProof/>
            <w:color w:val="003399"/>
            <w:sz w:val="18"/>
            <w:lang w:val="es-GT" w:eastAsia="es-GT"/>
          </w:rPr>
          <mc:AlternateContent>
            <mc:Choice Requires="wps">
              <w:drawing>
                <wp:anchor distT="0" distB="0" distL="114300" distR="114300" simplePos="0" relativeHeight="251660800" behindDoc="0" locked="0" layoutInCell="1" allowOverlap="1" wp14:anchorId="7A27AF8A" wp14:editId="5F862A68">
                  <wp:simplePos x="0" y="0"/>
                  <wp:positionH relativeFrom="rightMargin">
                    <wp:posOffset>2005330</wp:posOffset>
                  </wp:positionH>
                  <wp:positionV relativeFrom="bottomMargin">
                    <wp:posOffset>-1848485</wp:posOffset>
                  </wp:positionV>
                  <wp:extent cx="396240" cy="370840"/>
                  <wp:effectExtent l="0" t="0" r="22860" b="10160"/>
                  <wp:wrapNone/>
                  <wp:docPr id="1408" name="Óva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96240" cy="370840"/>
                          </a:xfrm>
                          <a:prstGeom prst="ellipse">
                            <a:avLst/>
                          </a:prstGeom>
                          <a:noFill/>
                          <a:ln w="12700">
                            <a:solidFill>
                              <a:srgbClr val="003399"/>
                            </a:solidFill>
                            <a:round/>
                            <a:headEnd/>
                            <a:tailEnd/>
                          </a:ln>
                          <a:extLst>
                            <a:ext uri="{909E8E84-426E-40DD-AFC4-6F175D3DCCD1}">
                              <a14:hiddenFill xmlns:a14="http://schemas.microsoft.com/office/drawing/2010/main">
                                <a:solidFill>
                                  <a:srgbClr val="C0504D"/>
                                </a:solidFill>
                              </a14:hiddenFill>
                            </a:ext>
                          </a:extLst>
                        </wps:spPr>
                        <wps:txbx>
                          <w:txbxContent>
                            <w:p w14:paraId="4F09C534" w14:textId="70096B2A" w:rsidR="005C20BF" w:rsidRPr="009A62D8" w:rsidRDefault="005C20BF" w:rsidP="00D568B2">
                              <w:pPr>
                                <w:pStyle w:val="Piedepgina"/>
                                <w:jc w:val="center"/>
                                <w:rPr>
                                  <w:b/>
                                  <w:color w:val="003399"/>
                                </w:rPr>
                              </w:pPr>
                              <w:r w:rsidRPr="009A62D8">
                                <w:rPr>
                                  <w:b/>
                                  <w:color w:val="003399"/>
                                </w:rPr>
                                <w:fldChar w:fldCharType="begin"/>
                              </w:r>
                              <w:r w:rsidRPr="009A62D8">
                                <w:rPr>
                                  <w:b/>
                                  <w:color w:val="003399"/>
                                </w:rPr>
                                <w:instrText>PAGE  \* MERGEFORMAT</w:instrText>
                              </w:r>
                              <w:r w:rsidRPr="009A62D8">
                                <w:rPr>
                                  <w:b/>
                                  <w:color w:val="003399"/>
                                </w:rPr>
                                <w:fldChar w:fldCharType="separate"/>
                              </w:r>
                              <w:r w:rsidR="00BB7831" w:rsidRPr="00BB7831">
                                <w:rPr>
                                  <w:b/>
                                  <w:noProof/>
                                  <w:color w:val="003399"/>
                                  <w:lang w:val="es-ES"/>
                                </w:rPr>
                                <w:t>75</w:t>
                              </w:r>
                              <w:r w:rsidRPr="009A62D8">
                                <w:rPr>
                                  <w:b/>
                                  <w:color w:val="003399"/>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_x0000_s1035" style="position:absolute;left:0;text-align:left;margin-left:157.9pt;margin-top:-145.55pt;width:31.2pt;height:29.2pt;rotation:180;flip:x;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" filled="f" fillcolor="#c0504d" strokecolor="#039" strokeweight="1pt">
                  <v:textbox inset="0,0,0,0">
                    <w:txbxContent>
                      <w:p w14:paraId="4F09C534" w14:textId="70096B2A" w:rsidR="005C20BF" w:rsidRPr="009A62D8" w:rsidRDefault="005C20BF" w:rsidP="00D568B2">
                        <w:pPr>
                          <w:pStyle w:val="Piedepgina"/>
                          <w:jc w:val="center"/>
                          <w:rPr>
                            <w:b/>
                            <w:color w:val="003399"/>
                          </w:rPr>
                        </w:pPr>
                        <w:r w:rsidRPr="009A62D8">
                          <w:rPr>
                            <w:b/>
                            <w:color w:val="003399"/>
                          </w:rPr>
                          <w:fldChar w:fldCharType="begin"/>
                        </w:r>
                        <w:r w:rsidRPr="009A62D8">
                          <w:rPr>
                            <w:b/>
                            <w:color w:val="003399"/>
                          </w:rPr>
                          <w:instrText>PAGE  \* MERGEFORMAT</w:instrText>
                        </w:r>
                        <w:r w:rsidRPr="009A62D8">
                          <w:rPr>
                            <w:b/>
                            <w:color w:val="003399"/>
                          </w:rPr>
                          <w:fldChar w:fldCharType="separate"/>
                        </w:r>
                        <w:r w:rsidR="00BB7831" w:rsidRPr="00BB7831">
                          <w:rPr>
                            <w:b/>
                            <w:noProof/>
                            <w:color w:val="003399"/>
                            <w:lang w:val="es-ES"/>
                          </w:rPr>
                          <w:t>75</w:t>
                        </w:r>
                        <w:r w:rsidRPr="009A62D8">
                          <w:rPr>
                            <w:b/>
                            <w:color w:val="003399"/>
                          </w:rPr>
                          <w:fldChar w:fldCharType="end"/>
                        </w:r>
                      </w:p>
                    </w:txbxContent>
                  </v:textbox>
                  <w10:wrap anchorx="margin" anchory="margin"/>
                </v:oval>
              </w:pict>
            </mc:Fallback>
          </mc:AlternateContent>
        </w:r>
        <w:r w:rsidR="00641B5F" w:rsidRPr="00641B5F">
          <w:rPr>
            <w:b/>
            <w:i/>
            <w:color w:val="003399"/>
            <w:sz w:val="18"/>
          </w:rPr>
          <w:t xml:space="preserve"> </w:t>
        </w:r>
        <w:r w:rsidR="00641B5F" w:rsidRPr="00DE1D8D">
          <w:rPr>
            <w:b/>
            <w:i/>
            <w:color w:val="003399"/>
            <w:sz w:val="18"/>
          </w:rPr>
          <w:t>Proyecto de Presupuesto General de Ingresos y Egresos del Estado para el Ejercicio Fiscal 2022 y Multianual 2022-2026</w:t>
        </w:r>
      </w:p>
      <w:p w14:paraId="5959EFC9" w14:textId="3655E5FE" w:rsidR="005C20BF" w:rsidRPr="00D568B2" w:rsidRDefault="005C20BF">
        <w:pPr>
          <w:pStyle w:val="Piedepgina"/>
          <w:jc w:val="center"/>
          <w:rPr>
            <w:b/>
            <w:i/>
            <w:color w:val="003399"/>
            <w:sz w:val="18"/>
          </w:rPr>
        </w:pPr>
        <w:r w:rsidRPr="00D568B2">
          <w:rPr>
            <w:b/>
            <w:i/>
            <w:color w:val="003399"/>
            <w:sz w:val="18"/>
          </w:rPr>
          <w:t xml:space="preserve">Página </w:t>
        </w:r>
        <w:r w:rsidRPr="00D568B2">
          <w:rPr>
            <w:b/>
            <w:i/>
            <w:color w:val="003399"/>
            <w:sz w:val="18"/>
          </w:rPr>
          <w:fldChar w:fldCharType="begin"/>
        </w:r>
        <w:r w:rsidRPr="00D568B2">
          <w:rPr>
            <w:b/>
            <w:i/>
            <w:color w:val="003399"/>
            <w:sz w:val="18"/>
          </w:rPr>
          <w:instrText>PAGE   \* MERGEFORMAT</w:instrText>
        </w:r>
        <w:r w:rsidRPr="00D568B2">
          <w:rPr>
            <w:b/>
            <w:i/>
            <w:color w:val="003399"/>
            <w:sz w:val="18"/>
          </w:rPr>
          <w:fldChar w:fldCharType="separate"/>
        </w:r>
        <w:r w:rsidR="00BB7831">
          <w:rPr>
            <w:b/>
            <w:i/>
            <w:noProof/>
            <w:color w:val="003399"/>
            <w:sz w:val="18"/>
          </w:rPr>
          <w:t>75</w:t>
        </w:r>
        <w:r w:rsidRPr="00D568B2">
          <w:rPr>
            <w:b/>
            <w:i/>
            <w:color w:val="003399"/>
            <w:sz w:val="18"/>
          </w:rPr>
          <w:fldChar w:fldCharType="end"/>
        </w:r>
      </w:p>
    </w:sdtContent>
  </w:sdt>
  <w:p w14:paraId="6A50D1C7" w14:textId="77777777" w:rsidR="005C20BF" w:rsidRPr="007242E5" w:rsidRDefault="005C20BF" w:rsidP="00463517">
    <w:pPr>
      <w:ind w:left="476"/>
      <w:jc w:val="center"/>
      <w:rPr>
        <w:b/>
        <w:i/>
        <w:color w:val="003399"/>
        <w:sz w:val="18"/>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365BB" w14:textId="77777777" w:rsidR="00034E64" w:rsidRDefault="00034E64">
      <w:r>
        <w:separator/>
      </w:r>
    </w:p>
  </w:footnote>
  <w:footnote w:type="continuationSeparator" w:id="0">
    <w:p w14:paraId="245A8F5C" w14:textId="77777777" w:rsidR="00034E64" w:rsidRDefault="00034E64">
      <w:r>
        <w:continuationSeparator/>
      </w:r>
    </w:p>
  </w:footnote>
  <w:footnote w:id="1">
    <w:p w14:paraId="3915B990" w14:textId="77777777" w:rsidR="005C20BF" w:rsidRPr="001A19F0" w:rsidRDefault="005C20BF" w:rsidP="00F94BCC">
      <w:pPr>
        <w:pStyle w:val="Sinespaciado"/>
        <w:ind w:left="567" w:right="49"/>
        <w:jc w:val="both"/>
        <w:rPr>
          <w:lang w:val="es-GT"/>
        </w:rPr>
      </w:pPr>
      <w:r w:rsidRPr="00934738">
        <w:rPr>
          <w:rFonts w:ascii="Times New Roman" w:hAnsi="Times New Roman"/>
          <w:sz w:val="18"/>
          <w:szCs w:val="18"/>
          <w:lang w:val="es-MX"/>
        </w:rPr>
        <w:footnoteRef/>
      </w:r>
      <w:r w:rsidRPr="00934738">
        <w:rPr>
          <w:rFonts w:ascii="Times New Roman" w:hAnsi="Times New Roman"/>
          <w:sz w:val="18"/>
          <w:szCs w:val="18"/>
          <w:lang w:val="es-MX"/>
        </w:rPr>
        <w:t xml:space="preserve"> Las estimaciones fiscales de mediano plazo (2022-2026) se hicieron sobre la base de información que se tuvo hasta el 30 de abril de este año.  Sin embargo, esta estimación estará sujeta a cambios y las perspectivas oficiales estarán definidas en el Proyecto de Presupuesto General de Ingresos y Egresos del Estado para el Ejercicio Fiscal 2022</w:t>
      </w:r>
    </w:p>
  </w:footnote>
  <w:footnote w:id="2">
    <w:p w14:paraId="117CA4BA" w14:textId="77777777" w:rsidR="005C20BF" w:rsidRDefault="005C20BF" w:rsidP="00706DBC">
      <w:pPr>
        <w:pStyle w:val="Textonotapie"/>
      </w:pPr>
      <w:r>
        <w:rPr>
          <w:rStyle w:val="Refdenotaalpie"/>
        </w:rPr>
        <w:footnoteRef/>
      </w:r>
      <w:r>
        <w:t xml:space="preserve"> </w:t>
      </w:r>
      <w:r w:rsidRPr="00C44453">
        <w:rPr>
          <w:sz w:val="16"/>
          <w:szCs w:val="16"/>
        </w:rPr>
        <w:t>Fernando Grafe, febrero 2014, ¿Es efectiva la defensa jurídica del Estado? Perspectiva de la gestión de riesgo fiscal en América Latina, Banco Interamericano de Desarrollo</w:t>
      </w:r>
    </w:p>
  </w:footnote>
  <w:footnote w:id="3">
    <w:p w14:paraId="2002AD9E" w14:textId="77777777" w:rsidR="005C20BF" w:rsidRPr="00C044DE" w:rsidRDefault="005C20BF" w:rsidP="005254D1">
      <w:pPr>
        <w:pStyle w:val="Textonotapie"/>
        <w:rPr>
          <w:sz w:val="18"/>
          <w:szCs w:val="18"/>
          <w:lang w:val="es-MX"/>
        </w:rPr>
      </w:pPr>
      <w:r w:rsidRPr="00C044DE">
        <w:rPr>
          <w:rStyle w:val="Refdenotaalpie"/>
          <w:sz w:val="18"/>
          <w:szCs w:val="18"/>
        </w:rPr>
        <w:footnoteRef/>
      </w:r>
      <w:r w:rsidRPr="00C044DE">
        <w:rPr>
          <w:sz w:val="18"/>
          <w:szCs w:val="18"/>
        </w:rPr>
        <w:t xml:space="preserve"> https://www.international-arbitration-attorney.com/es/investment-arbitration/</w:t>
      </w:r>
    </w:p>
  </w:footnote>
  <w:footnote w:id="4">
    <w:p w14:paraId="1E042134" w14:textId="77777777" w:rsidR="005C20BF" w:rsidRPr="00C044DE" w:rsidRDefault="005C20BF" w:rsidP="009F1BCF">
      <w:pPr>
        <w:pStyle w:val="Textonotapie"/>
        <w:ind w:left="567"/>
        <w:rPr>
          <w:sz w:val="18"/>
          <w:szCs w:val="18"/>
          <w:lang w:val="es-MX"/>
        </w:rPr>
      </w:pPr>
      <w:r w:rsidRPr="00C044DE">
        <w:rPr>
          <w:rStyle w:val="Refdenotaalpie"/>
          <w:sz w:val="18"/>
          <w:szCs w:val="18"/>
        </w:rPr>
        <w:footnoteRef/>
      </w:r>
      <w:r w:rsidRPr="00C044DE">
        <w:rPr>
          <w:sz w:val="18"/>
          <w:szCs w:val="18"/>
        </w:rPr>
        <w:t xml:space="preserve"> </w:t>
      </w:r>
      <w:hyperlink r:id="rId1" w:history="1">
        <w:r w:rsidRPr="00C044DE">
          <w:rPr>
            <w:rStyle w:val="Hipervnculo"/>
            <w:sz w:val="18"/>
            <w:szCs w:val="18"/>
          </w:rPr>
          <w:t>https://icsid.worldbank.org/es/cases/search-cases</w:t>
        </w:r>
      </w:hyperlink>
    </w:p>
  </w:footnote>
  <w:footnote w:id="5">
    <w:p w14:paraId="1F7A77C6" w14:textId="77777777" w:rsidR="005C20BF" w:rsidRPr="00C044DE" w:rsidRDefault="005C20BF" w:rsidP="009F1BCF">
      <w:pPr>
        <w:pStyle w:val="Textonotapie"/>
        <w:ind w:left="567"/>
        <w:rPr>
          <w:sz w:val="18"/>
          <w:szCs w:val="18"/>
          <w:lang w:val="es-MX"/>
        </w:rPr>
      </w:pPr>
      <w:r w:rsidRPr="00C044DE">
        <w:rPr>
          <w:rStyle w:val="Refdenotaalpie"/>
          <w:sz w:val="18"/>
          <w:szCs w:val="18"/>
        </w:rPr>
        <w:footnoteRef/>
      </w:r>
      <w:hyperlink r:id="rId2" w:history="1">
        <w:r w:rsidRPr="00C044DE">
          <w:rPr>
            <w:rStyle w:val="Hipervnculo"/>
            <w:sz w:val="18"/>
            <w:szCs w:val="18"/>
            <w:lang w:val="es-MX"/>
          </w:rPr>
          <w:t>https://icsid.worldbank.org/sites/default/files/publications/annualreport/es/ICSID_AR20_Spanish_CRA_Web.pdf</w:t>
        </w:r>
      </w:hyperlink>
    </w:p>
  </w:footnote>
  <w:footnote w:id="6">
    <w:p w14:paraId="38519D07" w14:textId="77777777" w:rsidR="005C20BF" w:rsidRPr="00C044DE" w:rsidRDefault="005C20BF" w:rsidP="009F1BCF">
      <w:pPr>
        <w:pStyle w:val="Textonotapie"/>
        <w:ind w:left="708" w:firstLine="108"/>
        <w:jc w:val="both"/>
        <w:rPr>
          <w:sz w:val="18"/>
          <w:szCs w:val="18"/>
          <w:lang w:val="es-MX"/>
        </w:rPr>
      </w:pPr>
      <w:r w:rsidRPr="00C044DE">
        <w:rPr>
          <w:sz w:val="18"/>
          <w:szCs w:val="18"/>
        </w:rPr>
        <w:t>Convenio CIADI “Artículo 53 (1) El laudo será obligatorio para las partes y no podrá ser objeto de apelación ni de cualquier otro recurso, excepto en los casos previstos en este Convenio. Las partes lo acatarán y cumplirán en todos sus términos, salvo en la medida en que se suspenda su ejecución, de acuerdo con lo establecido en las correspondientes cláusulas de este Convenio”. (P.28).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17A37" w14:textId="77777777" w:rsidR="005C20BF" w:rsidRPr="00DE1D8D" w:rsidRDefault="005C20BF" w:rsidP="009A62D8">
    <w:pPr>
      <w:pStyle w:val="Encabezado"/>
      <w:rPr>
        <w:lang w:val="es-GT"/>
      </w:rPr>
    </w:pPr>
    <w:r>
      <w:rPr>
        <w:noProof/>
        <w:lang w:val="es-GT" w:eastAsia="es-GT"/>
      </w:rPr>
      <mc:AlternateContent>
        <mc:Choice Requires="wps">
          <w:drawing>
            <wp:anchor distT="0" distB="0" distL="114300" distR="114300" simplePos="0" relativeHeight="251683840" behindDoc="0" locked="0" layoutInCell="1" allowOverlap="1" wp14:anchorId="63E5D6EA" wp14:editId="0372B776">
              <wp:simplePos x="0" y="0"/>
              <wp:positionH relativeFrom="column">
                <wp:posOffset>-82137</wp:posOffset>
              </wp:positionH>
              <wp:positionV relativeFrom="paragraph">
                <wp:posOffset>98779</wp:posOffset>
              </wp:positionV>
              <wp:extent cx="6346800" cy="435935"/>
              <wp:effectExtent l="0" t="0" r="0" b="254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00" cy="43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093FF" w14:textId="77777777" w:rsidR="005C20BF" w:rsidRDefault="005C20BF" w:rsidP="009147EA">
                          <w:pPr>
                            <w:rPr>
                              <w:b/>
                              <w:i/>
                              <w:color w:val="003399"/>
                            </w:rPr>
                          </w:pPr>
                        </w:p>
                        <w:p w14:paraId="53FA5528" w14:textId="77777777" w:rsidR="005C20BF" w:rsidRPr="00DE1D8D" w:rsidRDefault="005C20BF" w:rsidP="00DE1D8D">
                          <w:pPr>
                            <w:jc w:val="right"/>
                            <w:rPr>
                              <w:b/>
                              <w:i/>
                              <w:color w:val="2F5496" w:themeColor="accent1" w:themeShade="BF"/>
                              <w:sz w:val="22"/>
                            </w:rPr>
                          </w:pPr>
                          <w:r w:rsidRPr="00DE1D8D">
                            <w:rPr>
                              <w:b/>
                              <w:i/>
                              <w:color w:val="2F5496" w:themeColor="accent1" w:themeShade="BF"/>
                              <w:sz w:val="22"/>
                            </w:rPr>
                            <w:t>Consideraciones acerca de los Riesgos Fiscales</w:t>
                          </w:r>
                        </w:p>
                        <w:p w14:paraId="45A1D03A" w14:textId="77777777" w:rsidR="005C20BF" w:rsidRDefault="005C20BF" w:rsidP="00201635">
                          <w:pPr>
                            <w:jc w:val="right"/>
                          </w:pPr>
                        </w:p>
                        <w:p w14:paraId="6BBE12BD" w14:textId="77777777" w:rsidR="005C20BF" w:rsidRPr="007242E5" w:rsidRDefault="005C20BF" w:rsidP="00201635">
                          <w:pPr>
                            <w:ind w:left="-70"/>
                            <w:rPr>
                              <w:rFonts w:ascii="Berylium" w:hAnsi="Berylium"/>
                              <w:b/>
                              <w:color w:val="0033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63E5D6EA" id="_x0000_t202" coordsize="21600,21600" o:spt="202" path="m,l,21600r21600,l21600,xe">
              <v:stroke joinstyle="miter"/>
              <v:path gradientshapeok="t" o:connecttype="rect"/>
            </v:shapetype>
            <v:shape id="Cuadro de texto 2" o:spid="_x0000_s1030" type="#_x0000_t202" style="position:absolute;margin-left:-6.45pt;margin-top:7.8pt;width:499.75pt;height:3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" filled="f" stroked="f">
              <v:textbox>
                <w:txbxContent>
                  <w:p w14:paraId="01C093FF" w14:textId="77777777" w:rsidR="005C20BF" w:rsidRDefault="005C20BF" w:rsidP="009147EA">
                    <w:pPr>
                      <w:rPr>
                        <w:b/>
                        <w:i/>
                        <w:color w:val="003399"/>
                      </w:rPr>
                    </w:pPr>
                  </w:p>
                  <w:p w14:paraId="53FA5528" w14:textId="77777777" w:rsidR="005C20BF" w:rsidRPr="00DE1D8D" w:rsidRDefault="005C20BF" w:rsidP="00DE1D8D">
                    <w:pPr>
                      <w:jc w:val="right"/>
                      <w:rPr>
                        <w:b/>
                        <w:i/>
                        <w:color w:val="2F5496" w:themeColor="accent1" w:themeShade="BF"/>
                        <w:sz w:val="22"/>
                      </w:rPr>
                    </w:pPr>
                    <w:r w:rsidRPr="00DE1D8D">
                      <w:rPr>
                        <w:b/>
                        <w:i/>
                        <w:color w:val="2F5496" w:themeColor="accent1" w:themeShade="BF"/>
                        <w:sz w:val="22"/>
                      </w:rPr>
                      <w:t>Consideraciones acerca de los Riesgos Fiscales</w:t>
                    </w:r>
                  </w:p>
                  <w:p w14:paraId="45A1D03A" w14:textId="77777777" w:rsidR="005C20BF" w:rsidRDefault="005C20BF" w:rsidP="00201635">
                    <w:pPr>
                      <w:jc w:val="right"/>
                    </w:pPr>
                  </w:p>
                  <w:p w14:paraId="6BBE12BD" w14:textId="77777777" w:rsidR="005C20BF" w:rsidRPr="007242E5" w:rsidRDefault="005C20BF" w:rsidP="00201635">
                    <w:pPr>
                      <w:ind w:left="-70"/>
                      <w:rPr>
                        <w:rFonts w:ascii="Berylium" w:hAnsi="Berylium"/>
                        <w:b/>
                        <w:color w:val="003399"/>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6260" w14:textId="77777777" w:rsidR="005C20BF" w:rsidRDefault="005C20BF" w:rsidP="00DA23ED">
    <w:pPr>
      <w:rPr>
        <w:rFonts w:ascii="Berylium" w:hAnsi="Berylium"/>
        <w:b/>
        <w:color w:val="003399"/>
      </w:rPr>
    </w:pPr>
    <w:r>
      <w:rPr>
        <w:noProof/>
        <w:lang w:val="es-GT" w:eastAsia="es-GT"/>
      </w:rPr>
      <mc:AlternateContent>
        <mc:Choice Requires="wps">
          <w:drawing>
            <wp:anchor distT="0" distB="0" distL="114300" distR="114300" simplePos="0" relativeHeight="251695104" behindDoc="0" locked="0" layoutInCell="1" allowOverlap="1" wp14:anchorId="62F4E549" wp14:editId="680CFCEE">
              <wp:simplePos x="0" y="0"/>
              <wp:positionH relativeFrom="column">
                <wp:posOffset>108395</wp:posOffset>
              </wp:positionH>
              <wp:positionV relativeFrom="paragraph">
                <wp:posOffset>142240</wp:posOffset>
              </wp:positionV>
              <wp:extent cx="6346279" cy="552659"/>
              <wp:effectExtent l="0" t="0" r="0" b="0"/>
              <wp:wrapNone/>
              <wp:docPr id="14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279" cy="552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9CCE" w14:textId="77777777" w:rsidR="005C20BF" w:rsidRDefault="005C20BF" w:rsidP="009147EA">
                          <w:pPr>
                            <w:ind w:left="142"/>
                            <w:jc w:val="right"/>
                            <w:rPr>
                              <w:b/>
                              <w:i/>
                              <w:color w:val="003399"/>
                            </w:rPr>
                          </w:pPr>
                        </w:p>
                        <w:p w14:paraId="287983FF" w14:textId="77777777" w:rsidR="005C20BF" w:rsidRDefault="005C20BF" w:rsidP="009147EA">
                          <w:pPr>
                            <w:ind w:left="142"/>
                            <w:jc w:val="right"/>
                            <w:rPr>
                              <w:b/>
                              <w:i/>
                              <w:color w:val="003399"/>
                            </w:rPr>
                          </w:pPr>
                        </w:p>
                        <w:p w14:paraId="58C99C89" w14:textId="77777777" w:rsidR="005C20BF" w:rsidRPr="007242E5" w:rsidRDefault="005C20BF" w:rsidP="00AC5060">
                          <w:pPr>
                            <w:jc w:val="right"/>
                            <w:rPr>
                              <w:b/>
                              <w:i/>
                              <w:color w:val="003399"/>
                            </w:rPr>
                          </w:pPr>
                          <w:r>
                            <w:rPr>
                              <w:b/>
                              <w:i/>
                              <w:color w:val="003399"/>
                            </w:rPr>
                            <w:t xml:space="preserve">   Consideraciones acerca de los Riesgos Fiscales</w:t>
                          </w:r>
                        </w:p>
                        <w:p w14:paraId="498717E0" w14:textId="77777777" w:rsidR="005C20BF" w:rsidRPr="00300A1A" w:rsidRDefault="005C20BF" w:rsidP="00AC5060">
                          <w:pPr>
                            <w:rPr>
                              <w:rFonts w:ascii="Berylium" w:hAnsi="Berylium"/>
                              <w:b/>
                              <w:color w:val="0033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62F4E549" id="_x0000_t202" coordsize="21600,21600" o:spt="202" path="m,l,21600r21600,l21600,xe">
              <v:stroke joinstyle="miter"/>
              <v:path gradientshapeok="t" o:connecttype="rect"/>
            </v:shapetype>
            <v:shape id="_x0000_s1031" type="#_x0000_t202" style="position:absolute;margin-left:8.55pt;margin-top:11.2pt;width:499.7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" filled="f" stroked="f">
              <v:textbox>
                <w:txbxContent>
                  <w:p w14:paraId="74D19CCE" w14:textId="77777777" w:rsidR="005C20BF" w:rsidRDefault="005C20BF" w:rsidP="009147EA">
                    <w:pPr>
                      <w:ind w:left="142"/>
                      <w:jc w:val="right"/>
                      <w:rPr>
                        <w:b/>
                        <w:i/>
                        <w:color w:val="003399"/>
                      </w:rPr>
                    </w:pPr>
                  </w:p>
                  <w:p w14:paraId="287983FF" w14:textId="77777777" w:rsidR="005C20BF" w:rsidRDefault="005C20BF" w:rsidP="009147EA">
                    <w:pPr>
                      <w:ind w:left="142"/>
                      <w:jc w:val="right"/>
                      <w:rPr>
                        <w:b/>
                        <w:i/>
                        <w:color w:val="003399"/>
                      </w:rPr>
                    </w:pPr>
                  </w:p>
                  <w:p w14:paraId="58C99C89" w14:textId="77777777" w:rsidR="005C20BF" w:rsidRPr="007242E5" w:rsidRDefault="005C20BF" w:rsidP="00AC5060">
                    <w:pPr>
                      <w:jc w:val="right"/>
                      <w:rPr>
                        <w:b/>
                        <w:i/>
                        <w:color w:val="003399"/>
                      </w:rPr>
                    </w:pPr>
                    <w:r>
                      <w:rPr>
                        <w:b/>
                        <w:i/>
                        <w:color w:val="003399"/>
                      </w:rPr>
                      <w:t xml:space="preserve">   Consideraciones acerca de los Riesgos Fiscales</w:t>
                    </w:r>
                  </w:p>
                  <w:p w14:paraId="498717E0" w14:textId="77777777" w:rsidR="005C20BF" w:rsidRPr="00300A1A" w:rsidRDefault="005C20BF" w:rsidP="00AC5060">
                    <w:pPr>
                      <w:rPr>
                        <w:rFonts w:ascii="Berylium" w:hAnsi="Berylium"/>
                        <w:b/>
                        <w:color w:val="003399"/>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709A6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976285B"/>
    <w:multiLevelType w:val="hybridMultilevel"/>
    <w:tmpl w:val="BF3049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C3E67EA"/>
    <w:multiLevelType w:val="multilevel"/>
    <w:tmpl w:val="100A001F"/>
    <w:styleLink w:val="Estilo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FF30EA"/>
    <w:multiLevelType w:val="hybridMultilevel"/>
    <w:tmpl w:val="4FF02E52"/>
    <w:lvl w:ilvl="0" w:tplc="88E4FDB2">
      <w:start w:val="1"/>
      <w:numFmt w:val="lowerLetter"/>
      <w:lvlText w:val="%1."/>
      <w:lvlJc w:val="left"/>
      <w:pPr>
        <w:ind w:left="720" w:hanging="360"/>
      </w:pPr>
      <w:rPr>
        <w:rFonts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298A454B"/>
    <w:multiLevelType w:val="hybridMultilevel"/>
    <w:tmpl w:val="530C6A6C"/>
    <w:lvl w:ilvl="0" w:tplc="100A0019">
      <w:start w:val="1"/>
      <w:numFmt w:val="lowerLetter"/>
      <w:lvlText w:val="%1."/>
      <w:lvlJc w:val="left"/>
      <w:pPr>
        <w:ind w:left="1287" w:hanging="360"/>
      </w:pPr>
    </w:lvl>
    <w:lvl w:ilvl="1" w:tplc="100A001B">
      <w:start w:val="1"/>
      <w:numFmt w:val="lowerRoman"/>
      <w:lvlText w:val="%2."/>
      <w:lvlJc w:val="right"/>
      <w:pPr>
        <w:ind w:left="2007" w:hanging="360"/>
      </w:pPr>
    </w:lvl>
    <w:lvl w:ilvl="2" w:tplc="100A001B">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5">
    <w:nsid w:val="2AB93945"/>
    <w:multiLevelType w:val="multilevel"/>
    <w:tmpl w:val="35F0A56A"/>
    <w:lvl w:ilvl="0">
      <w:start w:val="1"/>
      <w:numFmt w:val="decimal"/>
      <w:lvlText w:val="%1."/>
      <w:lvlJc w:val="left"/>
      <w:pPr>
        <w:ind w:left="785" w:hanging="360"/>
      </w:pPr>
      <w:rPr>
        <w:b/>
        <w:bCs/>
        <w:color w:val="1F3864" w:themeColor="accent1" w:themeShade="80"/>
      </w:rPr>
    </w:lvl>
    <w:lvl w:ilvl="1">
      <w:start w:val="1"/>
      <w:numFmt w:val="decimal"/>
      <w:lvlText w:val="%1.%2."/>
      <w:lvlJc w:val="left"/>
      <w:pPr>
        <w:ind w:left="1140" w:hanging="432"/>
      </w:pPr>
      <w:rPr>
        <w:b/>
        <w:bCs/>
        <w:color w:val="1F3864" w:themeColor="accent1" w:themeShade="80"/>
      </w:rPr>
    </w:lvl>
    <w:lvl w:ilvl="2">
      <w:start w:val="1"/>
      <w:numFmt w:val="decimal"/>
      <w:lvlText w:val="%1.%2.%3."/>
      <w:lvlJc w:val="left"/>
      <w:pPr>
        <w:ind w:left="1071" w:hanging="504"/>
      </w:pPr>
      <w:rPr>
        <w:color w:val="1F3864" w:themeColor="accent1" w:themeShade="80"/>
        <w:sz w:val="24"/>
        <w:szCs w:val="24"/>
      </w:rPr>
    </w:lvl>
    <w:lvl w:ilvl="3">
      <w:start w:val="1"/>
      <w:numFmt w:val="decimal"/>
      <w:lvlText w:val="%1.%2.%3.%4."/>
      <w:lvlJc w:val="left"/>
      <w:pPr>
        <w:ind w:left="135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E44211A"/>
    <w:multiLevelType w:val="hybridMultilevel"/>
    <w:tmpl w:val="4A52BF2A"/>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348356A7"/>
    <w:multiLevelType w:val="hybridMultilevel"/>
    <w:tmpl w:val="26B43C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58BC7BC0"/>
    <w:multiLevelType w:val="hybridMultilevel"/>
    <w:tmpl w:val="CC5C7D76"/>
    <w:lvl w:ilvl="0" w:tplc="97F4D164">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60183E67"/>
    <w:multiLevelType w:val="multilevel"/>
    <w:tmpl w:val="100A0025"/>
    <w:styleLink w:val="Estilo1"/>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604503B5"/>
    <w:multiLevelType w:val="multilevel"/>
    <w:tmpl w:val="AC0E14CA"/>
    <w:lvl w:ilvl="0">
      <w:start w:val="1"/>
      <w:numFmt w:val="decimal"/>
      <w:pStyle w:val="Ttulo11"/>
      <w:lvlText w:val="%1"/>
      <w:lvlJc w:val="left"/>
      <w:pPr>
        <w:ind w:left="432" w:hanging="432"/>
      </w:pPr>
    </w:lvl>
    <w:lvl w:ilvl="1">
      <w:start w:val="1"/>
      <w:numFmt w:val="decimal"/>
      <w:pStyle w:val="Ttulo21"/>
      <w:lvlText w:val="%1.%2"/>
      <w:lvlJc w:val="left"/>
      <w:pPr>
        <w:ind w:left="4262" w:hanging="576"/>
      </w:pPr>
      <w:rPr>
        <w:rFonts w:ascii="Times New Roman" w:hAnsi="Times New Roman" w:cs="Times New Roman" w:hint="default"/>
        <w:b/>
        <w:sz w:val="24"/>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1">
    <w:nsid w:val="62702BF2"/>
    <w:multiLevelType w:val="hybridMultilevel"/>
    <w:tmpl w:val="2B00EC86"/>
    <w:lvl w:ilvl="0" w:tplc="100A0001">
      <w:start w:val="1"/>
      <w:numFmt w:val="bullet"/>
      <w:lvlText w:val=""/>
      <w:lvlJc w:val="left"/>
      <w:pPr>
        <w:ind w:left="720" w:hanging="360"/>
      </w:pPr>
      <w:rPr>
        <w:rFonts w:ascii="Symbol" w:hAnsi="Symbol" w:hint="default"/>
      </w:rPr>
    </w:lvl>
    <w:lvl w:ilvl="1" w:tplc="971A3666">
      <w:numFmt w:val="bullet"/>
      <w:lvlText w:val="•"/>
      <w:lvlJc w:val="left"/>
      <w:pPr>
        <w:ind w:left="1440" w:hanging="360"/>
      </w:pPr>
      <w:rPr>
        <w:rFonts w:ascii="Times New Roman" w:eastAsia="Times New Roman" w:hAnsi="Times New Roman" w:cs="Times New Roman"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6D424B82"/>
    <w:multiLevelType w:val="hybridMultilevel"/>
    <w:tmpl w:val="030661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6F2F32C7"/>
    <w:multiLevelType w:val="hybridMultilevel"/>
    <w:tmpl w:val="4FF02E52"/>
    <w:lvl w:ilvl="0" w:tplc="88E4FDB2">
      <w:start w:val="1"/>
      <w:numFmt w:val="lowerLetter"/>
      <w:lvlText w:val="%1."/>
      <w:lvlJc w:val="left"/>
      <w:pPr>
        <w:ind w:left="720" w:hanging="360"/>
      </w:pPr>
      <w:rPr>
        <w:rFonts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6FBA76CE"/>
    <w:multiLevelType w:val="hybridMultilevel"/>
    <w:tmpl w:val="3634F778"/>
    <w:lvl w:ilvl="0" w:tplc="47D072F2">
      <w:start w:val="1"/>
      <w:numFmt w:val="bullet"/>
      <w:lvlText w:val=""/>
      <w:lvlJc w:val="left"/>
      <w:pPr>
        <w:ind w:left="720" w:hanging="360"/>
      </w:pPr>
      <w:rPr>
        <w:rFonts w:ascii="Symbol" w:hAnsi="Symbol" w:hint="default"/>
        <w:sz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773458F9"/>
    <w:multiLevelType w:val="hybridMultilevel"/>
    <w:tmpl w:val="26643D18"/>
    <w:lvl w:ilvl="0" w:tplc="100A0001">
      <w:start w:val="1"/>
      <w:numFmt w:val="bullet"/>
      <w:lvlText w:val=""/>
      <w:lvlJc w:val="left"/>
      <w:pPr>
        <w:ind w:left="1281" w:hanging="360"/>
      </w:pPr>
      <w:rPr>
        <w:rFonts w:ascii="Symbol" w:hAnsi="Symbol" w:hint="default"/>
      </w:rPr>
    </w:lvl>
    <w:lvl w:ilvl="1" w:tplc="100A0003" w:tentative="1">
      <w:start w:val="1"/>
      <w:numFmt w:val="bullet"/>
      <w:lvlText w:val="o"/>
      <w:lvlJc w:val="left"/>
      <w:pPr>
        <w:ind w:left="2001" w:hanging="360"/>
      </w:pPr>
      <w:rPr>
        <w:rFonts w:ascii="Courier New" w:hAnsi="Courier New" w:cs="Courier New" w:hint="default"/>
      </w:rPr>
    </w:lvl>
    <w:lvl w:ilvl="2" w:tplc="100A0005" w:tentative="1">
      <w:start w:val="1"/>
      <w:numFmt w:val="bullet"/>
      <w:lvlText w:val=""/>
      <w:lvlJc w:val="left"/>
      <w:pPr>
        <w:ind w:left="2721" w:hanging="360"/>
      </w:pPr>
      <w:rPr>
        <w:rFonts w:ascii="Wingdings" w:hAnsi="Wingdings" w:hint="default"/>
      </w:rPr>
    </w:lvl>
    <w:lvl w:ilvl="3" w:tplc="100A0001" w:tentative="1">
      <w:start w:val="1"/>
      <w:numFmt w:val="bullet"/>
      <w:lvlText w:val=""/>
      <w:lvlJc w:val="left"/>
      <w:pPr>
        <w:ind w:left="3441" w:hanging="360"/>
      </w:pPr>
      <w:rPr>
        <w:rFonts w:ascii="Symbol" w:hAnsi="Symbol" w:hint="default"/>
      </w:rPr>
    </w:lvl>
    <w:lvl w:ilvl="4" w:tplc="100A0003" w:tentative="1">
      <w:start w:val="1"/>
      <w:numFmt w:val="bullet"/>
      <w:lvlText w:val="o"/>
      <w:lvlJc w:val="left"/>
      <w:pPr>
        <w:ind w:left="4161" w:hanging="360"/>
      </w:pPr>
      <w:rPr>
        <w:rFonts w:ascii="Courier New" w:hAnsi="Courier New" w:cs="Courier New" w:hint="default"/>
      </w:rPr>
    </w:lvl>
    <w:lvl w:ilvl="5" w:tplc="100A0005" w:tentative="1">
      <w:start w:val="1"/>
      <w:numFmt w:val="bullet"/>
      <w:lvlText w:val=""/>
      <w:lvlJc w:val="left"/>
      <w:pPr>
        <w:ind w:left="4881" w:hanging="360"/>
      </w:pPr>
      <w:rPr>
        <w:rFonts w:ascii="Wingdings" w:hAnsi="Wingdings" w:hint="default"/>
      </w:rPr>
    </w:lvl>
    <w:lvl w:ilvl="6" w:tplc="100A0001" w:tentative="1">
      <w:start w:val="1"/>
      <w:numFmt w:val="bullet"/>
      <w:lvlText w:val=""/>
      <w:lvlJc w:val="left"/>
      <w:pPr>
        <w:ind w:left="5601" w:hanging="360"/>
      </w:pPr>
      <w:rPr>
        <w:rFonts w:ascii="Symbol" w:hAnsi="Symbol" w:hint="default"/>
      </w:rPr>
    </w:lvl>
    <w:lvl w:ilvl="7" w:tplc="100A0003" w:tentative="1">
      <w:start w:val="1"/>
      <w:numFmt w:val="bullet"/>
      <w:lvlText w:val="o"/>
      <w:lvlJc w:val="left"/>
      <w:pPr>
        <w:ind w:left="6321" w:hanging="360"/>
      </w:pPr>
      <w:rPr>
        <w:rFonts w:ascii="Courier New" w:hAnsi="Courier New" w:cs="Courier New" w:hint="default"/>
      </w:rPr>
    </w:lvl>
    <w:lvl w:ilvl="8" w:tplc="100A0005" w:tentative="1">
      <w:start w:val="1"/>
      <w:numFmt w:val="bullet"/>
      <w:lvlText w:val=""/>
      <w:lvlJc w:val="left"/>
      <w:pPr>
        <w:ind w:left="7041" w:hanging="360"/>
      </w:pPr>
      <w:rPr>
        <w:rFonts w:ascii="Wingdings" w:hAnsi="Wingdings" w:hint="default"/>
      </w:rPr>
    </w:lvl>
  </w:abstractNum>
  <w:abstractNum w:abstractNumId="16">
    <w:nsid w:val="77A00702"/>
    <w:multiLevelType w:val="hybridMultilevel"/>
    <w:tmpl w:val="8CF652B4"/>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7">
    <w:nsid w:val="7B2221AF"/>
    <w:multiLevelType w:val="hybridMultilevel"/>
    <w:tmpl w:val="B7FE1960"/>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10"/>
  </w:num>
  <w:num w:numId="5">
    <w:abstractNumId w:val="5"/>
  </w:num>
  <w:num w:numId="6">
    <w:abstractNumId w:val="17"/>
  </w:num>
  <w:num w:numId="7">
    <w:abstractNumId w:val="11"/>
  </w:num>
  <w:num w:numId="8">
    <w:abstractNumId w:val="1"/>
  </w:num>
  <w:num w:numId="9">
    <w:abstractNumId w:val="4"/>
  </w:num>
  <w:num w:numId="10">
    <w:abstractNumId w:val="7"/>
  </w:num>
  <w:num w:numId="11">
    <w:abstractNumId w:val="15"/>
  </w:num>
  <w:num w:numId="12">
    <w:abstractNumId w:val="13"/>
  </w:num>
  <w:num w:numId="13">
    <w:abstractNumId w:val="3"/>
  </w:num>
  <w:num w:numId="14">
    <w:abstractNumId w:val="14"/>
  </w:num>
  <w:num w:numId="15">
    <w:abstractNumId w:val="16"/>
  </w:num>
  <w:num w:numId="16">
    <w:abstractNumId w:val="12"/>
  </w:num>
  <w:num w:numId="17">
    <w:abstractNumId w:val="6"/>
  </w:num>
  <w:num w:numId="1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5EF"/>
    <w:rsid w:val="0000013D"/>
    <w:rsid w:val="000009EC"/>
    <w:rsid w:val="00000B24"/>
    <w:rsid w:val="00000CC0"/>
    <w:rsid w:val="00000FE6"/>
    <w:rsid w:val="000011D2"/>
    <w:rsid w:val="0000199E"/>
    <w:rsid w:val="00001E6E"/>
    <w:rsid w:val="00001FC8"/>
    <w:rsid w:val="00002212"/>
    <w:rsid w:val="00002D39"/>
    <w:rsid w:val="00002F38"/>
    <w:rsid w:val="000030EE"/>
    <w:rsid w:val="0000315F"/>
    <w:rsid w:val="00003212"/>
    <w:rsid w:val="00003F5D"/>
    <w:rsid w:val="000041B6"/>
    <w:rsid w:val="000045D4"/>
    <w:rsid w:val="000045E9"/>
    <w:rsid w:val="00004655"/>
    <w:rsid w:val="00004D50"/>
    <w:rsid w:val="00004F81"/>
    <w:rsid w:val="00004FD5"/>
    <w:rsid w:val="000051D8"/>
    <w:rsid w:val="0000577B"/>
    <w:rsid w:val="000057EA"/>
    <w:rsid w:val="00006888"/>
    <w:rsid w:val="000075D1"/>
    <w:rsid w:val="000076B6"/>
    <w:rsid w:val="000079F8"/>
    <w:rsid w:val="00007BB4"/>
    <w:rsid w:val="00007D77"/>
    <w:rsid w:val="00007E1D"/>
    <w:rsid w:val="000106CD"/>
    <w:rsid w:val="00010919"/>
    <w:rsid w:val="00010BFE"/>
    <w:rsid w:val="0001142F"/>
    <w:rsid w:val="0001167A"/>
    <w:rsid w:val="000116C3"/>
    <w:rsid w:val="00011ED1"/>
    <w:rsid w:val="00011FA3"/>
    <w:rsid w:val="00012C3D"/>
    <w:rsid w:val="00012E75"/>
    <w:rsid w:val="00012EC6"/>
    <w:rsid w:val="0001337F"/>
    <w:rsid w:val="00013D51"/>
    <w:rsid w:val="000144B3"/>
    <w:rsid w:val="000144C5"/>
    <w:rsid w:val="0001462B"/>
    <w:rsid w:val="00014EF4"/>
    <w:rsid w:val="00014F35"/>
    <w:rsid w:val="0001526A"/>
    <w:rsid w:val="000155E3"/>
    <w:rsid w:val="00016142"/>
    <w:rsid w:val="00016DAB"/>
    <w:rsid w:val="00016E7A"/>
    <w:rsid w:val="000173FB"/>
    <w:rsid w:val="00017590"/>
    <w:rsid w:val="0001768C"/>
    <w:rsid w:val="00020018"/>
    <w:rsid w:val="000203CF"/>
    <w:rsid w:val="00020569"/>
    <w:rsid w:val="0002076B"/>
    <w:rsid w:val="00020FF6"/>
    <w:rsid w:val="0002128E"/>
    <w:rsid w:val="000214EB"/>
    <w:rsid w:val="00021897"/>
    <w:rsid w:val="00021940"/>
    <w:rsid w:val="00021BC6"/>
    <w:rsid w:val="00021C43"/>
    <w:rsid w:val="0002257D"/>
    <w:rsid w:val="000226B3"/>
    <w:rsid w:val="00022705"/>
    <w:rsid w:val="00022DEC"/>
    <w:rsid w:val="00022EA2"/>
    <w:rsid w:val="00022EF4"/>
    <w:rsid w:val="00023051"/>
    <w:rsid w:val="000234E6"/>
    <w:rsid w:val="00023CAE"/>
    <w:rsid w:val="00023E05"/>
    <w:rsid w:val="0002423D"/>
    <w:rsid w:val="0002454E"/>
    <w:rsid w:val="000247C0"/>
    <w:rsid w:val="00024CB8"/>
    <w:rsid w:val="0002546E"/>
    <w:rsid w:val="00025544"/>
    <w:rsid w:val="00025564"/>
    <w:rsid w:val="00026089"/>
    <w:rsid w:val="00026D0D"/>
    <w:rsid w:val="00027187"/>
    <w:rsid w:val="00027364"/>
    <w:rsid w:val="00027677"/>
    <w:rsid w:val="00027AFD"/>
    <w:rsid w:val="00027B98"/>
    <w:rsid w:val="0003000B"/>
    <w:rsid w:val="0003033F"/>
    <w:rsid w:val="0003055A"/>
    <w:rsid w:val="00031D61"/>
    <w:rsid w:val="00032129"/>
    <w:rsid w:val="0003265F"/>
    <w:rsid w:val="00032760"/>
    <w:rsid w:val="0003283F"/>
    <w:rsid w:val="00032E59"/>
    <w:rsid w:val="000332EA"/>
    <w:rsid w:val="00033EDC"/>
    <w:rsid w:val="000340B8"/>
    <w:rsid w:val="0003443A"/>
    <w:rsid w:val="00034789"/>
    <w:rsid w:val="00034C4B"/>
    <w:rsid w:val="00034E64"/>
    <w:rsid w:val="00035ED3"/>
    <w:rsid w:val="00035F15"/>
    <w:rsid w:val="000361B0"/>
    <w:rsid w:val="0003640F"/>
    <w:rsid w:val="0003652A"/>
    <w:rsid w:val="000367DA"/>
    <w:rsid w:val="00036939"/>
    <w:rsid w:val="00036D21"/>
    <w:rsid w:val="00036D41"/>
    <w:rsid w:val="00036FAF"/>
    <w:rsid w:val="000373D5"/>
    <w:rsid w:val="00037ADC"/>
    <w:rsid w:val="0004035D"/>
    <w:rsid w:val="00040BDF"/>
    <w:rsid w:val="000414C6"/>
    <w:rsid w:val="0004155B"/>
    <w:rsid w:val="000417A8"/>
    <w:rsid w:val="000423A9"/>
    <w:rsid w:val="000427BC"/>
    <w:rsid w:val="00042D85"/>
    <w:rsid w:val="00043A56"/>
    <w:rsid w:val="00043F55"/>
    <w:rsid w:val="00044788"/>
    <w:rsid w:val="000448A9"/>
    <w:rsid w:val="0004593C"/>
    <w:rsid w:val="0004608A"/>
    <w:rsid w:val="000468DF"/>
    <w:rsid w:val="00046ADB"/>
    <w:rsid w:val="0004721B"/>
    <w:rsid w:val="000479B6"/>
    <w:rsid w:val="00047C71"/>
    <w:rsid w:val="00047DDB"/>
    <w:rsid w:val="000509FD"/>
    <w:rsid w:val="00050A36"/>
    <w:rsid w:val="00050A8A"/>
    <w:rsid w:val="00050F19"/>
    <w:rsid w:val="00051F4C"/>
    <w:rsid w:val="0005238F"/>
    <w:rsid w:val="000526B5"/>
    <w:rsid w:val="000528D5"/>
    <w:rsid w:val="0005381B"/>
    <w:rsid w:val="00053C58"/>
    <w:rsid w:val="000540E1"/>
    <w:rsid w:val="0005432D"/>
    <w:rsid w:val="00054931"/>
    <w:rsid w:val="00054D25"/>
    <w:rsid w:val="00054FD7"/>
    <w:rsid w:val="000551E2"/>
    <w:rsid w:val="0005597F"/>
    <w:rsid w:val="00056555"/>
    <w:rsid w:val="000572AF"/>
    <w:rsid w:val="00057717"/>
    <w:rsid w:val="0006017B"/>
    <w:rsid w:val="000605CB"/>
    <w:rsid w:val="00060655"/>
    <w:rsid w:val="00060743"/>
    <w:rsid w:val="000610F9"/>
    <w:rsid w:val="00061D52"/>
    <w:rsid w:val="00061DBE"/>
    <w:rsid w:val="000630A2"/>
    <w:rsid w:val="0006386A"/>
    <w:rsid w:val="000640AB"/>
    <w:rsid w:val="00064444"/>
    <w:rsid w:val="00064BB6"/>
    <w:rsid w:val="00064F26"/>
    <w:rsid w:val="00065C3E"/>
    <w:rsid w:val="00065DDE"/>
    <w:rsid w:val="00065FC5"/>
    <w:rsid w:val="000661B1"/>
    <w:rsid w:val="000667E0"/>
    <w:rsid w:val="00066C27"/>
    <w:rsid w:val="000671B5"/>
    <w:rsid w:val="00067456"/>
    <w:rsid w:val="00067F55"/>
    <w:rsid w:val="00070035"/>
    <w:rsid w:val="00070266"/>
    <w:rsid w:val="000702E1"/>
    <w:rsid w:val="00070381"/>
    <w:rsid w:val="00070B60"/>
    <w:rsid w:val="0007175B"/>
    <w:rsid w:val="000723DC"/>
    <w:rsid w:val="000727F8"/>
    <w:rsid w:val="0007441B"/>
    <w:rsid w:val="0007442B"/>
    <w:rsid w:val="00074491"/>
    <w:rsid w:val="00075770"/>
    <w:rsid w:val="00075A92"/>
    <w:rsid w:val="00075E4E"/>
    <w:rsid w:val="00075F75"/>
    <w:rsid w:val="00076261"/>
    <w:rsid w:val="000763FA"/>
    <w:rsid w:val="00076575"/>
    <w:rsid w:val="00076AA3"/>
    <w:rsid w:val="000776E4"/>
    <w:rsid w:val="000776F4"/>
    <w:rsid w:val="00077A05"/>
    <w:rsid w:val="0008000D"/>
    <w:rsid w:val="0008052B"/>
    <w:rsid w:val="00080884"/>
    <w:rsid w:val="00080B01"/>
    <w:rsid w:val="00080DFD"/>
    <w:rsid w:val="00081744"/>
    <w:rsid w:val="00082331"/>
    <w:rsid w:val="000824B9"/>
    <w:rsid w:val="00082934"/>
    <w:rsid w:val="00082FDB"/>
    <w:rsid w:val="000834F0"/>
    <w:rsid w:val="00083950"/>
    <w:rsid w:val="00084388"/>
    <w:rsid w:val="000848C9"/>
    <w:rsid w:val="00084EC7"/>
    <w:rsid w:val="000854D1"/>
    <w:rsid w:val="000857DA"/>
    <w:rsid w:val="00085BC9"/>
    <w:rsid w:val="0008660C"/>
    <w:rsid w:val="0008660F"/>
    <w:rsid w:val="00086CDE"/>
    <w:rsid w:val="00086EE0"/>
    <w:rsid w:val="00086F02"/>
    <w:rsid w:val="0008743F"/>
    <w:rsid w:val="0008751B"/>
    <w:rsid w:val="000875C8"/>
    <w:rsid w:val="0008761F"/>
    <w:rsid w:val="00087787"/>
    <w:rsid w:val="00087968"/>
    <w:rsid w:val="000902C0"/>
    <w:rsid w:val="000902C5"/>
    <w:rsid w:val="000906B6"/>
    <w:rsid w:val="0009156C"/>
    <w:rsid w:val="00091BD8"/>
    <w:rsid w:val="0009225C"/>
    <w:rsid w:val="000924CD"/>
    <w:rsid w:val="00092C79"/>
    <w:rsid w:val="00093D69"/>
    <w:rsid w:val="00093D78"/>
    <w:rsid w:val="00094120"/>
    <w:rsid w:val="000944FD"/>
    <w:rsid w:val="0009450B"/>
    <w:rsid w:val="0009454C"/>
    <w:rsid w:val="000945B9"/>
    <w:rsid w:val="000948A9"/>
    <w:rsid w:val="0009533B"/>
    <w:rsid w:val="00095566"/>
    <w:rsid w:val="00095A03"/>
    <w:rsid w:val="00095C8B"/>
    <w:rsid w:val="00096E7E"/>
    <w:rsid w:val="00097062"/>
    <w:rsid w:val="0009707C"/>
    <w:rsid w:val="0009743A"/>
    <w:rsid w:val="0009749C"/>
    <w:rsid w:val="00097F1F"/>
    <w:rsid w:val="000A06E5"/>
    <w:rsid w:val="000A08F4"/>
    <w:rsid w:val="000A0D02"/>
    <w:rsid w:val="000A0F33"/>
    <w:rsid w:val="000A1F93"/>
    <w:rsid w:val="000A2360"/>
    <w:rsid w:val="000A2DEF"/>
    <w:rsid w:val="000A31BA"/>
    <w:rsid w:val="000A3565"/>
    <w:rsid w:val="000A36AF"/>
    <w:rsid w:val="000A3834"/>
    <w:rsid w:val="000A3D77"/>
    <w:rsid w:val="000A3EEE"/>
    <w:rsid w:val="000A43FF"/>
    <w:rsid w:val="000A4B17"/>
    <w:rsid w:val="000A4D5B"/>
    <w:rsid w:val="000A4F0D"/>
    <w:rsid w:val="000A52E8"/>
    <w:rsid w:val="000A5457"/>
    <w:rsid w:val="000A56DD"/>
    <w:rsid w:val="000A5B08"/>
    <w:rsid w:val="000A5C2B"/>
    <w:rsid w:val="000A62AF"/>
    <w:rsid w:val="000A6681"/>
    <w:rsid w:val="000A6B2A"/>
    <w:rsid w:val="000A7ACC"/>
    <w:rsid w:val="000A7DDB"/>
    <w:rsid w:val="000B00E5"/>
    <w:rsid w:val="000B09C4"/>
    <w:rsid w:val="000B0AB4"/>
    <w:rsid w:val="000B1000"/>
    <w:rsid w:val="000B1597"/>
    <w:rsid w:val="000B1C61"/>
    <w:rsid w:val="000B1F4B"/>
    <w:rsid w:val="000B1FB3"/>
    <w:rsid w:val="000B22FB"/>
    <w:rsid w:val="000B2300"/>
    <w:rsid w:val="000B3952"/>
    <w:rsid w:val="000B3CF9"/>
    <w:rsid w:val="000B52F4"/>
    <w:rsid w:val="000B56AA"/>
    <w:rsid w:val="000B5898"/>
    <w:rsid w:val="000B5DA9"/>
    <w:rsid w:val="000B610C"/>
    <w:rsid w:val="000B69B8"/>
    <w:rsid w:val="000B7854"/>
    <w:rsid w:val="000B7A3F"/>
    <w:rsid w:val="000C09CE"/>
    <w:rsid w:val="000C0C40"/>
    <w:rsid w:val="000C218B"/>
    <w:rsid w:val="000C21A6"/>
    <w:rsid w:val="000C26A3"/>
    <w:rsid w:val="000C2785"/>
    <w:rsid w:val="000C29D9"/>
    <w:rsid w:val="000C3042"/>
    <w:rsid w:val="000C33AF"/>
    <w:rsid w:val="000C3469"/>
    <w:rsid w:val="000C366E"/>
    <w:rsid w:val="000C3E91"/>
    <w:rsid w:val="000C4777"/>
    <w:rsid w:val="000C48B6"/>
    <w:rsid w:val="000C4F8F"/>
    <w:rsid w:val="000C507A"/>
    <w:rsid w:val="000C525D"/>
    <w:rsid w:val="000C545D"/>
    <w:rsid w:val="000C57A7"/>
    <w:rsid w:val="000C5987"/>
    <w:rsid w:val="000C59FE"/>
    <w:rsid w:val="000C5B06"/>
    <w:rsid w:val="000C65AE"/>
    <w:rsid w:val="000C6805"/>
    <w:rsid w:val="000C6A6C"/>
    <w:rsid w:val="000C6B2B"/>
    <w:rsid w:val="000C702A"/>
    <w:rsid w:val="000C78A7"/>
    <w:rsid w:val="000C7EBD"/>
    <w:rsid w:val="000C7FAD"/>
    <w:rsid w:val="000D06FE"/>
    <w:rsid w:val="000D0C0D"/>
    <w:rsid w:val="000D1357"/>
    <w:rsid w:val="000D1611"/>
    <w:rsid w:val="000D16DA"/>
    <w:rsid w:val="000D1DF0"/>
    <w:rsid w:val="000D224F"/>
    <w:rsid w:val="000D257A"/>
    <w:rsid w:val="000D2AB7"/>
    <w:rsid w:val="000D31D5"/>
    <w:rsid w:val="000D418B"/>
    <w:rsid w:val="000D4554"/>
    <w:rsid w:val="000D47F3"/>
    <w:rsid w:val="000D4D6B"/>
    <w:rsid w:val="000D55F2"/>
    <w:rsid w:val="000D5657"/>
    <w:rsid w:val="000D5A35"/>
    <w:rsid w:val="000D6DB6"/>
    <w:rsid w:val="000D6E1E"/>
    <w:rsid w:val="000D75BD"/>
    <w:rsid w:val="000D7A8C"/>
    <w:rsid w:val="000D7F67"/>
    <w:rsid w:val="000E00BF"/>
    <w:rsid w:val="000E0447"/>
    <w:rsid w:val="000E144A"/>
    <w:rsid w:val="000E164B"/>
    <w:rsid w:val="000E17C6"/>
    <w:rsid w:val="000E1E62"/>
    <w:rsid w:val="000E217E"/>
    <w:rsid w:val="000E228C"/>
    <w:rsid w:val="000E22E7"/>
    <w:rsid w:val="000E2A67"/>
    <w:rsid w:val="000E2BC1"/>
    <w:rsid w:val="000E2DE7"/>
    <w:rsid w:val="000E2E50"/>
    <w:rsid w:val="000E385A"/>
    <w:rsid w:val="000E3CD6"/>
    <w:rsid w:val="000E4200"/>
    <w:rsid w:val="000E4980"/>
    <w:rsid w:val="000E5249"/>
    <w:rsid w:val="000E57FE"/>
    <w:rsid w:val="000E5857"/>
    <w:rsid w:val="000E5CDF"/>
    <w:rsid w:val="000E60ED"/>
    <w:rsid w:val="000E633A"/>
    <w:rsid w:val="000E7116"/>
    <w:rsid w:val="000F0284"/>
    <w:rsid w:val="000F0434"/>
    <w:rsid w:val="000F085C"/>
    <w:rsid w:val="000F1054"/>
    <w:rsid w:val="000F11BF"/>
    <w:rsid w:val="000F1541"/>
    <w:rsid w:val="000F1C5F"/>
    <w:rsid w:val="000F1DFC"/>
    <w:rsid w:val="000F1EBB"/>
    <w:rsid w:val="000F24CC"/>
    <w:rsid w:val="000F2AE3"/>
    <w:rsid w:val="000F2C9F"/>
    <w:rsid w:val="000F2D6D"/>
    <w:rsid w:val="000F2F66"/>
    <w:rsid w:val="000F3273"/>
    <w:rsid w:val="000F36FD"/>
    <w:rsid w:val="000F3ACD"/>
    <w:rsid w:val="000F3C45"/>
    <w:rsid w:val="000F4087"/>
    <w:rsid w:val="000F412E"/>
    <w:rsid w:val="000F4944"/>
    <w:rsid w:val="000F4A60"/>
    <w:rsid w:val="000F4AB6"/>
    <w:rsid w:val="000F4BCF"/>
    <w:rsid w:val="000F4F48"/>
    <w:rsid w:val="000F5139"/>
    <w:rsid w:val="000F57E2"/>
    <w:rsid w:val="000F592F"/>
    <w:rsid w:val="000F5CF1"/>
    <w:rsid w:val="000F5DC3"/>
    <w:rsid w:val="000F5E9F"/>
    <w:rsid w:val="000F7261"/>
    <w:rsid w:val="000F7518"/>
    <w:rsid w:val="000F775D"/>
    <w:rsid w:val="0010033C"/>
    <w:rsid w:val="00100605"/>
    <w:rsid w:val="00100DA3"/>
    <w:rsid w:val="001017DD"/>
    <w:rsid w:val="00101E77"/>
    <w:rsid w:val="001021E5"/>
    <w:rsid w:val="00103683"/>
    <w:rsid w:val="001038D7"/>
    <w:rsid w:val="00103AB3"/>
    <w:rsid w:val="0010590D"/>
    <w:rsid w:val="00105D3B"/>
    <w:rsid w:val="00105DC9"/>
    <w:rsid w:val="001061B8"/>
    <w:rsid w:val="0010663A"/>
    <w:rsid w:val="001069C7"/>
    <w:rsid w:val="00106C2E"/>
    <w:rsid w:val="00107545"/>
    <w:rsid w:val="00107735"/>
    <w:rsid w:val="0010797E"/>
    <w:rsid w:val="00107FAE"/>
    <w:rsid w:val="00110069"/>
    <w:rsid w:val="001105BC"/>
    <w:rsid w:val="00110DDE"/>
    <w:rsid w:val="00110FF6"/>
    <w:rsid w:val="0011105C"/>
    <w:rsid w:val="00111114"/>
    <w:rsid w:val="00112080"/>
    <w:rsid w:val="00112282"/>
    <w:rsid w:val="001123CC"/>
    <w:rsid w:val="00112EA4"/>
    <w:rsid w:val="001130CC"/>
    <w:rsid w:val="00113298"/>
    <w:rsid w:val="001135E6"/>
    <w:rsid w:val="001137ED"/>
    <w:rsid w:val="001138B2"/>
    <w:rsid w:val="00113EBC"/>
    <w:rsid w:val="00113F85"/>
    <w:rsid w:val="00113FC5"/>
    <w:rsid w:val="00114DF7"/>
    <w:rsid w:val="00114F11"/>
    <w:rsid w:val="00115F29"/>
    <w:rsid w:val="00116980"/>
    <w:rsid w:val="0011762B"/>
    <w:rsid w:val="00117722"/>
    <w:rsid w:val="001203DD"/>
    <w:rsid w:val="0012076B"/>
    <w:rsid w:val="00120CFD"/>
    <w:rsid w:val="00121567"/>
    <w:rsid w:val="001215DB"/>
    <w:rsid w:val="00121A90"/>
    <w:rsid w:val="00121F28"/>
    <w:rsid w:val="0012287F"/>
    <w:rsid w:val="00122D95"/>
    <w:rsid w:val="00122EB8"/>
    <w:rsid w:val="00122EC5"/>
    <w:rsid w:val="00122ECB"/>
    <w:rsid w:val="001230A7"/>
    <w:rsid w:val="0012339C"/>
    <w:rsid w:val="00123601"/>
    <w:rsid w:val="001242A1"/>
    <w:rsid w:val="0012431B"/>
    <w:rsid w:val="0012463C"/>
    <w:rsid w:val="00124656"/>
    <w:rsid w:val="00124C04"/>
    <w:rsid w:val="00124FB5"/>
    <w:rsid w:val="0012514F"/>
    <w:rsid w:val="0012591C"/>
    <w:rsid w:val="0012615C"/>
    <w:rsid w:val="0012695F"/>
    <w:rsid w:val="001269FF"/>
    <w:rsid w:val="00127A73"/>
    <w:rsid w:val="00130886"/>
    <w:rsid w:val="001311E1"/>
    <w:rsid w:val="0013165C"/>
    <w:rsid w:val="001316B1"/>
    <w:rsid w:val="00131E10"/>
    <w:rsid w:val="00131E86"/>
    <w:rsid w:val="0013226A"/>
    <w:rsid w:val="00132539"/>
    <w:rsid w:val="00132B91"/>
    <w:rsid w:val="00132D42"/>
    <w:rsid w:val="00132D4D"/>
    <w:rsid w:val="001335F8"/>
    <w:rsid w:val="001337D3"/>
    <w:rsid w:val="001338B8"/>
    <w:rsid w:val="00133BA3"/>
    <w:rsid w:val="00133BFB"/>
    <w:rsid w:val="00134262"/>
    <w:rsid w:val="0013447A"/>
    <w:rsid w:val="00134B35"/>
    <w:rsid w:val="00134BF5"/>
    <w:rsid w:val="00135A5F"/>
    <w:rsid w:val="00135BD5"/>
    <w:rsid w:val="00135F87"/>
    <w:rsid w:val="001361CF"/>
    <w:rsid w:val="0013680F"/>
    <w:rsid w:val="00137121"/>
    <w:rsid w:val="001376EA"/>
    <w:rsid w:val="00137A51"/>
    <w:rsid w:val="00137D3A"/>
    <w:rsid w:val="00137E38"/>
    <w:rsid w:val="00140276"/>
    <w:rsid w:val="00140640"/>
    <w:rsid w:val="00140657"/>
    <w:rsid w:val="001407EC"/>
    <w:rsid w:val="00140DD7"/>
    <w:rsid w:val="00140F41"/>
    <w:rsid w:val="001411B0"/>
    <w:rsid w:val="0014169E"/>
    <w:rsid w:val="00141969"/>
    <w:rsid w:val="00141CB3"/>
    <w:rsid w:val="0014204B"/>
    <w:rsid w:val="00142200"/>
    <w:rsid w:val="00142B91"/>
    <w:rsid w:val="00142BF2"/>
    <w:rsid w:val="00144016"/>
    <w:rsid w:val="00144874"/>
    <w:rsid w:val="00145030"/>
    <w:rsid w:val="001455DF"/>
    <w:rsid w:val="0014561E"/>
    <w:rsid w:val="00146518"/>
    <w:rsid w:val="0014674A"/>
    <w:rsid w:val="001468A2"/>
    <w:rsid w:val="00146F07"/>
    <w:rsid w:val="00147492"/>
    <w:rsid w:val="001474F4"/>
    <w:rsid w:val="00147932"/>
    <w:rsid w:val="00147CF8"/>
    <w:rsid w:val="00151506"/>
    <w:rsid w:val="00151ABA"/>
    <w:rsid w:val="00151C8A"/>
    <w:rsid w:val="00152001"/>
    <w:rsid w:val="001522E8"/>
    <w:rsid w:val="00152697"/>
    <w:rsid w:val="001526BF"/>
    <w:rsid w:val="00152A14"/>
    <w:rsid w:val="00152C30"/>
    <w:rsid w:val="00153037"/>
    <w:rsid w:val="001530E3"/>
    <w:rsid w:val="00153379"/>
    <w:rsid w:val="001536A0"/>
    <w:rsid w:val="0015427E"/>
    <w:rsid w:val="00154516"/>
    <w:rsid w:val="00154F72"/>
    <w:rsid w:val="001551F7"/>
    <w:rsid w:val="00155231"/>
    <w:rsid w:val="001554A0"/>
    <w:rsid w:val="00156000"/>
    <w:rsid w:val="00156048"/>
    <w:rsid w:val="00156215"/>
    <w:rsid w:val="001566FA"/>
    <w:rsid w:val="00156F2D"/>
    <w:rsid w:val="00156FFC"/>
    <w:rsid w:val="001575E8"/>
    <w:rsid w:val="0015770E"/>
    <w:rsid w:val="00157BEF"/>
    <w:rsid w:val="00157CAE"/>
    <w:rsid w:val="00160097"/>
    <w:rsid w:val="00161F9B"/>
    <w:rsid w:val="00162E6E"/>
    <w:rsid w:val="00163084"/>
    <w:rsid w:val="001632A4"/>
    <w:rsid w:val="00163831"/>
    <w:rsid w:val="00163CC2"/>
    <w:rsid w:val="00164106"/>
    <w:rsid w:val="001642B8"/>
    <w:rsid w:val="001642EE"/>
    <w:rsid w:val="0016443A"/>
    <w:rsid w:val="00164F1B"/>
    <w:rsid w:val="00165474"/>
    <w:rsid w:val="00165718"/>
    <w:rsid w:val="00165936"/>
    <w:rsid w:val="00165B82"/>
    <w:rsid w:val="001661F3"/>
    <w:rsid w:val="00166460"/>
    <w:rsid w:val="00166A77"/>
    <w:rsid w:val="00167D0A"/>
    <w:rsid w:val="001711AD"/>
    <w:rsid w:val="001713BC"/>
    <w:rsid w:val="00171A97"/>
    <w:rsid w:val="00172179"/>
    <w:rsid w:val="00172FE7"/>
    <w:rsid w:val="00173A21"/>
    <w:rsid w:val="001740A8"/>
    <w:rsid w:val="00174214"/>
    <w:rsid w:val="00174970"/>
    <w:rsid w:val="00174BC6"/>
    <w:rsid w:val="00174C9E"/>
    <w:rsid w:val="00174D4F"/>
    <w:rsid w:val="0017565C"/>
    <w:rsid w:val="001757AD"/>
    <w:rsid w:val="0017608C"/>
    <w:rsid w:val="001766F6"/>
    <w:rsid w:val="00176CA7"/>
    <w:rsid w:val="00177057"/>
    <w:rsid w:val="0017727B"/>
    <w:rsid w:val="00180C38"/>
    <w:rsid w:val="00180E81"/>
    <w:rsid w:val="00180F22"/>
    <w:rsid w:val="0018236D"/>
    <w:rsid w:val="0018263E"/>
    <w:rsid w:val="0018272A"/>
    <w:rsid w:val="00182C72"/>
    <w:rsid w:val="00183590"/>
    <w:rsid w:val="00183A5F"/>
    <w:rsid w:val="00183EB5"/>
    <w:rsid w:val="00183F5F"/>
    <w:rsid w:val="00183F78"/>
    <w:rsid w:val="00184D16"/>
    <w:rsid w:val="001868E0"/>
    <w:rsid w:val="001871E2"/>
    <w:rsid w:val="00187DBB"/>
    <w:rsid w:val="00187F62"/>
    <w:rsid w:val="00187FC9"/>
    <w:rsid w:val="00190320"/>
    <w:rsid w:val="001907D7"/>
    <w:rsid w:val="00190B60"/>
    <w:rsid w:val="00191617"/>
    <w:rsid w:val="001921EA"/>
    <w:rsid w:val="0019220F"/>
    <w:rsid w:val="00192FBD"/>
    <w:rsid w:val="0019382F"/>
    <w:rsid w:val="00193DFD"/>
    <w:rsid w:val="00194C35"/>
    <w:rsid w:val="00195CDE"/>
    <w:rsid w:val="001967AA"/>
    <w:rsid w:val="001968D0"/>
    <w:rsid w:val="001969FF"/>
    <w:rsid w:val="00196C78"/>
    <w:rsid w:val="00196C9F"/>
    <w:rsid w:val="00196EFA"/>
    <w:rsid w:val="001975BA"/>
    <w:rsid w:val="00197946"/>
    <w:rsid w:val="00197DD8"/>
    <w:rsid w:val="00197E56"/>
    <w:rsid w:val="00197F59"/>
    <w:rsid w:val="001A011C"/>
    <w:rsid w:val="001A1EF1"/>
    <w:rsid w:val="001A255B"/>
    <w:rsid w:val="001A31D7"/>
    <w:rsid w:val="001A39F5"/>
    <w:rsid w:val="001A3B94"/>
    <w:rsid w:val="001A3FAE"/>
    <w:rsid w:val="001A42C8"/>
    <w:rsid w:val="001A445E"/>
    <w:rsid w:val="001A462F"/>
    <w:rsid w:val="001A538D"/>
    <w:rsid w:val="001A542C"/>
    <w:rsid w:val="001A57C7"/>
    <w:rsid w:val="001A5D16"/>
    <w:rsid w:val="001A5EA3"/>
    <w:rsid w:val="001A5F59"/>
    <w:rsid w:val="001A637D"/>
    <w:rsid w:val="001A638F"/>
    <w:rsid w:val="001A6BEE"/>
    <w:rsid w:val="001A6D09"/>
    <w:rsid w:val="001A778B"/>
    <w:rsid w:val="001A7DC6"/>
    <w:rsid w:val="001B02FB"/>
    <w:rsid w:val="001B0394"/>
    <w:rsid w:val="001B03CA"/>
    <w:rsid w:val="001B06B8"/>
    <w:rsid w:val="001B0BBD"/>
    <w:rsid w:val="001B0DE0"/>
    <w:rsid w:val="001B1C79"/>
    <w:rsid w:val="001B1E4D"/>
    <w:rsid w:val="001B2CD0"/>
    <w:rsid w:val="001B30EA"/>
    <w:rsid w:val="001B3449"/>
    <w:rsid w:val="001B37A8"/>
    <w:rsid w:val="001B43E8"/>
    <w:rsid w:val="001B45C1"/>
    <w:rsid w:val="001B4605"/>
    <w:rsid w:val="001B4835"/>
    <w:rsid w:val="001B4934"/>
    <w:rsid w:val="001B508D"/>
    <w:rsid w:val="001B5245"/>
    <w:rsid w:val="001B5AEA"/>
    <w:rsid w:val="001B5E47"/>
    <w:rsid w:val="001B5F3A"/>
    <w:rsid w:val="001B604B"/>
    <w:rsid w:val="001B621E"/>
    <w:rsid w:val="001B6608"/>
    <w:rsid w:val="001B674B"/>
    <w:rsid w:val="001B69E9"/>
    <w:rsid w:val="001B6F56"/>
    <w:rsid w:val="001B7290"/>
    <w:rsid w:val="001B7C67"/>
    <w:rsid w:val="001C029C"/>
    <w:rsid w:val="001C068D"/>
    <w:rsid w:val="001C0F42"/>
    <w:rsid w:val="001C10E6"/>
    <w:rsid w:val="001C13E6"/>
    <w:rsid w:val="001C22FF"/>
    <w:rsid w:val="001C241A"/>
    <w:rsid w:val="001C24E9"/>
    <w:rsid w:val="001C262B"/>
    <w:rsid w:val="001C2AB9"/>
    <w:rsid w:val="001C3619"/>
    <w:rsid w:val="001C3B87"/>
    <w:rsid w:val="001C46BE"/>
    <w:rsid w:val="001C4E2C"/>
    <w:rsid w:val="001C560F"/>
    <w:rsid w:val="001C5A8E"/>
    <w:rsid w:val="001C610F"/>
    <w:rsid w:val="001C626F"/>
    <w:rsid w:val="001C6493"/>
    <w:rsid w:val="001C64B8"/>
    <w:rsid w:val="001C7208"/>
    <w:rsid w:val="001D0528"/>
    <w:rsid w:val="001D0696"/>
    <w:rsid w:val="001D06EB"/>
    <w:rsid w:val="001D0729"/>
    <w:rsid w:val="001D0C7C"/>
    <w:rsid w:val="001D230C"/>
    <w:rsid w:val="001D308E"/>
    <w:rsid w:val="001D33EB"/>
    <w:rsid w:val="001D36DD"/>
    <w:rsid w:val="001D3F34"/>
    <w:rsid w:val="001D43AF"/>
    <w:rsid w:val="001D495E"/>
    <w:rsid w:val="001D4CD3"/>
    <w:rsid w:val="001D5501"/>
    <w:rsid w:val="001D62A3"/>
    <w:rsid w:val="001D65EB"/>
    <w:rsid w:val="001D6751"/>
    <w:rsid w:val="001D67D3"/>
    <w:rsid w:val="001D6EFF"/>
    <w:rsid w:val="001D7A4D"/>
    <w:rsid w:val="001D7C1C"/>
    <w:rsid w:val="001D7E7B"/>
    <w:rsid w:val="001E083D"/>
    <w:rsid w:val="001E0C1F"/>
    <w:rsid w:val="001E1674"/>
    <w:rsid w:val="001E1B03"/>
    <w:rsid w:val="001E2061"/>
    <w:rsid w:val="001E2828"/>
    <w:rsid w:val="001E2FD5"/>
    <w:rsid w:val="001E43A9"/>
    <w:rsid w:val="001E4696"/>
    <w:rsid w:val="001E5904"/>
    <w:rsid w:val="001E64E4"/>
    <w:rsid w:val="001E67FF"/>
    <w:rsid w:val="001E7148"/>
    <w:rsid w:val="001E72BA"/>
    <w:rsid w:val="001E7AE2"/>
    <w:rsid w:val="001F0405"/>
    <w:rsid w:val="001F050B"/>
    <w:rsid w:val="001F0B2D"/>
    <w:rsid w:val="001F1327"/>
    <w:rsid w:val="001F1356"/>
    <w:rsid w:val="001F1901"/>
    <w:rsid w:val="001F234C"/>
    <w:rsid w:val="001F26EE"/>
    <w:rsid w:val="001F2E12"/>
    <w:rsid w:val="001F366D"/>
    <w:rsid w:val="001F4004"/>
    <w:rsid w:val="001F48BC"/>
    <w:rsid w:val="001F48E8"/>
    <w:rsid w:val="001F4C37"/>
    <w:rsid w:val="001F5615"/>
    <w:rsid w:val="001F5873"/>
    <w:rsid w:val="001F59EA"/>
    <w:rsid w:val="001F5FD7"/>
    <w:rsid w:val="00201109"/>
    <w:rsid w:val="00201267"/>
    <w:rsid w:val="00201635"/>
    <w:rsid w:val="002016CF"/>
    <w:rsid w:val="00201841"/>
    <w:rsid w:val="00201A76"/>
    <w:rsid w:val="00201F3A"/>
    <w:rsid w:val="002025FF"/>
    <w:rsid w:val="00202CC1"/>
    <w:rsid w:val="00203D69"/>
    <w:rsid w:val="0020424E"/>
    <w:rsid w:val="002042E1"/>
    <w:rsid w:val="0020459F"/>
    <w:rsid w:val="0020492F"/>
    <w:rsid w:val="00204C03"/>
    <w:rsid w:val="002053BB"/>
    <w:rsid w:val="00205CAB"/>
    <w:rsid w:val="00205E75"/>
    <w:rsid w:val="002065BB"/>
    <w:rsid w:val="00206638"/>
    <w:rsid w:val="00206FF2"/>
    <w:rsid w:val="00207874"/>
    <w:rsid w:val="00207D97"/>
    <w:rsid w:val="002101DF"/>
    <w:rsid w:val="002119F3"/>
    <w:rsid w:val="00211DAF"/>
    <w:rsid w:val="00211F3C"/>
    <w:rsid w:val="00211FB9"/>
    <w:rsid w:val="002125D4"/>
    <w:rsid w:val="00213495"/>
    <w:rsid w:val="00213CA6"/>
    <w:rsid w:val="00213E21"/>
    <w:rsid w:val="00214614"/>
    <w:rsid w:val="00214E28"/>
    <w:rsid w:val="00215011"/>
    <w:rsid w:val="00215B5A"/>
    <w:rsid w:val="00216381"/>
    <w:rsid w:val="00216911"/>
    <w:rsid w:val="00217046"/>
    <w:rsid w:val="002174C1"/>
    <w:rsid w:val="00217AA0"/>
    <w:rsid w:val="0022008E"/>
    <w:rsid w:val="00220485"/>
    <w:rsid w:val="00220645"/>
    <w:rsid w:val="00220C95"/>
    <w:rsid w:val="0022143F"/>
    <w:rsid w:val="00222328"/>
    <w:rsid w:val="00222463"/>
    <w:rsid w:val="00222A64"/>
    <w:rsid w:val="00222E0A"/>
    <w:rsid w:val="002233DF"/>
    <w:rsid w:val="00223410"/>
    <w:rsid w:val="00223CD6"/>
    <w:rsid w:val="002243B1"/>
    <w:rsid w:val="002244F7"/>
    <w:rsid w:val="002249E1"/>
    <w:rsid w:val="00224C1E"/>
    <w:rsid w:val="00224F34"/>
    <w:rsid w:val="002256FC"/>
    <w:rsid w:val="0022585C"/>
    <w:rsid w:val="00225B68"/>
    <w:rsid w:val="00226395"/>
    <w:rsid w:val="002263F2"/>
    <w:rsid w:val="002266E7"/>
    <w:rsid w:val="00226A2D"/>
    <w:rsid w:val="002271CE"/>
    <w:rsid w:val="002276F9"/>
    <w:rsid w:val="0022774B"/>
    <w:rsid w:val="00227855"/>
    <w:rsid w:val="00227DC4"/>
    <w:rsid w:val="002303EC"/>
    <w:rsid w:val="0023092D"/>
    <w:rsid w:val="00230D32"/>
    <w:rsid w:val="00231261"/>
    <w:rsid w:val="00232AB9"/>
    <w:rsid w:val="002334C6"/>
    <w:rsid w:val="0023385F"/>
    <w:rsid w:val="00233AAD"/>
    <w:rsid w:val="00234546"/>
    <w:rsid w:val="00234727"/>
    <w:rsid w:val="002347BD"/>
    <w:rsid w:val="002347E9"/>
    <w:rsid w:val="002349E7"/>
    <w:rsid w:val="00234A63"/>
    <w:rsid w:val="00235F16"/>
    <w:rsid w:val="00236492"/>
    <w:rsid w:val="00236659"/>
    <w:rsid w:val="00236779"/>
    <w:rsid w:val="00236C48"/>
    <w:rsid w:val="00236E95"/>
    <w:rsid w:val="0023743A"/>
    <w:rsid w:val="002374BF"/>
    <w:rsid w:val="00237F0F"/>
    <w:rsid w:val="002400DB"/>
    <w:rsid w:val="00240300"/>
    <w:rsid w:val="00240A78"/>
    <w:rsid w:val="00240E3C"/>
    <w:rsid w:val="00241449"/>
    <w:rsid w:val="00241B3F"/>
    <w:rsid w:val="00241BB3"/>
    <w:rsid w:val="002426C8"/>
    <w:rsid w:val="002426E4"/>
    <w:rsid w:val="002427F0"/>
    <w:rsid w:val="0024291A"/>
    <w:rsid w:val="00242FB3"/>
    <w:rsid w:val="0024353F"/>
    <w:rsid w:val="00243994"/>
    <w:rsid w:val="002445F1"/>
    <w:rsid w:val="002448F8"/>
    <w:rsid w:val="002449EC"/>
    <w:rsid w:val="00244D65"/>
    <w:rsid w:val="0024502A"/>
    <w:rsid w:val="002452CC"/>
    <w:rsid w:val="0024547E"/>
    <w:rsid w:val="002458EE"/>
    <w:rsid w:val="0024635E"/>
    <w:rsid w:val="00246696"/>
    <w:rsid w:val="0024685A"/>
    <w:rsid w:val="00246901"/>
    <w:rsid w:val="00246A61"/>
    <w:rsid w:val="00246D06"/>
    <w:rsid w:val="00246E0E"/>
    <w:rsid w:val="00247497"/>
    <w:rsid w:val="002476D8"/>
    <w:rsid w:val="00247AC7"/>
    <w:rsid w:val="00250258"/>
    <w:rsid w:val="002504FC"/>
    <w:rsid w:val="00250F2B"/>
    <w:rsid w:val="002511F9"/>
    <w:rsid w:val="00251CDC"/>
    <w:rsid w:val="0025250B"/>
    <w:rsid w:val="00252792"/>
    <w:rsid w:val="00252CBD"/>
    <w:rsid w:val="002534C6"/>
    <w:rsid w:val="0025365A"/>
    <w:rsid w:val="00253898"/>
    <w:rsid w:val="00253C36"/>
    <w:rsid w:val="002559E5"/>
    <w:rsid w:val="00255F05"/>
    <w:rsid w:val="00256129"/>
    <w:rsid w:val="002565D3"/>
    <w:rsid w:val="00256C16"/>
    <w:rsid w:val="002577A7"/>
    <w:rsid w:val="0026009E"/>
    <w:rsid w:val="002602FD"/>
    <w:rsid w:val="002615FB"/>
    <w:rsid w:val="002617B6"/>
    <w:rsid w:val="0026193C"/>
    <w:rsid w:val="00262460"/>
    <w:rsid w:val="00262BEF"/>
    <w:rsid w:val="00262D89"/>
    <w:rsid w:val="002639D3"/>
    <w:rsid w:val="00263BF4"/>
    <w:rsid w:val="00263C37"/>
    <w:rsid w:val="00263FDB"/>
    <w:rsid w:val="002640AE"/>
    <w:rsid w:val="002643F9"/>
    <w:rsid w:val="00264EED"/>
    <w:rsid w:val="0026523E"/>
    <w:rsid w:val="002652F6"/>
    <w:rsid w:val="0026532E"/>
    <w:rsid w:val="002653CA"/>
    <w:rsid w:val="00266201"/>
    <w:rsid w:val="00266287"/>
    <w:rsid w:val="00266935"/>
    <w:rsid w:val="00266A5F"/>
    <w:rsid w:val="0026723F"/>
    <w:rsid w:val="002672F8"/>
    <w:rsid w:val="00267504"/>
    <w:rsid w:val="002675E1"/>
    <w:rsid w:val="00267BE2"/>
    <w:rsid w:val="00267F06"/>
    <w:rsid w:val="00267F3A"/>
    <w:rsid w:val="002705D3"/>
    <w:rsid w:val="0027087E"/>
    <w:rsid w:val="00270BB1"/>
    <w:rsid w:val="00270ED2"/>
    <w:rsid w:val="002716AF"/>
    <w:rsid w:val="002716DF"/>
    <w:rsid w:val="002717DF"/>
    <w:rsid w:val="00271EBD"/>
    <w:rsid w:val="00272736"/>
    <w:rsid w:val="00272A4B"/>
    <w:rsid w:val="00272DBC"/>
    <w:rsid w:val="00273131"/>
    <w:rsid w:val="00274F32"/>
    <w:rsid w:val="00275209"/>
    <w:rsid w:val="00275AD4"/>
    <w:rsid w:val="00275E87"/>
    <w:rsid w:val="002768D9"/>
    <w:rsid w:val="002779B2"/>
    <w:rsid w:val="00277E72"/>
    <w:rsid w:val="00277EF3"/>
    <w:rsid w:val="00277F11"/>
    <w:rsid w:val="00280BB2"/>
    <w:rsid w:val="00281675"/>
    <w:rsid w:val="002821C7"/>
    <w:rsid w:val="002821D3"/>
    <w:rsid w:val="00282882"/>
    <w:rsid w:val="00283496"/>
    <w:rsid w:val="00283605"/>
    <w:rsid w:val="00283841"/>
    <w:rsid w:val="00284240"/>
    <w:rsid w:val="00284BBB"/>
    <w:rsid w:val="002850FD"/>
    <w:rsid w:val="002855E7"/>
    <w:rsid w:val="00285C45"/>
    <w:rsid w:val="00285D9D"/>
    <w:rsid w:val="00285FFE"/>
    <w:rsid w:val="00286141"/>
    <w:rsid w:val="00286441"/>
    <w:rsid w:val="00287224"/>
    <w:rsid w:val="00287546"/>
    <w:rsid w:val="002875D1"/>
    <w:rsid w:val="00287864"/>
    <w:rsid w:val="00287E30"/>
    <w:rsid w:val="00287EFF"/>
    <w:rsid w:val="00290DF2"/>
    <w:rsid w:val="0029154A"/>
    <w:rsid w:val="00291A99"/>
    <w:rsid w:val="00292269"/>
    <w:rsid w:val="002922BF"/>
    <w:rsid w:val="0029246F"/>
    <w:rsid w:val="00292CD0"/>
    <w:rsid w:val="0029322F"/>
    <w:rsid w:val="002933C8"/>
    <w:rsid w:val="002936DB"/>
    <w:rsid w:val="00293707"/>
    <w:rsid w:val="00293C4E"/>
    <w:rsid w:val="00294D8F"/>
    <w:rsid w:val="00294DF6"/>
    <w:rsid w:val="00295683"/>
    <w:rsid w:val="002958A8"/>
    <w:rsid w:val="00295A53"/>
    <w:rsid w:val="00296B58"/>
    <w:rsid w:val="00296E12"/>
    <w:rsid w:val="00297DEB"/>
    <w:rsid w:val="002A025E"/>
    <w:rsid w:val="002A0DAA"/>
    <w:rsid w:val="002A1069"/>
    <w:rsid w:val="002A11B9"/>
    <w:rsid w:val="002A12C5"/>
    <w:rsid w:val="002A17C7"/>
    <w:rsid w:val="002A26F6"/>
    <w:rsid w:val="002A3CFF"/>
    <w:rsid w:val="002A3E0A"/>
    <w:rsid w:val="002A45E2"/>
    <w:rsid w:val="002A47FD"/>
    <w:rsid w:val="002A4859"/>
    <w:rsid w:val="002A4B5F"/>
    <w:rsid w:val="002A4B6C"/>
    <w:rsid w:val="002A5136"/>
    <w:rsid w:val="002A51C8"/>
    <w:rsid w:val="002A5D37"/>
    <w:rsid w:val="002A61E6"/>
    <w:rsid w:val="002A621C"/>
    <w:rsid w:val="002A6397"/>
    <w:rsid w:val="002A66F9"/>
    <w:rsid w:val="002A6893"/>
    <w:rsid w:val="002A6AAC"/>
    <w:rsid w:val="002A75B9"/>
    <w:rsid w:val="002A7C23"/>
    <w:rsid w:val="002B03D8"/>
    <w:rsid w:val="002B1D61"/>
    <w:rsid w:val="002B2244"/>
    <w:rsid w:val="002B2DB0"/>
    <w:rsid w:val="002B3253"/>
    <w:rsid w:val="002B383A"/>
    <w:rsid w:val="002B38E5"/>
    <w:rsid w:val="002B390F"/>
    <w:rsid w:val="002B3F66"/>
    <w:rsid w:val="002B49D8"/>
    <w:rsid w:val="002B4B70"/>
    <w:rsid w:val="002B4D01"/>
    <w:rsid w:val="002B4D67"/>
    <w:rsid w:val="002B4EF9"/>
    <w:rsid w:val="002B55CC"/>
    <w:rsid w:val="002B616F"/>
    <w:rsid w:val="002B6921"/>
    <w:rsid w:val="002B6AC4"/>
    <w:rsid w:val="002B78AD"/>
    <w:rsid w:val="002B7978"/>
    <w:rsid w:val="002B7A5B"/>
    <w:rsid w:val="002B7FDE"/>
    <w:rsid w:val="002C0107"/>
    <w:rsid w:val="002C03CA"/>
    <w:rsid w:val="002C08EA"/>
    <w:rsid w:val="002C09F2"/>
    <w:rsid w:val="002C0FCE"/>
    <w:rsid w:val="002C12FE"/>
    <w:rsid w:val="002C157D"/>
    <w:rsid w:val="002C18B3"/>
    <w:rsid w:val="002C1E34"/>
    <w:rsid w:val="002C2150"/>
    <w:rsid w:val="002C2682"/>
    <w:rsid w:val="002C36B8"/>
    <w:rsid w:val="002C3B29"/>
    <w:rsid w:val="002C3B8B"/>
    <w:rsid w:val="002C44D9"/>
    <w:rsid w:val="002C4612"/>
    <w:rsid w:val="002C4761"/>
    <w:rsid w:val="002C56CF"/>
    <w:rsid w:val="002C5FCC"/>
    <w:rsid w:val="002C6107"/>
    <w:rsid w:val="002C6264"/>
    <w:rsid w:val="002C64E4"/>
    <w:rsid w:val="002C66F4"/>
    <w:rsid w:val="002C7378"/>
    <w:rsid w:val="002C752A"/>
    <w:rsid w:val="002C7998"/>
    <w:rsid w:val="002C7C2B"/>
    <w:rsid w:val="002D0120"/>
    <w:rsid w:val="002D0475"/>
    <w:rsid w:val="002D0DE8"/>
    <w:rsid w:val="002D163A"/>
    <w:rsid w:val="002D167F"/>
    <w:rsid w:val="002D26B5"/>
    <w:rsid w:val="002D3456"/>
    <w:rsid w:val="002D4F9D"/>
    <w:rsid w:val="002D50C9"/>
    <w:rsid w:val="002D653F"/>
    <w:rsid w:val="002D6BBE"/>
    <w:rsid w:val="002D74EF"/>
    <w:rsid w:val="002D76CD"/>
    <w:rsid w:val="002D7711"/>
    <w:rsid w:val="002D778D"/>
    <w:rsid w:val="002D7B7D"/>
    <w:rsid w:val="002E016C"/>
    <w:rsid w:val="002E0816"/>
    <w:rsid w:val="002E0C58"/>
    <w:rsid w:val="002E10A9"/>
    <w:rsid w:val="002E1668"/>
    <w:rsid w:val="002E1C66"/>
    <w:rsid w:val="002E2063"/>
    <w:rsid w:val="002E31E8"/>
    <w:rsid w:val="002E390A"/>
    <w:rsid w:val="002E3CE4"/>
    <w:rsid w:val="002E42B5"/>
    <w:rsid w:val="002E4536"/>
    <w:rsid w:val="002E4558"/>
    <w:rsid w:val="002E4652"/>
    <w:rsid w:val="002E4C8E"/>
    <w:rsid w:val="002E4E8B"/>
    <w:rsid w:val="002E52D7"/>
    <w:rsid w:val="002E5572"/>
    <w:rsid w:val="002E57C7"/>
    <w:rsid w:val="002E5952"/>
    <w:rsid w:val="002E5ACE"/>
    <w:rsid w:val="002E65BB"/>
    <w:rsid w:val="002E6752"/>
    <w:rsid w:val="002E6786"/>
    <w:rsid w:val="002E6ADA"/>
    <w:rsid w:val="002E728D"/>
    <w:rsid w:val="002E758E"/>
    <w:rsid w:val="002F071F"/>
    <w:rsid w:val="002F075D"/>
    <w:rsid w:val="002F0C29"/>
    <w:rsid w:val="002F14DE"/>
    <w:rsid w:val="002F15C9"/>
    <w:rsid w:val="002F2377"/>
    <w:rsid w:val="002F2453"/>
    <w:rsid w:val="002F245A"/>
    <w:rsid w:val="002F2A0B"/>
    <w:rsid w:val="002F2C98"/>
    <w:rsid w:val="002F2CFD"/>
    <w:rsid w:val="002F327A"/>
    <w:rsid w:val="002F3E40"/>
    <w:rsid w:val="002F3EDF"/>
    <w:rsid w:val="002F49C6"/>
    <w:rsid w:val="002F4D81"/>
    <w:rsid w:val="002F4E75"/>
    <w:rsid w:val="002F520E"/>
    <w:rsid w:val="002F59B1"/>
    <w:rsid w:val="002F612C"/>
    <w:rsid w:val="002F69DD"/>
    <w:rsid w:val="002F7080"/>
    <w:rsid w:val="002F74D6"/>
    <w:rsid w:val="002F79F1"/>
    <w:rsid w:val="002F7E52"/>
    <w:rsid w:val="00300001"/>
    <w:rsid w:val="003002A3"/>
    <w:rsid w:val="00300381"/>
    <w:rsid w:val="00300A1A"/>
    <w:rsid w:val="0030104E"/>
    <w:rsid w:val="003017E5"/>
    <w:rsid w:val="00301CD4"/>
    <w:rsid w:val="00302568"/>
    <w:rsid w:val="00302A0D"/>
    <w:rsid w:val="00302B10"/>
    <w:rsid w:val="00303331"/>
    <w:rsid w:val="003036AD"/>
    <w:rsid w:val="00303BB4"/>
    <w:rsid w:val="00303F46"/>
    <w:rsid w:val="003045FA"/>
    <w:rsid w:val="0030502F"/>
    <w:rsid w:val="0030562F"/>
    <w:rsid w:val="00305BEC"/>
    <w:rsid w:val="00305C7A"/>
    <w:rsid w:val="00305D6F"/>
    <w:rsid w:val="00306886"/>
    <w:rsid w:val="00306AB3"/>
    <w:rsid w:val="00306F57"/>
    <w:rsid w:val="00307315"/>
    <w:rsid w:val="00307DC7"/>
    <w:rsid w:val="00310C60"/>
    <w:rsid w:val="00310FF9"/>
    <w:rsid w:val="00311031"/>
    <w:rsid w:val="00311489"/>
    <w:rsid w:val="00312139"/>
    <w:rsid w:val="003126A5"/>
    <w:rsid w:val="00312AF1"/>
    <w:rsid w:val="00313897"/>
    <w:rsid w:val="003143FB"/>
    <w:rsid w:val="00314940"/>
    <w:rsid w:val="00314A49"/>
    <w:rsid w:val="00314DEC"/>
    <w:rsid w:val="00314E90"/>
    <w:rsid w:val="00314EDB"/>
    <w:rsid w:val="00314F00"/>
    <w:rsid w:val="00315129"/>
    <w:rsid w:val="00315485"/>
    <w:rsid w:val="003156C0"/>
    <w:rsid w:val="003157D5"/>
    <w:rsid w:val="00315B77"/>
    <w:rsid w:val="003163A7"/>
    <w:rsid w:val="003168CE"/>
    <w:rsid w:val="00316905"/>
    <w:rsid w:val="00317201"/>
    <w:rsid w:val="00317AE6"/>
    <w:rsid w:val="00317D1D"/>
    <w:rsid w:val="00317F2F"/>
    <w:rsid w:val="00317FF9"/>
    <w:rsid w:val="003203FB"/>
    <w:rsid w:val="00320B91"/>
    <w:rsid w:val="00320BBB"/>
    <w:rsid w:val="00320F7C"/>
    <w:rsid w:val="003211A8"/>
    <w:rsid w:val="00321911"/>
    <w:rsid w:val="00321C90"/>
    <w:rsid w:val="00321D7F"/>
    <w:rsid w:val="00322FA2"/>
    <w:rsid w:val="00323BBE"/>
    <w:rsid w:val="0032460F"/>
    <w:rsid w:val="0032538C"/>
    <w:rsid w:val="003259E6"/>
    <w:rsid w:val="00325D00"/>
    <w:rsid w:val="00326283"/>
    <w:rsid w:val="00327BAB"/>
    <w:rsid w:val="00327D95"/>
    <w:rsid w:val="00327EA8"/>
    <w:rsid w:val="00327F99"/>
    <w:rsid w:val="003302BC"/>
    <w:rsid w:val="003302C6"/>
    <w:rsid w:val="0033063D"/>
    <w:rsid w:val="00330B9C"/>
    <w:rsid w:val="00330E94"/>
    <w:rsid w:val="00331239"/>
    <w:rsid w:val="00331B2C"/>
    <w:rsid w:val="0033398A"/>
    <w:rsid w:val="00333D54"/>
    <w:rsid w:val="003347A1"/>
    <w:rsid w:val="00334B4E"/>
    <w:rsid w:val="00334C18"/>
    <w:rsid w:val="0033537E"/>
    <w:rsid w:val="00335566"/>
    <w:rsid w:val="00335572"/>
    <w:rsid w:val="00335734"/>
    <w:rsid w:val="00335915"/>
    <w:rsid w:val="00335C6E"/>
    <w:rsid w:val="00335E2B"/>
    <w:rsid w:val="0033611E"/>
    <w:rsid w:val="00336A12"/>
    <w:rsid w:val="003370D3"/>
    <w:rsid w:val="00337194"/>
    <w:rsid w:val="0033754D"/>
    <w:rsid w:val="0033794E"/>
    <w:rsid w:val="00337E21"/>
    <w:rsid w:val="00337EBF"/>
    <w:rsid w:val="0034021C"/>
    <w:rsid w:val="00340279"/>
    <w:rsid w:val="00340FBA"/>
    <w:rsid w:val="0034109F"/>
    <w:rsid w:val="00341308"/>
    <w:rsid w:val="003419E0"/>
    <w:rsid w:val="00341EBF"/>
    <w:rsid w:val="00342DE4"/>
    <w:rsid w:val="00342EDB"/>
    <w:rsid w:val="00342FDD"/>
    <w:rsid w:val="0034342E"/>
    <w:rsid w:val="003438B8"/>
    <w:rsid w:val="00343C7A"/>
    <w:rsid w:val="00343DF3"/>
    <w:rsid w:val="00343E4F"/>
    <w:rsid w:val="003441F1"/>
    <w:rsid w:val="003442B6"/>
    <w:rsid w:val="00344301"/>
    <w:rsid w:val="003447E8"/>
    <w:rsid w:val="00345299"/>
    <w:rsid w:val="00345CC9"/>
    <w:rsid w:val="00345DED"/>
    <w:rsid w:val="0034679E"/>
    <w:rsid w:val="00346976"/>
    <w:rsid w:val="00346C34"/>
    <w:rsid w:val="0034724D"/>
    <w:rsid w:val="00347283"/>
    <w:rsid w:val="003477B6"/>
    <w:rsid w:val="00347A5E"/>
    <w:rsid w:val="00347D24"/>
    <w:rsid w:val="00350060"/>
    <w:rsid w:val="0035071D"/>
    <w:rsid w:val="00350B94"/>
    <w:rsid w:val="00351940"/>
    <w:rsid w:val="00353DCD"/>
    <w:rsid w:val="003548C7"/>
    <w:rsid w:val="00354D5C"/>
    <w:rsid w:val="00354D8E"/>
    <w:rsid w:val="00354E76"/>
    <w:rsid w:val="00355AE7"/>
    <w:rsid w:val="00355D90"/>
    <w:rsid w:val="00355F51"/>
    <w:rsid w:val="00356904"/>
    <w:rsid w:val="00357471"/>
    <w:rsid w:val="003574A6"/>
    <w:rsid w:val="00357818"/>
    <w:rsid w:val="003605F4"/>
    <w:rsid w:val="0036077E"/>
    <w:rsid w:val="00360F71"/>
    <w:rsid w:val="0036154F"/>
    <w:rsid w:val="00361592"/>
    <w:rsid w:val="00361E8E"/>
    <w:rsid w:val="003621BC"/>
    <w:rsid w:val="00362872"/>
    <w:rsid w:val="003628D4"/>
    <w:rsid w:val="00363206"/>
    <w:rsid w:val="003640B2"/>
    <w:rsid w:val="00364191"/>
    <w:rsid w:val="003642E4"/>
    <w:rsid w:val="003644AF"/>
    <w:rsid w:val="0036469D"/>
    <w:rsid w:val="003648F1"/>
    <w:rsid w:val="00364D58"/>
    <w:rsid w:val="00365E11"/>
    <w:rsid w:val="003663E5"/>
    <w:rsid w:val="0036691C"/>
    <w:rsid w:val="00367CCE"/>
    <w:rsid w:val="00367FDE"/>
    <w:rsid w:val="00370876"/>
    <w:rsid w:val="00371049"/>
    <w:rsid w:val="0037105D"/>
    <w:rsid w:val="0037125E"/>
    <w:rsid w:val="0037192F"/>
    <w:rsid w:val="0037203B"/>
    <w:rsid w:val="00372E1B"/>
    <w:rsid w:val="003736B8"/>
    <w:rsid w:val="00373897"/>
    <w:rsid w:val="00373F05"/>
    <w:rsid w:val="00374190"/>
    <w:rsid w:val="003741FA"/>
    <w:rsid w:val="00374597"/>
    <w:rsid w:val="00374E1C"/>
    <w:rsid w:val="00375DAD"/>
    <w:rsid w:val="00376BBD"/>
    <w:rsid w:val="0037707C"/>
    <w:rsid w:val="00377219"/>
    <w:rsid w:val="00377667"/>
    <w:rsid w:val="00377763"/>
    <w:rsid w:val="00377BF0"/>
    <w:rsid w:val="00380A65"/>
    <w:rsid w:val="00380A94"/>
    <w:rsid w:val="00380D92"/>
    <w:rsid w:val="00381CE5"/>
    <w:rsid w:val="0038245D"/>
    <w:rsid w:val="00382841"/>
    <w:rsid w:val="00382B86"/>
    <w:rsid w:val="003832A2"/>
    <w:rsid w:val="003835B7"/>
    <w:rsid w:val="00383A75"/>
    <w:rsid w:val="00383BB0"/>
    <w:rsid w:val="00383F32"/>
    <w:rsid w:val="0038438B"/>
    <w:rsid w:val="00384486"/>
    <w:rsid w:val="00384D67"/>
    <w:rsid w:val="00385A7E"/>
    <w:rsid w:val="00386708"/>
    <w:rsid w:val="00386796"/>
    <w:rsid w:val="00387E6D"/>
    <w:rsid w:val="003906E3"/>
    <w:rsid w:val="003908D2"/>
    <w:rsid w:val="003909D1"/>
    <w:rsid w:val="0039179B"/>
    <w:rsid w:val="00391EB2"/>
    <w:rsid w:val="00391ECD"/>
    <w:rsid w:val="00392449"/>
    <w:rsid w:val="00392C97"/>
    <w:rsid w:val="0039300A"/>
    <w:rsid w:val="00393202"/>
    <w:rsid w:val="003933CF"/>
    <w:rsid w:val="00393ADE"/>
    <w:rsid w:val="00394243"/>
    <w:rsid w:val="003945EE"/>
    <w:rsid w:val="0039535D"/>
    <w:rsid w:val="00395546"/>
    <w:rsid w:val="003957D2"/>
    <w:rsid w:val="00395947"/>
    <w:rsid w:val="00395B52"/>
    <w:rsid w:val="00395E5F"/>
    <w:rsid w:val="00395E8F"/>
    <w:rsid w:val="0039621B"/>
    <w:rsid w:val="003968D1"/>
    <w:rsid w:val="00396D2F"/>
    <w:rsid w:val="00396EB4"/>
    <w:rsid w:val="003973EC"/>
    <w:rsid w:val="003A0211"/>
    <w:rsid w:val="003A0696"/>
    <w:rsid w:val="003A16E7"/>
    <w:rsid w:val="003A19FB"/>
    <w:rsid w:val="003A2000"/>
    <w:rsid w:val="003A21FA"/>
    <w:rsid w:val="003A27BC"/>
    <w:rsid w:val="003A36E4"/>
    <w:rsid w:val="003A381B"/>
    <w:rsid w:val="003A3CA3"/>
    <w:rsid w:val="003A4D07"/>
    <w:rsid w:val="003A5ABA"/>
    <w:rsid w:val="003A5DBA"/>
    <w:rsid w:val="003A5E19"/>
    <w:rsid w:val="003A6118"/>
    <w:rsid w:val="003A733C"/>
    <w:rsid w:val="003B0BD2"/>
    <w:rsid w:val="003B147C"/>
    <w:rsid w:val="003B1E5F"/>
    <w:rsid w:val="003B254D"/>
    <w:rsid w:val="003B2867"/>
    <w:rsid w:val="003B2D31"/>
    <w:rsid w:val="003B2ED5"/>
    <w:rsid w:val="003B3282"/>
    <w:rsid w:val="003B37A1"/>
    <w:rsid w:val="003B3C51"/>
    <w:rsid w:val="003B4A08"/>
    <w:rsid w:val="003B4B2E"/>
    <w:rsid w:val="003B4DA0"/>
    <w:rsid w:val="003B549F"/>
    <w:rsid w:val="003B5936"/>
    <w:rsid w:val="003B5E2E"/>
    <w:rsid w:val="003B5F2E"/>
    <w:rsid w:val="003B648C"/>
    <w:rsid w:val="003B6AB2"/>
    <w:rsid w:val="003B7246"/>
    <w:rsid w:val="003B7D21"/>
    <w:rsid w:val="003C08CE"/>
    <w:rsid w:val="003C1097"/>
    <w:rsid w:val="003C1F6B"/>
    <w:rsid w:val="003C29A2"/>
    <w:rsid w:val="003C2C98"/>
    <w:rsid w:val="003C2F1C"/>
    <w:rsid w:val="003C36A6"/>
    <w:rsid w:val="003C3E1B"/>
    <w:rsid w:val="003C4105"/>
    <w:rsid w:val="003C4718"/>
    <w:rsid w:val="003C5B8F"/>
    <w:rsid w:val="003C60DB"/>
    <w:rsid w:val="003C617F"/>
    <w:rsid w:val="003C6228"/>
    <w:rsid w:val="003C6575"/>
    <w:rsid w:val="003C65BF"/>
    <w:rsid w:val="003C6C96"/>
    <w:rsid w:val="003C6E6C"/>
    <w:rsid w:val="003C6FA1"/>
    <w:rsid w:val="003C72FE"/>
    <w:rsid w:val="003C74C1"/>
    <w:rsid w:val="003C766D"/>
    <w:rsid w:val="003C79EF"/>
    <w:rsid w:val="003C7A52"/>
    <w:rsid w:val="003D0211"/>
    <w:rsid w:val="003D139D"/>
    <w:rsid w:val="003D1651"/>
    <w:rsid w:val="003D188B"/>
    <w:rsid w:val="003D1F59"/>
    <w:rsid w:val="003D260D"/>
    <w:rsid w:val="003D2741"/>
    <w:rsid w:val="003D2C49"/>
    <w:rsid w:val="003D32C0"/>
    <w:rsid w:val="003D3C32"/>
    <w:rsid w:val="003D4049"/>
    <w:rsid w:val="003D4D79"/>
    <w:rsid w:val="003D5087"/>
    <w:rsid w:val="003D55BB"/>
    <w:rsid w:val="003D643D"/>
    <w:rsid w:val="003D6A4F"/>
    <w:rsid w:val="003D6AC1"/>
    <w:rsid w:val="003D6F55"/>
    <w:rsid w:val="003D6FD0"/>
    <w:rsid w:val="003D73F3"/>
    <w:rsid w:val="003D7975"/>
    <w:rsid w:val="003D7A45"/>
    <w:rsid w:val="003D7E23"/>
    <w:rsid w:val="003D7F18"/>
    <w:rsid w:val="003D7F5D"/>
    <w:rsid w:val="003E03BF"/>
    <w:rsid w:val="003E0476"/>
    <w:rsid w:val="003E129B"/>
    <w:rsid w:val="003E1CC4"/>
    <w:rsid w:val="003E2197"/>
    <w:rsid w:val="003E2240"/>
    <w:rsid w:val="003E2F18"/>
    <w:rsid w:val="003E2F84"/>
    <w:rsid w:val="003E2FB3"/>
    <w:rsid w:val="003E4E2C"/>
    <w:rsid w:val="003E4F77"/>
    <w:rsid w:val="003E5B50"/>
    <w:rsid w:val="003E6587"/>
    <w:rsid w:val="003E6623"/>
    <w:rsid w:val="003E68CD"/>
    <w:rsid w:val="003E7033"/>
    <w:rsid w:val="003E732A"/>
    <w:rsid w:val="003E73C7"/>
    <w:rsid w:val="003E7657"/>
    <w:rsid w:val="003E7CC9"/>
    <w:rsid w:val="003F024C"/>
    <w:rsid w:val="003F0435"/>
    <w:rsid w:val="003F074F"/>
    <w:rsid w:val="003F0792"/>
    <w:rsid w:val="003F0A7D"/>
    <w:rsid w:val="003F1984"/>
    <w:rsid w:val="003F233A"/>
    <w:rsid w:val="003F2A10"/>
    <w:rsid w:val="003F2A3D"/>
    <w:rsid w:val="003F2E89"/>
    <w:rsid w:val="003F2ED4"/>
    <w:rsid w:val="003F33B3"/>
    <w:rsid w:val="003F3539"/>
    <w:rsid w:val="003F3B36"/>
    <w:rsid w:val="003F3C37"/>
    <w:rsid w:val="003F3E0B"/>
    <w:rsid w:val="003F3FD0"/>
    <w:rsid w:val="003F4839"/>
    <w:rsid w:val="003F5027"/>
    <w:rsid w:val="003F5297"/>
    <w:rsid w:val="003F5596"/>
    <w:rsid w:val="003F5AC5"/>
    <w:rsid w:val="003F5C92"/>
    <w:rsid w:val="003F6253"/>
    <w:rsid w:val="003F65D9"/>
    <w:rsid w:val="003F6CF4"/>
    <w:rsid w:val="003F758D"/>
    <w:rsid w:val="003F765A"/>
    <w:rsid w:val="003F7872"/>
    <w:rsid w:val="003F7B9A"/>
    <w:rsid w:val="004006A3"/>
    <w:rsid w:val="0040070E"/>
    <w:rsid w:val="0040082B"/>
    <w:rsid w:val="00400B3F"/>
    <w:rsid w:val="00400DFD"/>
    <w:rsid w:val="00400E15"/>
    <w:rsid w:val="00402218"/>
    <w:rsid w:val="0040301A"/>
    <w:rsid w:val="004042F3"/>
    <w:rsid w:val="00404497"/>
    <w:rsid w:val="00404849"/>
    <w:rsid w:val="004048FA"/>
    <w:rsid w:val="0040501A"/>
    <w:rsid w:val="00405859"/>
    <w:rsid w:val="0040616D"/>
    <w:rsid w:val="004061B1"/>
    <w:rsid w:val="004062CF"/>
    <w:rsid w:val="004066D1"/>
    <w:rsid w:val="00406AE5"/>
    <w:rsid w:val="00407377"/>
    <w:rsid w:val="0040785A"/>
    <w:rsid w:val="004079E0"/>
    <w:rsid w:val="00407A64"/>
    <w:rsid w:val="0041003D"/>
    <w:rsid w:val="0041196A"/>
    <w:rsid w:val="004125E1"/>
    <w:rsid w:val="0041267B"/>
    <w:rsid w:val="00412D0D"/>
    <w:rsid w:val="0041328B"/>
    <w:rsid w:val="004133F9"/>
    <w:rsid w:val="00413745"/>
    <w:rsid w:val="00413D4B"/>
    <w:rsid w:val="00413DE8"/>
    <w:rsid w:val="00414268"/>
    <w:rsid w:val="004148ED"/>
    <w:rsid w:val="00414B0C"/>
    <w:rsid w:val="00414CF9"/>
    <w:rsid w:val="00415C04"/>
    <w:rsid w:val="00416190"/>
    <w:rsid w:val="00416A49"/>
    <w:rsid w:val="00416D1A"/>
    <w:rsid w:val="00417EE3"/>
    <w:rsid w:val="004202E9"/>
    <w:rsid w:val="004209C5"/>
    <w:rsid w:val="004211EE"/>
    <w:rsid w:val="004212F0"/>
    <w:rsid w:val="00421A29"/>
    <w:rsid w:val="00421CD7"/>
    <w:rsid w:val="00421F62"/>
    <w:rsid w:val="0042347F"/>
    <w:rsid w:val="00423598"/>
    <w:rsid w:val="00423DDE"/>
    <w:rsid w:val="00424272"/>
    <w:rsid w:val="0042429D"/>
    <w:rsid w:val="0042458D"/>
    <w:rsid w:val="0042466C"/>
    <w:rsid w:val="00424AA9"/>
    <w:rsid w:val="00424B1C"/>
    <w:rsid w:val="00424B73"/>
    <w:rsid w:val="00424D26"/>
    <w:rsid w:val="00425787"/>
    <w:rsid w:val="00425BBE"/>
    <w:rsid w:val="00425DD0"/>
    <w:rsid w:val="00425F55"/>
    <w:rsid w:val="00426695"/>
    <w:rsid w:val="00426CF7"/>
    <w:rsid w:val="00427052"/>
    <w:rsid w:val="0042734D"/>
    <w:rsid w:val="0043006F"/>
    <w:rsid w:val="004303C9"/>
    <w:rsid w:val="004308D6"/>
    <w:rsid w:val="00430A79"/>
    <w:rsid w:val="00431550"/>
    <w:rsid w:val="00431DBA"/>
    <w:rsid w:val="00431DDC"/>
    <w:rsid w:val="004320BF"/>
    <w:rsid w:val="004321CB"/>
    <w:rsid w:val="004328A7"/>
    <w:rsid w:val="0043296F"/>
    <w:rsid w:val="00432A2F"/>
    <w:rsid w:val="004330D5"/>
    <w:rsid w:val="004330E5"/>
    <w:rsid w:val="0043442B"/>
    <w:rsid w:val="00434456"/>
    <w:rsid w:val="0043486E"/>
    <w:rsid w:val="004355FB"/>
    <w:rsid w:val="00435B5F"/>
    <w:rsid w:val="00435BF1"/>
    <w:rsid w:val="004360A2"/>
    <w:rsid w:val="00436E82"/>
    <w:rsid w:val="00436EA7"/>
    <w:rsid w:val="004371E9"/>
    <w:rsid w:val="004374C7"/>
    <w:rsid w:val="0043761A"/>
    <w:rsid w:val="00437926"/>
    <w:rsid w:val="004379A8"/>
    <w:rsid w:val="00437A3B"/>
    <w:rsid w:val="00437D77"/>
    <w:rsid w:val="00437D9C"/>
    <w:rsid w:val="00440405"/>
    <w:rsid w:val="00440A45"/>
    <w:rsid w:val="00440D80"/>
    <w:rsid w:val="00440E9B"/>
    <w:rsid w:val="00441D14"/>
    <w:rsid w:val="00441F73"/>
    <w:rsid w:val="004421B4"/>
    <w:rsid w:val="00442610"/>
    <w:rsid w:val="00442A3E"/>
    <w:rsid w:val="00442BF1"/>
    <w:rsid w:val="00442C39"/>
    <w:rsid w:val="00442F7F"/>
    <w:rsid w:val="004435EF"/>
    <w:rsid w:val="0044373D"/>
    <w:rsid w:val="00443AD1"/>
    <w:rsid w:val="00443AD4"/>
    <w:rsid w:val="00443CB8"/>
    <w:rsid w:val="00443ED0"/>
    <w:rsid w:val="00444ECF"/>
    <w:rsid w:val="0044536D"/>
    <w:rsid w:val="00445504"/>
    <w:rsid w:val="00445770"/>
    <w:rsid w:val="00446433"/>
    <w:rsid w:val="00446CA4"/>
    <w:rsid w:val="004470FB"/>
    <w:rsid w:val="004473E4"/>
    <w:rsid w:val="004504F7"/>
    <w:rsid w:val="00450C23"/>
    <w:rsid w:val="004510A7"/>
    <w:rsid w:val="00451595"/>
    <w:rsid w:val="004518A8"/>
    <w:rsid w:val="00452369"/>
    <w:rsid w:val="00452454"/>
    <w:rsid w:val="00452488"/>
    <w:rsid w:val="00453760"/>
    <w:rsid w:val="00453ABD"/>
    <w:rsid w:val="00453E29"/>
    <w:rsid w:val="00453FF5"/>
    <w:rsid w:val="0045419F"/>
    <w:rsid w:val="004542BF"/>
    <w:rsid w:val="00454635"/>
    <w:rsid w:val="00454752"/>
    <w:rsid w:val="00454DBD"/>
    <w:rsid w:val="004550BC"/>
    <w:rsid w:val="00455155"/>
    <w:rsid w:val="0045561C"/>
    <w:rsid w:val="00455DDC"/>
    <w:rsid w:val="00456E8F"/>
    <w:rsid w:val="00457074"/>
    <w:rsid w:val="0046108F"/>
    <w:rsid w:val="0046177D"/>
    <w:rsid w:val="00461B2A"/>
    <w:rsid w:val="0046235C"/>
    <w:rsid w:val="00462538"/>
    <w:rsid w:val="00462915"/>
    <w:rsid w:val="00462F28"/>
    <w:rsid w:val="00462F4E"/>
    <w:rsid w:val="00462FE4"/>
    <w:rsid w:val="00463517"/>
    <w:rsid w:val="004637D6"/>
    <w:rsid w:val="00463B8A"/>
    <w:rsid w:val="004642DB"/>
    <w:rsid w:val="00464509"/>
    <w:rsid w:val="004647ED"/>
    <w:rsid w:val="00464D89"/>
    <w:rsid w:val="00465438"/>
    <w:rsid w:val="0046556F"/>
    <w:rsid w:val="00465C2B"/>
    <w:rsid w:val="00465E93"/>
    <w:rsid w:val="00466629"/>
    <w:rsid w:val="00466A3B"/>
    <w:rsid w:val="00467228"/>
    <w:rsid w:val="0046766F"/>
    <w:rsid w:val="00467BED"/>
    <w:rsid w:val="00467D08"/>
    <w:rsid w:val="00470358"/>
    <w:rsid w:val="004706E4"/>
    <w:rsid w:val="004707AB"/>
    <w:rsid w:val="00470D63"/>
    <w:rsid w:val="00472552"/>
    <w:rsid w:val="00472BEE"/>
    <w:rsid w:val="00473467"/>
    <w:rsid w:val="00473959"/>
    <w:rsid w:val="00473E66"/>
    <w:rsid w:val="004747B1"/>
    <w:rsid w:val="00474A0E"/>
    <w:rsid w:val="00475878"/>
    <w:rsid w:val="00475FFF"/>
    <w:rsid w:val="0047606F"/>
    <w:rsid w:val="0047608F"/>
    <w:rsid w:val="00476255"/>
    <w:rsid w:val="00476850"/>
    <w:rsid w:val="00476925"/>
    <w:rsid w:val="00476C79"/>
    <w:rsid w:val="00480CAA"/>
    <w:rsid w:val="00480E2C"/>
    <w:rsid w:val="00480FB3"/>
    <w:rsid w:val="004811DB"/>
    <w:rsid w:val="00481792"/>
    <w:rsid w:val="00481FAF"/>
    <w:rsid w:val="004821FF"/>
    <w:rsid w:val="00482670"/>
    <w:rsid w:val="00482D91"/>
    <w:rsid w:val="00482ED2"/>
    <w:rsid w:val="00483063"/>
    <w:rsid w:val="00483667"/>
    <w:rsid w:val="00483F36"/>
    <w:rsid w:val="004846E3"/>
    <w:rsid w:val="00485200"/>
    <w:rsid w:val="00485A91"/>
    <w:rsid w:val="00485D30"/>
    <w:rsid w:val="00486185"/>
    <w:rsid w:val="00486531"/>
    <w:rsid w:val="004865EB"/>
    <w:rsid w:val="00486C00"/>
    <w:rsid w:val="00486DDE"/>
    <w:rsid w:val="004877AD"/>
    <w:rsid w:val="00487A11"/>
    <w:rsid w:val="00487BE0"/>
    <w:rsid w:val="0049047E"/>
    <w:rsid w:val="00490EBA"/>
    <w:rsid w:val="004911C3"/>
    <w:rsid w:val="004914E1"/>
    <w:rsid w:val="004918A0"/>
    <w:rsid w:val="0049195A"/>
    <w:rsid w:val="00491FAA"/>
    <w:rsid w:val="0049237D"/>
    <w:rsid w:val="00492A22"/>
    <w:rsid w:val="00492BB1"/>
    <w:rsid w:val="00492F43"/>
    <w:rsid w:val="00493093"/>
    <w:rsid w:val="00493320"/>
    <w:rsid w:val="004938F3"/>
    <w:rsid w:val="004938F8"/>
    <w:rsid w:val="00493B39"/>
    <w:rsid w:val="004948BE"/>
    <w:rsid w:val="00494C4D"/>
    <w:rsid w:val="00494C5A"/>
    <w:rsid w:val="00495053"/>
    <w:rsid w:val="004953EE"/>
    <w:rsid w:val="0049574F"/>
    <w:rsid w:val="00495B74"/>
    <w:rsid w:val="00495C21"/>
    <w:rsid w:val="00495C36"/>
    <w:rsid w:val="00495CB4"/>
    <w:rsid w:val="0049668F"/>
    <w:rsid w:val="00496761"/>
    <w:rsid w:val="00496F22"/>
    <w:rsid w:val="00496F95"/>
    <w:rsid w:val="0049729D"/>
    <w:rsid w:val="00497F7D"/>
    <w:rsid w:val="004A1975"/>
    <w:rsid w:val="004A19C5"/>
    <w:rsid w:val="004A2AED"/>
    <w:rsid w:val="004A2C91"/>
    <w:rsid w:val="004A2F3F"/>
    <w:rsid w:val="004A3A35"/>
    <w:rsid w:val="004A3AEE"/>
    <w:rsid w:val="004A3D25"/>
    <w:rsid w:val="004A3F75"/>
    <w:rsid w:val="004A40E4"/>
    <w:rsid w:val="004A4E43"/>
    <w:rsid w:val="004A5352"/>
    <w:rsid w:val="004A58FD"/>
    <w:rsid w:val="004A5C64"/>
    <w:rsid w:val="004A5F6A"/>
    <w:rsid w:val="004A6A0C"/>
    <w:rsid w:val="004A6ED9"/>
    <w:rsid w:val="004A6EFF"/>
    <w:rsid w:val="004A74B5"/>
    <w:rsid w:val="004A784A"/>
    <w:rsid w:val="004B07C6"/>
    <w:rsid w:val="004B08C2"/>
    <w:rsid w:val="004B123A"/>
    <w:rsid w:val="004B124A"/>
    <w:rsid w:val="004B15B3"/>
    <w:rsid w:val="004B19DF"/>
    <w:rsid w:val="004B22D4"/>
    <w:rsid w:val="004B235A"/>
    <w:rsid w:val="004B23E2"/>
    <w:rsid w:val="004B2693"/>
    <w:rsid w:val="004B2A7A"/>
    <w:rsid w:val="004B2B00"/>
    <w:rsid w:val="004B2CFD"/>
    <w:rsid w:val="004B2DA1"/>
    <w:rsid w:val="004B2F1E"/>
    <w:rsid w:val="004B3BB9"/>
    <w:rsid w:val="004B439C"/>
    <w:rsid w:val="004B4B8E"/>
    <w:rsid w:val="004B55B9"/>
    <w:rsid w:val="004B5BAE"/>
    <w:rsid w:val="004B5EBF"/>
    <w:rsid w:val="004B6330"/>
    <w:rsid w:val="004B65AC"/>
    <w:rsid w:val="004B6A73"/>
    <w:rsid w:val="004B6D5F"/>
    <w:rsid w:val="004B70CE"/>
    <w:rsid w:val="004B7337"/>
    <w:rsid w:val="004B7468"/>
    <w:rsid w:val="004B77B3"/>
    <w:rsid w:val="004C012B"/>
    <w:rsid w:val="004C0430"/>
    <w:rsid w:val="004C0B3E"/>
    <w:rsid w:val="004C1C4F"/>
    <w:rsid w:val="004C27A4"/>
    <w:rsid w:val="004C314C"/>
    <w:rsid w:val="004C37AE"/>
    <w:rsid w:val="004C3A57"/>
    <w:rsid w:val="004C48DA"/>
    <w:rsid w:val="004C4D10"/>
    <w:rsid w:val="004C4F6F"/>
    <w:rsid w:val="004C503B"/>
    <w:rsid w:val="004C587D"/>
    <w:rsid w:val="004C5FE3"/>
    <w:rsid w:val="004C60C7"/>
    <w:rsid w:val="004C672F"/>
    <w:rsid w:val="004C6D66"/>
    <w:rsid w:val="004C7951"/>
    <w:rsid w:val="004C79D5"/>
    <w:rsid w:val="004C7C08"/>
    <w:rsid w:val="004D0C6B"/>
    <w:rsid w:val="004D0D8E"/>
    <w:rsid w:val="004D0F12"/>
    <w:rsid w:val="004D0F8A"/>
    <w:rsid w:val="004D11E3"/>
    <w:rsid w:val="004D12AF"/>
    <w:rsid w:val="004D1D9B"/>
    <w:rsid w:val="004D1FE5"/>
    <w:rsid w:val="004D207B"/>
    <w:rsid w:val="004D23AD"/>
    <w:rsid w:val="004D2AC9"/>
    <w:rsid w:val="004D2B74"/>
    <w:rsid w:val="004D3400"/>
    <w:rsid w:val="004D37CD"/>
    <w:rsid w:val="004D38F8"/>
    <w:rsid w:val="004D3C1B"/>
    <w:rsid w:val="004D3CC8"/>
    <w:rsid w:val="004D42A4"/>
    <w:rsid w:val="004D4C77"/>
    <w:rsid w:val="004D55D0"/>
    <w:rsid w:val="004D594D"/>
    <w:rsid w:val="004D59A1"/>
    <w:rsid w:val="004D68BF"/>
    <w:rsid w:val="004D7460"/>
    <w:rsid w:val="004D7F91"/>
    <w:rsid w:val="004D7FDD"/>
    <w:rsid w:val="004E02D0"/>
    <w:rsid w:val="004E03BC"/>
    <w:rsid w:val="004E2000"/>
    <w:rsid w:val="004E24B2"/>
    <w:rsid w:val="004E2FF1"/>
    <w:rsid w:val="004E30CA"/>
    <w:rsid w:val="004E3C27"/>
    <w:rsid w:val="004E400F"/>
    <w:rsid w:val="004E4DAA"/>
    <w:rsid w:val="004E55B2"/>
    <w:rsid w:val="004E5C12"/>
    <w:rsid w:val="004E5E4A"/>
    <w:rsid w:val="004E6424"/>
    <w:rsid w:val="004E7060"/>
    <w:rsid w:val="004E71C9"/>
    <w:rsid w:val="004E74FA"/>
    <w:rsid w:val="004E7CBF"/>
    <w:rsid w:val="004F0222"/>
    <w:rsid w:val="004F02F6"/>
    <w:rsid w:val="004F108B"/>
    <w:rsid w:val="004F122B"/>
    <w:rsid w:val="004F1CEA"/>
    <w:rsid w:val="004F2215"/>
    <w:rsid w:val="004F22E4"/>
    <w:rsid w:val="004F2562"/>
    <w:rsid w:val="004F2E20"/>
    <w:rsid w:val="004F30E0"/>
    <w:rsid w:val="004F345F"/>
    <w:rsid w:val="004F3595"/>
    <w:rsid w:val="004F3E26"/>
    <w:rsid w:val="004F428C"/>
    <w:rsid w:val="004F4875"/>
    <w:rsid w:val="004F50E4"/>
    <w:rsid w:val="004F51BA"/>
    <w:rsid w:val="004F677C"/>
    <w:rsid w:val="004F6F74"/>
    <w:rsid w:val="004F7077"/>
    <w:rsid w:val="005000E5"/>
    <w:rsid w:val="00500593"/>
    <w:rsid w:val="0050075B"/>
    <w:rsid w:val="00501B98"/>
    <w:rsid w:val="0050210C"/>
    <w:rsid w:val="00502283"/>
    <w:rsid w:val="0050231A"/>
    <w:rsid w:val="0050339F"/>
    <w:rsid w:val="005034C1"/>
    <w:rsid w:val="005035CA"/>
    <w:rsid w:val="0050377D"/>
    <w:rsid w:val="00505691"/>
    <w:rsid w:val="005058F4"/>
    <w:rsid w:val="00505D17"/>
    <w:rsid w:val="00505F4F"/>
    <w:rsid w:val="0050611F"/>
    <w:rsid w:val="005062EF"/>
    <w:rsid w:val="00506672"/>
    <w:rsid w:val="0050696C"/>
    <w:rsid w:val="00506983"/>
    <w:rsid w:val="00506B8B"/>
    <w:rsid w:val="00506C12"/>
    <w:rsid w:val="00506D84"/>
    <w:rsid w:val="00506EA0"/>
    <w:rsid w:val="00507684"/>
    <w:rsid w:val="00507798"/>
    <w:rsid w:val="00507A80"/>
    <w:rsid w:val="0051003B"/>
    <w:rsid w:val="005104F1"/>
    <w:rsid w:val="0051075A"/>
    <w:rsid w:val="00510D22"/>
    <w:rsid w:val="0051114C"/>
    <w:rsid w:val="005112A8"/>
    <w:rsid w:val="0051244C"/>
    <w:rsid w:val="00512ABD"/>
    <w:rsid w:val="00513573"/>
    <w:rsid w:val="00513A04"/>
    <w:rsid w:val="00513BE8"/>
    <w:rsid w:val="00513E04"/>
    <w:rsid w:val="00514051"/>
    <w:rsid w:val="005141CF"/>
    <w:rsid w:val="0051510D"/>
    <w:rsid w:val="005154A4"/>
    <w:rsid w:val="00515857"/>
    <w:rsid w:val="00515926"/>
    <w:rsid w:val="00515F11"/>
    <w:rsid w:val="00515F4D"/>
    <w:rsid w:val="005160C7"/>
    <w:rsid w:val="00516325"/>
    <w:rsid w:val="00516354"/>
    <w:rsid w:val="00516383"/>
    <w:rsid w:val="00516F8D"/>
    <w:rsid w:val="00517363"/>
    <w:rsid w:val="005204A6"/>
    <w:rsid w:val="00520891"/>
    <w:rsid w:val="005211F5"/>
    <w:rsid w:val="00522226"/>
    <w:rsid w:val="00522915"/>
    <w:rsid w:val="00522BBE"/>
    <w:rsid w:val="00522F10"/>
    <w:rsid w:val="00523331"/>
    <w:rsid w:val="00523F33"/>
    <w:rsid w:val="00524805"/>
    <w:rsid w:val="0052484A"/>
    <w:rsid w:val="00525015"/>
    <w:rsid w:val="00525482"/>
    <w:rsid w:val="005254D1"/>
    <w:rsid w:val="00525A81"/>
    <w:rsid w:val="00525B6D"/>
    <w:rsid w:val="00525FFE"/>
    <w:rsid w:val="0052603D"/>
    <w:rsid w:val="0052604A"/>
    <w:rsid w:val="005264A9"/>
    <w:rsid w:val="00526847"/>
    <w:rsid w:val="00526880"/>
    <w:rsid w:val="00526B42"/>
    <w:rsid w:val="005272D7"/>
    <w:rsid w:val="00527673"/>
    <w:rsid w:val="00527C27"/>
    <w:rsid w:val="00530254"/>
    <w:rsid w:val="00530C72"/>
    <w:rsid w:val="0053105A"/>
    <w:rsid w:val="005316E1"/>
    <w:rsid w:val="00532318"/>
    <w:rsid w:val="00532656"/>
    <w:rsid w:val="0053269D"/>
    <w:rsid w:val="00532DAD"/>
    <w:rsid w:val="00532E14"/>
    <w:rsid w:val="00533115"/>
    <w:rsid w:val="00533762"/>
    <w:rsid w:val="00533872"/>
    <w:rsid w:val="00534288"/>
    <w:rsid w:val="005346BB"/>
    <w:rsid w:val="00535648"/>
    <w:rsid w:val="00535AE9"/>
    <w:rsid w:val="00535E4C"/>
    <w:rsid w:val="005360D9"/>
    <w:rsid w:val="005360DD"/>
    <w:rsid w:val="0053623D"/>
    <w:rsid w:val="0053708E"/>
    <w:rsid w:val="00537305"/>
    <w:rsid w:val="0053790F"/>
    <w:rsid w:val="00537A16"/>
    <w:rsid w:val="00537A9D"/>
    <w:rsid w:val="00540526"/>
    <w:rsid w:val="00540AC3"/>
    <w:rsid w:val="005417F4"/>
    <w:rsid w:val="005422E0"/>
    <w:rsid w:val="00542BBA"/>
    <w:rsid w:val="00543185"/>
    <w:rsid w:val="005432CF"/>
    <w:rsid w:val="0054353D"/>
    <w:rsid w:val="00543954"/>
    <w:rsid w:val="00543B48"/>
    <w:rsid w:val="00543D9E"/>
    <w:rsid w:val="0054472E"/>
    <w:rsid w:val="00544AD7"/>
    <w:rsid w:val="00544C8A"/>
    <w:rsid w:val="00545AAA"/>
    <w:rsid w:val="00546717"/>
    <w:rsid w:val="00546B39"/>
    <w:rsid w:val="00546C0F"/>
    <w:rsid w:val="00546D9C"/>
    <w:rsid w:val="005472AB"/>
    <w:rsid w:val="005473E6"/>
    <w:rsid w:val="00547DEA"/>
    <w:rsid w:val="0055096A"/>
    <w:rsid w:val="00550DC5"/>
    <w:rsid w:val="00551571"/>
    <w:rsid w:val="005519ED"/>
    <w:rsid w:val="005519F6"/>
    <w:rsid w:val="00551AE3"/>
    <w:rsid w:val="00551D64"/>
    <w:rsid w:val="00551FD4"/>
    <w:rsid w:val="00552326"/>
    <w:rsid w:val="005524AA"/>
    <w:rsid w:val="00552543"/>
    <w:rsid w:val="00552D05"/>
    <w:rsid w:val="00552DFF"/>
    <w:rsid w:val="00552FB9"/>
    <w:rsid w:val="005533C0"/>
    <w:rsid w:val="00554149"/>
    <w:rsid w:val="00554C4F"/>
    <w:rsid w:val="00554CF1"/>
    <w:rsid w:val="0055506D"/>
    <w:rsid w:val="00555124"/>
    <w:rsid w:val="005553DB"/>
    <w:rsid w:val="0055553B"/>
    <w:rsid w:val="0055570D"/>
    <w:rsid w:val="00555B41"/>
    <w:rsid w:val="00555D54"/>
    <w:rsid w:val="005563F5"/>
    <w:rsid w:val="005569D6"/>
    <w:rsid w:val="00556AD4"/>
    <w:rsid w:val="00556BA1"/>
    <w:rsid w:val="00557739"/>
    <w:rsid w:val="0055782C"/>
    <w:rsid w:val="0055782F"/>
    <w:rsid w:val="00557F39"/>
    <w:rsid w:val="00560268"/>
    <w:rsid w:val="005605EA"/>
    <w:rsid w:val="00560B84"/>
    <w:rsid w:val="00560C87"/>
    <w:rsid w:val="00560D57"/>
    <w:rsid w:val="00561963"/>
    <w:rsid w:val="00562F1C"/>
    <w:rsid w:val="005633CB"/>
    <w:rsid w:val="005635C6"/>
    <w:rsid w:val="005638AA"/>
    <w:rsid w:val="00563982"/>
    <w:rsid w:val="00563CCE"/>
    <w:rsid w:val="0056435C"/>
    <w:rsid w:val="0056467D"/>
    <w:rsid w:val="00564F19"/>
    <w:rsid w:val="00565BC8"/>
    <w:rsid w:val="0056611A"/>
    <w:rsid w:val="0056691F"/>
    <w:rsid w:val="005676F5"/>
    <w:rsid w:val="00567749"/>
    <w:rsid w:val="00567A94"/>
    <w:rsid w:val="00567D2F"/>
    <w:rsid w:val="00570C84"/>
    <w:rsid w:val="00570EFC"/>
    <w:rsid w:val="005713EE"/>
    <w:rsid w:val="0057240C"/>
    <w:rsid w:val="00572809"/>
    <w:rsid w:val="00573459"/>
    <w:rsid w:val="00573BDF"/>
    <w:rsid w:val="00573EF1"/>
    <w:rsid w:val="005742D5"/>
    <w:rsid w:val="00574BA5"/>
    <w:rsid w:val="00574E4A"/>
    <w:rsid w:val="00574FA5"/>
    <w:rsid w:val="00575D25"/>
    <w:rsid w:val="005761A5"/>
    <w:rsid w:val="0057642A"/>
    <w:rsid w:val="00576784"/>
    <w:rsid w:val="0057687E"/>
    <w:rsid w:val="00576CDE"/>
    <w:rsid w:val="005772D0"/>
    <w:rsid w:val="005773FE"/>
    <w:rsid w:val="00577733"/>
    <w:rsid w:val="005777E7"/>
    <w:rsid w:val="00577AF0"/>
    <w:rsid w:val="0058041F"/>
    <w:rsid w:val="00580C4F"/>
    <w:rsid w:val="0058138E"/>
    <w:rsid w:val="0058202E"/>
    <w:rsid w:val="00582E56"/>
    <w:rsid w:val="00582EB4"/>
    <w:rsid w:val="00582F11"/>
    <w:rsid w:val="005838BC"/>
    <w:rsid w:val="00583932"/>
    <w:rsid w:val="00583D11"/>
    <w:rsid w:val="00584229"/>
    <w:rsid w:val="00584A97"/>
    <w:rsid w:val="00585539"/>
    <w:rsid w:val="00585FA3"/>
    <w:rsid w:val="00585FD0"/>
    <w:rsid w:val="00586084"/>
    <w:rsid w:val="0058662C"/>
    <w:rsid w:val="00586E94"/>
    <w:rsid w:val="005870BD"/>
    <w:rsid w:val="005873CE"/>
    <w:rsid w:val="0058767E"/>
    <w:rsid w:val="0058794F"/>
    <w:rsid w:val="0059033A"/>
    <w:rsid w:val="00590DF2"/>
    <w:rsid w:val="00590E8B"/>
    <w:rsid w:val="00591791"/>
    <w:rsid w:val="005918F7"/>
    <w:rsid w:val="00591DA0"/>
    <w:rsid w:val="00591ED0"/>
    <w:rsid w:val="00591FAC"/>
    <w:rsid w:val="00592E9E"/>
    <w:rsid w:val="00592EB4"/>
    <w:rsid w:val="0059376D"/>
    <w:rsid w:val="00594389"/>
    <w:rsid w:val="00594525"/>
    <w:rsid w:val="0059469B"/>
    <w:rsid w:val="005951B4"/>
    <w:rsid w:val="00595203"/>
    <w:rsid w:val="005952A9"/>
    <w:rsid w:val="00595B42"/>
    <w:rsid w:val="00596007"/>
    <w:rsid w:val="005966AF"/>
    <w:rsid w:val="00596799"/>
    <w:rsid w:val="00597152"/>
    <w:rsid w:val="00597748"/>
    <w:rsid w:val="0059780F"/>
    <w:rsid w:val="00597BC0"/>
    <w:rsid w:val="00597C3C"/>
    <w:rsid w:val="005A05F5"/>
    <w:rsid w:val="005A0665"/>
    <w:rsid w:val="005A150E"/>
    <w:rsid w:val="005A16EF"/>
    <w:rsid w:val="005A1864"/>
    <w:rsid w:val="005A1913"/>
    <w:rsid w:val="005A1AE9"/>
    <w:rsid w:val="005A1C5D"/>
    <w:rsid w:val="005A1C88"/>
    <w:rsid w:val="005A26BE"/>
    <w:rsid w:val="005A28E5"/>
    <w:rsid w:val="005A2A8C"/>
    <w:rsid w:val="005A2F36"/>
    <w:rsid w:val="005A4BBD"/>
    <w:rsid w:val="005A515D"/>
    <w:rsid w:val="005A5806"/>
    <w:rsid w:val="005A5880"/>
    <w:rsid w:val="005A59F3"/>
    <w:rsid w:val="005A61C7"/>
    <w:rsid w:val="005A6322"/>
    <w:rsid w:val="005A6392"/>
    <w:rsid w:val="005A7057"/>
    <w:rsid w:val="005A7218"/>
    <w:rsid w:val="005A788E"/>
    <w:rsid w:val="005B06A9"/>
    <w:rsid w:val="005B08EC"/>
    <w:rsid w:val="005B0984"/>
    <w:rsid w:val="005B0B13"/>
    <w:rsid w:val="005B0CDF"/>
    <w:rsid w:val="005B0D41"/>
    <w:rsid w:val="005B1076"/>
    <w:rsid w:val="005B1A61"/>
    <w:rsid w:val="005B1D9F"/>
    <w:rsid w:val="005B1DD8"/>
    <w:rsid w:val="005B228B"/>
    <w:rsid w:val="005B2595"/>
    <w:rsid w:val="005B2D6F"/>
    <w:rsid w:val="005B2DB9"/>
    <w:rsid w:val="005B322B"/>
    <w:rsid w:val="005B3267"/>
    <w:rsid w:val="005B32CC"/>
    <w:rsid w:val="005B34A4"/>
    <w:rsid w:val="005B3D54"/>
    <w:rsid w:val="005B443D"/>
    <w:rsid w:val="005B4A58"/>
    <w:rsid w:val="005B4CAE"/>
    <w:rsid w:val="005B50B4"/>
    <w:rsid w:val="005B5618"/>
    <w:rsid w:val="005B6135"/>
    <w:rsid w:val="005B6E69"/>
    <w:rsid w:val="005B7FB1"/>
    <w:rsid w:val="005C0000"/>
    <w:rsid w:val="005C02B2"/>
    <w:rsid w:val="005C03EF"/>
    <w:rsid w:val="005C0476"/>
    <w:rsid w:val="005C0650"/>
    <w:rsid w:val="005C1A30"/>
    <w:rsid w:val="005C1D97"/>
    <w:rsid w:val="005C20BF"/>
    <w:rsid w:val="005C2347"/>
    <w:rsid w:val="005C2B37"/>
    <w:rsid w:val="005C2F32"/>
    <w:rsid w:val="005C336F"/>
    <w:rsid w:val="005C344B"/>
    <w:rsid w:val="005C3BDE"/>
    <w:rsid w:val="005C3C43"/>
    <w:rsid w:val="005C4019"/>
    <w:rsid w:val="005C40F2"/>
    <w:rsid w:val="005C4801"/>
    <w:rsid w:val="005C4DEF"/>
    <w:rsid w:val="005C7AFA"/>
    <w:rsid w:val="005C7F9F"/>
    <w:rsid w:val="005D0BC8"/>
    <w:rsid w:val="005D0FC6"/>
    <w:rsid w:val="005D1695"/>
    <w:rsid w:val="005D194C"/>
    <w:rsid w:val="005D1F69"/>
    <w:rsid w:val="005D2198"/>
    <w:rsid w:val="005D289B"/>
    <w:rsid w:val="005D2D21"/>
    <w:rsid w:val="005D2FA3"/>
    <w:rsid w:val="005D331D"/>
    <w:rsid w:val="005D3652"/>
    <w:rsid w:val="005D3F62"/>
    <w:rsid w:val="005D413E"/>
    <w:rsid w:val="005D4A6B"/>
    <w:rsid w:val="005D575E"/>
    <w:rsid w:val="005D5BB7"/>
    <w:rsid w:val="005D66F5"/>
    <w:rsid w:val="005E0470"/>
    <w:rsid w:val="005E0CAA"/>
    <w:rsid w:val="005E0F72"/>
    <w:rsid w:val="005E1EB9"/>
    <w:rsid w:val="005E20E1"/>
    <w:rsid w:val="005E2905"/>
    <w:rsid w:val="005E2937"/>
    <w:rsid w:val="005E2B63"/>
    <w:rsid w:val="005E2D07"/>
    <w:rsid w:val="005E304E"/>
    <w:rsid w:val="005E51BA"/>
    <w:rsid w:val="005E5566"/>
    <w:rsid w:val="005E600B"/>
    <w:rsid w:val="005E61B0"/>
    <w:rsid w:val="005E63CF"/>
    <w:rsid w:val="005E6641"/>
    <w:rsid w:val="005E67F9"/>
    <w:rsid w:val="005E68C3"/>
    <w:rsid w:val="005E6999"/>
    <w:rsid w:val="005E69AF"/>
    <w:rsid w:val="005E7459"/>
    <w:rsid w:val="005E7714"/>
    <w:rsid w:val="005E7D43"/>
    <w:rsid w:val="005F01F2"/>
    <w:rsid w:val="005F0524"/>
    <w:rsid w:val="005F0A1D"/>
    <w:rsid w:val="005F0D74"/>
    <w:rsid w:val="005F28A1"/>
    <w:rsid w:val="005F29ED"/>
    <w:rsid w:val="005F2C5B"/>
    <w:rsid w:val="005F2C95"/>
    <w:rsid w:val="005F2DB8"/>
    <w:rsid w:val="005F2FCA"/>
    <w:rsid w:val="005F2FF7"/>
    <w:rsid w:val="005F331D"/>
    <w:rsid w:val="005F3F39"/>
    <w:rsid w:val="005F4089"/>
    <w:rsid w:val="005F48FE"/>
    <w:rsid w:val="005F4934"/>
    <w:rsid w:val="005F56DB"/>
    <w:rsid w:val="005F5A02"/>
    <w:rsid w:val="005F5E9F"/>
    <w:rsid w:val="005F64A1"/>
    <w:rsid w:val="005F668E"/>
    <w:rsid w:val="005F672B"/>
    <w:rsid w:val="005F6BC7"/>
    <w:rsid w:val="005F6ED5"/>
    <w:rsid w:val="005F6F46"/>
    <w:rsid w:val="005F707F"/>
    <w:rsid w:val="005F73EB"/>
    <w:rsid w:val="005F7569"/>
    <w:rsid w:val="005F7CC2"/>
    <w:rsid w:val="005F7F39"/>
    <w:rsid w:val="00600616"/>
    <w:rsid w:val="006008B2"/>
    <w:rsid w:val="00600AB0"/>
    <w:rsid w:val="00601185"/>
    <w:rsid w:val="0060165A"/>
    <w:rsid w:val="00601743"/>
    <w:rsid w:val="00601AED"/>
    <w:rsid w:val="00601B32"/>
    <w:rsid w:val="00601D48"/>
    <w:rsid w:val="00601F6A"/>
    <w:rsid w:val="0060284B"/>
    <w:rsid w:val="00602E2F"/>
    <w:rsid w:val="00603077"/>
    <w:rsid w:val="006034DF"/>
    <w:rsid w:val="00603AEE"/>
    <w:rsid w:val="00603B64"/>
    <w:rsid w:val="00604CAD"/>
    <w:rsid w:val="00605650"/>
    <w:rsid w:val="00605D03"/>
    <w:rsid w:val="00605FD5"/>
    <w:rsid w:val="006062BD"/>
    <w:rsid w:val="0060657F"/>
    <w:rsid w:val="00606D43"/>
    <w:rsid w:val="00606EA2"/>
    <w:rsid w:val="006072CA"/>
    <w:rsid w:val="006076BD"/>
    <w:rsid w:val="00607E79"/>
    <w:rsid w:val="00607EBF"/>
    <w:rsid w:val="006101A9"/>
    <w:rsid w:val="00610309"/>
    <w:rsid w:val="006117CB"/>
    <w:rsid w:val="00611915"/>
    <w:rsid w:val="00611F17"/>
    <w:rsid w:val="00612274"/>
    <w:rsid w:val="00612275"/>
    <w:rsid w:val="006129DD"/>
    <w:rsid w:val="006134B6"/>
    <w:rsid w:val="00613F31"/>
    <w:rsid w:val="00614445"/>
    <w:rsid w:val="00614449"/>
    <w:rsid w:val="0061454E"/>
    <w:rsid w:val="0061492C"/>
    <w:rsid w:val="006150C5"/>
    <w:rsid w:val="006154BF"/>
    <w:rsid w:val="00615EDC"/>
    <w:rsid w:val="00616839"/>
    <w:rsid w:val="00616ADD"/>
    <w:rsid w:val="00616F0D"/>
    <w:rsid w:val="006170AA"/>
    <w:rsid w:val="0061756A"/>
    <w:rsid w:val="00620002"/>
    <w:rsid w:val="006206AA"/>
    <w:rsid w:val="00620BBF"/>
    <w:rsid w:val="00621133"/>
    <w:rsid w:val="006215EB"/>
    <w:rsid w:val="00622764"/>
    <w:rsid w:val="00622C10"/>
    <w:rsid w:val="006235D4"/>
    <w:rsid w:val="00623D5B"/>
    <w:rsid w:val="00624AD6"/>
    <w:rsid w:val="00625BB9"/>
    <w:rsid w:val="00625CF1"/>
    <w:rsid w:val="00626443"/>
    <w:rsid w:val="006269D4"/>
    <w:rsid w:val="00627137"/>
    <w:rsid w:val="006275DC"/>
    <w:rsid w:val="00627C46"/>
    <w:rsid w:val="006300D9"/>
    <w:rsid w:val="00630144"/>
    <w:rsid w:val="00630532"/>
    <w:rsid w:val="00630577"/>
    <w:rsid w:val="00630FA1"/>
    <w:rsid w:val="00630FE6"/>
    <w:rsid w:val="006317CE"/>
    <w:rsid w:val="0063198C"/>
    <w:rsid w:val="00631CCD"/>
    <w:rsid w:val="00631D8A"/>
    <w:rsid w:val="00632B4B"/>
    <w:rsid w:val="00633259"/>
    <w:rsid w:val="006334A2"/>
    <w:rsid w:val="00633869"/>
    <w:rsid w:val="006338B2"/>
    <w:rsid w:val="006339A4"/>
    <w:rsid w:val="00633AC9"/>
    <w:rsid w:val="00634035"/>
    <w:rsid w:val="00636187"/>
    <w:rsid w:val="00636211"/>
    <w:rsid w:val="006364E1"/>
    <w:rsid w:val="0063660B"/>
    <w:rsid w:val="00636743"/>
    <w:rsid w:val="00636B09"/>
    <w:rsid w:val="00636D1A"/>
    <w:rsid w:val="0063717F"/>
    <w:rsid w:val="00637425"/>
    <w:rsid w:val="00640235"/>
    <w:rsid w:val="00641059"/>
    <w:rsid w:val="00641B5F"/>
    <w:rsid w:val="00642C44"/>
    <w:rsid w:val="00642DF1"/>
    <w:rsid w:val="006433FF"/>
    <w:rsid w:val="00643957"/>
    <w:rsid w:val="00643F07"/>
    <w:rsid w:val="00643FEE"/>
    <w:rsid w:val="006444BA"/>
    <w:rsid w:val="00644694"/>
    <w:rsid w:val="0064522B"/>
    <w:rsid w:val="00645990"/>
    <w:rsid w:val="006462EF"/>
    <w:rsid w:val="0064634C"/>
    <w:rsid w:val="006465FC"/>
    <w:rsid w:val="00646E2C"/>
    <w:rsid w:val="006470EA"/>
    <w:rsid w:val="006471BE"/>
    <w:rsid w:val="006474E6"/>
    <w:rsid w:val="006475EF"/>
    <w:rsid w:val="00647F8C"/>
    <w:rsid w:val="00650A51"/>
    <w:rsid w:val="00652682"/>
    <w:rsid w:val="00652B21"/>
    <w:rsid w:val="006530BF"/>
    <w:rsid w:val="006558A3"/>
    <w:rsid w:val="00656279"/>
    <w:rsid w:val="006566D2"/>
    <w:rsid w:val="00656B9F"/>
    <w:rsid w:val="00656C48"/>
    <w:rsid w:val="00656CB8"/>
    <w:rsid w:val="00656E1D"/>
    <w:rsid w:val="00657547"/>
    <w:rsid w:val="00657ADB"/>
    <w:rsid w:val="00657DE2"/>
    <w:rsid w:val="00657E40"/>
    <w:rsid w:val="00660115"/>
    <w:rsid w:val="006606D1"/>
    <w:rsid w:val="00660956"/>
    <w:rsid w:val="0066096F"/>
    <w:rsid w:val="00660F90"/>
    <w:rsid w:val="00661906"/>
    <w:rsid w:val="0066195E"/>
    <w:rsid w:val="00662071"/>
    <w:rsid w:val="00662568"/>
    <w:rsid w:val="00662606"/>
    <w:rsid w:val="00662971"/>
    <w:rsid w:val="00662F4C"/>
    <w:rsid w:val="00663555"/>
    <w:rsid w:val="00663786"/>
    <w:rsid w:val="00663EA4"/>
    <w:rsid w:val="006642A6"/>
    <w:rsid w:val="00664E26"/>
    <w:rsid w:val="00666B98"/>
    <w:rsid w:val="00666C7D"/>
    <w:rsid w:val="00666CC6"/>
    <w:rsid w:val="00666D0A"/>
    <w:rsid w:val="0066706E"/>
    <w:rsid w:val="00667336"/>
    <w:rsid w:val="006673C7"/>
    <w:rsid w:val="00667609"/>
    <w:rsid w:val="0066760E"/>
    <w:rsid w:val="00667CF1"/>
    <w:rsid w:val="00670A96"/>
    <w:rsid w:val="00671132"/>
    <w:rsid w:val="0067165B"/>
    <w:rsid w:val="00671EFB"/>
    <w:rsid w:val="00672553"/>
    <w:rsid w:val="00672907"/>
    <w:rsid w:val="0067370D"/>
    <w:rsid w:val="00673B03"/>
    <w:rsid w:val="00674684"/>
    <w:rsid w:val="006746CB"/>
    <w:rsid w:val="00674BC5"/>
    <w:rsid w:val="0067507D"/>
    <w:rsid w:val="006751B7"/>
    <w:rsid w:val="006757BC"/>
    <w:rsid w:val="00675B74"/>
    <w:rsid w:val="0067693D"/>
    <w:rsid w:val="00676D27"/>
    <w:rsid w:val="00676E0E"/>
    <w:rsid w:val="00677019"/>
    <w:rsid w:val="00677B41"/>
    <w:rsid w:val="00680650"/>
    <w:rsid w:val="00681725"/>
    <w:rsid w:val="00682695"/>
    <w:rsid w:val="006826F0"/>
    <w:rsid w:val="00682A89"/>
    <w:rsid w:val="00682D1B"/>
    <w:rsid w:val="006833F7"/>
    <w:rsid w:val="00683B7A"/>
    <w:rsid w:val="00683B9C"/>
    <w:rsid w:val="00683CBA"/>
    <w:rsid w:val="00683FD6"/>
    <w:rsid w:val="00684495"/>
    <w:rsid w:val="00684E5E"/>
    <w:rsid w:val="00685493"/>
    <w:rsid w:val="006854A4"/>
    <w:rsid w:val="0068552A"/>
    <w:rsid w:val="00685953"/>
    <w:rsid w:val="00685991"/>
    <w:rsid w:val="00685EEB"/>
    <w:rsid w:val="00687769"/>
    <w:rsid w:val="006878AB"/>
    <w:rsid w:val="00687CD1"/>
    <w:rsid w:val="00690175"/>
    <w:rsid w:val="006902BB"/>
    <w:rsid w:val="006908B2"/>
    <w:rsid w:val="0069110F"/>
    <w:rsid w:val="006913CA"/>
    <w:rsid w:val="0069163A"/>
    <w:rsid w:val="00691B54"/>
    <w:rsid w:val="00691CD8"/>
    <w:rsid w:val="006926F7"/>
    <w:rsid w:val="00692A60"/>
    <w:rsid w:val="00692C36"/>
    <w:rsid w:val="00692CA1"/>
    <w:rsid w:val="00692CDD"/>
    <w:rsid w:val="00692D73"/>
    <w:rsid w:val="00693669"/>
    <w:rsid w:val="00693876"/>
    <w:rsid w:val="00693935"/>
    <w:rsid w:val="00693BF9"/>
    <w:rsid w:val="00694301"/>
    <w:rsid w:val="006944B2"/>
    <w:rsid w:val="00694537"/>
    <w:rsid w:val="00694866"/>
    <w:rsid w:val="00694FC3"/>
    <w:rsid w:val="00695391"/>
    <w:rsid w:val="006955F8"/>
    <w:rsid w:val="00695DFE"/>
    <w:rsid w:val="00695F89"/>
    <w:rsid w:val="00696B0A"/>
    <w:rsid w:val="00696CB7"/>
    <w:rsid w:val="00696D0D"/>
    <w:rsid w:val="00696E7D"/>
    <w:rsid w:val="006975B4"/>
    <w:rsid w:val="00697AF3"/>
    <w:rsid w:val="006A0512"/>
    <w:rsid w:val="006A1A3C"/>
    <w:rsid w:val="006A2C20"/>
    <w:rsid w:val="006A2C3E"/>
    <w:rsid w:val="006A2D92"/>
    <w:rsid w:val="006A3480"/>
    <w:rsid w:val="006A34C0"/>
    <w:rsid w:val="006A35F4"/>
    <w:rsid w:val="006A3615"/>
    <w:rsid w:val="006A3860"/>
    <w:rsid w:val="006A3A04"/>
    <w:rsid w:val="006A3A38"/>
    <w:rsid w:val="006A477D"/>
    <w:rsid w:val="006A48C0"/>
    <w:rsid w:val="006A5220"/>
    <w:rsid w:val="006A523E"/>
    <w:rsid w:val="006A52B4"/>
    <w:rsid w:val="006A57E7"/>
    <w:rsid w:val="006A580B"/>
    <w:rsid w:val="006A6218"/>
    <w:rsid w:val="006A64BC"/>
    <w:rsid w:val="006A6545"/>
    <w:rsid w:val="006A6557"/>
    <w:rsid w:val="006A69A9"/>
    <w:rsid w:val="006A79F9"/>
    <w:rsid w:val="006A7BD6"/>
    <w:rsid w:val="006A7DA8"/>
    <w:rsid w:val="006B009F"/>
    <w:rsid w:val="006B02A4"/>
    <w:rsid w:val="006B0EBA"/>
    <w:rsid w:val="006B16EF"/>
    <w:rsid w:val="006B210A"/>
    <w:rsid w:val="006B23A9"/>
    <w:rsid w:val="006B2503"/>
    <w:rsid w:val="006B27F3"/>
    <w:rsid w:val="006B29AA"/>
    <w:rsid w:val="006B29D5"/>
    <w:rsid w:val="006B2D4D"/>
    <w:rsid w:val="006B3037"/>
    <w:rsid w:val="006B3122"/>
    <w:rsid w:val="006B3FE9"/>
    <w:rsid w:val="006B43B4"/>
    <w:rsid w:val="006B574C"/>
    <w:rsid w:val="006B58B7"/>
    <w:rsid w:val="006B642A"/>
    <w:rsid w:val="006B65F1"/>
    <w:rsid w:val="006B6E11"/>
    <w:rsid w:val="006C00B0"/>
    <w:rsid w:val="006C023C"/>
    <w:rsid w:val="006C0B23"/>
    <w:rsid w:val="006C12AD"/>
    <w:rsid w:val="006C12C6"/>
    <w:rsid w:val="006C1A4B"/>
    <w:rsid w:val="006C1C84"/>
    <w:rsid w:val="006C1FA1"/>
    <w:rsid w:val="006C2141"/>
    <w:rsid w:val="006C2615"/>
    <w:rsid w:val="006C2A00"/>
    <w:rsid w:val="006C2D79"/>
    <w:rsid w:val="006C336F"/>
    <w:rsid w:val="006C3903"/>
    <w:rsid w:val="006C3E08"/>
    <w:rsid w:val="006C4466"/>
    <w:rsid w:val="006C469A"/>
    <w:rsid w:val="006C492E"/>
    <w:rsid w:val="006C4C7E"/>
    <w:rsid w:val="006C5623"/>
    <w:rsid w:val="006C56F4"/>
    <w:rsid w:val="006C5E55"/>
    <w:rsid w:val="006C670E"/>
    <w:rsid w:val="006C6D43"/>
    <w:rsid w:val="006C6E66"/>
    <w:rsid w:val="006C7172"/>
    <w:rsid w:val="006D0CCE"/>
    <w:rsid w:val="006D129F"/>
    <w:rsid w:val="006D150C"/>
    <w:rsid w:val="006D1734"/>
    <w:rsid w:val="006D2211"/>
    <w:rsid w:val="006D28C4"/>
    <w:rsid w:val="006D2CC1"/>
    <w:rsid w:val="006D2ED9"/>
    <w:rsid w:val="006D3029"/>
    <w:rsid w:val="006D32A8"/>
    <w:rsid w:val="006D348F"/>
    <w:rsid w:val="006D3F96"/>
    <w:rsid w:val="006D4039"/>
    <w:rsid w:val="006D4144"/>
    <w:rsid w:val="006D48E8"/>
    <w:rsid w:val="006D51F8"/>
    <w:rsid w:val="006D52BD"/>
    <w:rsid w:val="006D58E4"/>
    <w:rsid w:val="006D5BD1"/>
    <w:rsid w:val="006D618D"/>
    <w:rsid w:val="006D6239"/>
    <w:rsid w:val="006D6B65"/>
    <w:rsid w:val="006D7ECE"/>
    <w:rsid w:val="006E0261"/>
    <w:rsid w:val="006E0801"/>
    <w:rsid w:val="006E0BBE"/>
    <w:rsid w:val="006E0F6E"/>
    <w:rsid w:val="006E1074"/>
    <w:rsid w:val="006E1C2E"/>
    <w:rsid w:val="006E1D9A"/>
    <w:rsid w:val="006E22EF"/>
    <w:rsid w:val="006E2393"/>
    <w:rsid w:val="006E2ED6"/>
    <w:rsid w:val="006E362A"/>
    <w:rsid w:val="006E378E"/>
    <w:rsid w:val="006E3BE4"/>
    <w:rsid w:val="006E3C71"/>
    <w:rsid w:val="006E3DF5"/>
    <w:rsid w:val="006E4435"/>
    <w:rsid w:val="006E443B"/>
    <w:rsid w:val="006E46AB"/>
    <w:rsid w:val="006E4727"/>
    <w:rsid w:val="006E4F53"/>
    <w:rsid w:val="006E5252"/>
    <w:rsid w:val="006E5377"/>
    <w:rsid w:val="006E54AA"/>
    <w:rsid w:val="006E54F8"/>
    <w:rsid w:val="006E5CF6"/>
    <w:rsid w:val="006E6102"/>
    <w:rsid w:val="006E6647"/>
    <w:rsid w:val="006E6CF6"/>
    <w:rsid w:val="006E7179"/>
    <w:rsid w:val="006E7180"/>
    <w:rsid w:val="006E7DFB"/>
    <w:rsid w:val="006F0779"/>
    <w:rsid w:val="006F08DF"/>
    <w:rsid w:val="006F0C9D"/>
    <w:rsid w:val="006F1649"/>
    <w:rsid w:val="006F2141"/>
    <w:rsid w:val="006F29CE"/>
    <w:rsid w:val="006F2BCB"/>
    <w:rsid w:val="006F2F76"/>
    <w:rsid w:val="006F3647"/>
    <w:rsid w:val="006F4059"/>
    <w:rsid w:val="006F4200"/>
    <w:rsid w:val="006F420D"/>
    <w:rsid w:val="006F46B8"/>
    <w:rsid w:val="006F4B1B"/>
    <w:rsid w:val="006F4EAD"/>
    <w:rsid w:val="006F5587"/>
    <w:rsid w:val="006F5A47"/>
    <w:rsid w:val="006F67F1"/>
    <w:rsid w:val="006F697B"/>
    <w:rsid w:val="006F6E08"/>
    <w:rsid w:val="006F7392"/>
    <w:rsid w:val="006F77B1"/>
    <w:rsid w:val="006F7897"/>
    <w:rsid w:val="00700071"/>
    <w:rsid w:val="007003FC"/>
    <w:rsid w:val="0070094E"/>
    <w:rsid w:val="007009EA"/>
    <w:rsid w:val="00700A54"/>
    <w:rsid w:val="00700B65"/>
    <w:rsid w:val="00700CC9"/>
    <w:rsid w:val="00700F4E"/>
    <w:rsid w:val="00701005"/>
    <w:rsid w:val="007014F0"/>
    <w:rsid w:val="00701787"/>
    <w:rsid w:val="00702A3B"/>
    <w:rsid w:val="00702E08"/>
    <w:rsid w:val="007032E7"/>
    <w:rsid w:val="007034F1"/>
    <w:rsid w:val="007038F0"/>
    <w:rsid w:val="00703D52"/>
    <w:rsid w:val="007049B8"/>
    <w:rsid w:val="00704D39"/>
    <w:rsid w:val="007069E2"/>
    <w:rsid w:val="00706D47"/>
    <w:rsid w:val="00706DBC"/>
    <w:rsid w:val="00707177"/>
    <w:rsid w:val="0070740F"/>
    <w:rsid w:val="00707C7A"/>
    <w:rsid w:val="00707EDD"/>
    <w:rsid w:val="007103A2"/>
    <w:rsid w:val="007105F3"/>
    <w:rsid w:val="00710BAA"/>
    <w:rsid w:val="00711BCD"/>
    <w:rsid w:val="00712058"/>
    <w:rsid w:val="00712060"/>
    <w:rsid w:val="007123CC"/>
    <w:rsid w:val="007124A2"/>
    <w:rsid w:val="00712A43"/>
    <w:rsid w:val="00712C06"/>
    <w:rsid w:val="00712F76"/>
    <w:rsid w:val="00713531"/>
    <w:rsid w:val="0071370D"/>
    <w:rsid w:val="00713B72"/>
    <w:rsid w:val="00713B84"/>
    <w:rsid w:val="00713D35"/>
    <w:rsid w:val="00714112"/>
    <w:rsid w:val="007144FD"/>
    <w:rsid w:val="00714889"/>
    <w:rsid w:val="007148F2"/>
    <w:rsid w:val="00716135"/>
    <w:rsid w:val="00716F8C"/>
    <w:rsid w:val="00717078"/>
    <w:rsid w:val="007172BB"/>
    <w:rsid w:val="007178CD"/>
    <w:rsid w:val="00720B8C"/>
    <w:rsid w:val="0072105E"/>
    <w:rsid w:val="007210F6"/>
    <w:rsid w:val="0072128E"/>
    <w:rsid w:val="007214D6"/>
    <w:rsid w:val="007215CA"/>
    <w:rsid w:val="00722467"/>
    <w:rsid w:val="0072249C"/>
    <w:rsid w:val="00723450"/>
    <w:rsid w:val="00723E16"/>
    <w:rsid w:val="007242BF"/>
    <w:rsid w:val="007242E5"/>
    <w:rsid w:val="00724D70"/>
    <w:rsid w:val="0072511B"/>
    <w:rsid w:val="007251B7"/>
    <w:rsid w:val="007252C8"/>
    <w:rsid w:val="00725513"/>
    <w:rsid w:val="0072592E"/>
    <w:rsid w:val="00726BE2"/>
    <w:rsid w:val="00726CA1"/>
    <w:rsid w:val="007270A6"/>
    <w:rsid w:val="00727162"/>
    <w:rsid w:val="007302E0"/>
    <w:rsid w:val="00730E3D"/>
    <w:rsid w:val="00730E89"/>
    <w:rsid w:val="00731DF2"/>
    <w:rsid w:val="00731ED1"/>
    <w:rsid w:val="007325F5"/>
    <w:rsid w:val="00732A5C"/>
    <w:rsid w:val="00732C1B"/>
    <w:rsid w:val="00732EDF"/>
    <w:rsid w:val="007330D0"/>
    <w:rsid w:val="0073334F"/>
    <w:rsid w:val="00733535"/>
    <w:rsid w:val="007335A2"/>
    <w:rsid w:val="00733C1B"/>
    <w:rsid w:val="00734162"/>
    <w:rsid w:val="00734EDB"/>
    <w:rsid w:val="00735370"/>
    <w:rsid w:val="007354D3"/>
    <w:rsid w:val="00735BE4"/>
    <w:rsid w:val="00736DE7"/>
    <w:rsid w:val="00736E66"/>
    <w:rsid w:val="00737215"/>
    <w:rsid w:val="00737A77"/>
    <w:rsid w:val="00740E33"/>
    <w:rsid w:val="00741558"/>
    <w:rsid w:val="00741D24"/>
    <w:rsid w:val="00742BC9"/>
    <w:rsid w:val="00744591"/>
    <w:rsid w:val="0074491C"/>
    <w:rsid w:val="00744996"/>
    <w:rsid w:val="00744FEB"/>
    <w:rsid w:val="00745273"/>
    <w:rsid w:val="007456AF"/>
    <w:rsid w:val="00745BEF"/>
    <w:rsid w:val="00745C3F"/>
    <w:rsid w:val="007460A9"/>
    <w:rsid w:val="007462D9"/>
    <w:rsid w:val="00746EC0"/>
    <w:rsid w:val="00746F9C"/>
    <w:rsid w:val="007472EF"/>
    <w:rsid w:val="0074769F"/>
    <w:rsid w:val="00747A44"/>
    <w:rsid w:val="00747C10"/>
    <w:rsid w:val="00747CC0"/>
    <w:rsid w:val="00747FF7"/>
    <w:rsid w:val="007500E7"/>
    <w:rsid w:val="007507C1"/>
    <w:rsid w:val="00750BEB"/>
    <w:rsid w:val="00751099"/>
    <w:rsid w:val="00751341"/>
    <w:rsid w:val="00751BC7"/>
    <w:rsid w:val="00751D5B"/>
    <w:rsid w:val="0075239B"/>
    <w:rsid w:val="007528E2"/>
    <w:rsid w:val="0075298E"/>
    <w:rsid w:val="00752A01"/>
    <w:rsid w:val="00752BFD"/>
    <w:rsid w:val="00752DA0"/>
    <w:rsid w:val="00753225"/>
    <w:rsid w:val="00753322"/>
    <w:rsid w:val="00753771"/>
    <w:rsid w:val="00753D5A"/>
    <w:rsid w:val="00754172"/>
    <w:rsid w:val="00754589"/>
    <w:rsid w:val="00754C10"/>
    <w:rsid w:val="0075525F"/>
    <w:rsid w:val="00755BF1"/>
    <w:rsid w:val="00755D85"/>
    <w:rsid w:val="007563A6"/>
    <w:rsid w:val="007563FC"/>
    <w:rsid w:val="007565D9"/>
    <w:rsid w:val="00756857"/>
    <w:rsid w:val="0075720D"/>
    <w:rsid w:val="007577EA"/>
    <w:rsid w:val="0076013A"/>
    <w:rsid w:val="0076021D"/>
    <w:rsid w:val="007602C5"/>
    <w:rsid w:val="007614B5"/>
    <w:rsid w:val="0076166A"/>
    <w:rsid w:val="007616AD"/>
    <w:rsid w:val="0076198D"/>
    <w:rsid w:val="00762095"/>
    <w:rsid w:val="007630E1"/>
    <w:rsid w:val="007632C6"/>
    <w:rsid w:val="00763939"/>
    <w:rsid w:val="00763DB4"/>
    <w:rsid w:val="00764472"/>
    <w:rsid w:val="00764714"/>
    <w:rsid w:val="0076521C"/>
    <w:rsid w:val="00765E35"/>
    <w:rsid w:val="007662BB"/>
    <w:rsid w:val="007667C3"/>
    <w:rsid w:val="00766F0B"/>
    <w:rsid w:val="0076751A"/>
    <w:rsid w:val="0076753D"/>
    <w:rsid w:val="00767809"/>
    <w:rsid w:val="00767EC7"/>
    <w:rsid w:val="00767FFD"/>
    <w:rsid w:val="00770B19"/>
    <w:rsid w:val="00771A80"/>
    <w:rsid w:val="00771E89"/>
    <w:rsid w:val="0077209C"/>
    <w:rsid w:val="00772328"/>
    <w:rsid w:val="00772B46"/>
    <w:rsid w:val="00773AB4"/>
    <w:rsid w:val="00773C6E"/>
    <w:rsid w:val="00773C91"/>
    <w:rsid w:val="0077404F"/>
    <w:rsid w:val="00774050"/>
    <w:rsid w:val="007743A8"/>
    <w:rsid w:val="007749A8"/>
    <w:rsid w:val="00774B1E"/>
    <w:rsid w:val="00774E44"/>
    <w:rsid w:val="00775AC5"/>
    <w:rsid w:val="0077603B"/>
    <w:rsid w:val="007765B2"/>
    <w:rsid w:val="0077786C"/>
    <w:rsid w:val="007806B5"/>
    <w:rsid w:val="00782032"/>
    <w:rsid w:val="00782290"/>
    <w:rsid w:val="0078257F"/>
    <w:rsid w:val="0078310B"/>
    <w:rsid w:val="00783918"/>
    <w:rsid w:val="00783A7A"/>
    <w:rsid w:val="00783CB3"/>
    <w:rsid w:val="00783D4B"/>
    <w:rsid w:val="007843F1"/>
    <w:rsid w:val="00784B4B"/>
    <w:rsid w:val="00784E7F"/>
    <w:rsid w:val="0078508B"/>
    <w:rsid w:val="007858E5"/>
    <w:rsid w:val="007859A9"/>
    <w:rsid w:val="0078614B"/>
    <w:rsid w:val="00786440"/>
    <w:rsid w:val="0078665D"/>
    <w:rsid w:val="007867B0"/>
    <w:rsid w:val="00786EBE"/>
    <w:rsid w:val="0078751D"/>
    <w:rsid w:val="00787D33"/>
    <w:rsid w:val="00787E38"/>
    <w:rsid w:val="00790104"/>
    <w:rsid w:val="00790121"/>
    <w:rsid w:val="00790779"/>
    <w:rsid w:val="0079080C"/>
    <w:rsid w:val="00791A0A"/>
    <w:rsid w:val="00792696"/>
    <w:rsid w:val="00792C55"/>
    <w:rsid w:val="00792F6D"/>
    <w:rsid w:val="007934CC"/>
    <w:rsid w:val="007936C4"/>
    <w:rsid w:val="0079374B"/>
    <w:rsid w:val="00793B18"/>
    <w:rsid w:val="007941D1"/>
    <w:rsid w:val="007943B3"/>
    <w:rsid w:val="0079476C"/>
    <w:rsid w:val="0079539E"/>
    <w:rsid w:val="0079595A"/>
    <w:rsid w:val="007966A6"/>
    <w:rsid w:val="00797435"/>
    <w:rsid w:val="007974BD"/>
    <w:rsid w:val="007974BF"/>
    <w:rsid w:val="0079798B"/>
    <w:rsid w:val="007979DD"/>
    <w:rsid w:val="00797C45"/>
    <w:rsid w:val="00797CA0"/>
    <w:rsid w:val="00797F92"/>
    <w:rsid w:val="007A1017"/>
    <w:rsid w:val="007A20A6"/>
    <w:rsid w:val="007A2B32"/>
    <w:rsid w:val="007A3DF5"/>
    <w:rsid w:val="007A3F56"/>
    <w:rsid w:val="007A402A"/>
    <w:rsid w:val="007A40DB"/>
    <w:rsid w:val="007A4912"/>
    <w:rsid w:val="007A4C5E"/>
    <w:rsid w:val="007A4E4A"/>
    <w:rsid w:val="007A4FB6"/>
    <w:rsid w:val="007A518B"/>
    <w:rsid w:val="007A56B8"/>
    <w:rsid w:val="007A59EA"/>
    <w:rsid w:val="007A5DB4"/>
    <w:rsid w:val="007A5FCC"/>
    <w:rsid w:val="007A70FE"/>
    <w:rsid w:val="007A7929"/>
    <w:rsid w:val="007A7F12"/>
    <w:rsid w:val="007B0ADB"/>
    <w:rsid w:val="007B1299"/>
    <w:rsid w:val="007B13CC"/>
    <w:rsid w:val="007B14FC"/>
    <w:rsid w:val="007B16A3"/>
    <w:rsid w:val="007B1B64"/>
    <w:rsid w:val="007B1CA6"/>
    <w:rsid w:val="007B2083"/>
    <w:rsid w:val="007B22FB"/>
    <w:rsid w:val="007B24EA"/>
    <w:rsid w:val="007B2547"/>
    <w:rsid w:val="007B2729"/>
    <w:rsid w:val="007B2BE6"/>
    <w:rsid w:val="007B2D50"/>
    <w:rsid w:val="007B31B9"/>
    <w:rsid w:val="007B38A3"/>
    <w:rsid w:val="007B4511"/>
    <w:rsid w:val="007B4719"/>
    <w:rsid w:val="007B47EB"/>
    <w:rsid w:val="007B4DAC"/>
    <w:rsid w:val="007B54E8"/>
    <w:rsid w:val="007B5B7D"/>
    <w:rsid w:val="007B71A0"/>
    <w:rsid w:val="007B7432"/>
    <w:rsid w:val="007B782A"/>
    <w:rsid w:val="007B7B71"/>
    <w:rsid w:val="007B7F33"/>
    <w:rsid w:val="007C0137"/>
    <w:rsid w:val="007C0379"/>
    <w:rsid w:val="007C04D0"/>
    <w:rsid w:val="007C1325"/>
    <w:rsid w:val="007C18FA"/>
    <w:rsid w:val="007C1F91"/>
    <w:rsid w:val="007C229C"/>
    <w:rsid w:val="007C284E"/>
    <w:rsid w:val="007C36B5"/>
    <w:rsid w:val="007C3C41"/>
    <w:rsid w:val="007C4536"/>
    <w:rsid w:val="007C474C"/>
    <w:rsid w:val="007C588C"/>
    <w:rsid w:val="007C6107"/>
    <w:rsid w:val="007C663C"/>
    <w:rsid w:val="007C670C"/>
    <w:rsid w:val="007C6C9C"/>
    <w:rsid w:val="007C7226"/>
    <w:rsid w:val="007C7885"/>
    <w:rsid w:val="007C7AC4"/>
    <w:rsid w:val="007D0615"/>
    <w:rsid w:val="007D0D65"/>
    <w:rsid w:val="007D0E06"/>
    <w:rsid w:val="007D0E0F"/>
    <w:rsid w:val="007D139F"/>
    <w:rsid w:val="007D13CD"/>
    <w:rsid w:val="007D16E8"/>
    <w:rsid w:val="007D26E3"/>
    <w:rsid w:val="007D30E4"/>
    <w:rsid w:val="007D3102"/>
    <w:rsid w:val="007D37B8"/>
    <w:rsid w:val="007D407E"/>
    <w:rsid w:val="007D4173"/>
    <w:rsid w:val="007D42EC"/>
    <w:rsid w:val="007D4380"/>
    <w:rsid w:val="007D46AF"/>
    <w:rsid w:val="007D4BE8"/>
    <w:rsid w:val="007D4FDE"/>
    <w:rsid w:val="007D5634"/>
    <w:rsid w:val="007D646E"/>
    <w:rsid w:val="007D76E0"/>
    <w:rsid w:val="007D7F8B"/>
    <w:rsid w:val="007E025F"/>
    <w:rsid w:val="007E051D"/>
    <w:rsid w:val="007E0988"/>
    <w:rsid w:val="007E09B5"/>
    <w:rsid w:val="007E0CF5"/>
    <w:rsid w:val="007E0E47"/>
    <w:rsid w:val="007E10F9"/>
    <w:rsid w:val="007E192E"/>
    <w:rsid w:val="007E1A81"/>
    <w:rsid w:val="007E1EFB"/>
    <w:rsid w:val="007E31FA"/>
    <w:rsid w:val="007E3439"/>
    <w:rsid w:val="007E3F2D"/>
    <w:rsid w:val="007E4038"/>
    <w:rsid w:val="007E406C"/>
    <w:rsid w:val="007E43E7"/>
    <w:rsid w:val="007E450C"/>
    <w:rsid w:val="007E4BE9"/>
    <w:rsid w:val="007E4FD8"/>
    <w:rsid w:val="007E4FDC"/>
    <w:rsid w:val="007E529F"/>
    <w:rsid w:val="007E552B"/>
    <w:rsid w:val="007E5599"/>
    <w:rsid w:val="007E5C99"/>
    <w:rsid w:val="007E5D3B"/>
    <w:rsid w:val="007E6B74"/>
    <w:rsid w:val="007E7172"/>
    <w:rsid w:val="007E73A4"/>
    <w:rsid w:val="007E7779"/>
    <w:rsid w:val="007F0249"/>
    <w:rsid w:val="007F041E"/>
    <w:rsid w:val="007F1AF2"/>
    <w:rsid w:val="007F1D3E"/>
    <w:rsid w:val="007F2728"/>
    <w:rsid w:val="007F2A15"/>
    <w:rsid w:val="007F2B97"/>
    <w:rsid w:val="007F2C8F"/>
    <w:rsid w:val="007F2DEB"/>
    <w:rsid w:val="007F3E91"/>
    <w:rsid w:val="007F4066"/>
    <w:rsid w:val="007F4460"/>
    <w:rsid w:val="007F45EF"/>
    <w:rsid w:val="007F45FB"/>
    <w:rsid w:val="007F47C0"/>
    <w:rsid w:val="007F4804"/>
    <w:rsid w:val="007F55B5"/>
    <w:rsid w:val="007F5C85"/>
    <w:rsid w:val="007F651A"/>
    <w:rsid w:val="007F6F9C"/>
    <w:rsid w:val="007F79C6"/>
    <w:rsid w:val="007F7AB2"/>
    <w:rsid w:val="007F7BF2"/>
    <w:rsid w:val="007F7CAC"/>
    <w:rsid w:val="008001C9"/>
    <w:rsid w:val="00800658"/>
    <w:rsid w:val="008008EE"/>
    <w:rsid w:val="00801494"/>
    <w:rsid w:val="00801B15"/>
    <w:rsid w:val="00801C84"/>
    <w:rsid w:val="00801FC6"/>
    <w:rsid w:val="008024C1"/>
    <w:rsid w:val="00802BD8"/>
    <w:rsid w:val="00802E98"/>
    <w:rsid w:val="0080311F"/>
    <w:rsid w:val="008033D8"/>
    <w:rsid w:val="00803B78"/>
    <w:rsid w:val="00804256"/>
    <w:rsid w:val="00804517"/>
    <w:rsid w:val="008046C7"/>
    <w:rsid w:val="00805784"/>
    <w:rsid w:val="00805F6B"/>
    <w:rsid w:val="00806503"/>
    <w:rsid w:val="00807056"/>
    <w:rsid w:val="00807E74"/>
    <w:rsid w:val="00810037"/>
    <w:rsid w:val="00810452"/>
    <w:rsid w:val="0081091E"/>
    <w:rsid w:val="00811018"/>
    <w:rsid w:val="008110FB"/>
    <w:rsid w:val="00811EDC"/>
    <w:rsid w:val="00812156"/>
    <w:rsid w:val="00812CFA"/>
    <w:rsid w:val="0081333F"/>
    <w:rsid w:val="0081346C"/>
    <w:rsid w:val="00813B26"/>
    <w:rsid w:val="00813FD8"/>
    <w:rsid w:val="00813FF9"/>
    <w:rsid w:val="0081424B"/>
    <w:rsid w:val="008146A1"/>
    <w:rsid w:val="00814706"/>
    <w:rsid w:val="008151F3"/>
    <w:rsid w:val="00815360"/>
    <w:rsid w:val="00816BBB"/>
    <w:rsid w:val="00816D35"/>
    <w:rsid w:val="008173FA"/>
    <w:rsid w:val="008175FD"/>
    <w:rsid w:val="008177C1"/>
    <w:rsid w:val="00817B0C"/>
    <w:rsid w:val="0082099D"/>
    <w:rsid w:val="00820CCA"/>
    <w:rsid w:val="00820E2B"/>
    <w:rsid w:val="008214CE"/>
    <w:rsid w:val="00822086"/>
    <w:rsid w:val="008220AF"/>
    <w:rsid w:val="00822494"/>
    <w:rsid w:val="00822568"/>
    <w:rsid w:val="00822C14"/>
    <w:rsid w:val="00823686"/>
    <w:rsid w:val="008238A4"/>
    <w:rsid w:val="00823F48"/>
    <w:rsid w:val="008250CF"/>
    <w:rsid w:val="00825EA5"/>
    <w:rsid w:val="00825EF7"/>
    <w:rsid w:val="00825F99"/>
    <w:rsid w:val="00826683"/>
    <w:rsid w:val="0082681E"/>
    <w:rsid w:val="00826A33"/>
    <w:rsid w:val="00827014"/>
    <w:rsid w:val="0082758F"/>
    <w:rsid w:val="00827855"/>
    <w:rsid w:val="0082793A"/>
    <w:rsid w:val="00827A7B"/>
    <w:rsid w:val="00827BA7"/>
    <w:rsid w:val="00827E80"/>
    <w:rsid w:val="0083041C"/>
    <w:rsid w:val="008307E0"/>
    <w:rsid w:val="00830F69"/>
    <w:rsid w:val="0083117C"/>
    <w:rsid w:val="0083128A"/>
    <w:rsid w:val="008315E3"/>
    <w:rsid w:val="00831C16"/>
    <w:rsid w:val="0083272C"/>
    <w:rsid w:val="008328E0"/>
    <w:rsid w:val="0083370D"/>
    <w:rsid w:val="0083383A"/>
    <w:rsid w:val="00834047"/>
    <w:rsid w:val="0083441F"/>
    <w:rsid w:val="00834863"/>
    <w:rsid w:val="00834876"/>
    <w:rsid w:val="0083488F"/>
    <w:rsid w:val="008348D2"/>
    <w:rsid w:val="00834A5D"/>
    <w:rsid w:val="00834AE5"/>
    <w:rsid w:val="00834F59"/>
    <w:rsid w:val="008359EA"/>
    <w:rsid w:val="00835C00"/>
    <w:rsid w:val="00835FD6"/>
    <w:rsid w:val="00836255"/>
    <w:rsid w:val="0083630B"/>
    <w:rsid w:val="00836698"/>
    <w:rsid w:val="0083671D"/>
    <w:rsid w:val="00836CF0"/>
    <w:rsid w:val="00837372"/>
    <w:rsid w:val="008374AD"/>
    <w:rsid w:val="0083752F"/>
    <w:rsid w:val="008377CE"/>
    <w:rsid w:val="008378DE"/>
    <w:rsid w:val="00837DF3"/>
    <w:rsid w:val="00837F1A"/>
    <w:rsid w:val="0084003D"/>
    <w:rsid w:val="0084009B"/>
    <w:rsid w:val="00840BC3"/>
    <w:rsid w:val="00840CE6"/>
    <w:rsid w:val="008417DB"/>
    <w:rsid w:val="00841EC8"/>
    <w:rsid w:val="00841FD7"/>
    <w:rsid w:val="0084237C"/>
    <w:rsid w:val="00842664"/>
    <w:rsid w:val="00842DF6"/>
    <w:rsid w:val="00843F0E"/>
    <w:rsid w:val="008444D7"/>
    <w:rsid w:val="00844D70"/>
    <w:rsid w:val="00845101"/>
    <w:rsid w:val="008451A2"/>
    <w:rsid w:val="00845F11"/>
    <w:rsid w:val="008460E7"/>
    <w:rsid w:val="00846180"/>
    <w:rsid w:val="008466C6"/>
    <w:rsid w:val="00846E8E"/>
    <w:rsid w:val="008477B3"/>
    <w:rsid w:val="00847818"/>
    <w:rsid w:val="00847846"/>
    <w:rsid w:val="008501CF"/>
    <w:rsid w:val="008508A0"/>
    <w:rsid w:val="00850B9E"/>
    <w:rsid w:val="00850D6F"/>
    <w:rsid w:val="008515BA"/>
    <w:rsid w:val="00851B3D"/>
    <w:rsid w:val="00852568"/>
    <w:rsid w:val="00852938"/>
    <w:rsid w:val="00852A98"/>
    <w:rsid w:val="00852C55"/>
    <w:rsid w:val="00852CF2"/>
    <w:rsid w:val="00853238"/>
    <w:rsid w:val="00853F23"/>
    <w:rsid w:val="0085434D"/>
    <w:rsid w:val="008544A1"/>
    <w:rsid w:val="008549F9"/>
    <w:rsid w:val="00854A62"/>
    <w:rsid w:val="00854D9A"/>
    <w:rsid w:val="00854F0E"/>
    <w:rsid w:val="008552E0"/>
    <w:rsid w:val="0085538B"/>
    <w:rsid w:val="00855391"/>
    <w:rsid w:val="008555C5"/>
    <w:rsid w:val="00855AC7"/>
    <w:rsid w:val="00855B0A"/>
    <w:rsid w:val="00855B75"/>
    <w:rsid w:val="0085644B"/>
    <w:rsid w:val="0085662C"/>
    <w:rsid w:val="008568B4"/>
    <w:rsid w:val="008568B6"/>
    <w:rsid w:val="00856F75"/>
    <w:rsid w:val="008575F2"/>
    <w:rsid w:val="008576EC"/>
    <w:rsid w:val="00860CF2"/>
    <w:rsid w:val="00860E6A"/>
    <w:rsid w:val="00860EFD"/>
    <w:rsid w:val="0086108D"/>
    <w:rsid w:val="00861B07"/>
    <w:rsid w:val="0086256E"/>
    <w:rsid w:val="008628A8"/>
    <w:rsid w:val="00863603"/>
    <w:rsid w:val="0086376B"/>
    <w:rsid w:val="00863790"/>
    <w:rsid w:val="008637C5"/>
    <w:rsid w:val="00863BDF"/>
    <w:rsid w:val="00864157"/>
    <w:rsid w:val="00864327"/>
    <w:rsid w:val="00864E07"/>
    <w:rsid w:val="008653E4"/>
    <w:rsid w:val="00865676"/>
    <w:rsid w:val="00865886"/>
    <w:rsid w:val="00866634"/>
    <w:rsid w:val="00866DF5"/>
    <w:rsid w:val="008671C2"/>
    <w:rsid w:val="00867437"/>
    <w:rsid w:val="00867C70"/>
    <w:rsid w:val="00870588"/>
    <w:rsid w:val="00870A78"/>
    <w:rsid w:val="00871311"/>
    <w:rsid w:val="00871325"/>
    <w:rsid w:val="008713B7"/>
    <w:rsid w:val="0087177C"/>
    <w:rsid w:val="00871840"/>
    <w:rsid w:val="00871963"/>
    <w:rsid w:val="00871C3A"/>
    <w:rsid w:val="00871FAE"/>
    <w:rsid w:val="0087283D"/>
    <w:rsid w:val="00872AF7"/>
    <w:rsid w:val="00872EA3"/>
    <w:rsid w:val="00873203"/>
    <w:rsid w:val="008748F3"/>
    <w:rsid w:val="008752E5"/>
    <w:rsid w:val="008759C7"/>
    <w:rsid w:val="00875E9C"/>
    <w:rsid w:val="008764A0"/>
    <w:rsid w:val="00876B01"/>
    <w:rsid w:val="00877837"/>
    <w:rsid w:val="00877973"/>
    <w:rsid w:val="00877A58"/>
    <w:rsid w:val="00877BFB"/>
    <w:rsid w:val="00877E68"/>
    <w:rsid w:val="00880B3F"/>
    <w:rsid w:val="008813A6"/>
    <w:rsid w:val="00882728"/>
    <w:rsid w:val="00882A56"/>
    <w:rsid w:val="008836EC"/>
    <w:rsid w:val="00883877"/>
    <w:rsid w:val="00884A22"/>
    <w:rsid w:val="00885067"/>
    <w:rsid w:val="008851A7"/>
    <w:rsid w:val="008858CE"/>
    <w:rsid w:val="00885CDB"/>
    <w:rsid w:val="008870AD"/>
    <w:rsid w:val="0088715A"/>
    <w:rsid w:val="008871D2"/>
    <w:rsid w:val="0089041E"/>
    <w:rsid w:val="00890E6A"/>
    <w:rsid w:val="00890EA6"/>
    <w:rsid w:val="008910D8"/>
    <w:rsid w:val="0089164B"/>
    <w:rsid w:val="0089178C"/>
    <w:rsid w:val="00891893"/>
    <w:rsid w:val="008919BF"/>
    <w:rsid w:val="0089245A"/>
    <w:rsid w:val="0089257F"/>
    <w:rsid w:val="0089278A"/>
    <w:rsid w:val="008928E5"/>
    <w:rsid w:val="00893124"/>
    <w:rsid w:val="008932BE"/>
    <w:rsid w:val="008935C2"/>
    <w:rsid w:val="008937CB"/>
    <w:rsid w:val="00893DBC"/>
    <w:rsid w:val="00894FA2"/>
    <w:rsid w:val="008960E9"/>
    <w:rsid w:val="00896BDD"/>
    <w:rsid w:val="00897196"/>
    <w:rsid w:val="008975E6"/>
    <w:rsid w:val="008A00EA"/>
    <w:rsid w:val="008A0110"/>
    <w:rsid w:val="008A02B3"/>
    <w:rsid w:val="008A0CCB"/>
    <w:rsid w:val="008A101D"/>
    <w:rsid w:val="008A1498"/>
    <w:rsid w:val="008A15AF"/>
    <w:rsid w:val="008A1F72"/>
    <w:rsid w:val="008A3A43"/>
    <w:rsid w:val="008A3A4D"/>
    <w:rsid w:val="008A4964"/>
    <w:rsid w:val="008A4DE2"/>
    <w:rsid w:val="008A5373"/>
    <w:rsid w:val="008A589B"/>
    <w:rsid w:val="008A5924"/>
    <w:rsid w:val="008A599D"/>
    <w:rsid w:val="008A623F"/>
    <w:rsid w:val="008A639C"/>
    <w:rsid w:val="008A6B3A"/>
    <w:rsid w:val="008A6B7A"/>
    <w:rsid w:val="008A6E56"/>
    <w:rsid w:val="008A700C"/>
    <w:rsid w:val="008A7C7F"/>
    <w:rsid w:val="008A7E13"/>
    <w:rsid w:val="008A7F19"/>
    <w:rsid w:val="008B002E"/>
    <w:rsid w:val="008B015A"/>
    <w:rsid w:val="008B0813"/>
    <w:rsid w:val="008B0963"/>
    <w:rsid w:val="008B10C0"/>
    <w:rsid w:val="008B1718"/>
    <w:rsid w:val="008B174F"/>
    <w:rsid w:val="008B1BE0"/>
    <w:rsid w:val="008B270D"/>
    <w:rsid w:val="008B2CA4"/>
    <w:rsid w:val="008B300D"/>
    <w:rsid w:val="008B3437"/>
    <w:rsid w:val="008B363A"/>
    <w:rsid w:val="008B392A"/>
    <w:rsid w:val="008B3AE1"/>
    <w:rsid w:val="008B3DED"/>
    <w:rsid w:val="008B4398"/>
    <w:rsid w:val="008B4420"/>
    <w:rsid w:val="008B4A34"/>
    <w:rsid w:val="008B4A7F"/>
    <w:rsid w:val="008B5B25"/>
    <w:rsid w:val="008B5DC8"/>
    <w:rsid w:val="008B6818"/>
    <w:rsid w:val="008B6CEF"/>
    <w:rsid w:val="008B760D"/>
    <w:rsid w:val="008B7814"/>
    <w:rsid w:val="008B784B"/>
    <w:rsid w:val="008B7964"/>
    <w:rsid w:val="008C0625"/>
    <w:rsid w:val="008C0DF8"/>
    <w:rsid w:val="008C0E47"/>
    <w:rsid w:val="008C102B"/>
    <w:rsid w:val="008C1804"/>
    <w:rsid w:val="008C19A9"/>
    <w:rsid w:val="008C1BD1"/>
    <w:rsid w:val="008C1E48"/>
    <w:rsid w:val="008C200C"/>
    <w:rsid w:val="008C2269"/>
    <w:rsid w:val="008C25AF"/>
    <w:rsid w:val="008C2AB0"/>
    <w:rsid w:val="008C3BDB"/>
    <w:rsid w:val="008C3C01"/>
    <w:rsid w:val="008C3E3B"/>
    <w:rsid w:val="008C46B8"/>
    <w:rsid w:val="008C46F0"/>
    <w:rsid w:val="008C4F0E"/>
    <w:rsid w:val="008C5B2B"/>
    <w:rsid w:val="008C668B"/>
    <w:rsid w:val="008C67A7"/>
    <w:rsid w:val="008C682C"/>
    <w:rsid w:val="008C6F65"/>
    <w:rsid w:val="008C72DD"/>
    <w:rsid w:val="008C7F79"/>
    <w:rsid w:val="008D03AD"/>
    <w:rsid w:val="008D03C3"/>
    <w:rsid w:val="008D04A2"/>
    <w:rsid w:val="008D1265"/>
    <w:rsid w:val="008D1502"/>
    <w:rsid w:val="008D1822"/>
    <w:rsid w:val="008D1A4E"/>
    <w:rsid w:val="008D1CCD"/>
    <w:rsid w:val="008D1D05"/>
    <w:rsid w:val="008D2857"/>
    <w:rsid w:val="008D307C"/>
    <w:rsid w:val="008D39BA"/>
    <w:rsid w:val="008D3CC1"/>
    <w:rsid w:val="008D502D"/>
    <w:rsid w:val="008D5D6E"/>
    <w:rsid w:val="008D6217"/>
    <w:rsid w:val="008D6EA8"/>
    <w:rsid w:val="008D7DE4"/>
    <w:rsid w:val="008E03EA"/>
    <w:rsid w:val="008E0463"/>
    <w:rsid w:val="008E0926"/>
    <w:rsid w:val="008E0D88"/>
    <w:rsid w:val="008E131B"/>
    <w:rsid w:val="008E1C06"/>
    <w:rsid w:val="008E220E"/>
    <w:rsid w:val="008E29F1"/>
    <w:rsid w:val="008E2A28"/>
    <w:rsid w:val="008E2E68"/>
    <w:rsid w:val="008E34E8"/>
    <w:rsid w:val="008E35CA"/>
    <w:rsid w:val="008E391E"/>
    <w:rsid w:val="008E39FA"/>
    <w:rsid w:val="008E3AA7"/>
    <w:rsid w:val="008E3C66"/>
    <w:rsid w:val="008E40E1"/>
    <w:rsid w:val="008E4133"/>
    <w:rsid w:val="008E4FBD"/>
    <w:rsid w:val="008E5392"/>
    <w:rsid w:val="008E59B9"/>
    <w:rsid w:val="008E5DBD"/>
    <w:rsid w:val="008E5DCA"/>
    <w:rsid w:val="008E60F2"/>
    <w:rsid w:val="008E64AD"/>
    <w:rsid w:val="008E71DE"/>
    <w:rsid w:val="008F03D2"/>
    <w:rsid w:val="008F0C4E"/>
    <w:rsid w:val="008F0FD0"/>
    <w:rsid w:val="008F1524"/>
    <w:rsid w:val="008F1675"/>
    <w:rsid w:val="008F3902"/>
    <w:rsid w:val="008F3B0A"/>
    <w:rsid w:val="008F3CB7"/>
    <w:rsid w:val="008F4CD6"/>
    <w:rsid w:val="008F4FEA"/>
    <w:rsid w:val="008F541B"/>
    <w:rsid w:val="008F5631"/>
    <w:rsid w:val="008F5F55"/>
    <w:rsid w:val="008F660D"/>
    <w:rsid w:val="008F6DC1"/>
    <w:rsid w:val="008F7484"/>
    <w:rsid w:val="008F7A9D"/>
    <w:rsid w:val="00900254"/>
    <w:rsid w:val="00900596"/>
    <w:rsid w:val="009006FD"/>
    <w:rsid w:val="0090080A"/>
    <w:rsid w:val="00900CE7"/>
    <w:rsid w:val="00900F07"/>
    <w:rsid w:val="009013A6"/>
    <w:rsid w:val="009034D4"/>
    <w:rsid w:val="00903FD9"/>
    <w:rsid w:val="009043FA"/>
    <w:rsid w:val="00904401"/>
    <w:rsid w:val="0090449B"/>
    <w:rsid w:val="009044C2"/>
    <w:rsid w:val="00904541"/>
    <w:rsid w:val="00904AF6"/>
    <w:rsid w:val="00905370"/>
    <w:rsid w:val="009055C5"/>
    <w:rsid w:val="0090564C"/>
    <w:rsid w:val="00905CE5"/>
    <w:rsid w:val="00905CF7"/>
    <w:rsid w:val="00906003"/>
    <w:rsid w:val="009060C8"/>
    <w:rsid w:val="00906FF6"/>
    <w:rsid w:val="00907BC4"/>
    <w:rsid w:val="00910661"/>
    <w:rsid w:val="009106BE"/>
    <w:rsid w:val="00910B29"/>
    <w:rsid w:val="00910D12"/>
    <w:rsid w:val="00910D4C"/>
    <w:rsid w:val="00911825"/>
    <w:rsid w:val="00911B55"/>
    <w:rsid w:val="009122EA"/>
    <w:rsid w:val="009125B8"/>
    <w:rsid w:val="00912A76"/>
    <w:rsid w:val="0091360C"/>
    <w:rsid w:val="00913900"/>
    <w:rsid w:val="00914079"/>
    <w:rsid w:val="00914235"/>
    <w:rsid w:val="0091471E"/>
    <w:rsid w:val="009147EA"/>
    <w:rsid w:val="00914B27"/>
    <w:rsid w:val="00915760"/>
    <w:rsid w:val="009159AE"/>
    <w:rsid w:val="00915C30"/>
    <w:rsid w:val="009161F7"/>
    <w:rsid w:val="009164B0"/>
    <w:rsid w:val="009170EF"/>
    <w:rsid w:val="0091758B"/>
    <w:rsid w:val="009202C9"/>
    <w:rsid w:val="00920572"/>
    <w:rsid w:val="0092085A"/>
    <w:rsid w:val="00921686"/>
    <w:rsid w:val="009217D3"/>
    <w:rsid w:val="00921E0D"/>
    <w:rsid w:val="00922241"/>
    <w:rsid w:val="00922817"/>
    <w:rsid w:val="00922FAF"/>
    <w:rsid w:val="00923726"/>
    <w:rsid w:val="00923778"/>
    <w:rsid w:val="009243DD"/>
    <w:rsid w:val="00924BA7"/>
    <w:rsid w:val="00924F37"/>
    <w:rsid w:val="00924F82"/>
    <w:rsid w:val="0092503E"/>
    <w:rsid w:val="0092530C"/>
    <w:rsid w:val="00925830"/>
    <w:rsid w:val="00925D2C"/>
    <w:rsid w:val="009260FB"/>
    <w:rsid w:val="009261A5"/>
    <w:rsid w:val="009265C7"/>
    <w:rsid w:val="00926B32"/>
    <w:rsid w:val="00926E18"/>
    <w:rsid w:val="00927441"/>
    <w:rsid w:val="00927517"/>
    <w:rsid w:val="00927BF6"/>
    <w:rsid w:val="00927CEA"/>
    <w:rsid w:val="00927DEC"/>
    <w:rsid w:val="009302EC"/>
    <w:rsid w:val="009305E3"/>
    <w:rsid w:val="009307F5"/>
    <w:rsid w:val="00931FDD"/>
    <w:rsid w:val="00932235"/>
    <w:rsid w:val="00932494"/>
    <w:rsid w:val="00932AEF"/>
    <w:rsid w:val="00932D30"/>
    <w:rsid w:val="00933C7B"/>
    <w:rsid w:val="00933DA2"/>
    <w:rsid w:val="00934472"/>
    <w:rsid w:val="009345A7"/>
    <w:rsid w:val="00934ACF"/>
    <w:rsid w:val="00936536"/>
    <w:rsid w:val="0093653A"/>
    <w:rsid w:val="00936AF0"/>
    <w:rsid w:val="0093711A"/>
    <w:rsid w:val="0094024F"/>
    <w:rsid w:val="0094040C"/>
    <w:rsid w:val="00940543"/>
    <w:rsid w:val="009411EA"/>
    <w:rsid w:val="00941737"/>
    <w:rsid w:val="00941BE9"/>
    <w:rsid w:val="00941CE4"/>
    <w:rsid w:val="00942099"/>
    <w:rsid w:val="009436E9"/>
    <w:rsid w:val="0094379A"/>
    <w:rsid w:val="00943B20"/>
    <w:rsid w:val="00943D70"/>
    <w:rsid w:val="00944C4E"/>
    <w:rsid w:val="009454C7"/>
    <w:rsid w:val="00945C1B"/>
    <w:rsid w:val="009472A8"/>
    <w:rsid w:val="00947480"/>
    <w:rsid w:val="00947CB2"/>
    <w:rsid w:val="00947FA5"/>
    <w:rsid w:val="009502FB"/>
    <w:rsid w:val="0095070D"/>
    <w:rsid w:val="00950E48"/>
    <w:rsid w:val="00951758"/>
    <w:rsid w:val="00951CD8"/>
    <w:rsid w:val="0095221D"/>
    <w:rsid w:val="009524AD"/>
    <w:rsid w:val="00952B00"/>
    <w:rsid w:val="00952B82"/>
    <w:rsid w:val="00952F21"/>
    <w:rsid w:val="00953123"/>
    <w:rsid w:val="009533E8"/>
    <w:rsid w:val="009536B2"/>
    <w:rsid w:val="009538E2"/>
    <w:rsid w:val="00953D88"/>
    <w:rsid w:val="009549CE"/>
    <w:rsid w:val="00954A63"/>
    <w:rsid w:val="00954CB5"/>
    <w:rsid w:val="00954D3C"/>
    <w:rsid w:val="009551F7"/>
    <w:rsid w:val="009553BE"/>
    <w:rsid w:val="009554EB"/>
    <w:rsid w:val="00955921"/>
    <w:rsid w:val="00955BE1"/>
    <w:rsid w:val="009561D3"/>
    <w:rsid w:val="009562D6"/>
    <w:rsid w:val="00956CE1"/>
    <w:rsid w:val="00956D37"/>
    <w:rsid w:val="00956F2F"/>
    <w:rsid w:val="009572D6"/>
    <w:rsid w:val="00957BC4"/>
    <w:rsid w:val="00957ED6"/>
    <w:rsid w:val="0096002C"/>
    <w:rsid w:val="0096021C"/>
    <w:rsid w:val="00960298"/>
    <w:rsid w:val="00960311"/>
    <w:rsid w:val="0096093C"/>
    <w:rsid w:val="00960BE4"/>
    <w:rsid w:val="00960CD1"/>
    <w:rsid w:val="00960FE9"/>
    <w:rsid w:val="00960FFD"/>
    <w:rsid w:val="00961EC1"/>
    <w:rsid w:val="009620CB"/>
    <w:rsid w:val="00962AF8"/>
    <w:rsid w:val="00962C60"/>
    <w:rsid w:val="009632E2"/>
    <w:rsid w:val="00963B9C"/>
    <w:rsid w:val="00963C96"/>
    <w:rsid w:val="009641B7"/>
    <w:rsid w:val="009645A3"/>
    <w:rsid w:val="009645EE"/>
    <w:rsid w:val="0096469D"/>
    <w:rsid w:val="009646CB"/>
    <w:rsid w:val="00965603"/>
    <w:rsid w:val="00965EE2"/>
    <w:rsid w:val="00966016"/>
    <w:rsid w:val="009660DB"/>
    <w:rsid w:val="009660E8"/>
    <w:rsid w:val="00966241"/>
    <w:rsid w:val="009666B4"/>
    <w:rsid w:val="0096674C"/>
    <w:rsid w:val="00967F17"/>
    <w:rsid w:val="00967FA0"/>
    <w:rsid w:val="009707DF"/>
    <w:rsid w:val="00970B59"/>
    <w:rsid w:val="00971BCB"/>
    <w:rsid w:val="00971D9F"/>
    <w:rsid w:val="009722E0"/>
    <w:rsid w:val="00973118"/>
    <w:rsid w:val="00973361"/>
    <w:rsid w:val="00973720"/>
    <w:rsid w:val="00973EF9"/>
    <w:rsid w:val="009744AC"/>
    <w:rsid w:val="0097469D"/>
    <w:rsid w:val="0097480B"/>
    <w:rsid w:val="00974BFF"/>
    <w:rsid w:val="00974CE7"/>
    <w:rsid w:val="00974DBD"/>
    <w:rsid w:val="00974F8E"/>
    <w:rsid w:val="0097500D"/>
    <w:rsid w:val="009773A3"/>
    <w:rsid w:val="00977A89"/>
    <w:rsid w:val="00977BA3"/>
    <w:rsid w:val="00977CB8"/>
    <w:rsid w:val="00977F59"/>
    <w:rsid w:val="009801D5"/>
    <w:rsid w:val="0098078E"/>
    <w:rsid w:val="00980B53"/>
    <w:rsid w:val="00980F7C"/>
    <w:rsid w:val="009812B2"/>
    <w:rsid w:val="00981A03"/>
    <w:rsid w:val="00981EFF"/>
    <w:rsid w:val="0098224E"/>
    <w:rsid w:val="009822EA"/>
    <w:rsid w:val="0098262A"/>
    <w:rsid w:val="00982A23"/>
    <w:rsid w:val="00982A7D"/>
    <w:rsid w:val="00982F25"/>
    <w:rsid w:val="00982F36"/>
    <w:rsid w:val="00982F98"/>
    <w:rsid w:val="009835A0"/>
    <w:rsid w:val="009837E4"/>
    <w:rsid w:val="00983F0F"/>
    <w:rsid w:val="0098405A"/>
    <w:rsid w:val="009840C0"/>
    <w:rsid w:val="0098431A"/>
    <w:rsid w:val="00984AD7"/>
    <w:rsid w:val="00985B91"/>
    <w:rsid w:val="009861BE"/>
    <w:rsid w:val="009863CE"/>
    <w:rsid w:val="00986806"/>
    <w:rsid w:val="0098686D"/>
    <w:rsid w:val="009869F5"/>
    <w:rsid w:val="00986AC1"/>
    <w:rsid w:val="0098725F"/>
    <w:rsid w:val="009877DB"/>
    <w:rsid w:val="00987B91"/>
    <w:rsid w:val="00987E14"/>
    <w:rsid w:val="00990B80"/>
    <w:rsid w:val="00990CBA"/>
    <w:rsid w:val="00990CE0"/>
    <w:rsid w:val="0099125D"/>
    <w:rsid w:val="009912D6"/>
    <w:rsid w:val="009914BD"/>
    <w:rsid w:val="0099184E"/>
    <w:rsid w:val="009918E3"/>
    <w:rsid w:val="00991C79"/>
    <w:rsid w:val="00991DAD"/>
    <w:rsid w:val="009920B8"/>
    <w:rsid w:val="009922F2"/>
    <w:rsid w:val="009925C9"/>
    <w:rsid w:val="00992E14"/>
    <w:rsid w:val="009930D5"/>
    <w:rsid w:val="0099319B"/>
    <w:rsid w:val="00993414"/>
    <w:rsid w:val="00993B59"/>
    <w:rsid w:val="00993EAD"/>
    <w:rsid w:val="00994DF6"/>
    <w:rsid w:val="009954EE"/>
    <w:rsid w:val="009957C4"/>
    <w:rsid w:val="00995EE8"/>
    <w:rsid w:val="00996268"/>
    <w:rsid w:val="009962B6"/>
    <w:rsid w:val="00997052"/>
    <w:rsid w:val="0099727E"/>
    <w:rsid w:val="009976D0"/>
    <w:rsid w:val="00997794"/>
    <w:rsid w:val="009A007C"/>
    <w:rsid w:val="009A0484"/>
    <w:rsid w:val="009A0A68"/>
    <w:rsid w:val="009A0E1B"/>
    <w:rsid w:val="009A124B"/>
    <w:rsid w:val="009A140B"/>
    <w:rsid w:val="009A150D"/>
    <w:rsid w:val="009A1B2D"/>
    <w:rsid w:val="009A1CEA"/>
    <w:rsid w:val="009A2E42"/>
    <w:rsid w:val="009A2FDC"/>
    <w:rsid w:val="009A3308"/>
    <w:rsid w:val="009A3609"/>
    <w:rsid w:val="009A3C47"/>
    <w:rsid w:val="009A3C58"/>
    <w:rsid w:val="009A3EB2"/>
    <w:rsid w:val="009A3ECF"/>
    <w:rsid w:val="009A4457"/>
    <w:rsid w:val="009A44C6"/>
    <w:rsid w:val="009A4911"/>
    <w:rsid w:val="009A4A70"/>
    <w:rsid w:val="009A5723"/>
    <w:rsid w:val="009A5960"/>
    <w:rsid w:val="009A5CB0"/>
    <w:rsid w:val="009A60F3"/>
    <w:rsid w:val="009A62D8"/>
    <w:rsid w:val="009A6881"/>
    <w:rsid w:val="009A7088"/>
    <w:rsid w:val="009A7090"/>
    <w:rsid w:val="009A73F2"/>
    <w:rsid w:val="009A745B"/>
    <w:rsid w:val="009A7E29"/>
    <w:rsid w:val="009A7E84"/>
    <w:rsid w:val="009B01BA"/>
    <w:rsid w:val="009B03BF"/>
    <w:rsid w:val="009B0A74"/>
    <w:rsid w:val="009B0DB4"/>
    <w:rsid w:val="009B10FB"/>
    <w:rsid w:val="009B131E"/>
    <w:rsid w:val="009B18EB"/>
    <w:rsid w:val="009B1EAD"/>
    <w:rsid w:val="009B21B7"/>
    <w:rsid w:val="009B2211"/>
    <w:rsid w:val="009B29EE"/>
    <w:rsid w:val="009B2E8B"/>
    <w:rsid w:val="009B30C8"/>
    <w:rsid w:val="009B316D"/>
    <w:rsid w:val="009B31A4"/>
    <w:rsid w:val="009B3474"/>
    <w:rsid w:val="009B37A2"/>
    <w:rsid w:val="009B3985"/>
    <w:rsid w:val="009B4209"/>
    <w:rsid w:val="009B4BB2"/>
    <w:rsid w:val="009B4CCA"/>
    <w:rsid w:val="009B5783"/>
    <w:rsid w:val="009B60E7"/>
    <w:rsid w:val="009B6151"/>
    <w:rsid w:val="009B6183"/>
    <w:rsid w:val="009B63C8"/>
    <w:rsid w:val="009B6F08"/>
    <w:rsid w:val="009B7523"/>
    <w:rsid w:val="009B7527"/>
    <w:rsid w:val="009B7770"/>
    <w:rsid w:val="009B7AA9"/>
    <w:rsid w:val="009B7D65"/>
    <w:rsid w:val="009C0008"/>
    <w:rsid w:val="009C068F"/>
    <w:rsid w:val="009C06BB"/>
    <w:rsid w:val="009C0860"/>
    <w:rsid w:val="009C0ABD"/>
    <w:rsid w:val="009C0BFE"/>
    <w:rsid w:val="009C0D6D"/>
    <w:rsid w:val="009C111D"/>
    <w:rsid w:val="009C1215"/>
    <w:rsid w:val="009C168B"/>
    <w:rsid w:val="009C17FA"/>
    <w:rsid w:val="009C1B82"/>
    <w:rsid w:val="009C267E"/>
    <w:rsid w:val="009C2D46"/>
    <w:rsid w:val="009C2E8B"/>
    <w:rsid w:val="009C3CAA"/>
    <w:rsid w:val="009C4181"/>
    <w:rsid w:val="009C5191"/>
    <w:rsid w:val="009C53DE"/>
    <w:rsid w:val="009C567B"/>
    <w:rsid w:val="009C5F26"/>
    <w:rsid w:val="009C65E2"/>
    <w:rsid w:val="009C7DF1"/>
    <w:rsid w:val="009D0B38"/>
    <w:rsid w:val="009D1306"/>
    <w:rsid w:val="009D2143"/>
    <w:rsid w:val="009D218D"/>
    <w:rsid w:val="009D2B75"/>
    <w:rsid w:val="009D31D7"/>
    <w:rsid w:val="009D3A5A"/>
    <w:rsid w:val="009D3AED"/>
    <w:rsid w:val="009D3AF4"/>
    <w:rsid w:val="009D4767"/>
    <w:rsid w:val="009D4FF7"/>
    <w:rsid w:val="009D536A"/>
    <w:rsid w:val="009D5B8E"/>
    <w:rsid w:val="009D60E9"/>
    <w:rsid w:val="009D62DE"/>
    <w:rsid w:val="009D64DF"/>
    <w:rsid w:val="009D6A71"/>
    <w:rsid w:val="009D6B82"/>
    <w:rsid w:val="009D6EBC"/>
    <w:rsid w:val="009D7908"/>
    <w:rsid w:val="009D7B61"/>
    <w:rsid w:val="009E19ED"/>
    <w:rsid w:val="009E1AB0"/>
    <w:rsid w:val="009E2229"/>
    <w:rsid w:val="009E2389"/>
    <w:rsid w:val="009E2710"/>
    <w:rsid w:val="009E2A5D"/>
    <w:rsid w:val="009E2DF2"/>
    <w:rsid w:val="009E2E87"/>
    <w:rsid w:val="009E300B"/>
    <w:rsid w:val="009E335A"/>
    <w:rsid w:val="009E3468"/>
    <w:rsid w:val="009E3633"/>
    <w:rsid w:val="009E3682"/>
    <w:rsid w:val="009E375F"/>
    <w:rsid w:val="009E3D33"/>
    <w:rsid w:val="009E3DA8"/>
    <w:rsid w:val="009E47EB"/>
    <w:rsid w:val="009E48C6"/>
    <w:rsid w:val="009E51CB"/>
    <w:rsid w:val="009E5245"/>
    <w:rsid w:val="009E55F8"/>
    <w:rsid w:val="009E5C14"/>
    <w:rsid w:val="009E5DFC"/>
    <w:rsid w:val="009E64F0"/>
    <w:rsid w:val="009E6C88"/>
    <w:rsid w:val="009E7585"/>
    <w:rsid w:val="009E7EB9"/>
    <w:rsid w:val="009E7FC9"/>
    <w:rsid w:val="009F0043"/>
    <w:rsid w:val="009F065F"/>
    <w:rsid w:val="009F0C1E"/>
    <w:rsid w:val="009F0C40"/>
    <w:rsid w:val="009F0FB2"/>
    <w:rsid w:val="009F1670"/>
    <w:rsid w:val="009F19C1"/>
    <w:rsid w:val="009F1AA4"/>
    <w:rsid w:val="009F1B79"/>
    <w:rsid w:val="009F1BCF"/>
    <w:rsid w:val="009F2885"/>
    <w:rsid w:val="009F2C45"/>
    <w:rsid w:val="009F3822"/>
    <w:rsid w:val="009F389A"/>
    <w:rsid w:val="009F4BD1"/>
    <w:rsid w:val="009F50F2"/>
    <w:rsid w:val="009F5437"/>
    <w:rsid w:val="009F54D0"/>
    <w:rsid w:val="009F59C3"/>
    <w:rsid w:val="009F61D3"/>
    <w:rsid w:val="009F6205"/>
    <w:rsid w:val="009F627A"/>
    <w:rsid w:val="009F652A"/>
    <w:rsid w:val="009F6703"/>
    <w:rsid w:val="009F6870"/>
    <w:rsid w:val="009F7056"/>
    <w:rsid w:val="009F727F"/>
    <w:rsid w:val="009F7577"/>
    <w:rsid w:val="009F77DD"/>
    <w:rsid w:val="009F7902"/>
    <w:rsid w:val="00A005FA"/>
    <w:rsid w:val="00A00A38"/>
    <w:rsid w:val="00A00E82"/>
    <w:rsid w:val="00A0155F"/>
    <w:rsid w:val="00A01A83"/>
    <w:rsid w:val="00A01CF3"/>
    <w:rsid w:val="00A01F46"/>
    <w:rsid w:val="00A021F5"/>
    <w:rsid w:val="00A02447"/>
    <w:rsid w:val="00A02990"/>
    <w:rsid w:val="00A02D34"/>
    <w:rsid w:val="00A037DE"/>
    <w:rsid w:val="00A0381E"/>
    <w:rsid w:val="00A03F1A"/>
    <w:rsid w:val="00A042C5"/>
    <w:rsid w:val="00A043DD"/>
    <w:rsid w:val="00A04E00"/>
    <w:rsid w:val="00A04E4C"/>
    <w:rsid w:val="00A04F5D"/>
    <w:rsid w:val="00A0501E"/>
    <w:rsid w:val="00A059C4"/>
    <w:rsid w:val="00A05A08"/>
    <w:rsid w:val="00A068DA"/>
    <w:rsid w:val="00A07102"/>
    <w:rsid w:val="00A07D95"/>
    <w:rsid w:val="00A106CA"/>
    <w:rsid w:val="00A10983"/>
    <w:rsid w:val="00A1100E"/>
    <w:rsid w:val="00A11C64"/>
    <w:rsid w:val="00A120AA"/>
    <w:rsid w:val="00A125A4"/>
    <w:rsid w:val="00A12776"/>
    <w:rsid w:val="00A1294E"/>
    <w:rsid w:val="00A12C96"/>
    <w:rsid w:val="00A12E0D"/>
    <w:rsid w:val="00A12F7D"/>
    <w:rsid w:val="00A13399"/>
    <w:rsid w:val="00A145A6"/>
    <w:rsid w:val="00A145BD"/>
    <w:rsid w:val="00A147AC"/>
    <w:rsid w:val="00A148B6"/>
    <w:rsid w:val="00A14A84"/>
    <w:rsid w:val="00A1546A"/>
    <w:rsid w:val="00A16D0D"/>
    <w:rsid w:val="00A17024"/>
    <w:rsid w:val="00A1725D"/>
    <w:rsid w:val="00A17C50"/>
    <w:rsid w:val="00A17C81"/>
    <w:rsid w:val="00A2067D"/>
    <w:rsid w:val="00A2079B"/>
    <w:rsid w:val="00A21836"/>
    <w:rsid w:val="00A229AF"/>
    <w:rsid w:val="00A229E1"/>
    <w:rsid w:val="00A22C4A"/>
    <w:rsid w:val="00A2316C"/>
    <w:rsid w:val="00A23329"/>
    <w:rsid w:val="00A23726"/>
    <w:rsid w:val="00A238F5"/>
    <w:rsid w:val="00A23C59"/>
    <w:rsid w:val="00A24E22"/>
    <w:rsid w:val="00A24F5D"/>
    <w:rsid w:val="00A2546C"/>
    <w:rsid w:val="00A25E32"/>
    <w:rsid w:val="00A265D0"/>
    <w:rsid w:val="00A26CB6"/>
    <w:rsid w:val="00A27956"/>
    <w:rsid w:val="00A27A9C"/>
    <w:rsid w:val="00A27E31"/>
    <w:rsid w:val="00A305A5"/>
    <w:rsid w:val="00A30BB6"/>
    <w:rsid w:val="00A30F28"/>
    <w:rsid w:val="00A3122C"/>
    <w:rsid w:val="00A31392"/>
    <w:rsid w:val="00A3158D"/>
    <w:rsid w:val="00A315D4"/>
    <w:rsid w:val="00A319D4"/>
    <w:rsid w:val="00A31C8E"/>
    <w:rsid w:val="00A322EF"/>
    <w:rsid w:val="00A32519"/>
    <w:rsid w:val="00A32F40"/>
    <w:rsid w:val="00A33D5D"/>
    <w:rsid w:val="00A35049"/>
    <w:rsid w:val="00A352A1"/>
    <w:rsid w:val="00A36436"/>
    <w:rsid w:val="00A36488"/>
    <w:rsid w:val="00A36E67"/>
    <w:rsid w:val="00A37451"/>
    <w:rsid w:val="00A3773B"/>
    <w:rsid w:val="00A37B7E"/>
    <w:rsid w:val="00A37C25"/>
    <w:rsid w:val="00A402A8"/>
    <w:rsid w:val="00A40781"/>
    <w:rsid w:val="00A41132"/>
    <w:rsid w:val="00A4123C"/>
    <w:rsid w:val="00A42065"/>
    <w:rsid w:val="00A423CD"/>
    <w:rsid w:val="00A42A2A"/>
    <w:rsid w:val="00A42F33"/>
    <w:rsid w:val="00A431AD"/>
    <w:rsid w:val="00A43295"/>
    <w:rsid w:val="00A43424"/>
    <w:rsid w:val="00A4382E"/>
    <w:rsid w:val="00A448B9"/>
    <w:rsid w:val="00A44F9C"/>
    <w:rsid w:val="00A45730"/>
    <w:rsid w:val="00A46045"/>
    <w:rsid w:val="00A46947"/>
    <w:rsid w:val="00A46CF9"/>
    <w:rsid w:val="00A47380"/>
    <w:rsid w:val="00A4782C"/>
    <w:rsid w:val="00A47ECF"/>
    <w:rsid w:val="00A50512"/>
    <w:rsid w:val="00A5086A"/>
    <w:rsid w:val="00A50904"/>
    <w:rsid w:val="00A5114B"/>
    <w:rsid w:val="00A514A0"/>
    <w:rsid w:val="00A515D0"/>
    <w:rsid w:val="00A52065"/>
    <w:rsid w:val="00A521A6"/>
    <w:rsid w:val="00A52CD3"/>
    <w:rsid w:val="00A52F35"/>
    <w:rsid w:val="00A5340A"/>
    <w:rsid w:val="00A542AE"/>
    <w:rsid w:val="00A544E7"/>
    <w:rsid w:val="00A54C8A"/>
    <w:rsid w:val="00A55632"/>
    <w:rsid w:val="00A558D1"/>
    <w:rsid w:val="00A56936"/>
    <w:rsid w:val="00A56F39"/>
    <w:rsid w:val="00A57508"/>
    <w:rsid w:val="00A577C7"/>
    <w:rsid w:val="00A57E6A"/>
    <w:rsid w:val="00A604B5"/>
    <w:rsid w:val="00A6078E"/>
    <w:rsid w:val="00A60B65"/>
    <w:rsid w:val="00A60D14"/>
    <w:rsid w:val="00A60ECE"/>
    <w:rsid w:val="00A60F64"/>
    <w:rsid w:val="00A611B7"/>
    <w:rsid w:val="00A61319"/>
    <w:rsid w:val="00A614CD"/>
    <w:rsid w:val="00A6189D"/>
    <w:rsid w:val="00A618D6"/>
    <w:rsid w:val="00A62974"/>
    <w:rsid w:val="00A62C8E"/>
    <w:rsid w:val="00A6315A"/>
    <w:rsid w:val="00A6366C"/>
    <w:rsid w:val="00A63B54"/>
    <w:rsid w:val="00A63F83"/>
    <w:rsid w:val="00A64111"/>
    <w:rsid w:val="00A6463B"/>
    <w:rsid w:val="00A64C52"/>
    <w:rsid w:val="00A652A2"/>
    <w:rsid w:val="00A655EF"/>
    <w:rsid w:val="00A6696E"/>
    <w:rsid w:val="00A66A12"/>
    <w:rsid w:val="00A66F15"/>
    <w:rsid w:val="00A6784F"/>
    <w:rsid w:val="00A705E3"/>
    <w:rsid w:val="00A70E2C"/>
    <w:rsid w:val="00A710BE"/>
    <w:rsid w:val="00A71118"/>
    <w:rsid w:val="00A7196E"/>
    <w:rsid w:val="00A71A1C"/>
    <w:rsid w:val="00A71B8F"/>
    <w:rsid w:val="00A72652"/>
    <w:rsid w:val="00A727FC"/>
    <w:rsid w:val="00A72958"/>
    <w:rsid w:val="00A73112"/>
    <w:rsid w:val="00A733B3"/>
    <w:rsid w:val="00A735F5"/>
    <w:rsid w:val="00A737B4"/>
    <w:rsid w:val="00A737BD"/>
    <w:rsid w:val="00A73BE4"/>
    <w:rsid w:val="00A7423D"/>
    <w:rsid w:val="00A745FB"/>
    <w:rsid w:val="00A748EC"/>
    <w:rsid w:val="00A74C37"/>
    <w:rsid w:val="00A7518B"/>
    <w:rsid w:val="00A755F0"/>
    <w:rsid w:val="00A75C10"/>
    <w:rsid w:val="00A7668F"/>
    <w:rsid w:val="00A76DE2"/>
    <w:rsid w:val="00A7793E"/>
    <w:rsid w:val="00A80B6C"/>
    <w:rsid w:val="00A80E8C"/>
    <w:rsid w:val="00A814B3"/>
    <w:rsid w:val="00A815C0"/>
    <w:rsid w:val="00A81F00"/>
    <w:rsid w:val="00A82950"/>
    <w:rsid w:val="00A82E5F"/>
    <w:rsid w:val="00A840BB"/>
    <w:rsid w:val="00A848D8"/>
    <w:rsid w:val="00A84A96"/>
    <w:rsid w:val="00A84E2E"/>
    <w:rsid w:val="00A857CD"/>
    <w:rsid w:val="00A8622B"/>
    <w:rsid w:val="00A86278"/>
    <w:rsid w:val="00A86EFD"/>
    <w:rsid w:val="00A870BE"/>
    <w:rsid w:val="00A87138"/>
    <w:rsid w:val="00A8773B"/>
    <w:rsid w:val="00A87A3D"/>
    <w:rsid w:val="00A87AAA"/>
    <w:rsid w:val="00A902B0"/>
    <w:rsid w:val="00A902D0"/>
    <w:rsid w:val="00A903E4"/>
    <w:rsid w:val="00A909F4"/>
    <w:rsid w:val="00A9116D"/>
    <w:rsid w:val="00A9126E"/>
    <w:rsid w:val="00A9164C"/>
    <w:rsid w:val="00A91743"/>
    <w:rsid w:val="00A92034"/>
    <w:rsid w:val="00A92A50"/>
    <w:rsid w:val="00A92C48"/>
    <w:rsid w:val="00A932E6"/>
    <w:rsid w:val="00A93607"/>
    <w:rsid w:val="00A93AF6"/>
    <w:rsid w:val="00A94684"/>
    <w:rsid w:val="00A948CF"/>
    <w:rsid w:val="00A956DA"/>
    <w:rsid w:val="00A95BDE"/>
    <w:rsid w:val="00A95E34"/>
    <w:rsid w:val="00A96B5B"/>
    <w:rsid w:val="00A96C17"/>
    <w:rsid w:val="00A96EBD"/>
    <w:rsid w:val="00A96F17"/>
    <w:rsid w:val="00A9733A"/>
    <w:rsid w:val="00A97505"/>
    <w:rsid w:val="00A97B11"/>
    <w:rsid w:val="00AA050B"/>
    <w:rsid w:val="00AA08BF"/>
    <w:rsid w:val="00AA0B37"/>
    <w:rsid w:val="00AA0F5B"/>
    <w:rsid w:val="00AA1092"/>
    <w:rsid w:val="00AA12F6"/>
    <w:rsid w:val="00AA1A9F"/>
    <w:rsid w:val="00AA1BB3"/>
    <w:rsid w:val="00AA1C2C"/>
    <w:rsid w:val="00AA32EE"/>
    <w:rsid w:val="00AA362C"/>
    <w:rsid w:val="00AA3638"/>
    <w:rsid w:val="00AA3AFE"/>
    <w:rsid w:val="00AA4074"/>
    <w:rsid w:val="00AA45CA"/>
    <w:rsid w:val="00AA45FA"/>
    <w:rsid w:val="00AA467B"/>
    <w:rsid w:val="00AA4861"/>
    <w:rsid w:val="00AA501E"/>
    <w:rsid w:val="00AA5123"/>
    <w:rsid w:val="00AA5184"/>
    <w:rsid w:val="00AA6698"/>
    <w:rsid w:val="00AA66FD"/>
    <w:rsid w:val="00AA687C"/>
    <w:rsid w:val="00AA6E04"/>
    <w:rsid w:val="00AA7170"/>
    <w:rsid w:val="00AA77AC"/>
    <w:rsid w:val="00AA7FB4"/>
    <w:rsid w:val="00AB00BD"/>
    <w:rsid w:val="00AB0CB7"/>
    <w:rsid w:val="00AB143A"/>
    <w:rsid w:val="00AB1B5B"/>
    <w:rsid w:val="00AB20B7"/>
    <w:rsid w:val="00AB333C"/>
    <w:rsid w:val="00AB3435"/>
    <w:rsid w:val="00AB3653"/>
    <w:rsid w:val="00AB3A38"/>
    <w:rsid w:val="00AB3A4E"/>
    <w:rsid w:val="00AB3C94"/>
    <w:rsid w:val="00AB3D4D"/>
    <w:rsid w:val="00AB3D98"/>
    <w:rsid w:val="00AB4131"/>
    <w:rsid w:val="00AB455C"/>
    <w:rsid w:val="00AB47F1"/>
    <w:rsid w:val="00AB48F3"/>
    <w:rsid w:val="00AB4F59"/>
    <w:rsid w:val="00AB5478"/>
    <w:rsid w:val="00AB5485"/>
    <w:rsid w:val="00AB601C"/>
    <w:rsid w:val="00AB6307"/>
    <w:rsid w:val="00AB6454"/>
    <w:rsid w:val="00AB6969"/>
    <w:rsid w:val="00AB7085"/>
    <w:rsid w:val="00AB70BF"/>
    <w:rsid w:val="00AB7AC0"/>
    <w:rsid w:val="00AB7EA8"/>
    <w:rsid w:val="00AC12D0"/>
    <w:rsid w:val="00AC1360"/>
    <w:rsid w:val="00AC185B"/>
    <w:rsid w:val="00AC1946"/>
    <w:rsid w:val="00AC208C"/>
    <w:rsid w:val="00AC2946"/>
    <w:rsid w:val="00AC36F2"/>
    <w:rsid w:val="00AC3787"/>
    <w:rsid w:val="00AC3D31"/>
    <w:rsid w:val="00AC3D55"/>
    <w:rsid w:val="00AC3D8B"/>
    <w:rsid w:val="00AC3EC8"/>
    <w:rsid w:val="00AC4DA8"/>
    <w:rsid w:val="00AC5060"/>
    <w:rsid w:val="00AC52C0"/>
    <w:rsid w:val="00AC5C9D"/>
    <w:rsid w:val="00AC5CB7"/>
    <w:rsid w:val="00AC6198"/>
    <w:rsid w:val="00AC6F6B"/>
    <w:rsid w:val="00AC7531"/>
    <w:rsid w:val="00AC7564"/>
    <w:rsid w:val="00AC7688"/>
    <w:rsid w:val="00AC792D"/>
    <w:rsid w:val="00AC7C02"/>
    <w:rsid w:val="00AD04E8"/>
    <w:rsid w:val="00AD0517"/>
    <w:rsid w:val="00AD0A78"/>
    <w:rsid w:val="00AD1002"/>
    <w:rsid w:val="00AD1192"/>
    <w:rsid w:val="00AD1233"/>
    <w:rsid w:val="00AD1641"/>
    <w:rsid w:val="00AD169C"/>
    <w:rsid w:val="00AD1A2E"/>
    <w:rsid w:val="00AD1D29"/>
    <w:rsid w:val="00AD2CE8"/>
    <w:rsid w:val="00AD324A"/>
    <w:rsid w:val="00AD36B4"/>
    <w:rsid w:val="00AD3853"/>
    <w:rsid w:val="00AD3CCB"/>
    <w:rsid w:val="00AD42E6"/>
    <w:rsid w:val="00AD43BF"/>
    <w:rsid w:val="00AD5DAF"/>
    <w:rsid w:val="00AD61C0"/>
    <w:rsid w:val="00AD651D"/>
    <w:rsid w:val="00AD6B9F"/>
    <w:rsid w:val="00AD6D6E"/>
    <w:rsid w:val="00AD717A"/>
    <w:rsid w:val="00AE01EC"/>
    <w:rsid w:val="00AE0A67"/>
    <w:rsid w:val="00AE0BA6"/>
    <w:rsid w:val="00AE0D98"/>
    <w:rsid w:val="00AE0F6A"/>
    <w:rsid w:val="00AE1027"/>
    <w:rsid w:val="00AE1133"/>
    <w:rsid w:val="00AE116A"/>
    <w:rsid w:val="00AE2666"/>
    <w:rsid w:val="00AE2A39"/>
    <w:rsid w:val="00AE2E18"/>
    <w:rsid w:val="00AE312E"/>
    <w:rsid w:val="00AE3199"/>
    <w:rsid w:val="00AE4A09"/>
    <w:rsid w:val="00AE5165"/>
    <w:rsid w:val="00AE60F5"/>
    <w:rsid w:val="00AE63E7"/>
    <w:rsid w:val="00AE6715"/>
    <w:rsid w:val="00AE716B"/>
    <w:rsid w:val="00AE72A6"/>
    <w:rsid w:val="00AE72E9"/>
    <w:rsid w:val="00AE7BB5"/>
    <w:rsid w:val="00AF076F"/>
    <w:rsid w:val="00AF0B50"/>
    <w:rsid w:val="00AF0B9D"/>
    <w:rsid w:val="00AF0EBB"/>
    <w:rsid w:val="00AF19BA"/>
    <w:rsid w:val="00AF1B44"/>
    <w:rsid w:val="00AF21A5"/>
    <w:rsid w:val="00AF29EA"/>
    <w:rsid w:val="00AF2CE6"/>
    <w:rsid w:val="00AF36EF"/>
    <w:rsid w:val="00AF46FA"/>
    <w:rsid w:val="00AF4979"/>
    <w:rsid w:val="00AF4D46"/>
    <w:rsid w:val="00AF519A"/>
    <w:rsid w:val="00AF5894"/>
    <w:rsid w:val="00AF59E3"/>
    <w:rsid w:val="00AF5A64"/>
    <w:rsid w:val="00AF5D3F"/>
    <w:rsid w:val="00AF604E"/>
    <w:rsid w:val="00AF61B6"/>
    <w:rsid w:val="00AF638F"/>
    <w:rsid w:val="00AF69FC"/>
    <w:rsid w:val="00AF6E14"/>
    <w:rsid w:val="00AF7163"/>
    <w:rsid w:val="00AF7964"/>
    <w:rsid w:val="00AF7A51"/>
    <w:rsid w:val="00B0025E"/>
    <w:rsid w:val="00B002BF"/>
    <w:rsid w:val="00B00AEE"/>
    <w:rsid w:val="00B0121D"/>
    <w:rsid w:val="00B013A0"/>
    <w:rsid w:val="00B01B78"/>
    <w:rsid w:val="00B02623"/>
    <w:rsid w:val="00B02712"/>
    <w:rsid w:val="00B03324"/>
    <w:rsid w:val="00B03D1D"/>
    <w:rsid w:val="00B0416D"/>
    <w:rsid w:val="00B046DE"/>
    <w:rsid w:val="00B049A5"/>
    <w:rsid w:val="00B05670"/>
    <w:rsid w:val="00B05A81"/>
    <w:rsid w:val="00B05E26"/>
    <w:rsid w:val="00B05FA2"/>
    <w:rsid w:val="00B06B16"/>
    <w:rsid w:val="00B07E7F"/>
    <w:rsid w:val="00B100AE"/>
    <w:rsid w:val="00B103C6"/>
    <w:rsid w:val="00B10C7B"/>
    <w:rsid w:val="00B10D50"/>
    <w:rsid w:val="00B10FBE"/>
    <w:rsid w:val="00B117F9"/>
    <w:rsid w:val="00B1185C"/>
    <w:rsid w:val="00B119F3"/>
    <w:rsid w:val="00B125CE"/>
    <w:rsid w:val="00B1264D"/>
    <w:rsid w:val="00B128DF"/>
    <w:rsid w:val="00B12B8D"/>
    <w:rsid w:val="00B12F2C"/>
    <w:rsid w:val="00B13F18"/>
    <w:rsid w:val="00B141E0"/>
    <w:rsid w:val="00B149C3"/>
    <w:rsid w:val="00B14AAD"/>
    <w:rsid w:val="00B14F5C"/>
    <w:rsid w:val="00B151C4"/>
    <w:rsid w:val="00B1546B"/>
    <w:rsid w:val="00B15764"/>
    <w:rsid w:val="00B1611A"/>
    <w:rsid w:val="00B16181"/>
    <w:rsid w:val="00B16185"/>
    <w:rsid w:val="00B16F57"/>
    <w:rsid w:val="00B17117"/>
    <w:rsid w:val="00B1775B"/>
    <w:rsid w:val="00B17ECE"/>
    <w:rsid w:val="00B17F51"/>
    <w:rsid w:val="00B17FC1"/>
    <w:rsid w:val="00B200AB"/>
    <w:rsid w:val="00B206D0"/>
    <w:rsid w:val="00B211E9"/>
    <w:rsid w:val="00B2154A"/>
    <w:rsid w:val="00B221CE"/>
    <w:rsid w:val="00B224AD"/>
    <w:rsid w:val="00B22B1D"/>
    <w:rsid w:val="00B22F96"/>
    <w:rsid w:val="00B23811"/>
    <w:rsid w:val="00B23C4F"/>
    <w:rsid w:val="00B23D3C"/>
    <w:rsid w:val="00B2416C"/>
    <w:rsid w:val="00B2426E"/>
    <w:rsid w:val="00B24452"/>
    <w:rsid w:val="00B25057"/>
    <w:rsid w:val="00B25278"/>
    <w:rsid w:val="00B25F9D"/>
    <w:rsid w:val="00B25F9E"/>
    <w:rsid w:val="00B267BF"/>
    <w:rsid w:val="00B26B1A"/>
    <w:rsid w:val="00B26D52"/>
    <w:rsid w:val="00B26F16"/>
    <w:rsid w:val="00B26F44"/>
    <w:rsid w:val="00B27BDB"/>
    <w:rsid w:val="00B300F4"/>
    <w:rsid w:val="00B306B9"/>
    <w:rsid w:val="00B308DE"/>
    <w:rsid w:val="00B31AA1"/>
    <w:rsid w:val="00B32198"/>
    <w:rsid w:val="00B329B0"/>
    <w:rsid w:val="00B32AA6"/>
    <w:rsid w:val="00B336FB"/>
    <w:rsid w:val="00B3406E"/>
    <w:rsid w:val="00B34736"/>
    <w:rsid w:val="00B348DC"/>
    <w:rsid w:val="00B34E6E"/>
    <w:rsid w:val="00B352EF"/>
    <w:rsid w:val="00B35FA9"/>
    <w:rsid w:val="00B3605F"/>
    <w:rsid w:val="00B36B4A"/>
    <w:rsid w:val="00B36F9D"/>
    <w:rsid w:val="00B37D0B"/>
    <w:rsid w:val="00B406D3"/>
    <w:rsid w:val="00B40AFB"/>
    <w:rsid w:val="00B411F6"/>
    <w:rsid w:val="00B41914"/>
    <w:rsid w:val="00B42852"/>
    <w:rsid w:val="00B42A71"/>
    <w:rsid w:val="00B42D72"/>
    <w:rsid w:val="00B42E65"/>
    <w:rsid w:val="00B43533"/>
    <w:rsid w:val="00B443C4"/>
    <w:rsid w:val="00B44B78"/>
    <w:rsid w:val="00B455EE"/>
    <w:rsid w:val="00B45A31"/>
    <w:rsid w:val="00B46613"/>
    <w:rsid w:val="00B468A3"/>
    <w:rsid w:val="00B46AA2"/>
    <w:rsid w:val="00B46ABD"/>
    <w:rsid w:val="00B46F3C"/>
    <w:rsid w:val="00B4738A"/>
    <w:rsid w:val="00B47CE7"/>
    <w:rsid w:val="00B47F1B"/>
    <w:rsid w:val="00B5001C"/>
    <w:rsid w:val="00B50119"/>
    <w:rsid w:val="00B50273"/>
    <w:rsid w:val="00B50B7F"/>
    <w:rsid w:val="00B51A48"/>
    <w:rsid w:val="00B51BD5"/>
    <w:rsid w:val="00B51DC5"/>
    <w:rsid w:val="00B51E46"/>
    <w:rsid w:val="00B53527"/>
    <w:rsid w:val="00B53755"/>
    <w:rsid w:val="00B53996"/>
    <w:rsid w:val="00B53AE9"/>
    <w:rsid w:val="00B53D0E"/>
    <w:rsid w:val="00B546C3"/>
    <w:rsid w:val="00B54C3B"/>
    <w:rsid w:val="00B54D84"/>
    <w:rsid w:val="00B54F48"/>
    <w:rsid w:val="00B5603D"/>
    <w:rsid w:val="00B56671"/>
    <w:rsid w:val="00B566CB"/>
    <w:rsid w:val="00B56DC6"/>
    <w:rsid w:val="00B5723D"/>
    <w:rsid w:val="00B57434"/>
    <w:rsid w:val="00B576D1"/>
    <w:rsid w:val="00B57D2E"/>
    <w:rsid w:val="00B60C3B"/>
    <w:rsid w:val="00B60D9D"/>
    <w:rsid w:val="00B60FDA"/>
    <w:rsid w:val="00B61696"/>
    <w:rsid w:val="00B618AE"/>
    <w:rsid w:val="00B61EC8"/>
    <w:rsid w:val="00B61F16"/>
    <w:rsid w:val="00B6208E"/>
    <w:rsid w:val="00B62CC2"/>
    <w:rsid w:val="00B630FD"/>
    <w:rsid w:val="00B6359B"/>
    <w:rsid w:val="00B63F85"/>
    <w:rsid w:val="00B643F4"/>
    <w:rsid w:val="00B6532E"/>
    <w:rsid w:val="00B65534"/>
    <w:rsid w:val="00B6593D"/>
    <w:rsid w:val="00B65F51"/>
    <w:rsid w:val="00B6682A"/>
    <w:rsid w:val="00B66D0A"/>
    <w:rsid w:val="00B67257"/>
    <w:rsid w:val="00B67465"/>
    <w:rsid w:val="00B6762A"/>
    <w:rsid w:val="00B67C4E"/>
    <w:rsid w:val="00B70149"/>
    <w:rsid w:val="00B70246"/>
    <w:rsid w:val="00B703A5"/>
    <w:rsid w:val="00B704F8"/>
    <w:rsid w:val="00B706AC"/>
    <w:rsid w:val="00B708C6"/>
    <w:rsid w:val="00B7100C"/>
    <w:rsid w:val="00B712AA"/>
    <w:rsid w:val="00B716F9"/>
    <w:rsid w:val="00B71750"/>
    <w:rsid w:val="00B71B8C"/>
    <w:rsid w:val="00B72387"/>
    <w:rsid w:val="00B723F1"/>
    <w:rsid w:val="00B72589"/>
    <w:rsid w:val="00B729EF"/>
    <w:rsid w:val="00B72E7A"/>
    <w:rsid w:val="00B731A1"/>
    <w:rsid w:val="00B7349E"/>
    <w:rsid w:val="00B74CE1"/>
    <w:rsid w:val="00B74FF9"/>
    <w:rsid w:val="00B759CD"/>
    <w:rsid w:val="00B75CAA"/>
    <w:rsid w:val="00B75EF5"/>
    <w:rsid w:val="00B76880"/>
    <w:rsid w:val="00B76BBB"/>
    <w:rsid w:val="00B77525"/>
    <w:rsid w:val="00B776FE"/>
    <w:rsid w:val="00B77AA1"/>
    <w:rsid w:val="00B77AD6"/>
    <w:rsid w:val="00B77DA8"/>
    <w:rsid w:val="00B80DDC"/>
    <w:rsid w:val="00B8139A"/>
    <w:rsid w:val="00B818E9"/>
    <w:rsid w:val="00B81F66"/>
    <w:rsid w:val="00B820F7"/>
    <w:rsid w:val="00B82A3D"/>
    <w:rsid w:val="00B82A48"/>
    <w:rsid w:val="00B82A4D"/>
    <w:rsid w:val="00B830CA"/>
    <w:rsid w:val="00B832E1"/>
    <w:rsid w:val="00B84077"/>
    <w:rsid w:val="00B86445"/>
    <w:rsid w:val="00B86577"/>
    <w:rsid w:val="00B866C9"/>
    <w:rsid w:val="00B86B41"/>
    <w:rsid w:val="00B86D2C"/>
    <w:rsid w:val="00B87A26"/>
    <w:rsid w:val="00B9022A"/>
    <w:rsid w:val="00B906A7"/>
    <w:rsid w:val="00B909B6"/>
    <w:rsid w:val="00B91661"/>
    <w:rsid w:val="00B91A0D"/>
    <w:rsid w:val="00B9219F"/>
    <w:rsid w:val="00B9224D"/>
    <w:rsid w:val="00B922F8"/>
    <w:rsid w:val="00B92FB0"/>
    <w:rsid w:val="00B932FF"/>
    <w:rsid w:val="00B936D4"/>
    <w:rsid w:val="00B9409A"/>
    <w:rsid w:val="00B94661"/>
    <w:rsid w:val="00B94AB3"/>
    <w:rsid w:val="00B94EEA"/>
    <w:rsid w:val="00B9510E"/>
    <w:rsid w:val="00B95640"/>
    <w:rsid w:val="00B961B2"/>
    <w:rsid w:val="00B961F0"/>
    <w:rsid w:val="00B969D5"/>
    <w:rsid w:val="00B96CC8"/>
    <w:rsid w:val="00B96D09"/>
    <w:rsid w:val="00B9722B"/>
    <w:rsid w:val="00B9726C"/>
    <w:rsid w:val="00B9789D"/>
    <w:rsid w:val="00B97C6E"/>
    <w:rsid w:val="00B97D0A"/>
    <w:rsid w:val="00B97D67"/>
    <w:rsid w:val="00B97E43"/>
    <w:rsid w:val="00BA0842"/>
    <w:rsid w:val="00BA0853"/>
    <w:rsid w:val="00BA0CAE"/>
    <w:rsid w:val="00BA2B24"/>
    <w:rsid w:val="00BA2C4D"/>
    <w:rsid w:val="00BA2C98"/>
    <w:rsid w:val="00BA3984"/>
    <w:rsid w:val="00BA3CA9"/>
    <w:rsid w:val="00BA4060"/>
    <w:rsid w:val="00BA455B"/>
    <w:rsid w:val="00BA4D6D"/>
    <w:rsid w:val="00BA55C8"/>
    <w:rsid w:val="00BA592F"/>
    <w:rsid w:val="00BA5B20"/>
    <w:rsid w:val="00BA5F10"/>
    <w:rsid w:val="00BA61DE"/>
    <w:rsid w:val="00BA672F"/>
    <w:rsid w:val="00BA7117"/>
    <w:rsid w:val="00BA7C36"/>
    <w:rsid w:val="00BB00CD"/>
    <w:rsid w:val="00BB1374"/>
    <w:rsid w:val="00BB1965"/>
    <w:rsid w:val="00BB1AE9"/>
    <w:rsid w:val="00BB1B68"/>
    <w:rsid w:val="00BB1E10"/>
    <w:rsid w:val="00BB2532"/>
    <w:rsid w:val="00BB284B"/>
    <w:rsid w:val="00BB332B"/>
    <w:rsid w:val="00BB3A50"/>
    <w:rsid w:val="00BB3CAE"/>
    <w:rsid w:val="00BB3F5F"/>
    <w:rsid w:val="00BB40CB"/>
    <w:rsid w:val="00BB482D"/>
    <w:rsid w:val="00BB4874"/>
    <w:rsid w:val="00BB4A07"/>
    <w:rsid w:val="00BB5AE2"/>
    <w:rsid w:val="00BB5DDA"/>
    <w:rsid w:val="00BB5E60"/>
    <w:rsid w:val="00BB5F2E"/>
    <w:rsid w:val="00BB6D41"/>
    <w:rsid w:val="00BB6DCA"/>
    <w:rsid w:val="00BB70CC"/>
    <w:rsid w:val="00BB7256"/>
    <w:rsid w:val="00BB75A6"/>
    <w:rsid w:val="00BB7831"/>
    <w:rsid w:val="00BB787A"/>
    <w:rsid w:val="00BC06F4"/>
    <w:rsid w:val="00BC0D90"/>
    <w:rsid w:val="00BC0EFF"/>
    <w:rsid w:val="00BC1107"/>
    <w:rsid w:val="00BC13C8"/>
    <w:rsid w:val="00BC186C"/>
    <w:rsid w:val="00BC2B4D"/>
    <w:rsid w:val="00BC2C7D"/>
    <w:rsid w:val="00BC3014"/>
    <w:rsid w:val="00BC360D"/>
    <w:rsid w:val="00BC3B5F"/>
    <w:rsid w:val="00BC408E"/>
    <w:rsid w:val="00BC4F6C"/>
    <w:rsid w:val="00BC55A6"/>
    <w:rsid w:val="00BC59FF"/>
    <w:rsid w:val="00BC613B"/>
    <w:rsid w:val="00BC62B9"/>
    <w:rsid w:val="00BC6916"/>
    <w:rsid w:val="00BD0442"/>
    <w:rsid w:val="00BD08B0"/>
    <w:rsid w:val="00BD0A6E"/>
    <w:rsid w:val="00BD0C7E"/>
    <w:rsid w:val="00BD0E7B"/>
    <w:rsid w:val="00BD11C9"/>
    <w:rsid w:val="00BD15CA"/>
    <w:rsid w:val="00BD1C8F"/>
    <w:rsid w:val="00BD2521"/>
    <w:rsid w:val="00BD2EE8"/>
    <w:rsid w:val="00BD2F2A"/>
    <w:rsid w:val="00BD320D"/>
    <w:rsid w:val="00BD3BE2"/>
    <w:rsid w:val="00BD6B8A"/>
    <w:rsid w:val="00BD6DDA"/>
    <w:rsid w:val="00BE0228"/>
    <w:rsid w:val="00BE089D"/>
    <w:rsid w:val="00BE11D7"/>
    <w:rsid w:val="00BE1C1F"/>
    <w:rsid w:val="00BE1F1F"/>
    <w:rsid w:val="00BE1FA5"/>
    <w:rsid w:val="00BE1FA7"/>
    <w:rsid w:val="00BE232C"/>
    <w:rsid w:val="00BE236B"/>
    <w:rsid w:val="00BE241D"/>
    <w:rsid w:val="00BE287C"/>
    <w:rsid w:val="00BE2B90"/>
    <w:rsid w:val="00BE3AE5"/>
    <w:rsid w:val="00BE40EF"/>
    <w:rsid w:val="00BE44A9"/>
    <w:rsid w:val="00BE51E1"/>
    <w:rsid w:val="00BE527F"/>
    <w:rsid w:val="00BE55E1"/>
    <w:rsid w:val="00BE5DAA"/>
    <w:rsid w:val="00BE65E9"/>
    <w:rsid w:val="00BE6607"/>
    <w:rsid w:val="00BE6C89"/>
    <w:rsid w:val="00BE6D75"/>
    <w:rsid w:val="00BE6E0A"/>
    <w:rsid w:val="00BE7BB7"/>
    <w:rsid w:val="00BF0240"/>
    <w:rsid w:val="00BF02B4"/>
    <w:rsid w:val="00BF0870"/>
    <w:rsid w:val="00BF131D"/>
    <w:rsid w:val="00BF174D"/>
    <w:rsid w:val="00BF1C5A"/>
    <w:rsid w:val="00BF23CD"/>
    <w:rsid w:val="00BF2820"/>
    <w:rsid w:val="00BF30C1"/>
    <w:rsid w:val="00BF3AA6"/>
    <w:rsid w:val="00BF3D3B"/>
    <w:rsid w:val="00BF4042"/>
    <w:rsid w:val="00BF40B8"/>
    <w:rsid w:val="00BF4AA3"/>
    <w:rsid w:val="00BF4E11"/>
    <w:rsid w:val="00BF4F67"/>
    <w:rsid w:val="00BF5C73"/>
    <w:rsid w:val="00BF62DA"/>
    <w:rsid w:val="00BF6712"/>
    <w:rsid w:val="00BF7715"/>
    <w:rsid w:val="00BF7747"/>
    <w:rsid w:val="00BF7786"/>
    <w:rsid w:val="00BF77CA"/>
    <w:rsid w:val="00C01452"/>
    <w:rsid w:val="00C01572"/>
    <w:rsid w:val="00C017DB"/>
    <w:rsid w:val="00C0226A"/>
    <w:rsid w:val="00C02651"/>
    <w:rsid w:val="00C02BAD"/>
    <w:rsid w:val="00C03E73"/>
    <w:rsid w:val="00C04249"/>
    <w:rsid w:val="00C04647"/>
    <w:rsid w:val="00C04671"/>
    <w:rsid w:val="00C0473A"/>
    <w:rsid w:val="00C05B04"/>
    <w:rsid w:val="00C05D82"/>
    <w:rsid w:val="00C05E4E"/>
    <w:rsid w:val="00C06215"/>
    <w:rsid w:val="00C06929"/>
    <w:rsid w:val="00C073BF"/>
    <w:rsid w:val="00C077CF"/>
    <w:rsid w:val="00C0793E"/>
    <w:rsid w:val="00C07BE0"/>
    <w:rsid w:val="00C07E04"/>
    <w:rsid w:val="00C100B5"/>
    <w:rsid w:val="00C10694"/>
    <w:rsid w:val="00C1098B"/>
    <w:rsid w:val="00C11063"/>
    <w:rsid w:val="00C112B8"/>
    <w:rsid w:val="00C11603"/>
    <w:rsid w:val="00C11C59"/>
    <w:rsid w:val="00C122C6"/>
    <w:rsid w:val="00C12D89"/>
    <w:rsid w:val="00C12E01"/>
    <w:rsid w:val="00C12E45"/>
    <w:rsid w:val="00C1302C"/>
    <w:rsid w:val="00C13080"/>
    <w:rsid w:val="00C13083"/>
    <w:rsid w:val="00C13DBD"/>
    <w:rsid w:val="00C147BD"/>
    <w:rsid w:val="00C14E05"/>
    <w:rsid w:val="00C14F4B"/>
    <w:rsid w:val="00C1536A"/>
    <w:rsid w:val="00C15A3E"/>
    <w:rsid w:val="00C1611A"/>
    <w:rsid w:val="00C1613B"/>
    <w:rsid w:val="00C16D5A"/>
    <w:rsid w:val="00C16EDB"/>
    <w:rsid w:val="00C17492"/>
    <w:rsid w:val="00C17C4E"/>
    <w:rsid w:val="00C17E9D"/>
    <w:rsid w:val="00C20888"/>
    <w:rsid w:val="00C20CBF"/>
    <w:rsid w:val="00C20E0B"/>
    <w:rsid w:val="00C216F4"/>
    <w:rsid w:val="00C21806"/>
    <w:rsid w:val="00C224A1"/>
    <w:rsid w:val="00C22AEE"/>
    <w:rsid w:val="00C22BE5"/>
    <w:rsid w:val="00C22CAD"/>
    <w:rsid w:val="00C22D59"/>
    <w:rsid w:val="00C23866"/>
    <w:rsid w:val="00C245A8"/>
    <w:rsid w:val="00C251CF"/>
    <w:rsid w:val="00C256E7"/>
    <w:rsid w:val="00C25AA5"/>
    <w:rsid w:val="00C25C76"/>
    <w:rsid w:val="00C263F0"/>
    <w:rsid w:val="00C26CC6"/>
    <w:rsid w:val="00C30113"/>
    <w:rsid w:val="00C30399"/>
    <w:rsid w:val="00C30FB0"/>
    <w:rsid w:val="00C31520"/>
    <w:rsid w:val="00C318F5"/>
    <w:rsid w:val="00C31C12"/>
    <w:rsid w:val="00C32571"/>
    <w:rsid w:val="00C33002"/>
    <w:rsid w:val="00C33E52"/>
    <w:rsid w:val="00C34793"/>
    <w:rsid w:val="00C34973"/>
    <w:rsid w:val="00C34BC6"/>
    <w:rsid w:val="00C34C6E"/>
    <w:rsid w:val="00C35089"/>
    <w:rsid w:val="00C353DD"/>
    <w:rsid w:val="00C3543A"/>
    <w:rsid w:val="00C35F9E"/>
    <w:rsid w:val="00C361E2"/>
    <w:rsid w:val="00C3642D"/>
    <w:rsid w:val="00C36B14"/>
    <w:rsid w:val="00C36D0C"/>
    <w:rsid w:val="00C36EA6"/>
    <w:rsid w:val="00C36F10"/>
    <w:rsid w:val="00C379FB"/>
    <w:rsid w:val="00C37AA4"/>
    <w:rsid w:val="00C37E54"/>
    <w:rsid w:val="00C407C2"/>
    <w:rsid w:val="00C40A11"/>
    <w:rsid w:val="00C41883"/>
    <w:rsid w:val="00C418C9"/>
    <w:rsid w:val="00C428A2"/>
    <w:rsid w:val="00C42AA3"/>
    <w:rsid w:val="00C42E04"/>
    <w:rsid w:val="00C43562"/>
    <w:rsid w:val="00C439CE"/>
    <w:rsid w:val="00C43E4E"/>
    <w:rsid w:val="00C43F5F"/>
    <w:rsid w:val="00C44067"/>
    <w:rsid w:val="00C44198"/>
    <w:rsid w:val="00C44C85"/>
    <w:rsid w:val="00C44D5A"/>
    <w:rsid w:val="00C44E6E"/>
    <w:rsid w:val="00C45046"/>
    <w:rsid w:val="00C45498"/>
    <w:rsid w:val="00C456E6"/>
    <w:rsid w:val="00C458F5"/>
    <w:rsid w:val="00C45A69"/>
    <w:rsid w:val="00C463F7"/>
    <w:rsid w:val="00C46567"/>
    <w:rsid w:val="00C47A0E"/>
    <w:rsid w:val="00C50211"/>
    <w:rsid w:val="00C50AD1"/>
    <w:rsid w:val="00C50C24"/>
    <w:rsid w:val="00C514BB"/>
    <w:rsid w:val="00C51528"/>
    <w:rsid w:val="00C5157D"/>
    <w:rsid w:val="00C518BE"/>
    <w:rsid w:val="00C51B74"/>
    <w:rsid w:val="00C5204B"/>
    <w:rsid w:val="00C52168"/>
    <w:rsid w:val="00C53576"/>
    <w:rsid w:val="00C535FD"/>
    <w:rsid w:val="00C538BF"/>
    <w:rsid w:val="00C539E7"/>
    <w:rsid w:val="00C53ED7"/>
    <w:rsid w:val="00C54106"/>
    <w:rsid w:val="00C5451D"/>
    <w:rsid w:val="00C546BC"/>
    <w:rsid w:val="00C54835"/>
    <w:rsid w:val="00C54B1F"/>
    <w:rsid w:val="00C55266"/>
    <w:rsid w:val="00C55609"/>
    <w:rsid w:val="00C5567B"/>
    <w:rsid w:val="00C557E3"/>
    <w:rsid w:val="00C558BA"/>
    <w:rsid w:val="00C55934"/>
    <w:rsid w:val="00C55941"/>
    <w:rsid w:val="00C566A5"/>
    <w:rsid w:val="00C56714"/>
    <w:rsid w:val="00C57004"/>
    <w:rsid w:val="00C571BB"/>
    <w:rsid w:val="00C57385"/>
    <w:rsid w:val="00C576B0"/>
    <w:rsid w:val="00C5775A"/>
    <w:rsid w:val="00C606B6"/>
    <w:rsid w:val="00C60CFF"/>
    <w:rsid w:val="00C6141A"/>
    <w:rsid w:val="00C62008"/>
    <w:rsid w:val="00C6310A"/>
    <w:rsid w:val="00C63130"/>
    <w:rsid w:val="00C639DB"/>
    <w:rsid w:val="00C64419"/>
    <w:rsid w:val="00C64D3F"/>
    <w:rsid w:val="00C64F6C"/>
    <w:rsid w:val="00C6581D"/>
    <w:rsid w:val="00C65B1E"/>
    <w:rsid w:val="00C65BE0"/>
    <w:rsid w:val="00C65BFE"/>
    <w:rsid w:val="00C65CC4"/>
    <w:rsid w:val="00C65EA0"/>
    <w:rsid w:val="00C662A7"/>
    <w:rsid w:val="00C66A39"/>
    <w:rsid w:val="00C66A42"/>
    <w:rsid w:val="00C670F7"/>
    <w:rsid w:val="00C67214"/>
    <w:rsid w:val="00C67259"/>
    <w:rsid w:val="00C674D3"/>
    <w:rsid w:val="00C67644"/>
    <w:rsid w:val="00C6768F"/>
    <w:rsid w:val="00C7092F"/>
    <w:rsid w:val="00C70BC4"/>
    <w:rsid w:val="00C70CB0"/>
    <w:rsid w:val="00C71B40"/>
    <w:rsid w:val="00C72176"/>
    <w:rsid w:val="00C7293C"/>
    <w:rsid w:val="00C72A37"/>
    <w:rsid w:val="00C72FAB"/>
    <w:rsid w:val="00C7345D"/>
    <w:rsid w:val="00C738BA"/>
    <w:rsid w:val="00C73F25"/>
    <w:rsid w:val="00C73F55"/>
    <w:rsid w:val="00C742D6"/>
    <w:rsid w:val="00C7441D"/>
    <w:rsid w:val="00C7475B"/>
    <w:rsid w:val="00C74F32"/>
    <w:rsid w:val="00C754DD"/>
    <w:rsid w:val="00C756E1"/>
    <w:rsid w:val="00C77152"/>
    <w:rsid w:val="00C771E6"/>
    <w:rsid w:val="00C7724F"/>
    <w:rsid w:val="00C77B42"/>
    <w:rsid w:val="00C77FC3"/>
    <w:rsid w:val="00C80152"/>
    <w:rsid w:val="00C802A2"/>
    <w:rsid w:val="00C80351"/>
    <w:rsid w:val="00C8079B"/>
    <w:rsid w:val="00C80E45"/>
    <w:rsid w:val="00C8100A"/>
    <w:rsid w:val="00C813FD"/>
    <w:rsid w:val="00C81BF4"/>
    <w:rsid w:val="00C826F1"/>
    <w:rsid w:val="00C82D56"/>
    <w:rsid w:val="00C8340F"/>
    <w:rsid w:val="00C83443"/>
    <w:rsid w:val="00C838C1"/>
    <w:rsid w:val="00C83AA0"/>
    <w:rsid w:val="00C83DCB"/>
    <w:rsid w:val="00C841D2"/>
    <w:rsid w:val="00C84206"/>
    <w:rsid w:val="00C84281"/>
    <w:rsid w:val="00C84934"/>
    <w:rsid w:val="00C84BE1"/>
    <w:rsid w:val="00C84CF5"/>
    <w:rsid w:val="00C84D0B"/>
    <w:rsid w:val="00C84DA8"/>
    <w:rsid w:val="00C85D49"/>
    <w:rsid w:val="00C862BF"/>
    <w:rsid w:val="00C868F0"/>
    <w:rsid w:val="00C87230"/>
    <w:rsid w:val="00C87CA1"/>
    <w:rsid w:val="00C87CB2"/>
    <w:rsid w:val="00C90716"/>
    <w:rsid w:val="00C924FF"/>
    <w:rsid w:val="00C92646"/>
    <w:rsid w:val="00C9279A"/>
    <w:rsid w:val="00C92D17"/>
    <w:rsid w:val="00C92EF6"/>
    <w:rsid w:val="00C9303B"/>
    <w:rsid w:val="00C93586"/>
    <w:rsid w:val="00C93E1B"/>
    <w:rsid w:val="00C93F84"/>
    <w:rsid w:val="00C94517"/>
    <w:rsid w:val="00C945F1"/>
    <w:rsid w:val="00C945F9"/>
    <w:rsid w:val="00C95194"/>
    <w:rsid w:val="00C95E55"/>
    <w:rsid w:val="00C9678D"/>
    <w:rsid w:val="00C96C45"/>
    <w:rsid w:val="00C96EDE"/>
    <w:rsid w:val="00C96FDA"/>
    <w:rsid w:val="00C978A7"/>
    <w:rsid w:val="00C97CAA"/>
    <w:rsid w:val="00CA030E"/>
    <w:rsid w:val="00CA11F4"/>
    <w:rsid w:val="00CA1361"/>
    <w:rsid w:val="00CA179E"/>
    <w:rsid w:val="00CA1950"/>
    <w:rsid w:val="00CA1AE0"/>
    <w:rsid w:val="00CA1B13"/>
    <w:rsid w:val="00CA1F8A"/>
    <w:rsid w:val="00CA345F"/>
    <w:rsid w:val="00CA35EF"/>
    <w:rsid w:val="00CA3911"/>
    <w:rsid w:val="00CA396E"/>
    <w:rsid w:val="00CA3974"/>
    <w:rsid w:val="00CA474C"/>
    <w:rsid w:val="00CA4E9D"/>
    <w:rsid w:val="00CA5053"/>
    <w:rsid w:val="00CA5C5D"/>
    <w:rsid w:val="00CA630C"/>
    <w:rsid w:val="00CA661F"/>
    <w:rsid w:val="00CA6A93"/>
    <w:rsid w:val="00CA6EE1"/>
    <w:rsid w:val="00CA7AD6"/>
    <w:rsid w:val="00CA7E91"/>
    <w:rsid w:val="00CB088E"/>
    <w:rsid w:val="00CB102F"/>
    <w:rsid w:val="00CB10A8"/>
    <w:rsid w:val="00CB112A"/>
    <w:rsid w:val="00CB11DE"/>
    <w:rsid w:val="00CB124F"/>
    <w:rsid w:val="00CB198D"/>
    <w:rsid w:val="00CB3175"/>
    <w:rsid w:val="00CB3456"/>
    <w:rsid w:val="00CB38C8"/>
    <w:rsid w:val="00CB3D87"/>
    <w:rsid w:val="00CB424C"/>
    <w:rsid w:val="00CB4597"/>
    <w:rsid w:val="00CB45D5"/>
    <w:rsid w:val="00CB56C9"/>
    <w:rsid w:val="00CB5A0A"/>
    <w:rsid w:val="00CB637A"/>
    <w:rsid w:val="00CB6A82"/>
    <w:rsid w:val="00CB789F"/>
    <w:rsid w:val="00CC0407"/>
    <w:rsid w:val="00CC065B"/>
    <w:rsid w:val="00CC0AE2"/>
    <w:rsid w:val="00CC0B57"/>
    <w:rsid w:val="00CC116E"/>
    <w:rsid w:val="00CC13EC"/>
    <w:rsid w:val="00CC1F11"/>
    <w:rsid w:val="00CC2247"/>
    <w:rsid w:val="00CC2A62"/>
    <w:rsid w:val="00CC3221"/>
    <w:rsid w:val="00CC43D5"/>
    <w:rsid w:val="00CC51BD"/>
    <w:rsid w:val="00CC5DCE"/>
    <w:rsid w:val="00CC6121"/>
    <w:rsid w:val="00CC714A"/>
    <w:rsid w:val="00CC7AC6"/>
    <w:rsid w:val="00CD0A6E"/>
    <w:rsid w:val="00CD130A"/>
    <w:rsid w:val="00CD15D4"/>
    <w:rsid w:val="00CD1622"/>
    <w:rsid w:val="00CD175C"/>
    <w:rsid w:val="00CD19AD"/>
    <w:rsid w:val="00CD1BCF"/>
    <w:rsid w:val="00CD2538"/>
    <w:rsid w:val="00CD2DA4"/>
    <w:rsid w:val="00CD3223"/>
    <w:rsid w:val="00CD4305"/>
    <w:rsid w:val="00CD542A"/>
    <w:rsid w:val="00CD56D8"/>
    <w:rsid w:val="00CD70D1"/>
    <w:rsid w:val="00CD7160"/>
    <w:rsid w:val="00CD7DFE"/>
    <w:rsid w:val="00CE0072"/>
    <w:rsid w:val="00CE0A9E"/>
    <w:rsid w:val="00CE160B"/>
    <w:rsid w:val="00CE184D"/>
    <w:rsid w:val="00CE1D09"/>
    <w:rsid w:val="00CE1FFE"/>
    <w:rsid w:val="00CE20EE"/>
    <w:rsid w:val="00CE2161"/>
    <w:rsid w:val="00CE2ECA"/>
    <w:rsid w:val="00CE34D4"/>
    <w:rsid w:val="00CE3AFC"/>
    <w:rsid w:val="00CE3B18"/>
    <w:rsid w:val="00CE3B60"/>
    <w:rsid w:val="00CE408F"/>
    <w:rsid w:val="00CE50AE"/>
    <w:rsid w:val="00CE5803"/>
    <w:rsid w:val="00CE58E5"/>
    <w:rsid w:val="00CE5C78"/>
    <w:rsid w:val="00CE707F"/>
    <w:rsid w:val="00CE7146"/>
    <w:rsid w:val="00CE7292"/>
    <w:rsid w:val="00CE7565"/>
    <w:rsid w:val="00CE7C7D"/>
    <w:rsid w:val="00CE7E64"/>
    <w:rsid w:val="00CF0024"/>
    <w:rsid w:val="00CF044E"/>
    <w:rsid w:val="00CF0C6B"/>
    <w:rsid w:val="00CF0D08"/>
    <w:rsid w:val="00CF11E3"/>
    <w:rsid w:val="00CF1D17"/>
    <w:rsid w:val="00CF210C"/>
    <w:rsid w:val="00CF2DE4"/>
    <w:rsid w:val="00CF31CC"/>
    <w:rsid w:val="00CF35D0"/>
    <w:rsid w:val="00CF3DDD"/>
    <w:rsid w:val="00CF423A"/>
    <w:rsid w:val="00CF482A"/>
    <w:rsid w:val="00CF5BA3"/>
    <w:rsid w:val="00CF5CBD"/>
    <w:rsid w:val="00CF64F7"/>
    <w:rsid w:val="00CF6511"/>
    <w:rsid w:val="00CF7029"/>
    <w:rsid w:val="00CF775B"/>
    <w:rsid w:val="00CF79B0"/>
    <w:rsid w:val="00D00C10"/>
    <w:rsid w:val="00D014AB"/>
    <w:rsid w:val="00D01595"/>
    <w:rsid w:val="00D01CD1"/>
    <w:rsid w:val="00D0259F"/>
    <w:rsid w:val="00D02904"/>
    <w:rsid w:val="00D029A0"/>
    <w:rsid w:val="00D02DCD"/>
    <w:rsid w:val="00D03D51"/>
    <w:rsid w:val="00D03F66"/>
    <w:rsid w:val="00D047B5"/>
    <w:rsid w:val="00D04B1E"/>
    <w:rsid w:val="00D04F69"/>
    <w:rsid w:val="00D05697"/>
    <w:rsid w:val="00D058C7"/>
    <w:rsid w:val="00D06B45"/>
    <w:rsid w:val="00D06CF4"/>
    <w:rsid w:val="00D07036"/>
    <w:rsid w:val="00D0751A"/>
    <w:rsid w:val="00D10544"/>
    <w:rsid w:val="00D105D8"/>
    <w:rsid w:val="00D107F8"/>
    <w:rsid w:val="00D1098F"/>
    <w:rsid w:val="00D10C19"/>
    <w:rsid w:val="00D1258E"/>
    <w:rsid w:val="00D1261C"/>
    <w:rsid w:val="00D13A96"/>
    <w:rsid w:val="00D13AC9"/>
    <w:rsid w:val="00D143D7"/>
    <w:rsid w:val="00D15370"/>
    <w:rsid w:val="00D1556A"/>
    <w:rsid w:val="00D15737"/>
    <w:rsid w:val="00D15A54"/>
    <w:rsid w:val="00D16170"/>
    <w:rsid w:val="00D17503"/>
    <w:rsid w:val="00D17917"/>
    <w:rsid w:val="00D20590"/>
    <w:rsid w:val="00D20B3D"/>
    <w:rsid w:val="00D21C13"/>
    <w:rsid w:val="00D21CA2"/>
    <w:rsid w:val="00D22300"/>
    <w:rsid w:val="00D22B25"/>
    <w:rsid w:val="00D22D53"/>
    <w:rsid w:val="00D2365B"/>
    <w:rsid w:val="00D238EB"/>
    <w:rsid w:val="00D239C3"/>
    <w:rsid w:val="00D23E62"/>
    <w:rsid w:val="00D24237"/>
    <w:rsid w:val="00D24AB4"/>
    <w:rsid w:val="00D24D38"/>
    <w:rsid w:val="00D251C0"/>
    <w:rsid w:val="00D25436"/>
    <w:rsid w:val="00D25971"/>
    <w:rsid w:val="00D25E76"/>
    <w:rsid w:val="00D261DD"/>
    <w:rsid w:val="00D26BDF"/>
    <w:rsid w:val="00D27C0E"/>
    <w:rsid w:val="00D301E4"/>
    <w:rsid w:val="00D304B7"/>
    <w:rsid w:val="00D30644"/>
    <w:rsid w:val="00D30697"/>
    <w:rsid w:val="00D30C35"/>
    <w:rsid w:val="00D31773"/>
    <w:rsid w:val="00D319D9"/>
    <w:rsid w:val="00D31C93"/>
    <w:rsid w:val="00D3274B"/>
    <w:rsid w:val="00D32767"/>
    <w:rsid w:val="00D32877"/>
    <w:rsid w:val="00D32892"/>
    <w:rsid w:val="00D329B1"/>
    <w:rsid w:val="00D33344"/>
    <w:rsid w:val="00D337CF"/>
    <w:rsid w:val="00D338F3"/>
    <w:rsid w:val="00D33905"/>
    <w:rsid w:val="00D339B9"/>
    <w:rsid w:val="00D33D9B"/>
    <w:rsid w:val="00D33EA8"/>
    <w:rsid w:val="00D34E1F"/>
    <w:rsid w:val="00D34FD9"/>
    <w:rsid w:val="00D351C4"/>
    <w:rsid w:val="00D35616"/>
    <w:rsid w:val="00D359A4"/>
    <w:rsid w:val="00D363F3"/>
    <w:rsid w:val="00D36955"/>
    <w:rsid w:val="00D36D3D"/>
    <w:rsid w:val="00D36DD8"/>
    <w:rsid w:val="00D36F8E"/>
    <w:rsid w:val="00D37664"/>
    <w:rsid w:val="00D37EB8"/>
    <w:rsid w:val="00D4002E"/>
    <w:rsid w:val="00D40625"/>
    <w:rsid w:val="00D40F4A"/>
    <w:rsid w:val="00D411B4"/>
    <w:rsid w:val="00D4134D"/>
    <w:rsid w:val="00D414A5"/>
    <w:rsid w:val="00D417DB"/>
    <w:rsid w:val="00D42129"/>
    <w:rsid w:val="00D42164"/>
    <w:rsid w:val="00D42814"/>
    <w:rsid w:val="00D42BBB"/>
    <w:rsid w:val="00D43A3C"/>
    <w:rsid w:val="00D43D9A"/>
    <w:rsid w:val="00D4402C"/>
    <w:rsid w:val="00D444E0"/>
    <w:rsid w:val="00D44AF2"/>
    <w:rsid w:val="00D454D3"/>
    <w:rsid w:val="00D457DF"/>
    <w:rsid w:val="00D458E9"/>
    <w:rsid w:val="00D467BA"/>
    <w:rsid w:val="00D500BB"/>
    <w:rsid w:val="00D5021C"/>
    <w:rsid w:val="00D50446"/>
    <w:rsid w:val="00D5059B"/>
    <w:rsid w:val="00D50B61"/>
    <w:rsid w:val="00D50C7C"/>
    <w:rsid w:val="00D50E05"/>
    <w:rsid w:val="00D50F46"/>
    <w:rsid w:val="00D51216"/>
    <w:rsid w:val="00D513EA"/>
    <w:rsid w:val="00D52ADB"/>
    <w:rsid w:val="00D52C4C"/>
    <w:rsid w:val="00D52D7D"/>
    <w:rsid w:val="00D52E30"/>
    <w:rsid w:val="00D53682"/>
    <w:rsid w:val="00D5380C"/>
    <w:rsid w:val="00D53A48"/>
    <w:rsid w:val="00D53EF2"/>
    <w:rsid w:val="00D543A4"/>
    <w:rsid w:val="00D54555"/>
    <w:rsid w:val="00D54560"/>
    <w:rsid w:val="00D54972"/>
    <w:rsid w:val="00D55170"/>
    <w:rsid w:val="00D55557"/>
    <w:rsid w:val="00D557A7"/>
    <w:rsid w:val="00D560B4"/>
    <w:rsid w:val="00D5628F"/>
    <w:rsid w:val="00D5686B"/>
    <w:rsid w:val="00D568B2"/>
    <w:rsid w:val="00D57512"/>
    <w:rsid w:val="00D57C95"/>
    <w:rsid w:val="00D60404"/>
    <w:rsid w:val="00D60D26"/>
    <w:rsid w:val="00D60F09"/>
    <w:rsid w:val="00D61456"/>
    <w:rsid w:val="00D61A32"/>
    <w:rsid w:val="00D61A54"/>
    <w:rsid w:val="00D62101"/>
    <w:rsid w:val="00D6235A"/>
    <w:rsid w:val="00D62FD7"/>
    <w:rsid w:val="00D63082"/>
    <w:rsid w:val="00D63163"/>
    <w:rsid w:val="00D63707"/>
    <w:rsid w:val="00D63E16"/>
    <w:rsid w:val="00D64942"/>
    <w:rsid w:val="00D65D07"/>
    <w:rsid w:val="00D66AFD"/>
    <w:rsid w:val="00D67CD2"/>
    <w:rsid w:val="00D700B9"/>
    <w:rsid w:val="00D700DE"/>
    <w:rsid w:val="00D70141"/>
    <w:rsid w:val="00D70412"/>
    <w:rsid w:val="00D7098E"/>
    <w:rsid w:val="00D70B82"/>
    <w:rsid w:val="00D70F54"/>
    <w:rsid w:val="00D70FB3"/>
    <w:rsid w:val="00D7155F"/>
    <w:rsid w:val="00D71845"/>
    <w:rsid w:val="00D71910"/>
    <w:rsid w:val="00D719B0"/>
    <w:rsid w:val="00D72224"/>
    <w:rsid w:val="00D72AB9"/>
    <w:rsid w:val="00D731F5"/>
    <w:rsid w:val="00D7323C"/>
    <w:rsid w:val="00D73544"/>
    <w:rsid w:val="00D73A11"/>
    <w:rsid w:val="00D74356"/>
    <w:rsid w:val="00D75C86"/>
    <w:rsid w:val="00D75D2F"/>
    <w:rsid w:val="00D76417"/>
    <w:rsid w:val="00D76DBA"/>
    <w:rsid w:val="00D76E8B"/>
    <w:rsid w:val="00D7753A"/>
    <w:rsid w:val="00D77585"/>
    <w:rsid w:val="00D779B1"/>
    <w:rsid w:val="00D80AFC"/>
    <w:rsid w:val="00D81132"/>
    <w:rsid w:val="00D81962"/>
    <w:rsid w:val="00D8332D"/>
    <w:rsid w:val="00D83635"/>
    <w:rsid w:val="00D84594"/>
    <w:rsid w:val="00D84842"/>
    <w:rsid w:val="00D8579B"/>
    <w:rsid w:val="00D87C90"/>
    <w:rsid w:val="00D87F7E"/>
    <w:rsid w:val="00D90350"/>
    <w:rsid w:val="00D90509"/>
    <w:rsid w:val="00D906CA"/>
    <w:rsid w:val="00D90824"/>
    <w:rsid w:val="00D91B03"/>
    <w:rsid w:val="00D91E94"/>
    <w:rsid w:val="00D929C4"/>
    <w:rsid w:val="00D92C60"/>
    <w:rsid w:val="00D92F9D"/>
    <w:rsid w:val="00D938F9"/>
    <w:rsid w:val="00D93BCD"/>
    <w:rsid w:val="00D93C6F"/>
    <w:rsid w:val="00D93FE7"/>
    <w:rsid w:val="00D945A0"/>
    <w:rsid w:val="00D94709"/>
    <w:rsid w:val="00D94904"/>
    <w:rsid w:val="00D9509A"/>
    <w:rsid w:val="00D9518A"/>
    <w:rsid w:val="00D957AC"/>
    <w:rsid w:val="00D95BA3"/>
    <w:rsid w:val="00D963B2"/>
    <w:rsid w:val="00D96F6B"/>
    <w:rsid w:val="00D96F93"/>
    <w:rsid w:val="00D97392"/>
    <w:rsid w:val="00D97970"/>
    <w:rsid w:val="00D97C60"/>
    <w:rsid w:val="00D97FEB"/>
    <w:rsid w:val="00DA0674"/>
    <w:rsid w:val="00DA096F"/>
    <w:rsid w:val="00DA0C58"/>
    <w:rsid w:val="00DA0EEA"/>
    <w:rsid w:val="00DA20D5"/>
    <w:rsid w:val="00DA23ED"/>
    <w:rsid w:val="00DA30FF"/>
    <w:rsid w:val="00DA31F7"/>
    <w:rsid w:val="00DA336B"/>
    <w:rsid w:val="00DA33AF"/>
    <w:rsid w:val="00DA33C6"/>
    <w:rsid w:val="00DA34B8"/>
    <w:rsid w:val="00DA37F0"/>
    <w:rsid w:val="00DA387F"/>
    <w:rsid w:val="00DA39CD"/>
    <w:rsid w:val="00DA3ACA"/>
    <w:rsid w:val="00DA41BC"/>
    <w:rsid w:val="00DA45B9"/>
    <w:rsid w:val="00DA4A61"/>
    <w:rsid w:val="00DA4C1E"/>
    <w:rsid w:val="00DA501C"/>
    <w:rsid w:val="00DA53EE"/>
    <w:rsid w:val="00DA57F6"/>
    <w:rsid w:val="00DA585C"/>
    <w:rsid w:val="00DA602B"/>
    <w:rsid w:val="00DA690C"/>
    <w:rsid w:val="00DA7AED"/>
    <w:rsid w:val="00DA7C57"/>
    <w:rsid w:val="00DA7E3E"/>
    <w:rsid w:val="00DA7F4B"/>
    <w:rsid w:val="00DB03E8"/>
    <w:rsid w:val="00DB0A5F"/>
    <w:rsid w:val="00DB1598"/>
    <w:rsid w:val="00DB182B"/>
    <w:rsid w:val="00DB186A"/>
    <w:rsid w:val="00DB1B31"/>
    <w:rsid w:val="00DB20A4"/>
    <w:rsid w:val="00DB2A41"/>
    <w:rsid w:val="00DB2F3A"/>
    <w:rsid w:val="00DB35F6"/>
    <w:rsid w:val="00DB4720"/>
    <w:rsid w:val="00DB5052"/>
    <w:rsid w:val="00DB5381"/>
    <w:rsid w:val="00DB553A"/>
    <w:rsid w:val="00DB5769"/>
    <w:rsid w:val="00DB578C"/>
    <w:rsid w:val="00DB653C"/>
    <w:rsid w:val="00DB6674"/>
    <w:rsid w:val="00DB6863"/>
    <w:rsid w:val="00DB6945"/>
    <w:rsid w:val="00DB6F46"/>
    <w:rsid w:val="00DB74EF"/>
    <w:rsid w:val="00DB7D0F"/>
    <w:rsid w:val="00DC083C"/>
    <w:rsid w:val="00DC0918"/>
    <w:rsid w:val="00DC1435"/>
    <w:rsid w:val="00DC1708"/>
    <w:rsid w:val="00DC1A28"/>
    <w:rsid w:val="00DC1A2F"/>
    <w:rsid w:val="00DC1C67"/>
    <w:rsid w:val="00DC1C9E"/>
    <w:rsid w:val="00DC21CB"/>
    <w:rsid w:val="00DC2337"/>
    <w:rsid w:val="00DC2E6C"/>
    <w:rsid w:val="00DC2E88"/>
    <w:rsid w:val="00DC2FFE"/>
    <w:rsid w:val="00DC304C"/>
    <w:rsid w:val="00DC3124"/>
    <w:rsid w:val="00DC4A79"/>
    <w:rsid w:val="00DC4F1B"/>
    <w:rsid w:val="00DC5691"/>
    <w:rsid w:val="00DC5BF4"/>
    <w:rsid w:val="00DC5E2B"/>
    <w:rsid w:val="00DC5F77"/>
    <w:rsid w:val="00DC72E3"/>
    <w:rsid w:val="00DC77D0"/>
    <w:rsid w:val="00DC7F9A"/>
    <w:rsid w:val="00DD04E8"/>
    <w:rsid w:val="00DD052C"/>
    <w:rsid w:val="00DD0894"/>
    <w:rsid w:val="00DD0C61"/>
    <w:rsid w:val="00DD1273"/>
    <w:rsid w:val="00DD14C8"/>
    <w:rsid w:val="00DD1DE3"/>
    <w:rsid w:val="00DD2178"/>
    <w:rsid w:val="00DD2466"/>
    <w:rsid w:val="00DD3092"/>
    <w:rsid w:val="00DD34F7"/>
    <w:rsid w:val="00DD3C6C"/>
    <w:rsid w:val="00DD3FD5"/>
    <w:rsid w:val="00DD417A"/>
    <w:rsid w:val="00DD428C"/>
    <w:rsid w:val="00DD467C"/>
    <w:rsid w:val="00DD484E"/>
    <w:rsid w:val="00DD4859"/>
    <w:rsid w:val="00DD588B"/>
    <w:rsid w:val="00DD5B84"/>
    <w:rsid w:val="00DD5D38"/>
    <w:rsid w:val="00DD5E10"/>
    <w:rsid w:val="00DD6292"/>
    <w:rsid w:val="00DD6884"/>
    <w:rsid w:val="00DD7088"/>
    <w:rsid w:val="00DD73DA"/>
    <w:rsid w:val="00DD7B31"/>
    <w:rsid w:val="00DD7E3B"/>
    <w:rsid w:val="00DD7FED"/>
    <w:rsid w:val="00DE0213"/>
    <w:rsid w:val="00DE0643"/>
    <w:rsid w:val="00DE122B"/>
    <w:rsid w:val="00DE12DD"/>
    <w:rsid w:val="00DE177F"/>
    <w:rsid w:val="00DE1AF6"/>
    <w:rsid w:val="00DE1D8D"/>
    <w:rsid w:val="00DE2022"/>
    <w:rsid w:val="00DE27EE"/>
    <w:rsid w:val="00DE2C8C"/>
    <w:rsid w:val="00DE3119"/>
    <w:rsid w:val="00DE325B"/>
    <w:rsid w:val="00DE3588"/>
    <w:rsid w:val="00DE3964"/>
    <w:rsid w:val="00DE487C"/>
    <w:rsid w:val="00DE4D27"/>
    <w:rsid w:val="00DE5B51"/>
    <w:rsid w:val="00DE5B9D"/>
    <w:rsid w:val="00DE5D7B"/>
    <w:rsid w:val="00DE66E8"/>
    <w:rsid w:val="00DE6DAC"/>
    <w:rsid w:val="00DE6EB1"/>
    <w:rsid w:val="00DE79F7"/>
    <w:rsid w:val="00DE7C00"/>
    <w:rsid w:val="00DE7EFC"/>
    <w:rsid w:val="00DE7F03"/>
    <w:rsid w:val="00DF0650"/>
    <w:rsid w:val="00DF06B9"/>
    <w:rsid w:val="00DF15C3"/>
    <w:rsid w:val="00DF191C"/>
    <w:rsid w:val="00DF1D28"/>
    <w:rsid w:val="00DF1FAE"/>
    <w:rsid w:val="00DF3086"/>
    <w:rsid w:val="00DF31F2"/>
    <w:rsid w:val="00DF3713"/>
    <w:rsid w:val="00DF3EFC"/>
    <w:rsid w:val="00DF4D9A"/>
    <w:rsid w:val="00DF55AF"/>
    <w:rsid w:val="00DF5776"/>
    <w:rsid w:val="00DF5E4C"/>
    <w:rsid w:val="00DF601E"/>
    <w:rsid w:val="00DF6057"/>
    <w:rsid w:val="00DF6355"/>
    <w:rsid w:val="00DF6A19"/>
    <w:rsid w:val="00DF6CE3"/>
    <w:rsid w:val="00DF73B0"/>
    <w:rsid w:val="00DF7BF8"/>
    <w:rsid w:val="00DF7F04"/>
    <w:rsid w:val="00DF7F11"/>
    <w:rsid w:val="00E0003B"/>
    <w:rsid w:val="00E0032C"/>
    <w:rsid w:val="00E00484"/>
    <w:rsid w:val="00E00543"/>
    <w:rsid w:val="00E005E1"/>
    <w:rsid w:val="00E013F6"/>
    <w:rsid w:val="00E01942"/>
    <w:rsid w:val="00E02122"/>
    <w:rsid w:val="00E023B3"/>
    <w:rsid w:val="00E0259B"/>
    <w:rsid w:val="00E03107"/>
    <w:rsid w:val="00E035D6"/>
    <w:rsid w:val="00E03B2A"/>
    <w:rsid w:val="00E03C39"/>
    <w:rsid w:val="00E03F9F"/>
    <w:rsid w:val="00E03FA0"/>
    <w:rsid w:val="00E045B3"/>
    <w:rsid w:val="00E045DA"/>
    <w:rsid w:val="00E0525B"/>
    <w:rsid w:val="00E05D26"/>
    <w:rsid w:val="00E05D44"/>
    <w:rsid w:val="00E06C72"/>
    <w:rsid w:val="00E0709A"/>
    <w:rsid w:val="00E07DCF"/>
    <w:rsid w:val="00E10182"/>
    <w:rsid w:val="00E10196"/>
    <w:rsid w:val="00E1044C"/>
    <w:rsid w:val="00E10F5B"/>
    <w:rsid w:val="00E11A56"/>
    <w:rsid w:val="00E121CA"/>
    <w:rsid w:val="00E1257D"/>
    <w:rsid w:val="00E1262F"/>
    <w:rsid w:val="00E12C1F"/>
    <w:rsid w:val="00E13B6E"/>
    <w:rsid w:val="00E13C99"/>
    <w:rsid w:val="00E13F54"/>
    <w:rsid w:val="00E144AB"/>
    <w:rsid w:val="00E144BD"/>
    <w:rsid w:val="00E1464F"/>
    <w:rsid w:val="00E14C11"/>
    <w:rsid w:val="00E1529B"/>
    <w:rsid w:val="00E153B6"/>
    <w:rsid w:val="00E1545B"/>
    <w:rsid w:val="00E16A3F"/>
    <w:rsid w:val="00E171AA"/>
    <w:rsid w:val="00E17646"/>
    <w:rsid w:val="00E1770B"/>
    <w:rsid w:val="00E1796F"/>
    <w:rsid w:val="00E208C7"/>
    <w:rsid w:val="00E20969"/>
    <w:rsid w:val="00E20BE7"/>
    <w:rsid w:val="00E20C15"/>
    <w:rsid w:val="00E21169"/>
    <w:rsid w:val="00E218AE"/>
    <w:rsid w:val="00E21B00"/>
    <w:rsid w:val="00E21F68"/>
    <w:rsid w:val="00E229A0"/>
    <w:rsid w:val="00E22D3A"/>
    <w:rsid w:val="00E23917"/>
    <w:rsid w:val="00E2396C"/>
    <w:rsid w:val="00E2457B"/>
    <w:rsid w:val="00E24707"/>
    <w:rsid w:val="00E24817"/>
    <w:rsid w:val="00E24B63"/>
    <w:rsid w:val="00E2507D"/>
    <w:rsid w:val="00E25115"/>
    <w:rsid w:val="00E252B9"/>
    <w:rsid w:val="00E25867"/>
    <w:rsid w:val="00E25BDC"/>
    <w:rsid w:val="00E25CE0"/>
    <w:rsid w:val="00E265E9"/>
    <w:rsid w:val="00E2737B"/>
    <w:rsid w:val="00E27B05"/>
    <w:rsid w:val="00E30129"/>
    <w:rsid w:val="00E307D4"/>
    <w:rsid w:val="00E30945"/>
    <w:rsid w:val="00E3095B"/>
    <w:rsid w:val="00E31955"/>
    <w:rsid w:val="00E31A05"/>
    <w:rsid w:val="00E321B3"/>
    <w:rsid w:val="00E3258B"/>
    <w:rsid w:val="00E328F6"/>
    <w:rsid w:val="00E3297E"/>
    <w:rsid w:val="00E32CDA"/>
    <w:rsid w:val="00E32EE3"/>
    <w:rsid w:val="00E32EE5"/>
    <w:rsid w:val="00E33167"/>
    <w:rsid w:val="00E33830"/>
    <w:rsid w:val="00E33E23"/>
    <w:rsid w:val="00E347E6"/>
    <w:rsid w:val="00E35203"/>
    <w:rsid w:val="00E35729"/>
    <w:rsid w:val="00E35DED"/>
    <w:rsid w:val="00E3606D"/>
    <w:rsid w:val="00E3645F"/>
    <w:rsid w:val="00E3686C"/>
    <w:rsid w:val="00E36C52"/>
    <w:rsid w:val="00E37287"/>
    <w:rsid w:val="00E37B6F"/>
    <w:rsid w:val="00E37E60"/>
    <w:rsid w:val="00E404F8"/>
    <w:rsid w:val="00E40685"/>
    <w:rsid w:val="00E40AA4"/>
    <w:rsid w:val="00E40AB1"/>
    <w:rsid w:val="00E40AC6"/>
    <w:rsid w:val="00E40F9D"/>
    <w:rsid w:val="00E41746"/>
    <w:rsid w:val="00E41879"/>
    <w:rsid w:val="00E420AA"/>
    <w:rsid w:val="00E4227F"/>
    <w:rsid w:val="00E428AD"/>
    <w:rsid w:val="00E42E83"/>
    <w:rsid w:val="00E43132"/>
    <w:rsid w:val="00E431B9"/>
    <w:rsid w:val="00E433C1"/>
    <w:rsid w:val="00E43722"/>
    <w:rsid w:val="00E439EC"/>
    <w:rsid w:val="00E43AB3"/>
    <w:rsid w:val="00E43C32"/>
    <w:rsid w:val="00E43C79"/>
    <w:rsid w:val="00E44664"/>
    <w:rsid w:val="00E44F2F"/>
    <w:rsid w:val="00E45737"/>
    <w:rsid w:val="00E46B38"/>
    <w:rsid w:val="00E46BF7"/>
    <w:rsid w:val="00E46D33"/>
    <w:rsid w:val="00E4737A"/>
    <w:rsid w:val="00E47726"/>
    <w:rsid w:val="00E47A0F"/>
    <w:rsid w:val="00E47A7B"/>
    <w:rsid w:val="00E47BFA"/>
    <w:rsid w:val="00E500A3"/>
    <w:rsid w:val="00E5031F"/>
    <w:rsid w:val="00E50830"/>
    <w:rsid w:val="00E50C4A"/>
    <w:rsid w:val="00E51070"/>
    <w:rsid w:val="00E51702"/>
    <w:rsid w:val="00E51C09"/>
    <w:rsid w:val="00E51E80"/>
    <w:rsid w:val="00E51EFF"/>
    <w:rsid w:val="00E5262F"/>
    <w:rsid w:val="00E529AB"/>
    <w:rsid w:val="00E52A6A"/>
    <w:rsid w:val="00E535A5"/>
    <w:rsid w:val="00E5393F"/>
    <w:rsid w:val="00E53B4F"/>
    <w:rsid w:val="00E540B4"/>
    <w:rsid w:val="00E54276"/>
    <w:rsid w:val="00E54B2C"/>
    <w:rsid w:val="00E54E14"/>
    <w:rsid w:val="00E55894"/>
    <w:rsid w:val="00E5594C"/>
    <w:rsid w:val="00E56701"/>
    <w:rsid w:val="00E567E9"/>
    <w:rsid w:val="00E56A22"/>
    <w:rsid w:val="00E56E0C"/>
    <w:rsid w:val="00E57DB1"/>
    <w:rsid w:val="00E600F5"/>
    <w:rsid w:val="00E61373"/>
    <w:rsid w:val="00E61C4A"/>
    <w:rsid w:val="00E61E89"/>
    <w:rsid w:val="00E632EC"/>
    <w:rsid w:val="00E635E5"/>
    <w:rsid w:val="00E63C9B"/>
    <w:rsid w:val="00E64142"/>
    <w:rsid w:val="00E64240"/>
    <w:rsid w:val="00E648CF"/>
    <w:rsid w:val="00E64BE4"/>
    <w:rsid w:val="00E64E82"/>
    <w:rsid w:val="00E65CE4"/>
    <w:rsid w:val="00E666F3"/>
    <w:rsid w:val="00E66B52"/>
    <w:rsid w:val="00E67475"/>
    <w:rsid w:val="00E67C5D"/>
    <w:rsid w:val="00E67D5D"/>
    <w:rsid w:val="00E67FC9"/>
    <w:rsid w:val="00E70009"/>
    <w:rsid w:val="00E703CB"/>
    <w:rsid w:val="00E705A7"/>
    <w:rsid w:val="00E705D1"/>
    <w:rsid w:val="00E70CE5"/>
    <w:rsid w:val="00E72660"/>
    <w:rsid w:val="00E73209"/>
    <w:rsid w:val="00E73641"/>
    <w:rsid w:val="00E7369E"/>
    <w:rsid w:val="00E73DEC"/>
    <w:rsid w:val="00E74323"/>
    <w:rsid w:val="00E750AC"/>
    <w:rsid w:val="00E75187"/>
    <w:rsid w:val="00E7564B"/>
    <w:rsid w:val="00E75711"/>
    <w:rsid w:val="00E759A1"/>
    <w:rsid w:val="00E75B2F"/>
    <w:rsid w:val="00E75D26"/>
    <w:rsid w:val="00E76559"/>
    <w:rsid w:val="00E77235"/>
    <w:rsid w:val="00E77D18"/>
    <w:rsid w:val="00E8039C"/>
    <w:rsid w:val="00E80AAC"/>
    <w:rsid w:val="00E80BF3"/>
    <w:rsid w:val="00E80D47"/>
    <w:rsid w:val="00E81023"/>
    <w:rsid w:val="00E81529"/>
    <w:rsid w:val="00E81E0A"/>
    <w:rsid w:val="00E820DD"/>
    <w:rsid w:val="00E82EA0"/>
    <w:rsid w:val="00E8337F"/>
    <w:rsid w:val="00E837FB"/>
    <w:rsid w:val="00E83882"/>
    <w:rsid w:val="00E8404F"/>
    <w:rsid w:val="00E84740"/>
    <w:rsid w:val="00E8491E"/>
    <w:rsid w:val="00E85375"/>
    <w:rsid w:val="00E85842"/>
    <w:rsid w:val="00E85976"/>
    <w:rsid w:val="00E85A79"/>
    <w:rsid w:val="00E86313"/>
    <w:rsid w:val="00E86353"/>
    <w:rsid w:val="00E868EB"/>
    <w:rsid w:val="00E86DBD"/>
    <w:rsid w:val="00E86F82"/>
    <w:rsid w:val="00E8709D"/>
    <w:rsid w:val="00E875CA"/>
    <w:rsid w:val="00E87778"/>
    <w:rsid w:val="00E87D7D"/>
    <w:rsid w:val="00E900BD"/>
    <w:rsid w:val="00E90FCA"/>
    <w:rsid w:val="00E90FDB"/>
    <w:rsid w:val="00E912A3"/>
    <w:rsid w:val="00E914BB"/>
    <w:rsid w:val="00E9196B"/>
    <w:rsid w:val="00E91B64"/>
    <w:rsid w:val="00E91D70"/>
    <w:rsid w:val="00E9260F"/>
    <w:rsid w:val="00E92B71"/>
    <w:rsid w:val="00E9310F"/>
    <w:rsid w:val="00E93146"/>
    <w:rsid w:val="00E931BE"/>
    <w:rsid w:val="00E937D1"/>
    <w:rsid w:val="00E93BA6"/>
    <w:rsid w:val="00E93E08"/>
    <w:rsid w:val="00E9444D"/>
    <w:rsid w:val="00E94457"/>
    <w:rsid w:val="00E94B40"/>
    <w:rsid w:val="00E961A7"/>
    <w:rsid w:val="00E96203"/>
    <w:rsid w:val="00EA0088"/>
    <w:rsid w:val="00EA05E6"/>
    <w:rsid w:val="00EA0735"/>
    <w:rsid w:val="00EA0A6F"/>
    <w:rsid w:val="00EA0C0B"/>
    <w:rsid w:val="00EA0D7F"/>
    <w:rsid w:val="00EA142B"/>
    <w:rsid w:val="00EA1506"/>
    <w:rsid w:val="00EA19A4"/>
    <w:rsid w:val="00EA23D1"/>
    <w:rsid w:val="00EA269F"/>
    <w:rsid w:val="00EA26BA"/>
    <w:rsid w:val="00EA35FF"/>
    <w:rsid w:val="00EA3912"/>
    <w:rsid w:val="00EA3CE0"/>
    <w:rsid w:val="00EA4B13"/>
    <w:rsid w:val="00EA52EF"/>
    <w:rsid w:val="00EA5ABA"/>
    <w:rsid w:val="00EA5F6C"/>
    <w:rsid w:val="00EA63C5"/>
    <w:rsid w:val="00EA65B2"/>
    <w:rsid w:val="00EA67CC"/>
    <w:rsid w:val="00EA67D7"/>
    <w:rsid w:val="00EA6F1E"/>
    <w:rsid w:val="00EA7144"/>
    <w:rsid w:val="00EA7972"/>
    <w:rsid w:val="00EB0476"/>
    <w:rsid w:val="00EB05F4"/>
    <w:rsid w:val="00EB083E"/>
    <w:rsid w:val="00EB092E"/>
    <w:rsid w:val="00EB15B7"/>
    <w:rsid w:val="00EB1D99"/>
    <w:rsid w:val="00EB24A6"/>
    <w:rsid w:val="00EB2D1D"/>
    <w:rsid w:val="00EB2EBD"/>
    <w:rsid w:val="00EB36FA"/>
    <w:rsid w:val="00EB372F"/>
    <w:rsid w:val="00EB3BEB"/>
    <w:rsid w:val="00EB3DF4"/>
    <w:rsid w:val="00EB4578"/>
    <w:rsid w:val="00EB4B60"/>
    <w:rsid w:val="00EB53F3"/>
    <w:rsid w:val="00EB586C"/>
    <w:rsid w:val="00EB5DCF"/>
    <w:rsid w:val="00EB7453"/>
    <w:rsid w:val="00EB7624"/>
    <w:rsid w:val="00EC0463"/>
    <w:rsid w:val="00EC0893"/>
    <w:rsid w:val="00EC0918"/>
    <w:rsid w:val="00EC0CCB"/>
    <w:rsid w:val="00EC112D"/>
    <w:rsid w:val="00EC1797"/>
    <w:rsid w:val="00EC18C8"/>
    <w:rsid w:val="00EC19C6"/>
    <w:rsid w:val="00EC1B30"/>
    <w:rsid w:val="00EC2791"/>
    <w:rsid w:val="00EC37B5"/>
    <w:rsid w:val="00EC4009"/>
    <w:rsid w:val="00EC4063"/>
    <w:rsid w:val="00EC4231"/>
    <w:rsid w:val="00EC498D"/>
    <w:rsid w:val="00EC4FF3"/>
    <w:rsid w:val="00EC54AE"/>
    <w:rsid w:val="00EC54BC"/>
    <w:rsid w:val="00EC5B09"/>
    <w:rsid w:val="00EC6506"/>
    <w:rsid w:val="00EC70AB"/>
    <w:rsid w:val="00EC729E"/>
    <w:rsid w:val="00EC76B1"/>
    <w:rsid w:val="00EC7A94"/>
    <w:rsid w:val="00EC7DC1"/>
    <w:rsid w:val="00ED022A"/>
    <w:rsid w:val="00ED0506"/>
    <w:rsid w:val="00ED0CD7"/>
    <w:rsid w:val="00ED0F47"/>
    <w:rsid w:val="00ED1C5F"/>
    <w:rsid w:val="00ED2634"/>
    <w:rsid w:val="00ED2814"/>
    <w:rsid w:val="00ED2C3A"/>
    <w:rsid w:val="00ED2CAB"/>
    <w:rsid w:val="00ED2CF5"/>
    <w:rsid w:val="00ED2F8A"/>
    <w:rsid w:val="00ED37D8"/>
    <w:rsid w:val="00ED4478"/>
    <w:rsid w:val="00ED44C5"/>
    <w:rsid w:val="00ED4A10"/>
    <w:rsid w:val="00ED500C"/>
    <w:rsid w:val="00ED5582"/>
    <w:rsid w:val="00ED5A75"/>
    <w:rsid w:val="00ED5AC4"/>
    <w:rsid w:val="00ED6C7D"/>
    <w:rsid w:val="00ED6E40"/>
    <w:rsid w:val="00ED7B55"/>
    <w:rsid w:val="00EE0422"/>
    <w:rsid w:val="00EE05FB"/>
    <w:rsid w:val="00EE087F"/>
    <w:rsid w:val="00EE1399"/>
    <w:rsid w:val="00EE1541"/>
    <w:rsid w:val="00EE1C12"/>
    <w:rsid w:val="00EE1CD2"/>
    <w:rsid w:val="00EE1E92"/>
    <w:rsid w:val="00EE2AF0"/>
    <w:rsid w:val="00EE3B25"/>
    <w:rsid w:val="00EE4387"/>
    <w:rsid w:val="00EE4CFB"/>
    <w:rsid w:val="00EE5097"/>
    <w:rsid w:val="00EE5A93"/>
    <w:rsid w:val="00EE5E1A"/>
    <w:rsid w:val="00EE5ED7"/>
    <w:rsid w:val="00EE6053"/>
    <w:rsid w:val="00EE6DD0"/>
    <w:rsid w:val="00EE7A3C"/>
    <w:rsid w:val="00EF0CE5"/>
    <w:rsid w:val="00EF2059"/>
    <w:rsid w:val="00EF274C"/>
    <w:rsid w:val="00EF2D6D"/>
    <w:rsid w:val="00EF2E92"/>
    <w:rsid w:val="00EF3D98"/>
    <w:rsid w:val="00EF4891"/>
    <w:rsid w:val="00EF4C5D"/>
    <w:rsid w:val="00EF4C98"/>
    <w:rsid w:val="00EF4E73"/>
    <w:rsid w:val="00EF56F5"/>
    <w:rsid w:val="00EF5A82"/>
    <w:rsid w:val="00EF5EBA"/>
    <w:rsid w:val="00EF66C9"/>
    <w:rsid w:val="00EF6D75"/>
    <w:rsid w:val="00EF7048"/>
    <w:rsid w:val="00EF7078"/>
    <w:rsid w:val="00F00A65"/>
    <w:rsid w:val="00F00ACB"/>
    <w:rsid w:val="00F00BB2"/>
    <w:rsid w:val="00F00F19"/>
    <w:rsid w:val="00F010A3"/>
    <w:rsid w:val="00F014F2"/>
    <w:rsid w:val="00F0170B"/>
    <w:rsid w:val="00F01747"/>
    <w:rsid w:val="00F02B6E"/>
    <w:rsid w:val="00F02DF8"/>
    <w:rsid w:val="00F02F9C"/>
    <w:rsid w:val="00F03C42"/>
    <w:rsid w:val="00F03DB2"/>
    <w:rsid w:val="00F04292"/>
    <w:rsid w:val="00F0469D"/>
    <w:rsid w:val="00F0490A"/>
    <w:rsid w:val="00F04B5C"/>
    <w:rsid w:val="00F0593E"/>
    <w:rsid w:val="00F05B66"/>
    <w:rsid w:val="00F0650B"/>
    <w:rsid w:val="00F065D2"/>
    <w:rsid w:val="00F06D4A"/>
    <w:rsid w:val="00F06FB9"/>
    <w:rsid w:val="00F07576"/>
    <w:rsid w:val="00F1033B"/>
    <w:rsid w:val="00F1051C"/>
    <w:rsid w:val="00F10D27"/>
    <w:rsid w:val="00F10E6E"/>
    <w:rsid w:val="00F114F1"/>
    <w:rsid w:val="00F11505"/>
    <w:rsid w:val="00F11545"/>
    <w:rsid w:val="00F1231D"/>
    <w:rsid w:val="00F1240A"/>
    <w:rsid w:val="00F12B9E"/>
    <w:rsid w:val="00F12D54"/>
    <w:rsid w:val="00F13A52"/>
    <w:rsid w:val="00F141F0"/>
    <w:rsid w:val="00F1439F"/>
    <w:rsid w:val="00F1450A"/>
    <w:rsid w:val="00F146D8"/>
    <w:rsid w:val="00F148CE"/>
    <w:rsid w:val="00F15482"/>
    <w:rsid w:val="00F15F6E"/>
    <w:rsid w:val="00F17A97"/>
    <w:rsid w:val="00F17B0F"/>
    <w:rsid w:val="00F2012A"/>
    <w:rsid w:val="00F20202"/>
    <w:rsid w:val="00F2031C"/>
    <w:rsid w:val="00F203CC"/>
    <w:rsid w:val="00F20512"/>
    <w:rsid w:val="00F209DC"/>
    <w:rsid w:val="00F2136E"/>
    <w:rsid w:val="00F22782"/>
    <w:rsid w:val="00F2283A"/>
    <w:rsid w:val="00F22A1B"/>
    <w:rsid w:val="00F2357E"/>
    <w:rsid w:val="00F23A1C"/>
    <w:rsid w:val="00F23F48"/>
    <w:rsid w:val="00F24B2A"/>
    <w:rsid w:val="00F24BE0"/>
    <w:rsid w:val="00F24D45"/>
    <w:rsid w:val="00F24DEF"/>
    <w:rsid w:val="00F2561F"/>
    <w:rsid w:val="00F25682"/>
    <w:rsid w:val="00F25CD4"/>
    <w:rsid w:val="00F25EFE"/>
    <w:rsid w:val="00F2728A"/>
    <w:rsid w:val="00F276ED"/>
    <w:rsid w:val="00F30561"/>
    <w:rsid w:val="00F309BC"/>
    <w:rsid w:val="00F30C24"/>
    <w:rsid w:val="00F3126A"/>
    <w:rsid w:val="00F31436"/>
    <w:rsid w:val="00F314C2"/>
    <w:rsid w:val="00F317A4"/>
    <w:rsid w:val="00F32249"/>
    <w:rsid w:val="00F324B8"/>
    <w:rsid w:val="00F327CD"/>
    <w:rsid w:val="00F32D12"/>
    <w:rsid w:val="00F34094"/>
    <w:rsid w:val="00F34342"/>
    <w:rsid w:val="00F34854"/>
    <w:rsid w:val="00F34CE6"/>
    <w:rsid w:val="00F34F6A"/>
    <w:rsid w:val="00F355A0"/>
    <w:rsid w:val="00F36094"/>
    <w:rsid w:val="00F36BDF"/>
    <w:rsid w:val="00F376A9"/>
    <w:rsid w:val="00F377E5"/>
    <w:rsid w:val="00F37977"/>
    <w:rsid w:val="00F37C57"/>
    <w:rsid w:val="00F37F57"/>
    <w:rsid w:val="00F404A6"/>
    <w:rsid w:val="00F40C11"/>
    <w:rsid w:val="00F414FD"/>
    <w:rsid w:val="00F41504"/>
    <w:rsid w:val="00F415D9"/>
    <w:rsid w:val="00F41BBA"/>
    <w:rsid w:val="00F42AA4"/>
    <w:rsid w:val="00F43070"/>
    <w:rsid w:val="00F43200"/>
    <w:rsid w:val="00F434A3"/>
    <w:rsid w:val="00F434AA"/>
    <w:rsid w:val="00F438FF"/>
    <w:rsid w:val="00F43A23"/>
    <w:rsid w:val="00F4436E"/>
    <w:rsid w:val="00F44444"/>
    <w:rsid w:val="00F44BE7"/>
    <w:rsid w:val="00F45844"/>
    <w:rsid w:val="00F45D2D"/>
    <w:rsid w:val="00F461C9"/>
    <w:rsid w:val="00F46C01"/>
    <w:rsid w:val="00F47647"/>
    <w:rsid w:val="00F47761"/>
    <w:rsid w:val="00F5060A"/>
    <w:rsid w:val="00F5101A"/>
    <w:rsid w:val="00F51065"/>
    <w:rsid w:val="00F51387"/>
    <w:rsid w:val="00F51AD9"/>
    <w:rsid w:val="00F51FF7"/>
    <w:rsid w:val="00F523BB"/>
    <w:rsid w:val="00F52904"/>
    <w:rsid w:val="00F529BE"/>
    <w:rsid w:val="00F532D4"/>
    <w:rsid w:val="00F53439"/>
    <w:rsid w:val="00F534F9"/>
    <w:rsid w:val="00F53D60"/>
    <w:rsid w:val="00F5461D"/>
    <w:rsid w:val="00F546FC"/>
    <w:rsid w:val="00F5473D"/>
    <w:rsid w:val="00F55539"/>
    <w:rsid w:val="00F55D11"/>
    <w:rsid w:val="00F55D14"/>
    <w:rsid w:val="00F56356"/>
    <w:rsid w:val="00F5661B"/>
    <w:rsid w:val="00F567FC"/>
    <w:rsid w:val="00F5777A"/>
    <w:rsid w:val="00F579F3"/>
    <w:rsid w:val="00F57C33"/>
    <w:rsid w:val="00F57C41"/>
    <w:rsid w:val="00F6161E"/>
    <w:rsid w:val="00F61CC6"/>
    <w:rsid w:val="00F62B90"/>
    <w:rsid w:val="00F63C06"/>
    <w:rsid w:val="00F63C0E"/>
    <w:rsid w:val="00F63DDE"/>
    <w:rsid w:val="00F63EA1"/>
    <w:rsid w:val="00F64673"/>
    <w:rsid w:val="00F64933"/>
    <w:rsid w:val="00F64D01"/>
    <w:rsid w:val="00F653C2"/>
    <w:rsid w:val="00F65CD0"/>
    <w:rsid w:val="00F66345"/>
    <w:rsid w:val="00F66480"/>
    <w:rsid w:val="00F66669"/>
    <w:rsid w:val="00F66BA7"/>
    <w:rsid w:val="00F66FC2"/>
    <w:rsid w:val="00F6714D"/>
    <w:rsid w:val="00F676CF"/>
    <w:rsid w:val="00F67E63"/>
    <w:rsid w:val="00F709A5"/>
    <w:rsid w:val="00F709EC"/>
    <w:rsid w:val="00F70AC2"/>
    <w:rsid w:val="00F70B34"/>
    <w:rsid w:val="00F70E3A"/>
    <w:rsid w:val="00F715F7"/>
    <w:rsid w:val="00F71BC3"/>
    <w:rsid w:val="00F7227C"/>
    <w:rsid w:val="00F73A7E"/>
    <w:rsid w:val="00F73B83"/>
    <w:rsid w:val="00F73BB6"/>
    <w:rsid w:val="00F743AF"/>
    <w:rsid w:val="00F7442E"/>
    <w:rsid w:val="00F74CF9"/>
    <w:rsid w:val="00F751E8"/>
    <w:rsid w:val="00F7521C"/>
    <w:rsid w:val="00F75640"/>
    <w:rsid w:val="00F7610C"/>
    <w:rsid w:val="00F77317"/>
    <w:rsid w:val="00F77B0A"/>
    <w:rsid w:val="00F77C82"/>
    <w:rsid w:val="00F77D9D"/>
    <w:rsid w:val="00F77E7D"/>
    <w:rsid w:val="00F80077"/>
    <w:rsid w:val="00F82467"/>
    <w:rsid w:val="00F825CA"/>
    <w:rsid w:val="00F828ED"/>
    <w:rsid w:val="00F82AA6"/>
    <w:rsid w:val="00F82D02"/>
    <w:rsid w:val="00F830A0"/>
    <w:rsid w:val="00F83B37"/>
    <w:rsid w:val="00F83D7D"/>
    <w:rsid w:val="00F8408D"/>
    <w:rsid w:val="00F841DC"/>
    <w:rsid w:val="00F845DB"/>
    <w:rsid w:val="00F84E73"/>
    <w:rsid w:val="00F85162"/>
    <w:rsid w:val="00F851B4"/>
    <w:rsid w:val="00F85374"/>
    <w:rsid w:val="00F85509"/>
    <w:rsid w:val="00F85D50"/>
    <w:rsid w:val="00F860B8"/>
    <w:rsid w:val="00F86188"/>
    <w:rsid w:val="00F861A4"/>
    <w:rsid w:val="00F86A68"/>
    <w:rsid w:val="00F86E26"/>
    <w:rsid w:val="00F87122"/>
    <w:rsid w:val="00F871D3"/>
    <w:rsid w:val="00F8740C"/>
    <w:rsid w:val="00F875B0"/>
    <w:rsid w:val="00F87C57"/>
    <w:rsid w:val="00F87C86"/>
    <w:rsid w:val="00F87D1E"/>
    <w:rsid w:val="00F9096A"/>
    <w:rsid w:val="00F90D3D"/>
    <w:rsid w:val="00F910A9"/>
    <w:rsid w:val="00F91501"/>
    <w:rsid w:val="00F91965"/>
    <w:rsid w:val="00F91987"/>
    <w:rsid w:val="00F92AC1"/>
    <w:rsid w:val="00F92BFB"/>
    <w:rsid w:val="00F92D79"/>
    <w:rsid w:val="00F931C0"/>
    <w:rsid w:val="00F93301"/>
    <w:rsid w:val="00F93A93"/>
    <w:rsid w:val="00F93AA2"/>
    <w:rsid w:val="00F93AED"/>
    <w:rsid w:val="00F940BD"/>
    <w:rsid w:val="00F94BCC"/>
    <w:rsid w:val="00F94D03"/>
    <w:rsid w:val="00F95CDC"/>
    <w:rsid w:val="00F95ED4"/>
    <w:rsid w:val="00F96899"/>
    <w:rsid w:val="00F9765A"/>
    <w:rsid w:val="00F979A9"/>
    <w:rsid w:val="00FA0039"/>
    <w:rsid w:val="00FA0427"/>
    <w:rsid w:val="00FA05EA"/>
    <w:rsid w:val="00FA066C"/>
    <w:rsid w:val="00FA0813"/>
    <w:rsid w:val="00FA18D2"/>
    <w:rsid w:val="00FA19F4"/>
    <w:rsid w:val="00FA1C32"/>
    <w:rsid w:val="00FA1DFC"/>
    <w:rsid w:val="00FA231F"/>
    <w:rsid w:val="00FA254A"/>
    <w:rsid w:val="00FA2D47"/>
    <w:rsid w:val="00FA2E37"/>
    <w:rsid w:val="00FA3DB4"/>
    <w:rsid w:val="00FA3FE1"/>
    <w:rsid w:val="00FA53E0"/>
    <w:rsid w:val="00FA677E"/>
    <w:rsid w:val="00FA713A"/>
    <w:rsid w:val="00FA7752"/>
    <w:rsid w:val="00FA7792"/>
    <w:rsid w:val="00FB00BB"/>
    <w:rsid w:val="00FB05DC"/>
    <w:rsid w:val="00FB07D6"/>
    <w:rsid w:val="00FB09DC"/>
    <w:rsid w:val="00FB1091"/>
    <w:rsid w:val="00FB1887"/>
    <w:rsid w:val="00FB228D"/>
    <w:rsid w:val="00FB353A"/>
    <w:rsid w:val="00FB3B73"/>
    <w:rsid w:val="00FB5395"/>
    <w:rsid w:val="00FB53D8"/>
    <w:rsid w:val="00FB5DC0"/>
    <w:rsid w:val="00FB5E31"/>
    <w:rsid w:val="00FB5F13"/>
    <w:rsid w:val="00FB6296"/>
    <w:rsid w:val="00FB630C"/>
    <w:rsid w:val="00FB64E1"/>
    <w:rsid w:val="00FB6855"/>
    <w:rsid w:val="00FB6873"/>
    <w:rsid w:val="00FB6910"/>
    <w:rsid w:val="00FB6B94"/>
    <w:rsid w:val="00FB6F1E"/>
    <w:rsid w:val="00FB72E9"/>
    <w:rsid w:val="00FB7734"/>
    <w:rsid w:val="00FB7840"/>
    <w:rsid w:val="00FC0210"/>
    <w:rsid w:val="00FC0349"/>
    <w:rsid w:val="00FC0954"/>
    <w:rsid w:val="00FC0E10"/>
    <w:rsid w:val="00FC1001"/>
    <w:rsid w:val="00FC1118"/>
    <w:rsid w:val="00FC112E"/>
    <w:rsid w:val="00FC11A3"/>
    <w:rsid w:val="00FC1555"/>
    <w:rsid w:val="00FC158F"/>
    <w:rsid w:val="00FC1BF9"/>
    <w:rsid w:val="00FC1C34"/>
    <w:rsid w:val="00FC1D70"/>
    <w:rsid w:val="00FC2060"/>
    <w:rsid w:val="00FC21EA"/>
    <w:rsid w:val="00FC2519"/>
    <w:rsid w:val="00FC28C2"/>
    <w:rsid w:val="00FC2D2A"/>
    <w:rsid w:val="00FC3578"/>
    <w:rsid w:val="00FC4032"/>
    <w:rsid w:val="00FC4914"/>
    <w:rsid w:val="00FC54C1"/>
    <w:rsid w:val="00FC5BC4"/>
    <w:rsid w:val="00FC5EC5"/>
    <w:rsid w:val="00FC60BB"/>
    <w:rsid w:val="00FC6FE4"/>
    <w:rsid w:val="00FD006B"/>
    <w:rsid w:val="00FD0BE8"/>
    <w:rsid w:val="00FD0DC7"/>
    <w:rsid w:val="00FD0F9E"/>
    <w:rsid w:val="00FD162D"/>
    <w:rsid w:val="00FD1ED6"/>
    <w:rsid w:val="00FD1FB9"/>
    <w:rsid w:val="00FD2368"/>
    <w:rsid w:val="00FD23B6"/>
    <w:rsid w:val="00FD32D1"/>
    <w:rsid w:val="00FD33CA"/>
    <w:rsid w:val="00FD3511"/>
    <w:rsid w:val="00FD35ED"/>
    <w:rsid w:val="00FD3DC9"/>
    <w:rsid w:val="00FD3DEB"/>
    <w:rsid w:val="00FD43D0"/>
    <w:rsid w:val="00FD4C7F"/>
    <w:rsid w:val="00FD4C9F"/>
    <w:rsid w:val="00FD4DFE"/>
    <w:rsid w:val="00FD53CD"/>
    <w:rsid w:val="00FD5448"/>
    <w:rsid w:val="00FD576C"/>
    <w:rsid w:val="00FD57F1"/>
    <w:rsid w:val="00FD66C1"/>
    <w:rsid w:val="00FD694A"/>
    <w:rsid w:val="00FD6CA8"/>
    <w:rsid w:val="00FD70E7"/>
    <w:rsid w:val="00FD7498"/>
    <w:rsid w:val="00FD7621"/>
    <w:rsid w:val="00FD7960"/>
    <w:rsid w:val="00FD7DA0"/>
    <w:rsid w:val="00FE0076"/>
    <w:rsid w:val="00FE0208"/>
    <w:rsid w:val="00FE1173"/>
    <w:rsid w:val="00FE130B"/>
    <w:rsid w:val="00FE1381"/>
    <w:rsid w:val="00FE1848"/>
    <w:rsid w:val="00FE1BBB"/>
    <w:rsid w:val="00FE2A8E"/>
    <w:rsid w:val="00FE2D9C"/>
    <w:rsid w:val="00FE3BFD"/>
    <w:rsid w:val="00FE3CAD"/>
    <w:rsid w:val="00FE3E3E"/>
    <w:rsid w:val="00FE41A9"/>
    <w:rsid w:val="00FE4365"/>
    <w:rsid w:val="00FE446F"/>
    <w:rsid w:val="00FE481C"/>
    <w:rsid w:val="00FE508E"/>
    <w:rsid w:val="00FE5CAA"/>
    <w:rsid w:val="00FE7FCC"/>
    <w:rsid w:val="00FF01A4"/>
    <w:rsid w:val="00FF0201"/>
    <w:rsid w:val="00FF03DD"/>
    <w:rsid w:val="00FF0C17"/>
    <w:rsid w:val="00FF10AD"/>
    <w:rsid w:val="00FF19F2"/>
    <w:rsid w:val="00FF2207"/>
    <w:rsid w:val="00FF2332"/>
    <w:rsid w:val="00FF261E"/>
    <w:rsid w:val="00FF2715"/>
    <w:rsid w:val="00FF34E2"/>
    <w:rsid w:val="00FF382E"/>
    <w:rsid w:val="00FF3BC2"/>
    <w:rsid w:val="00FF4175"/>
    <w:rsid w:val="00FF46C7"/>
    <w:rsid w:val="00FF4FA2"/>
    <w:rsid w:val="00FF50E3"/>
    <w:rsid w:val="00FF53C6"/>
    <w:rsid w:val="00FF54BA"/>
    <w:rsid w:val="00FF550E"/>
    <w:rsid w:val="00FF5B49"/>
    <w:rsid w:val="00FF5FCA"/>
    <w:rsid w:val="00FF73C3"/>
    <w:rsid w:val="00FF75F2"/>
    <w:rsid w:val="00FF7BAA"/>
    <w:rsid w:val="00FF7D67"/>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6B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EF"/>
    <w:pPr>
      <w:widowControl w:val="0"/>
      <w:spacing w:after="0" w:line="240" w:lineRule="auto"/>
    </w:pPr>
    <w:rPr>
      <w:rFonts w:eastAsia="Times New Roman" w:cs="Times New Roman"/>
      <w:sz w:val="20"/>
      <w:szCs w:val="20"/>
      <w:lang w:val="es-ES_tradnl" w:eastAsia="es-ES"/>
    </w:rPr>
  </w:style>
  <w:style w:type="paragraph" w:styleId="Ttulo1">
    <w:name w:val="heading 1"/>
    <w:aliases w:val="título 1"/>
    <w:basedOn w:val="Normal"/>
    <w:next w:val="Normal"/>
    <w:link w:val="Ttulo1Car"/>
    <w:uiPriority w:val="9"/>
    <w:qFormat/>
    <w:rsid w:val="006475EF"/>
    <w:pPr>
      <w:keepNext/>
      <w:jc w:val="center"/>
      <w:outlineLvl w:val="0"/>
    </w:pPr>
    <w:rPr>
      <w:b/>
      <w:color w:val="000000"/>
      <w:sz w:val="16"/>
    </w:rPr>
  </w:style>
  <w:style w:type="paragraph" w:styleId="Ttulo2">
    <w:name w:val="heading 2"/>
    <w:basedOn w:val="Normal"/>
    <w:next w:val="Normal"/>
    <w:link w:val="Ttulo2Car"/>
    <w:uiPriority w:val="9"/>
    <w:qFormat/>
    <w:rsid w:val="006475EF"/>
    <w:pPr>
      <w:keepNext/>
      <w:outlineLvl w:val="1"/>
    </w:pPr>
    <w:rPr>
      <w:b/>
      <w:color w:val="000000"/>
    </w:rPr>
  </w:style>
  <w:style w:type="paragraph" w:styleId="Ttulo3">
    <w:name w:val="heading 3"/>
    <w:aliases w:val="título 3,Título proyecto,Títul4,Título 3 Sección,I3-3,h3,3,Título 3 Car Car,T3 para doc. Metro,Titulo 3,head:3#,.h3,Headline 3,Bold Head,bh,Títulobis,Map title,ARTICULO,Subsubcapitulo,Título 3_SIGMA,Capít.,Heading 31,heading 5"/>
    <w:basedOn w:val="Normal"/>
    <w:next w:val="Normal"/>
    <w:link w:val="Ttulo3Car"/>
    <w:uiPriority w:val="9"/>
    <w:qFormat/>
    <w:rsid w:val="006475EF"/>
    <w:pPr>
      <w:keepNext/>
      <w:outlineLvl w:val="2"/>
    </w:pPr>
    <w:rPr>
      <w:b/>
      <w:sz w:val="16"/>
      <w:u w:val="single"/>
    </w:rPr>
  </w:style>
  <w:style w:type="paragraph" w:styleId="Ttulo4">
    <w:name w:val="heading 4"/>
    <w:basedOn w:val="Normal"/>
    <w:next w:val="Normal"/>
    <w:link w:val="Ttulo4Car"/>
    <w:uiPriority w:val="9"/>
    <w:qFormat/>
    <w:rsid w:val="006475EF"/>
    <w:pPr>
      <w:keepNext/>
      <w:jc w:val="center"/>
      <w:outlineLvl w:val="3"/>
    </w:pPr>
    <w:rPr>
      <w:b/>
      <w:sz w:val="16"/>
    </w:rPr>
  </w:style>
  <w:style w:type="paragraph" w:styleId="Ttulo5">
    <w:name w:val="heading 5"/>
    <w:basedOn w:val="Normal"/>
    <w:next w:val="Normal"/>
    <w:link w:val="Ttulo5Car"/>
    <w:uiPriority w:val="9"/>
    <w:qFormat/>
    <w:rsid w:val="006475EF"/>
    <w:pPr>
      <w:keepNext/>
      <w:jc w:val="center"/>
      <w:outlineLvl w:val="4"/>
    </w:pPr>
    <w:rPr>
      <w:b/>
      <w:color w:val="0000FF"/>
    </w:rPr>
  </w:style>
  <w:style w:type="paragraph" w:styleId="Ttulo6">
    <w:name w:val="heading 6"/>
    <w:basedOn w:val="Normal"/>
    <w:next w:val="Normal"/>
    <w:link w:val="Ttulo6Car"/>
    <w:uiPriority w:val="9"/>
    <w:qFormat/>
    <w:rsid w:val="006475EF"/>
    <w:pPr>
      <w:keepNext/>
      <w:outlineLvl w:val="5"/>
    </w:pPr>
    <w:rPr>
      <w:b/>
      <w:color w:val="000000"/>
      <w:sz w:val="16"/>
    </w:rPr>
  </w:style>
  <w:style w:type="paragraph" w:styleId="Ttulo7">
    <w:name w:val="heading 7"/>
    <w:basedOn w:val="Normal"/>
    <w:next w:val="Normal"/>
    <w:link w:val="Ttulo7Car"/>
    <w:uiPriority w:val="9"/>
    <w:qFormat/>
    <w:rsid w:val="006475EF"/>
    <w:pPr>
      <w:keepNext/>
      <w:jc w:val="both"/>
      <w:outlineLvl w:val="6"/>
    </w:pPr>
    <w:rPr>
      <w:b/>
    </w:rPr>
  </w:style>
  <w:style w:type="paragraph" w:styleId="Ttulo8">
    <w:name w:val="heading 8"/>
    <w:basedOn w:val="Normal"/>
    <w:next w:val="Normal"/>
    <w:link w:val="Ttulo8Car"/>
    <w:uiPriority w:val="9"/>
    <w:qFormat/>
    <w:rsid w:val="006475EF"/>
    <w:pPr>
      <w:keepNext/>
      <w:outlineLvl w:val="7"/>
    </w:pPr>
    <w:rPr>
      <w:b/>
      <w:color w:val="000000"/>
      <w:sz w:val="18"/>
      <w:lang w:val="es-ES"/>
    </w:rPr>
  </w:style>
  <w:style w:type="paragraph" w:styleId="Ttulo9">
    <w:name w:val="heading 9"/>
    <w:basedOn w:val="Normal"/>
    <w:next w:val="Normal"/>
    <w:link w:val="Ttulo9Car"/>
    <w:uiPriority w:val="9"/>
    <w:qFormat/>
    <w:rsid w:val="006475EF"/>
    <w:pPr>
      <w:keepNext/>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
    <w:basedOn w:val="Fuentedeprrafopredeter"/>
    <w:link w:val="Ttulo1"/>
    <w:uiPriority w:val="9"/>
    <w:rsid w:val="006475EF"/>
    <w:rPr>
      <w:rFonts w:eastAsia="Times New Roman" w:cs="Times New Roman"/>
      <w:b/>
      <w:color w:val="000000"/>
      <w:sz w:val="16"/>
      <w:szCs w:val="20"/>
      <w:lang w:val="es-ES_tradnl" w:eastAsia="es-ES"/>
    </w:rPr>
  </w:style>
  <w:style w:type="character" w:customStyle="1" w:styleId="Ttulo2Car">
    <w:name w:val="Título 2 Car"/>
    <w:basedOn w:val="Fuentedeprrafopredeter"/>
    <w:link w:val="Ttulo2"/>
    <w:uiPriority w:val="9"/>
    <w:rsid w:val="006475EF"/>
    <w:rPr>
      <w:rFonts w:eastAsia="Times New Roman" w:cs="Times New Roman"/>
      <w:b/>
      <w:color w:val="000000"/>
      <w:sz w:val="20"/>
      <w:szCs w:val="20"/>
      <w:lang w:val="es-ES_tradnl" w:eastAsia="es-ES"/>
    </w:rPr>
  </w:style>
  <w:style w:type="character" w:customStyle="1" w:styleId="Ttulo3Car">
    <w:name w:val="Título 3 Car"/>
    <w:aliases w:val="título 3 Car,Título proyecto Car,Títul4 Car,Título 3 Sección Car,I3-3 Car,h3 Car,3 Car,Título 3 Car Car Car,T3 para doc. Metro Car,Titulo 3 Car,head:3# Car,.h3 Car,Headline 3 Car,Bold Head Car,bh Car,Títulobis Car,Map title Car,ARTICULO Car"/>
    <w:basedOn w:val="Fuentedeprrafopredeter"/>
    <w:link w:val="Ttulo3"/>
    <w:uiPriority w:val="9"/>
    <w:rsid w:val="006475EF"/>
    <w:rPr>
      <w:rFonts w:eastAsia="Times New Roman" w:cs="Times New Roman"/>
      <w:b/>
      <w:sz w:val="16"/>
      <w:szCs w:val="20"/>
      <w:u w:val="single"/>
      <w:lang w:val="es-ES_tradnl" w:eastAsia="es-ES"/>
    </w:rPr>
  </w:style>
  <w:style w:type="character" w:customStyle="1" w:styleId="Ttulo4Car">
    <w:name w:val="Título 4 Car"/>
    <w:basedOn w:val="Fuentedeprrafopredeter"/>
    <w:link w:val="Ttulo4"/>
    <w:uiPriority w:val="9"/>
    <w:rsid w:val="006475EF"/>
    <w:rPr>
      <w:rFonts w:eastAsia="Times New Roman" w:cs="Times New Roman"/>
      <w:b/>
      <w:sz w:val="16"/>
      <w:szCs w:val="20"/>
      <w:lang w:val="es-ES_tradnl" w:eastAsia="es-ES"/>
    </w:rPr>
  </w:style>
  <w:style w:type="character" w:customStyle="1" w:styleId="Ttulo5Car">
    <w:name w:val="Título 5 Car"/>
    <w:basedOn w:val="Fuentedeprrafopredeter"/>
    <w:link w:val="Ttulo5"/>
    <w:uiPriority w:val="9"/>
    <w:rsid w:val="006475EF"/>
    <w:rPr>
      <w:rFonts w:eastAsia="Times New Roman" w:cs="Times New Roman"/>
      <w:b/>
      <w:color w:val="0000FF"/>
      <w:sz w:val="20"/>
      <w:szCs w:val="20"/>
      <w:lang w:val="es-ES_tradnl" w:eastAsia="es-ES"/>
    </w:rPr>
  </w:style>
  <w:style w:type="character" w:customStyle="1" w:styleId="Ttulo6Car">
    <w:name w:val="Título 6 Car"/>
    <w:basedOn w:val="Fuentedeprrafopredeter"/>
    <w:link w:val="Ttulo6"/>
    <w:uiPriority w:val="9"/>
    <w:rsid w:val="006475EF"/>
    <w:rPr>
      <w:rFonts w:eastAsia="Times New Roman" w:cs="Times New Roman"/>
      <w:b/>
      <w:color w:val="000000"/>
      <w:sz w:val="16"/>
      <w:szCs w:val="20"/>
      <w:lang w:val="es-ES_tradnl" w:eastAsia="es-ES"/>
    </w:rPr>
  </w:style>
  <w:style w:type="character" w:customStyle="1" w:styleId="Ttulo7Car">
    <w:name w:val="Título 7 Car"/>
    <w:basedOn w:val="Fuentedeprrafopredeter"/>
    <w:link w:val="Ttulo7"/>
    <w:uiPriority w:val="9"/>
    <w:rsid w:val="006475EF"/>
    <w:rPr>
      <w:rFonts w:eastAsia="Times New Roman" w:cs="Times New Roman"/>
      <w:b/>
      <w:sz w:val="20"/>
      <w:szCs w:val="20"/>
      <w:lang w:val="es-ES_tradnl" w:eastAsia="es-ES"/>
    </w:rPr>
  </w:style>
  <w:style w:type="character" w:customStyle="1" w:styleId="Ttulo8Car">
    <w:name w:val="Título 8 Car"/>
    <w:basedOn w:val="Fuentedeprrafopredeter"/>
    <w:link w:val="Ttulo8"/>
    <w:uiPriority w:val="9"/>
    <w:rsid w:val="006475EF"/>
    <w:rPr>
      <w:rFonts w:eastAsia="Times New Roman" w:cs="Times New Roman"/>
      <w:b/>
      <w:color w:val="000000"/>
      <w:sz w:val="18"/>
      <w:szCs w:val="20"/>
      <w:lang w:val="es-ES" w:eastAsia="es-ES"/>
    </w:rPr>
  </w:style>
  <w:style w:type="character" w:customStyle="1" w:styleId="Ttulo9Car">
    <w:name w:val="Título 9 Car"/>
    <w:basedOn w:val="Fuentedeprrafopredeter"/>
    <w:link w:val="Ttulo9"/>
    <w:uiPriority w:val="9"/>
    <w:rsid w:val="006475EF"/>
    <w:rPr>
      <w:rFonts w:eastAsia="Times New Roman" w:cs="Times New Roman"/>
      <w:b/>
      <w:sz w:val="20"/>
      <w:szCs w:val="20"/>
      <w:lang w:val="es-ES_tradnl" w:eastAsia="es-ES"/>
    </w:rPr>
  </w:style>
  <w:style w:type="paragraph" w:styleId="Encabezado">
    <w:name w:val="header"/>
    <w:basedOn w:val="Normal"/>
    <w:link w:val="EncabezadoCar"/>
    <w:uiPriority w:val="99"/>
    <w:rsid w:val="006475EF"/>
    <w:pPr>
      <w:tabs>
        <w:tab w:val="center" w:pos="4252"/>
        <w:tab w:val="right" w:pos="8504"/>
      </w:tabs>
    </w:pPr>
  </w:style>
  <w:style w:type="character" w:customStyle="1" w:styleId="EncabezadoCar">
    <w:name w:val="Encabezado Car"/>
    <w:basedOn w:val="Fuentedeprrafopredeter"/>
    <w:link w:val="Encabezado"/>
    <w:uiPriority w:val="99"/>
    <w:rsid w:val="006475EF"/>
    <w:rPr>
      <w:rFonts w:eastAsia="Times New Roman" w:cs="Times New Roman"/>
      <w:sz w:val="20"/>
      <w:szCs w:val="20"/>
      <w:lang w:val="es-ES_tradnl" w:eastAsia="es-ES"/>
    </w:rPr>
  </w:style>
  <w:style w:type="paragraph" w:styleId="Piedepgina">
    <w:name w:val="footer"/>
    <w:basedOn w:val="Normal"/>
    <w:link w:val="PiedepginaCar"/>
    <w:uiPriority w:val="99"/>
    <w:rsid w:val="006475EF"/>
    <w:pPr>
      <w:tabs>
        <w:tab w:val="center" w:pos="4252"/>
        <w:tab w:val="right" w:pos="8504"/>
      </w:tabs>
    </w:pPr>
  </w:style>
  <w:style w:type="character" w:customStyle="1" w:styleId="PiedepginaCar">
    <w:name w:val="Pie de página Car"/>
    <w:basedOn w:val="Fuentedeprrafopredeter"/>
    <w:link w:val="Piedepgina"/>
    <w:uiPriority w:val="99"/>
    <w:rsid w:val="006475EF"/>
    <w:rPr>
      <w:rFonts w:eastAsia="Times New Roman" w:cs="Times New Roman"/>
      <w:sz w:val="20"/>
      <w:szCs w:val="20"/>
      <w:lang w:val="es-ES_tradnl" w:eastAsia="es-ES"/>
    </w:rPr>
  </w:style>
  <w:style w:type="character" w:styleId="Nmerodepgina">
    <w:name w:val="page number"/>
    <w:basedOn w:val="Fuentedeprrafopredeter"/>
    <w:rsid w:val="006475EF"/>
  </w:style>
  <w:style w:type="character" w:styleId="Refdecomentario">
    <w:name w:val="annotation reference"/>
    <w:basedOn w:val="Fuentedeprrafopredeter"/>
    <w:uiPriority w:val="99"/>
    <w:semiHidden/>
    <w:rsid w:val="006475EF"/>
    <w:rPr>
      <w:sz w:val="16"/>
    </w:rPr>
  </w:style>
  <w:style w:type="paragraph" w:styleId="Textocomentario">
    <w:name w:val="annotation text"/>
    <w:basedOn w:val="Normal"/>
    <w:link w:val="TextocomentarioCar"/>
    <w:uiPriority w:val="99"/>
    <w:semiHidden/>
    <w:rsid w:val="006475EF"/>
  </w:style>
  <w:style w:type="character" w:customStyle="1" w:styleId="TextocomentarioCar">
    <w:name w:val="Texto comentario Car"/>
    <w:basedOn w:val="Fuentedeprrafopredeter"/>
    <w:link w:val="Textocomentario"/>
    <w:uiPriority w:val="99"/>
    <w:semiHidden/>
    <w:rsid w:val="006475EF"/>
    <w:rPr>
      <w:rFonts w:eastAsia="Times New Roman" w:cs="Times New Roman"/>
      <w:sz w:val="20"/>
      <w:szCs w:val="20"/>
      <w:lang w:val="es-ES_tradnl" w:eastAsia="es-ES"/>
    </w:rPr>
  </w:style>
  <w:style w:type="paragraph" w:styleId="Ttulo">
    <w:name w:val="Title"/>
    <w:basedOn w:val="Normal"/>
    <w:link w:val="TtuloCar"/>
    <w:uiPriority w:val="10"/>
    <w:qFormat/>
    <w:rsid w:val="006475EF"/>
    <w:pPr>
      <w:jc w:val="center"/>
    </w:pPr>
    <w:rPr>
      <w:b/>
      <w:sz w:val="22"/>
    </w:rPr>
  </w:style>
  <w:style w:type="character" w:customStyle="1" w:styleId="TtuloCar">
    <w:name w:val="Título Car"/>
    <w:basedOn w:val="Fuentedeprrafopredeter"/>
    <w:link w:val="Ttulo"/>
    <w:uiPriority w:val="10"/>
    <w:rsid w:val="006475EF"/>
    <w:rPr>
      <w:rFonts w:eastAsia="Times New Roman" w:cs="Times New Roman"/>
      <w:b/>
      <w:sz w:val="22"/>
      <w:szCs w:val="20"/>
      <w:lang w:val="es-ES_tradnl" w:eastAsia="es-ES"/>
    </w:rPr>
  </w:style>
  <w:style w:type="paragraph" w:styleId="Textoindependiente">
    <w:name w:val="Body Text"/>
    <w:basedOn w:val="Normal"/>
    <w:link w:val="TextoindependienteCar"/>
    <w:uiPriority w:val="99"/>
    <w:rsid w:val="006475EF"/>
    <w:rPr>
      <w:color w:val="0000FF"/>
      <w:sz w:val="16"/>
    </w:rPr>
  </w:style>
  <w:style w:type="character" w:customStyle="1" w:styleId="TextoindependienteCar">
    <w:name w:val="Texto independiente Car"/>
    <w:basedOn w:val="Fuentedeprrafopredeter"/>
    <w:link w:val="Textoindependiente"/>
    <w:uiPriority w:val="99"/>
    <w:rsid w:val="006475EF"/>
    <w:rPr>
      <w:rFonts w:eastAsia="Times New Roman" w:cs="Times New Roman"/>
      <w:color w:val="0000FF"/>
      <w:sz w:val="16"/>
      <w:szCs w:val="20"/>
      <w:lang w:val="es-ES_tradnl" w:eastAsia="es-ES"/>
    </w:rPr>
  </w:style>
  <w:style w:type="paragraph" w:styleId="Epgrafe">
    <w:name w:val="caption"/>
    <w:basedOn w:val="Normal"/>
    <w:next w:val="Normal"/>
    <w:link w:val="EpgrafeCar"/>
    <w:uiPriority w:val="35"/>
    <w:qFormat/>
    <w:rsid w:val="006475EF"/>
    <w:pPr>
      <w:jc w:val="center"/>
    </w:pPr>
    <w:rPr>
      <w:b/>
      <w:color w:val="0000FF"/>
    </w:rPr>
  </w:style>
  <w:style w:type="paragraph" w:styleId="Sangradetextonormal">
    <w:name w:val="Body Text Indent"/>
    <w:basedOn w:val="Normal"/>
    <w:link w:val="SangradetextonormalCar"/>
    <w:rsid w:val="006475EF"/>
    <w:pPr>
      <w:jc w:val="center"/>
    </w:pPr>
    <w:rPr>
      <w:b/>
    </w:rPr>
  </w:style>
  <w:style w:type="character" w:customStyle="1" w:styleId="SangradetextonormalCar">
    <w:name w:val="Sangría de texto normal Car"/>
    <w:basedOn w:val="Fuentedeprrafopredeter"/>
    <w:link w:val="Sangradetextonormal"/>
    <w:rsid w:val="006475EF"/>
    <w:rPr>
      <w:rFonts w:eastAsia="Times New Roman" w:cs="Times New Roman"/>
      <w:b/>
      <w:sz w:val="20"/>
      <w:szCs w:val="20"/>
      <w:lang w:val="es-ES_tradnl" w:eastAsia="es-ES"/>
    </w:rPr>
  </w:style>
  <w:style w:type="paragraph" w:styleId="Sangra2detindependiente">
    <w:name w:val="Body Text Indent 2"/>
    <w:basedOn w:val="Normal"/>
    <w:link w:val="Sangra2detindependienteCar"/>
    <w:rsid w:val="006475EF"/>
    <w:pPr>
      <w:ind w:left="709"/>
    </w:pPr>
  </w:style>
  <w:style w:type="character" w:customStyle="1" w:styleId="Sangra2detindependienteCar">
    <w:name w:val="Sangría 2 de t. independiente Car"/>
    <w:basedOn w:val="Fuentedeprrafopredeter"/>
    <w:link w:val="Sangra2detindependiente"/>
    <w:rsid w:val="006475EF"/>
    <w:rPr>
      <w:rFonts w:eastAsia="Times New Roman" w:cs="Times New Roman"/>
      <w:sz w:val="20"/>
      <w:szCs w:val="20"/>
      <w:lang w:val="es-ES_tradnl" w:eastAsia="es-ES"/>
    </w:rPr>
  </w:style>
  <w:style w:type="paragraph" w:styleId="Sangra3detindependiente">
    <w:name w:val="Body Text Indent 3"/>
    <w:basedOn w:val="Normal"/>
    <w:link w:val="Sangra3detindependienteCar"/>
    <w:rsid w:val="006475EF"/>
    <w:pPr>
      <w:ind w:left="630" w:firstLine="439"/>
      <w:jc w:val="both"/>
    </w:pPr>
  </w:style>
  <w:style w:type="character" w:customStyle="1" w:styleId="Sangra3detindependienteCar">
    <w:name w:val="Sangría 3 de t. independiente Car"/>
    <w:basedOn w:val="Fuentedeprrafopredeter"/>
    <w:link w:val="Sangra3detindependiente"/>
    <w:rsid w:val="006475EF"/>
    <w:rPr>
      <w:rFonts w:eastAsia="Times New Roman" w:cs="Times New Roman"/>
      <w:sz w:val="20"/>
      <w:szCs w:val="20"/>
      <w:lang w:val="es-ES_tradnl" w:eastAsia="es-ES"/>
    </w:rPr>
  </w:style>
  <w:style w:type="paragraph" w:styleId="Textoindependiente2">
    <w:name w:val="Body Text 2"/>
    <w:basedOn w:val="Normal"/>
    <w:link w:val="Textoindependiente2Car"/>
    <w:rsid w:val="006475EF"/>
    <w:pPr>
      <w:jc w:val="both"/>
    </w:pPr>
    <w:rPr>
      <w:noProof/>
      <w:sz w:val="24"/>
    </w:rPr>
  </w:style>
  <w:style w:type="character" w:customStyle="1" w:styleId="Textoindependiente2Car">
    <w:name w:val="Texto independiente 2 Car"/>
    <w:basedOn w:val="Fuentedeprrafopredeter"/>
    <w:link w:val="Textoindependiente2"/>
    <w:rsid w:val="006475EF"/>
    <w:rPr>
      <w:rFonts w:eastAsia="Times New Roman" w:cs="Times New Roman"/>
      <w:noProof/>
      <w:szCs w:val="20"/>
      <w:lang w:val="es-ES_tradnl" w:eastAsia="es-ES"/>
    </w:rPr>
  </w:style>
  <w:style w:type="paragraph" w:styleId="Mapadeldocumento">
    <w:name w:val="Document Map"/>
    <w:basedOn w:val="Normal"/>
    <w:link w:val="MapadeldocumentoCar"/>
    <w:semiHidden/>
    <w:rsid w:val="006475EF"/>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475EF"/>
    <w:rPr>
      <w:rFonts w:ascii="Tahoma" w:eastAsia="Times New Roman" w:hAnsi="Tahoma" w:cs="Times New Roman"/>
      <w:sz w:val="20"/>
      <w:szCs w:val="20"/>
      <w:shd w:val="clear" w:color="auto" w:fill="000080"/>
      <w:lang w:val="es-ES_tradnl" w:eastAsia="es-ES"/>
    </w:rPr>
  </w:style>
  <w:style w:type="paragraph" w:styleId="Textoindependiente3">
    <w:name w:val="Body Text 3"/>
    <w:basedOn w:val="Normal"/>
    <w:link w:val="Textoindependiente3Car"/>
    <w:rsid w:val="006475EF"/>
    <w:pPr>
      <w:jc w:val="center"/>
    </w:pPr>
    <w:rPr>
      <w:rFonts w:eastAsia="Arial Unicode MS"/>
      <w:b/>
      <w:bCs/>
      <w:sz w:val="14"/>
    </w:rPr>
  </w:style>
  <w:style w:type="character" w:customStyle="1" w:styleId="Textoindependiente3Car">
    <w:name w:val="Texto independiente 3 Car"/>
    <w:basedOn w:val="Fuentedeprrafopredeter"/>
    <w:link w:val="Textoindependiente3"/>
    <w:rsid w:val="006475EF"/>
    <w:rPr>
      <w:rFonts w:eastAsia="Arial Unicode MS" w:cs="Times New Roman"/>
      <w:b/>
      <w:bCs/>
      <w:sz w:val="14"/>
      <w:szCs w:val="20"/>
      <w:lang w:val="es-ES_tradnl" w:eastAsia="es-ES"/>
    </w:rPr>
  </w:style>
  <w:style w:type="paragraph" w:customStyle="1" w:styleId="xl24">
    <w:name w:val="xl24"/>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sz w:val="24"/>
      <w:szCs w:val="24"/>
      <w:lang w:val="es-ES"/>
    </w:rPr>
  </w:style>
  <w:style w:type="paragraph" w:customStyle="1" w:styleId="xl25">
    <w:name w:val="xl25"/>
    <w:basedOn w:val="Normal"/>
    <w:rsid w:val="006475EF"/>
    <w:pPr>
      <w:widowControl/>
      <w:pBdr>
        <w:left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26">
    <w:name w:val="xl26"/>
    <w:basedOn w:val="Normal"/>
    <w:rsid w:val="006475EF"/>
    <w:pPr>
      <w:widowControl/>
      <w:pBdr>
        <w:right w:val="single" w:sz="4" w:space="0" w:color="auto"/>
      </w:pBdr>
      <w:spacing w:before="100" w:beforeAutospacing="1" w:after="100" w:afterAutospacing="1"/>
    </w:pPr>
    <w:rPr>
      <w:rFonts w:eastAsia="Arial Unicode MS"/>
      <w:sz w:val="24"/>
      <w:szCs w:val="24"/>
      <w:lang w:val="es-ES"/>
    </w:rPr>
  </w:style>
  <w:style w:type="paragraph" w:customStyle="1" w:styleId="xl27">
    <w:name w:val="xl27"/>
    <w:basedOn w:val="Normal"/>
    <w:rsid w:val="006475EF"/>
    <w:pPr>
      <w:widowControl/>
      <w:pBdr>
        <w:left w:val="single" w:sz="4" w:space="0" w:color="auto"/>
        <w:right w:val="single" w:sz="4" w:space="0" w:color="auto"/>
      </w:pBdr>
      <w:spacing w:before="100" w:beforeAutospacing="1" w:after="100" w:afterAutospacing="1"/>
    </w:pPr>
    <w:rPr>
      <w:rFonts w:eastAsia="Arial Unicode MS"/>
      <w:sz w:val="24"/>
      <w:szCs w:val="24"/>
      <w:lang w:val="es-ES"/>
    </w:rPr>
  </w:style>
  <w:style w:type="paragraph" w:customStyle="1" w:styleId="xl28">
    <w:name w:val="xl28"/>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sz w:val="24"/>
      <w:szCs w:val="24"/>
      <w:lang w:val="es-ES"/>
    </w:rPr>
  </w:style>
  <w:style w:type="paragraph" w:customStyle="1" w:styleId="xl29">
    <w:name w:val="xl29"/>
    <w:basedOn w:val="Normal"/>
    <w:rsid w:val="006475EF"/>
    <w:pPr>
      <w:widowControl/>
      <w:pBdr>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30">
    <w:name w:val="xl30"/>
    <w:basedOn w:val="Normal"/>
    <w:rsid w:val="006475EF"/>
    <w:pPr>
      <w:widowControl/>
      <w:pBdr>
        <w:left w:val="single" w:sz="4" w:space="0" w:color="auto"/>
        <w:right w:val="single" w:sz="4" w:space="0" w:color="auto"/>
      </w:pBdr>
      <w:spacing w:before="100" w:beforeAutospacing="1" w:after="100" w:afterAutospacing="1"/>
    </w:pPr>
    <w:rPr>
      <w:rFonts w:eastAsia="Arial Unicode MS"/>
      <w:b/>
      <w:bCs/>
      <w:sz w:val="24"/>
      <w:szCs w:val="24"/>
      <w:u w:val="double"/>
      <w:lang w:val="es-ES"/>
    </w:rPr>
  </w:style>
  <w:style w:type="paragraph" w:customStyle="1" w:styleId="xl31">
    <w:name w:val="xl31"/>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u w:val="double"/>
      <w:lang w:val="es-ES"/>
    </w:rPr>
  </w:style>
  <w:style w:type="paragraph" w:customStyle="1" w:styleId="xl32">
    <w:name w:val="xl32"/>
    <w:basedOn w:val="Normal"/>
    <w:rsid w:val="006475EF"/>
    <w:pPr>
      <w:widowControl/>
      <w:pBdr>
        <w:right w:val="single" w:sz="4" w:space="0" w:color="auto"/>
      </w:pBdr>
      <w:spacing w:before="100" w:beforeAutospacing="1" w:after="100" w:afterAutospacing="1"/>
    </w:pPr>
    <w:rPr>
      <w:rFonts w:eastAsia="Arial Unicode MS"/>
      <w:b/>
      <w:bCs/>
      <w:sz w:val="24"/>
      <w:szCs w:val="24"/>
      <w:lang w:val="es-ES"/>
    </w:rPr>
  </w:style>
  <w:style w:type="paragraph" w:customStyle="1" w:styleId="xl33">
    <w:name w:val="xl33"/>
    <w:basedOn w:val="Normal"/>
    <w:rsid w:val="006475EF"/>
    <w:pPr>
      <w:widowControl/>
      <w:pBdr>
        <w:left w:val="single" w:sz="4" w:space="0" w:color="auto"/>
        <w:right w:val="single" w:sz="4" w:space="0" w:color="auto"/>
      </w:pBdr>
      <w:spacing w:before="100" w:beforeAutospacing="1" w:after="100" w:afterAutospacing="1"/>
    </w:pPr>
    <w:rPr>
      <w:rFonts w:eastAsia="Arial Unicode MS"/>
      <w:b/>
      <w:bCs/>
      <w:sz w:val="24"/>
      <w:szCs w:val="24"/>
      <w:lang w:val="es-ES"/>
    </w:rPr>
  </w:style>
  <w:style w:type="paragraph" w:customStyle="1" w:styleId="xl34">
    <w:name w:val="xl34"/>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customStyle="1" w:styleId="xl35">
    <w:name w:val="xl35"/>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b/>
      <w:bCs/>
      <w:sz w:val="24"/>
      <w:szCs w:val="24"/>
      <w:u w:val="single"/>
      <w:lang w:val="es-ES"/>
    </w:rPr>
  </w:style>
  <w:style w:type="paragraph" w:customStyle="1" w:styleId="xl36">
    <w:name w:val="xl36"/>
    <w:basedOn w:val="Normal"/>
    <w:rsid w:val="006475EF"/>
    <w:pPr>
      <w:widowControl/>
      <w:pBdr>
        <w:left w:val="single" w:sz="4" w:space="0" w:color="auto"/>
        <w:right w:val="single" w:sz="4" w:space="0" w:color="auto"/>
      </w:pBdr>
      <w:spacing w:before="100" w:beforeAutospacing="1" w:after="100" w:afterAutospacing="1"/>
    </w:pPr>
    <w:rPr>
      <w:rFonts w:eastAsia="Arial Unicode MS"/>
      <w:b/>
      <w:bCs/>
      <w:sz w:val="24"/>
      <w:szCs w:val="24"/>
      <w:u w:val="single"/>
      <w:lang w:val="es-ES"/>
    </w:rPr>
  </w:style>
  <w:style w:type="paragraph" w:customStyle="1" w:styleId="xl37">
    <w:name w:val="xl37"/>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u w:val="single"/>
      <w:lang w:val="es-ES"/>
    </w:rPr>
  </w:style>
  <w:style w:type="paragraph" w:customStyle="1" w:styleId="xl38">
    <w:name w:val="xl38"/>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39">
    <w:name w:val="xl39"/>
    <w:basedOn w:val="Normal"/>
    <w:rsid w:val="006475EF"/>
    <w:pPr>
      <w:widowControl/>
      <w:pBdr>
        <w:left w:val="double" w:sz="6" w:space="0" w:color="auto"/>
        <w:right w:val="single" w:sz="4" w:space="0" w:color="auto"/>
      </w:pBdr>
      <w:spacing w:before="100" w:beforeAutospacing="1" w:after="100" w:afterAutospacing="1"/>
      <w:jc w:val="center"/>
      <w:textAlignment w:val="top"/>
    </w:pPr>
    <w:rPr>
      <w:rFonts w:eastAsia="Arial Unicode MS"/>
      <w:sz w:val="24"/>
      <w:szCs w:val="24"/>
      <w:lang w:val="es-ES"/>
    </w:rPr>
  </w:style>
  <w:style w:type="paragraph" w:customStyle="1" w:styleId="xl40">
    <w:name w:val="xl40"/>
    <w:basedOn w:val="Normal"/>
    <w:rsid w:val="006475EF"/>
    <w:pPr>
      <w:widowControl/>
      <w:pBdr>
        <w:left w:val="single" w:sz="4" w:space="0" w:color="auto"/>
        <w:right w:val="single" w:sz="4" w:space="0" w:color="auto"/>
      </w:pBdr>
      <w:spacing w:before="100" w:beforeAutospacing="1" w:after="100" w:afterAutospacing="1"/>
    </w:pPr>
    <w:rPr>
      <w:rFonts w:eastAsia="Arial Unicode MS"/>
      <w:sz w:val="24"/>
      <w:szCs w:val="24"/>
      <w:lang w:val="es-ES"/>
    </w:rPr>
  </w:style>
  <w:style w:type="paragraph" w:customStyle="1" w:styleId="xl41">
    <w:name w:val="xl41"/>
    <w:basedOn w:val="Normal"/>
    <w:rsid w:val="006475EF"/>
    <w:pPr>
      <w:widowControl/>
      <w:pBdr>
        <w:left w:val="double" w:sz="6" w:space="0" w:color="auto"/>
      </w:pBdr>
      <w:spacing w:before="100" w:beforeAutospacing="1" w:after="100" w:afterAutospacing="1"/>
    </w:pPr>
    <w:rPr>
      <w:rFonts w:eastAsia="Arial Unicode MS"/>
      <w:sz w:val="24"/>
      <w:szCs w:val="24"/>
      <w:lang w:val="es-ES"/>
    </w:rPr>
  </w:style>
  <w:style w:type="paragraph" w:customStyle="1" w:styleId="xl42">
    <w:name w:val="xl42"/>
    <w:basedOn w:val="Normal"/>
    <w:rsid w:val="006475EF"/>
    <w:pPr>
      <w:widowControl/>
      <w:pBdr>
        <w:left w:val="double" w:sz="6" w:space="0" w:color="auto"/>
        <w:bottom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43">
    <w:name w:val="xl43"/>
    <w:basedOn w:val="Normal"/>
    <w:rsid w:val="006475EF"/>
    <w:pPr>
      <w:widowControl/>
      <w:pBdr>
        <w:bottom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44">
    <w:name w:val="xl44"/>
    <w:basedOn w:val="Normal"/>
    <w:rsid w:val="006475EF"/>
    <w:pPr>
      <w:widowControl/>
      <w:pBdr>
        <w:left w:val="single" w:sz="4" w:space="0" w:color="auto"/>
        <w:bottom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45">
    <w:name w:val="xl45"/>
    <w:basedOn w:val="Normal"/>
    <w:rsid w:val="006475EF"/>
    <w:pPr>
      <w:widowControl/>
      <w:pBdr>
        <w:left w:val="single" w:sz="4" w:space="0" w:color="auto"/>
        <w:bottom w:val="double" w:sz="6" w:space="0" w:color="auto"/>
        <w:right w:val="double" w:sz="6" w:space="0" w:color="auto"/>
      </w:pBdr>
      <w:spacing w:before="100" w:beforeAutospacing="1" w:after="100" w:afterAutospacing="1"/>
      <w:jc w:val="center"/>
    </w:pPr>
    <w:rPr>
      <w:rFonts w:eastAsia="Arial Unicode MS"/>
      <w:sz w:val="24"/>
      <w:szCs w:val="24"/>
      <w:lang w:val="es-ES"/>
    </w:rPr>
  </w:style>
  <w:style w:type="paragraph" w:customStyle="1" w:styleId="xl46">
    <w:name w:val="xl46"/>
    <w:basedOn w:val="Normal"/>
    <w:rsid w:val="006475EF"/>
    <w:pPr>
      <w:widowControl/>
      <w:pBdr>
        <w:top w:val="double" w:sz="6" w:space="0" w:color="auto"/>
        <w:left w:val="double" w:sz="6"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47">
    <w:name w:val="xl47"/>
    <w:basedOn w:val="Normal"/>
    <w:rsid w:val="006475EF"/>
    <w:pPr>
      <w:widowControl/>
      <w:pBdr>
        <w:top w:val="double" w:sz="6" w:space="0" w:color="auto"/>
        <w:right w:val="single" w:sz="4" w:space="0" w:color="auto"/>
      </w:pBdr>
      <w:spacing w:before="100" w:beforeAutospacing="1" w:after="100" w:afterAutospacing="1"/>
    </w:pPr>
    <w:rPr>
      <w:rFonts w:eastAsia="Arial Unicode MS"/>
      <w:b/>
      <w:bCs/>
      <w:sz w:val="24"/>
      <w:szCs w:val="24"/>
      <w:lang w:val="es-ES"/>
    </w:rPr>
  </w:style>
  <w:style w:type="paragraph" w:customStyle="1" w:styleId="xl48">
    <w:name w:val="xl48"/>
    <w:basedOn w:val="Normal"/>
    <w:rsid w:val="006475EF"/>
    <w:pPr>
      <w:widowControl/>
      <w:pBdr>
        <w:top w:val="double" w:sz="6" w:space="0" w:color="auto"/>
        <w:left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49">
    <w:name w:val="xl49"/>
    <w:basedOn w:val="Normal"/>
    <w:rsid w:val="006475EF"/>
    <w:pPr>
      <w:widowControl/>
      <w:pBdr>
        <w:top w:val="double" w:sz="6" w:space="0" w:color="auto"/>
        <w:left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customStyle="1" w:styleId="xl50">
    <w:name w:val="xl50"/>
    <w:basedOn w:val="Normal"/>
    <w:rsid w:val="006475EF"/>
    <w:pPr>
      <w:widowControl/>
      <w:pBdr>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1">
    <w:name w:val="xl51"/>
    <w:basedOn w:val="Normal"/>
    <w:rsid w:val="006475EF"/>
    <w:pPr>
      <w:widowControl/>
      <w:pBdr>
        <w:left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2">
    <w:name w:val="xl52"/>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customStyle="1" w:styleId="xl53">
    <w:name w:val="xl53"/>
    <w:basedOn w:val="Normal"/>
    <w:rsid w:val="006475EF"/>
    <w:pPr>
      <w:widowControl/>
      <w:pBdr>
        <w:left w:val="double" w:sz="6"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4">
    <w:name w:val="xl54"/>
    <w:basedOn w:val="Normal"/>
    <w:rsid w:val="006475EF"/>
    <w:pPr>
      <w:widowControl/>
      <w:pBdr>
        <w:bottom w:val="single" w:sz="4" w:space="0" w:color="auto"/>
        <w:right w:val="single" w:sz="4" w:space="0" w:color="auto"/>
      </w:pBdr>
      <w:spacing w:before="100" w:beforeAutospacing="1" w:after="100" w:afterAutospacing="1"/>
    </w:pPr>
    <w:rPr>
      <w:rFonts w:eastAsia="Arial Unicode MS"/>
      <w:b/>
      <w:bCs/>
      <w:sz w:val="24"/>
      <w:szCs w:val="24"/>
      <w:lang w:val="es-ES"/>
    </w:rPr>
  </w:style>
  <w:style w:type="paragraph" w:customStyle="1" w:styleId="xl55">
    <w:name w:val="xl55"/>
    <w:basedOn w:val="Normal"/>
    <w:rsid w:val="006475EF"/>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6">
    <w:name w:val="xl56"/>
    <w:basedOn w:val="Normal"/>
    <w:rsid w:val="006475EF"/>
    <w:pPr>
      <w:widowControl/>
      <w:pBdr>
        <w:left w:val="single" w:sz="4" w:space="0" w:color="auto"/>
        <w:bottom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styleId="Textodeglobo">
    <w:name w:val="Balloon Text"/>
    <w:basedOn w:val="Normal"/>
    <w:link w:val="TextodegloboCar"/>
    <w:uiPriority w:val="99"/>
    <w:semiHidden/>
    <w:rsid w:val="006475EF"/>
    <w:rPr>
      <w:rFonts w:ascii="Tahoma" w:hAnsi="Tahoma" w:cs="Tahoma"/>
      <w:sz w:val="16"/>
      <w:szCs w:val="16"/>
    </w:rPr>
  </w:style>
  <w:style w:type="character" w:customStyle="1" w:styleId="TextodegloboCar">
    <w:name w:val="Texto de globo Car"/>
    <w:basedOn w:val="Fuentedeprrafopredeter"/>
    <w:link w:val="Textodeglobo"/>
    <w:uiPriority w:val="99"/>
    <w:semiHidden/>
    <w:rsid w:val="006475EF"/>
    <w:rPr>
      <w:rFonts w:ascii="Tahoma" w:eastAsia="Times New Roman" w:hAnsi="Tahoma" w:cs="Tahoma"/>
      <w:sz w:val="16"/>
      <w:szCs w:val="16"/>
      <w:lang w:val="es-ES_tradnl" w:eastAsia="es-ES"/>
    </w:rPr>
  </w:style>
  <w:style w:type="paragraph" w:customStyle="1" w:styleId="xl60">
    <w:name w:val="xl60"/>
    <w:basedOn w:val="Normal"/>
    <w:rsid w:val="006475EF"/>
    <w:pPr>
      <w:widowControl/>
      <w:pBdr>
        <w:right w:val="single" w:sz="4" w:space="0" w:color="auto"/>
      </w:pBdr>
      <w:spacing w:before="100" w:beforeAutospacing="1" w:after="100" w:afterAutospacing="1"/>
    </w:pPr>
    <w:rPr>
      <w:sz w:val="18"/>
      <w:szCs w:val="18"/>
      <w:lang w:val="es-ES"/>
    </w:rPr>
  </w:style>
  <w:style w:type="paragraph" w:customStyle="1" w:styleId="xl96">
    <w:name w:val="xl96"/>
    <w:basedOn w:val="Normal"/>
    <w:rsid w:val="006475EF"/>
    <w:pPr>
      <w:widowControl/>
      <w:pBdr>
        <w:left w:val="single" w:sz="4" w:space="0" w:color="auto"/>
        <w:right w:val="single" w:sz="4" w:space="0" w:color="auto"/>
      </w:pBdr>
      <w:spacing w:before="100" w:beforeAutospacing="1" w:after="100" w:afterAutospacing="1"/>
      <w:textAlignment w:val="top"/>
    </w:pPr>
    <w:rPr>
      <w:rFonts w:eastAsia="Arial Unicode MS"/>
      <w:sz w:val="14"/>
      <w:szCs w:val="14"/>
      <w:lang w:val="es-ES"/>
    </w:rPr>
  </w:style>
  <w:style w:type="table" w:styleId="Tablaconcuadrcula">
    <w:name w:val="Table Grid"/>
    <w:basedOn w:val="Tablanormal"/>
    <w:uiPriority w:val="39"/>
    <w:rsid w:val="006475EF"/>
    <w:pPr>
      <w:spacing w:after="0" w:line="240" w:lineRule="auto"/>
    </w:pPr>
    <w:rPr>
      <w:rFonts w:eastAsia="Times New Roman" w:cs="Times New Roman"/>
      <w:sz w:val="20"/>
      <w:szCs w:val="20"/>
      <w:lang w:eastAsia="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6475EF"/>
    <w:pPr>
      <w:spacing w:after="0" w:line="240" w:lineRule="auto"/>
    </w:pPr>
    <w:rPr>
      <w:rFonts w:ascii="Calibri" w:eastAsia="Times New Roman" w:hAnsi="Calibri" w:cs="Times New Roman"/>
      <w:sz w:val="22"/>
      <w:lang w:val="es-ES"/>
    </w:rPr>
  </w:style>
  <w:style w:type="character" w:customStyle="1" w:styleId="SinespaciadoCar">
    <w:name w:val="Sin espaciado Car"/>
    <w:basedOn w:val="Fuentedeprrafopredeter"/>
    <w:link w:val="Sinespaciado"/>
    <w:uiPriority w:val="1"/>
    <w:rsid w:val="006475EF"/>
    <w:rPr>
      <w:rFonts w:ascii="Calibri" w:eastAsia="Times New Roman" w:hAnsi="Calibri" w:cs="Times New Roman"/>
      <w:sz w:val="22"/>
      <w:lang w:val="es-ES"/>
    </w:rPr>
  </w:style>
  <w:style w:type="paragraph" w:customStyle="1" w:styleId="Default">
    <w:name w:val="Default"/>
    <w:rsid w:val="006475EF"/>
    <w:pPr>
      <w:autoSpaceDE w:val="0"/>
      <w:autoSpaceDN w:val="0"/>
      <w:adjustRightInd w:val="0"/>
      <w:spacing w:after="0" w:line="240" w:lineRule="auto"/>
    </w:pPr>
    <w:rPr>
      <w:rFonts w:ascii="Helvetica" w:eastAsia="Times New Roman" w:hAnsi="Helvetica" w:cs="Helvetica"/>
      <w:color w:val="000000"/>
      <w:szCs w:val="24"/>
      <w:lang w:eastAsia="es-GT"/>
    </w:rPr>
  </w:style>
  <w:style w:type="paragraph" w:styleId="Asuntodelcomentario">
    <w:name w:val="annotation subject"/>
    <w:basedOn w:val="Textocomentario"/>
    <w:next w:val="Textocomentario"/>
    <w:link w:val="AsuntodelcomentarioCar"/>
    <w:uiPriority w:val="99"/>
    <w:rsid w:val="006475EF"/>
    <w:rPr>
      <w:b/>
      <w:bCs/>
    </w:rPr>
  </w:style>
  <w:style w:type="character" w:customStyle="1" w:styleId="AsuntodelcomentarioCar">
    <w:name w:val="Asunto del comentario Car"/>
    <w:basedOn w:val="TextocomentarioCar"/>
    <w:link w:val="Asuntodelcomentario"/>
    <w:uiPriority w:val="99"/>
    <w:rsid w:val="006475EF"/>
    <w:rPr>
      <w:rFonts w:eastAsia="Times New Roman" w:cs="Times New Roman"/>
      <w:b/>
      <w:bCs/>
      <w:sz w:val="20"/>
      <w:szCs w:val="20"/>
      <w:lang w:val="es-ES_tradnl" w:eastAsia="es-ES"/>
    </w:rPr>
  </w:style>
  <w:style w:type="character" w:styleId="Hipervnculo">
    <w:name w:val="Hyperlink"/>
    <w:basedOn w:val="Fuentedeprrafopredeter"/>
    <w:uiPriority w:val="99"/>
    <w:rsid w:val="006475EF"/>
    <w:rPr>
      <w:color w:val="0000FF"/>
      <w:u w:val="single"/>
    </w:rPr>
  </w:style>
  <w:style w:type="paragraph" w:styleId="Prrafodelista">
    <w:name w:val="List Paragraph"/>
    <w:aliases w:val="Párrafo de lista 2,Título PDM"/>
    <w:basedOn w:val="Normal"/>
    <w:link w:val="PrrafodelistaCar"/>
    <w:uiPriority w:val="34"/>
    <w:qFormat/>
    <w:rsid w:val="006475EF"/>
    <w:pPr>
      <w:ind w:left="720"/>
      <w:contextualSpacing/>
    </w:pPr>
  </w:style>
  <w:style w:type="numbering" w:customStyle="1" w:styleId="Estilo1">
    <w:name w:val="Estilo1"/>
    <w:uiPriority w:val="99"/>
    <w:rsid w:val="006475EF"/>
    <w:pPr>
      <w:numPr>
        <w:numId w:val="1"/>
      </w:numPr>
    </w:pPr>
  </w:style>
  <w:style w:type="numbering" w:customStyle="1" w:styleId="Estilo2">
    <w:name w:val="Estilo2"/>
    <w:uiPriority w:val="99"/>
    <w:rsid w:val="006475EF"/>
    <w:pPr>
      <w:numPr>
        <w:numId w:val="2"/>
      </w:numPr>
    </w:pPr>
  </w:style>
  <w:style w:type="paragraph" w:styleId="Textonotapie">
    <w:name w:val="footnote text"/>
    <w:aliases w:val="ft,ft Car,ft Car Car,Texto nota pie2,ft1,ft Car Car Car1,Texto nota pie Car2,ft Car Car2,ft Car Car Car,fn,single space,footnote text,FOOTNOTES,Texto nota pie IIRSA,foottextfra,footnote,F,Char,Footnote Text Char2,Footnote Text Char1 Char1"/>
    <w:basedOn w:val="Normal"/>
    <w:link w:val="TextonotapieCar"/>
    <w:uiPriority w:val="99"/>
    <w:rsid w:val="000A36AF"/>
  </w:style>
  <w:style w:type="character" w:customStyle="1" w:styleId="TextonotapieCar">
    <w:name w:val="Texto nota pie Car"/>
    <w:aliases w:val="ft Car2,ft Car Car3,ft Car Car Car3,Texto nota pie2 Car1,ft1 Car1,ft Car Car Car1 Car1,Texto nota pie Car2 Car1,ft Car Car2 Car1,ft Car Car Car Car1,fn Car1,single space Car1,footnote text Car1,FOOTNOTES Car1,Texto nota pie IIRSA Car1"/>
    <w:basedOn w:val="Fuentedeprrafopredeter"/>
    <w:link w:val="Textonotapie"/>
    <w:uiPriority w:val="99"/>
    <w:rsid w:val="000A36AF"/>
    <w:rPr>
      <w:rFonts w:eastAsia="Times New Roman" w:cs="Times New Roman"/>
      <w:sz w:val="20"/>
      <w:szCs w:val="20"/>
      <w:lang w:val="es-ES_tradnl" w:eastAsia="es-ES"/>
    </w:rPr>
  </w:style>
  <w:style w:type="character" w:styleId="Refdenotaalpie">
    <w:name w:val="footnote reference"/>
    <w:aliases w:val="ftref,16 Point,Superscript 6 Point,fr,Footnote Reference Number,Footnote Reference_LVL6,Footnote Reference_LVL61,Footnote Reference_LVL62,Footnote Reference_LVL63,Footnote Reference_LVL64,SUPERS,EN Footnote Reference,number"/>
    <w:basedOn w:val="Fuentedeprrafopredeter"/>
    <w:uiPriority w:val="99"/>
    <w:rsid w:val="000A36AF"/>
    <w:rPr>
      <w:vertAlign w:val="superscript"/>
    </w:rPr>
  </w:style>
  <w:style w:type="character" w:styleId="Hipervnculovisitado">
    <w:name w:val="FollowedHyperlink"/>
    <w:basedOn w:val="Fuentedeprrafopredeter"/>
    <w:uiPriority w:val="99"/>
    <w:semiHidden/>
    <w:unhideWhenUsed/>
    <w:rsid w:val="00442A3E"/>
    <w:rPr>
      <w:color w:val="800080"/>
      <w:u w:val="single"/>
    </w:rPr>
  </w:style>
  <w:style w:type="paragraph" w:customStyle="1" w:styleId="xl57">
    <w:name w:val="xl57"/>
    <w:basedOn w:val="Normal"/>
    <w:rsid w:val="00442A3E"/>
    <w:pPr>
      <w:widowControl/>
      <w:pBdr>
        <w:left w:val="single" w:sz="8" w:space="0" w:color="auto"/>
        <w:right w:val="single" w:sz="8" w:space="0" w:color="auto"/>
      </w:pBdr>
      <w:spacing w:before="100" w:beforeAutospacing="1" w:after="100" w:afterAutospacing="1"/>
      <w:textAlignment w:val="top"/>
    </w:pPr>
    <w:rPr>
      <w:color w:val="000000"/>
      <w:sz w:val="16"/>
      <w:szCs w:val="16"/>
      <w:lang w:val="es-GT" w:eastAsia="es-GT"/>
    </w:rPr>
  </w:style>
  <w:style w:type="paragraph" w:customStyle="1" w:styleId="xl58">
    <w:name w:val="xl58"/>
    <w:basedOn w:val="Normal"/>
    <w:rsid w:val="00442A3E"/>
    <w:pPr>
      <w:widowControl/>
      <w:pBdr>
        <w:left w:val="single" w:sz="8" w:space="0" w:color="auto"/>
        <w:bottom w:val="double" w:sz="6"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59">
    <w:name w:val="xl59"/>
    <w:basedOn w:val="Normal"/>
    <w:rsid w:val="00442A3E"/>
    <w:pPr>
      <w:widowControl/>
      <w:pBdr>
        <w:left w:val="single" w:sz="8" w:space="0" w:color="auto"/>
        <w:bottom w:val="double" w:sz="6" w:space="0" w:color="auto"/>
        <w:right w:val="single" w:sz="8" w:space="0" w:color="auto"/>
      </w:pBdr>
      <w:spacing w:before="100" w:beforeAutospacing="1" w:after="100" w:afterAutospacing="1"/>
      <w:jc w:val="right"/>
    </w:pPr>
    <w:rPr>
      <w:sz w:val="16"/>
      <w:szCs w:val="16"/>
      <w:lang w:val="es-GT" w:eastAsia="es-GT"/>
    </w:rPr>
  </w:style>
  <w:style w:type="paragraph" w:customStyle="1" w:styleId="xl61">
    <w:name w:val="xl61"/>
    <w:basedOn w:val="Normal"/>
    <w:rsid w:val="00442A3E"/>
    <w:pPr>
      <w:widowControl/>
      <w:pBdr>
        <w:left w:val="single" w:sz="8" w:space="0" w:color="auto"/>
        <w:right w:val="double" w:sz="6" w:space="0" w:color="auto"/>
      </w:pBdr>
      <w:spacing w:before="100" w:beforeAutospacing="1" w:after="100" w:afterAutospacing="1"/>
      <w:jc w:val="center"/>
    </w:pPr>
    <w:rPr>
      <w:color w:val="000000"/>
      <w:sz w:val="16"/>
      <w:szCs w:val="16"/>
      <w:lang w:val="es-GT" w:eastAsia="es-GT"/>
    </w:rPr>
  </w:style>
  <w:style w:type="paragraph" w:customStyle="1" w:styleId="xl62">
    <w:name w:val="xl62"/>
    <w:basedOn w:val="Normal"/>
    <w:rsid w:val="00442A3E"/>
    <w:pPr>
      <w:widowControl/>
      <w:pBdr>
        <w:left w:val="single" w:sz="8" w:space="0" w:color="auto"/>
        <w:right w:val="double" w:sz="6" w:space="0" w:color="auto"/>
      </w:pBdr>
      <w:spacing w:before="100" w:beforeAutospacing="1" w:after="100" w:afterAutospacing="1"/>
      <w:jc w:val="center"/>
    </w:pPr>
    <w:rPr>
      <w:b/>
      <w:bCs/>
      <w:sz w:val="16"/>
      <w:szCs w:val="16"/>
      <w:lang w:val="es-GT" w:eastAsia="es-GT"/>
    </w:rPr>
  </w:style>
  <w:style w:type="paragraph" w:customStyle="1" w:styleId="xl63">
    <w:name w:val="xl63"/>
    <w:basedOn w:val="Normal"/>
    <w:rsid w:val="00442A3E"/>
    <w:pPr>
      <w:widowControl/>
      <w:pBdr>
        <w:left w:val="single" w:sz="8"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64">
    <w:name w:val="xl64"/>
    <w:basedOn w:val="Normal"/>
    <w:rsid w:val="00442A3E"/>
    <w:pPr>
      <w:widowControl/>
      <w:pBdr>
        <w:left w:val="single" w:sz="8" w:space="0" w:color="auto"/>
        <w:right w:val="double" w:sz="6" w:space="0" w:color="auto"/>
      </w:pBdr>
      <w:spacing w:before="100" w:beforeAutospacing="1" w:after="100" w:afterAutospacing="1"/>
      <w:jc w:val="center"/>
      <w:textAlignment w:val="top"/>
    </w:pPr>
    <w:rPr>
      <w:sz w:val="16"/>
      <w:szCs w:val="16"/>
      <w:lang w:val="es-GT" w:eastAsia="es-GT"/>
    </w:rPr>
  </w:style>
  <w:style w:type="paragraph" w:customStyle="1" w:styleId="xl65">
    <w:name w:val="xl65"/>
    <w:basedOn w:val="Normal"/>
    <w:rsid w:val="00442A3E"/>
    <w:pPr>
      <w:widowControl/>
      <w:pBdr>
        <w:left w:val="single" w:sz="8" w:space="0" w:color="auto"/>
        <w:right w:val="single" w:sz="8" w:space="0" w:color="auto"/>
      </w:pBdr>
      <w:spacing w:before="100" w:beforeAutospacing="1" w:after="100" w:afterAutospacing="1"/>
      <w:jc w:val="center"/>
      <w:textAlignment w:val="top"/>
    </w:pPr>
    <w:rPr>
      <w:b/>
      <w:bCs/>
      <w:sz w:val="16"/>
      <w:szCs w:val="16"/>
      <w:lang w:val="es-GT" w:eastAsia="es-GT"/>
    </w:rPr>
  </w:style>
  <w:style w:type="paragraph" w:customStyle="1" w:styleId="xl66">
    <w:name w:val="xl66"/>
    <w:basedOn w:val="Normal"/>
    <w:rsid w:val="00442A3E"/>
    <w:pPr>
      <w:widowControl/>
      <w:pBdr>
        <w:left w:val="single" w:sz="8" w:space="0" w:color="auto"/>
        <w:right w:val="double" w:sz="6" w:space="0" w:color="auto"/>
      </w:pBdr>
      <w:spacing w:before="100" w:beforeAutospacing="1" w:after="100" w:afterAutospacing="1"/>
      <w:jc w:val="center"/>
      <w:textAlignment w:val="top"/>
    </w:pPr>
    <w:rPr>
      <w:b/>
      <w:bCs/>
      <w:sz w:val="16"/>
      <w:szCs w:val="16"/>
      <w:lang w:val="es-GT" w:eastAsia="es-GT"/>
    </w:rPr>
  </w:style>
  <w:style w:type="paragraph" w:customStyle="1" w:styleId="xl67">
    <w:name w:val="xl67"/>
    <w:basedOn w:val="Normal"/>
    <w:rsid w:val="00442A3E"/>
    <w:pPr>
      <w:widowControl/>
      <w:pBdr>
        <w:left w:val="single" w:sz="8" w:space="0" w:color="auto"/>
        <w:right w:val="double" w:sz="6" w:space="0" w:color="auto"/>
      </w:pBdr>
      <w:spacing w:before="100" w:beforeAutospacing="1" w:after="100" w:afterAutospacing="1"/>
      <w:jc w:val="center"/>
    </w:pPr>
    <w:rPr>
      <w:b/>
      <w:bCs/>
      <w:color w:val="000000"/>
      <w:sz w:val="16"/>
      <w:szCs w:val="16"/>
      <w:lang w:val="es-GT" w:eastAsia="es-GT"/>
    </w:rPr>
  </w:style>
  <w:style w:type="paragraph" w:customStyle="1" w:styleId="xl68">
    <w:name w:val="xl68"/>
    <w:basedOn w:val="Normal"/>
    <w:rsid w:val="00442A3E"/>
    <w:pPr>
      <w:widowControl/>
      <w:pBdr>
        <w:left w:val="single" w:sz="8" w:space="0" w:color="auto"/>
        <w:bottom w:val="double" w:sz="6" w:space="0" w:color="auto"/>
        <w:right w:val="single" w:sz="8" w:space="0" w:color="auto"/>
      </w:pBdr>
      <w:spacing w:before="100" w:beforeAutospacing="1" w:after="100" w:afterAutospacing="1"/>
    </w:pPr>
    <w:rPr>
      <w:sz w:val="16"/>
      <w:szCs w:val="16"/>
      <w:lang w:val="es-GT" w:eastAsia="es-GT"/>
    </w:rPr>
  </w:style>
  <w:style w:type="paragraph" w:customStyle="1" w:styleId="xl69">
    <w:name w:val="xl69"/>
    <w:basedOn w:val="Normal"/>
    <w:rsid w:val="00442A3E"/>
    <w:pPr>
      <w:widowControl/>
      <w:pBdr>
        <w:left w:val="single" w:sz="8" w:space="0" w:color="auto"/>
        <w:bottom w:val="double" w:sz="6" w:space="0" w:color="auto"/>
        <w:right w:val="double" w:sz="6" w:space="0" w:color="auto"/>
      </w:pBdr>
      <w:spacing w:before="100" w:beforeAutospacing="1" w:after="100" w:afterAutospacing="1"/>
      <w:jc w:val="center"/>
    </w:pPr>
    <w:rPr>
      <w:sz w:val="16"/>
      <w:szCs w:val="16"/>
      <w:lang w:val="es-GT" w:eastAsia="es-GT"/>
    </w:rPr>
  </w:style>
  <w:style w:type="paragraph" w:customStyle="1" w:styleId="xl70">
    <w:name w:val="xl70"/>
    <w:basedOn w:val="Normal"/>
    <w:rsid w:val="00442A3E"/>
    <w:pPr>
      <w:widowControl/>
      <w:pBdr>
        <w:left w:val="double" w:sz="6"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71">
    <w:name w:val="xl71"/>
    <w:basedOn w:val="Normal"/>
    <w:rsid w:val="00442A3E"/>
    <w:pPr>
      <w:widowControl/>
      <w:pBdr>
        <w:left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72">
    <w:name w:val="xl72"/>
    <w:basedOn w:val="Normal"/>
    <w:rsid w:val="00442A3E"/>
    <w:pPr>
      <w:widowControl/>
      <w:pBdr>
        <w:left w:val="double" w:sz="6" w:space="0" w:color="auto"/>
        <w:right w:val="single" w:sz="8" w:space="0" w:color="auto"/>
      </w:pBdr>
      <w:spacing w:before="100" w:beforeAutospacing="1" w:after="100" w:afterAutospacing="1"/>
    </w:pPr>
    <w:rPr>
      <w:b/>
      <w:bCs/>
      <w:sz w:val="16"/>
      <w:szCs w:val="16"/>
      <w:lang w:val="es-GT" w:eastAsia="es-GT"/>
    </w:rPr>
  </w:style>
  <w:style w:type="paragraph" w:customStyle="1" w:styleId="xl73">
    <w:name w:val="xl73"/>
    <w:basedOn w:val="Normal"/>
    <w:rsid w:val="00442A3E"/>
    <w:pPr>
      <w:widowControl/>
      <w:pBdr>
        <w:left w:val="single" w:sz="8" w:space="0" w:color="auto"/>
        <w:right w:val="single" w:sz="8" w:space="0" w:color="auto"/>
      </w:pBdr>
      <w:spacing w:before="100" w:beforeAutospacing="1" w:after="100" w:afterAutospacing="1"/>
      <w:textAlignment w:val="top"/>
    </w:pPr>
    <w:rPr>
      <w:sz w:val="16"/>
      <w:szCs w:val="16"/>
      <w:lang w:val="es-GT" w:eastAsia="es-GT"/>
    </w:rPr>
  </w:style>
  <w:style w:type="paragraph" w:customStyle="1" w:styleId="xl74">
    <w:name w:val="xl74"/>
    <w:basedOn w:val="Normal"/>
    <w:rsid w:val="00442A3E"/>
    <w:pPr>
      <w:widowControl/>
      <w:pBdr>
        <w:left w:val="single" w:sz="8" w:space="0" w:color="auto"/>
        <w:right w:val="double" w:sz="6" w:space="0" w:color="auto"/>
      </w:pBdr>
      <w:spacing w:before="100" w:beforeAutospacing="1" w:after="100" w:afterAutospacing="1"/>
    </w:pPr>
    <w:rPr>
      <w:sz w:val="24"/>
      <w:szCs w:val="24"/>
      <w:lang w:val="es-GT" w:eastAsia="es-GT"/>
    </w:rPr>
  </w:style>
  <w:style w:type="paragraph" w:customStyle="1" w:styleId="xl75">
    <w:name w:val="xl75"/>
    <w:basedOn w:val="Normal"/>
    <w:rsid w:val="00442A3E"/>
    <w:pPr>
      <w:widowControl/>
      <w:pBdr>
        <w:left w:val="single" w:sz="8" w:space="0" w:color="auto"/>
      </w:pBdr>
      <w:spacing w:before="100" w:beforeAutospacing="1" w:after="100" w:afterAutospacing="1"/>
    </w:pPr>
    <w:rPr>
      <w:b/>
      <w:bCs/>
      <w:color w:val="000000"/>
      <w:sz w:val="16"/>
      <w:szCs w:val="16"/>
      <w:lang w:val="es-GT" w:eastAsia="es-GT"/>
    </w:rPr>
  </w:style>
  <w:style w:type="paragraph" w:customStyle="1" w:styleId="xl76">
    <w:name w:val="xl76"/>
    <w:basedOn w:val="Normal"/>
    <w:rsid w:val="00442A3E"/>
    <w:pPr>
      <w:widowControl/>
      <w:pBdr>
        <w:lef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77">
    <w:name w:val="xl77"/>
    <w:basedOn w:val="Normal"/>
    <w:rsid w:val="008764A0"/>
    <w:pPr>
      <w:widowControl/>
      <w:pBdr>
        <w:left w:val="double" w:sz="6" w:space="0" w:color="auto"/>
        <w:right w:val="single" w:sz="8" w:space="0" w:color="auto"/>
      </w:pBdr>
      <w:spacing w:before="100" w:beforeAutospacing="1" w:after="100" w:afterAutospacing="1"/>
    </w:pPr>
    <w:rPr>
      <w:color w:val="000000"/>
      <w:sz w:val="16"/>
      <w:szCs w:val="16"/>
      <w:lang w:val="es-GT" w:eastAsia="es-GT"/>
    </w:rPr>
  </w:style>
  <w:style w:type="paragraph" w:customStyle="1" w:styleId="xl78">
    <w:name w:val="xl78"/>
    <w:basedOn w:val="Normal"/>
    <w:rsid w:val="008764A0"/>
    <w:pPr>
      <w:widowControl/>
      <w:pBdr>
        <w:left w:val="single" w:sz="8" w:space="0" w:color="auto"/>
        <w:right w:val="single" w:sz="8" w:space="0" w:color="auto"/>
      </w:pBdr>
      <w:spacing w:before="100" w:beforeAutospacing="1" w:after="100" w:afterAutospacing="1"/>
    </w:pPr>
    <w:rPr>
      <w:color w:val="000000"/>
      <w:sz w:val="16"/>
      <w:szCs w:val="16"/>
      <w:lang w:val="es-GT" w:eastAsia="es-GT"/>
    </w:rPr>
  </w:style>
  <w:style w:type="paragraph" w:customStyle="1" w:styleId="xl79">
    <w:name w:val="xl79"/>
    <w:basedOn w:val="Normal"/>
    <w:rsid w:val="008764A0"/>
    <w:pPr>
      <w:widowControl/>
      <w:pBdr>
        <w:left w:val="single" w:sz="8" w:space="0" w:color="auto"/>
        <w:right w:val="double" w:sz="6" w:space="0" w:color="auto"/>
      </w:pBdr>
      <w:spacing w:before="100" w:beforeAutospacing="1" w:after="100" w:afterAutospacing="1"/>
    </w:pPr>
    <w:rPr>
      <w:color w:val="000000"/>
      <w:sz w:val="16"/>
      <w:szCs w:val="16"/>
      <w:lang w:val="es-GT" w:eastAsia="es-GT"/>
    </w:rPr>
  </w:style>
  <w:style w:type="paragraph" w:customStyle="1" w:styleId="xl80">
    <w:name w:val="xl80"/>
    <w:basedOn w:val="Normal"/>
    <w:rsid w:val="008764A0"/>
    <w:pPr>
      <w:widowControl/>
      <w:pBdr>
        <w:left w:val="single" w:sz="8" w:space="0" w:color="auto"/>
        <w:right w:val="single" w:sz="8" w:space="0" w:color="auto"/>
      </w:pBdr>
      <w:spacing w:before="100" w:beforeAutospacing="1" w:after="100" w:afterAutospacing="1"/>
      <w:jc w:val="center"/>
    </w:pPr>
    <w:rPr>
      <w:b/>
      <w:bCs/>
      <w:color w:val="000000"/>
      <w:sz w:val="16"/>
      <w:szCs w:val="16"/>
      <w:lang w:val="es-GT" w:eastAsia="es-GT"/>
    </w:rPr>
  </w:style>
  <w:style w:type="paragraph" w:customStyle="1" w:styleId="xl81">
    <w:name w:val="xl81"/>
    <w:basedOn w:val="Normal"/>
    <w:rsid w:val="008764A0"/>
    <w:pPr>
      <w:widowControl/>
      <w:pBdr>
        <w:left w:val="single" w:sz="8" w:space="0" w:color="auto"/>
        <w:right w:val="single" w:sz="8" w:space="0" w:color="auto"/>
      </w:pBdr>
      <w:spacing w:before="100" w:beforeAutospacing="1" w:after="100" w:afterAutospacing="1"/>
      <w:jc w:val="center"/>
      <w:textAlignment w:val="top"/>
    </w:pPr>
    <w:rPr>
      <w:b/>
      <w:bCs/>
      <w:color w:val="000000"/>
      <w:sz w:val="16"/>
      <w:szCs w:val="16"/>
      <w:lang w:val="es-GT" w:eastAsia="es-GT"/>
    </w:rPr>
  </w:style>
  <w:style w:type="paragraph" w:customStyle="1" w:styleId="xl82">
    <w:name w:val="xl82"/>
    <w:basedOn w:val="Normal"/>
    <w:rsid w:val="008764A0"/>
    <w:pPr>
      <w:widowControl/>
      <w:pBdr>
        <w:left w:val="double" w:sz="6" w:space="0" w:color="auto"/>
        <w:right w:val="single" w:sz="8" w:space="0" w:color="auto"/>
      </w:pBdr>
      <w:spacing w:before="100" w:beforeAutospacing="1" w:after="100" w:afterAutospacing="1"/>
    </w:pPr>
    <w:rPr>
      <w:sz w:val="24"/>
      <w:szCs w:val="24"/>
      <w:lang w:val="es-GT" w:eastAsia="es-GT"/>
    </w:rPr>
  </w:style>
  <w:style w:type="paragraph" w:customStyle="1" w:styleId="xl83">
    <w:name w:val="xl83"/>
    <w:basedOn w:val="Normal"/>
    <w:rsid w:val="008764A0"/>
    <w:pPr>
      <w:widowControl/>
      <w:pBdr>
        <w:left w:val="single" w:sz="8" w:space="0" w:color="auto"/>
        <w:right w:val="single" w:sz="8" w:space="0" w:color="auto"/>
      </w:pBdr>
      <w:spacing w:before="100" w:beforeAutospacing="1" w:after="100" w:afterAutospacing="1"/>
    </w:pPr>
    <w:rPr>
      <w:b/>
      <w:bCs/>
      <w:color w:val="000000"/>
      <w:sz w:val="16"/>
      <w:szCs w:val="16"/>
      <w:lang w:val="es-GT" w:eastAsia="es-GT"/>
    </w:rPr>
  </w:style>
  <w:style w:type="paragraph" w:customStyle="1" w:styleId="xl84">
    <w:name w:val="xl84"/>
    <w:basedOn w:val="Normal"/>
    <w:rsid w:val="008764A0"/>
    <w:pPr>
      <w:widowControl/>
      <w:pBdr>
        <w:left w:val="single" w:sz="8" w:space="0" w:color="auto"/>
        <w:righ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85">
    <w:name w:val="xl85"/>
    <w:basedOn w:val="Normal"/>
    <w:rsid w:val="008764A0"/>
    <w:pPr>
      <w:widowControl/>
      <w:pBdr>
        <w:left w:val="single" w:sz="8" w:space="0" w:color="auto"/>
        <w:bottom w:val="double" w:sz="6"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86">
    <w:name w:val="xl86"/>
    <w:basedOn w:val="Normal"/>
    <w:rsid w:val="008764A0"/>
    <w:pPr>
      <w:widowControl/>
      <w:pBdr>
        <w:left w:val="single" w:sz="8" w:space="0" w:color="auto"/>
        <w:bottom w:val="double" w:sz="6" w:space="0" w:color="auto"/>
        <w:right w:val="single" w:sz="8" w:space="0" w:color="auto"/>
      </w:pBdr>
      <w:spacing w:before="100" w:beforeAutospacing="1" w:after="100" w:afterAutospacing="1"/>
      <w:jc w:val="right"/>
    </w:pPr>
    <w:rPr>
      <w:sz w:val="16"/>
      <w:szCs w:val="16"/>
      <w:lang w:val="es-GT" w:eastAsia="es-GT"/>
    </w:rPr>
  </w:style>
  <w:style w:type="paragraph" w:customStyle="1" w:styleId="xl87">
    <w:name w:val="xl87"/>
    <w:basedOn w:val="Normal"/>
    <w:rsid w:val="008764A0"/>
    <w:pPr>
      <w:widowControl/>
      <w:pBdr>
        <w:left w:val="single" w:sz="8" w:space="0" w:color="auto"/>
        <w:right w:val="single" w:sz="8" w:space="0" w:color="auto"/>
      </w:pBdr>
      <w:spacing w:before="100" w:beforeAutospacing="1" w:after="100" w:afterAutospacing="1"/>
    </w:pPr>
    <w:rPr>
      <w:b/>
      <w:bCs/>
      <w:sz w:val="16"/>
      <w:szCs w:val="16"/>
      <w:lang w:val="es-GT" w:eastAsia="es-GT"/>
    </w:rPr>
  </w:style>
  <w:style w:type="paragraph" w:customStyle="1" w:styleId="xl88">
    <w:name w:val="xl88"/>
    <w:basedOn w:val="Normal"/>
    <w:rsid w:val="008764A0"/>
    <w:pPr>
      <w:widowControl/>
      <w:pBdr>
        <w:left w:val="single" w:sz="8" w:space="0" w:color="auto"/>
        <w:right w:val="double" w:sz="6" w:space="0" w:color="auto"/>
      </w:pBdr>
      <w:spacing w:before="100" w:beforeAutospacing="1" w:after="100" w:afterAutospacing="1"/>
      <w:jc w:val="center"/>
    </w:pPr>
    <w:rPr>
      <w:color w:val="000000"/>
      <w:sz w:val="16"/>
      <w:szCs w:val="16"/>
      <w:lang w:val="es-GT" w:eastAsia="es-GT"/>
    </w:rPr>
  </w:style>
  <w:style w:type="paragraph" w:customStyle="1" w:styleId="xl89">
    <w:name w:val="xl89"/>
    <w:basedOn w:val="Normal"/>
    <w:rsid w:val="008764A0"/>
    <w:pPr>
      <w:widowControl/>
      <w:pBdr>
        <w:left w:val="single" w:sz="8" w:space="0" w:color="auto"/>
        <w:right w:val="double" w:sz="6" w:space="0" w:color="auto"/>
      </w:pBdr>
      <w:spacing w:before="100" w:beforeAutospacing="1" w:after="100" w:afterAutospacing="1"/>
      <w:jc w:val="center"/>
    </w:pPr>
    <w:rPr>
      <w:b/>
      <w:bCs/>
      <w:sz w:val="16"/>
      <w:szCs w:val="16"/>
      <w:lang w:val="es-GT" w:eastAsia="es-GT"/>
    </w:rPr>
  </w:style>
  <w:style w:type="paragraph" w:customStyle="1" w:styleId="xl90">
    <w:name w:val="xl90"/>
    <w:basedOn w:val="Normal"/>
    <w:rsid w:val="008764A0"/>
    <w:pPr>
      <w:widowControl/>
      <w:pBdr>
        <w:left w:val="single" w:sz="8"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91">
    <w:name w:val="xl91"/>
    <w:basedOn w:val="Normal"/>
    <w:rsid w:val="008764A0"/>
    <w:pPr>
      <w:widowControl/>
      <w:pBdr>
        <w:left w:val="single" w:sz="8" w:space="0" w:color="auto"/>
        <w:right w:val="double" w:sz="6" w:space="0" w:color="auto"/>
      </w:pBdr>
      <w:spacing w:before="100" w:beforeAutospacing="1" w:after="100" w:afterAutospacing="1"/>
      <w:jc w:val="center"/>
      <w:textAlignment w:val="top"/>
    </w:pPr>
    <w:rPr>
      <w:sz w:val="16"/>
      <w:szCs w:val="16"/>
      <w:lang w:val="es-GT" w:eastAsia="es-GT"/>
    </w:rPr>
  </w:style>
  <w:style w:type="paragraph" w:customStyle="1" w:styleId="xl92">
    <w:name w:val="xl92"/>
    <w:basedOn w:val="Normal"/>
    <w:rsid w:val="008764A0"/>
    <w:pPr>
      <w:widowControl/>
      <w:pBdr>
        <w:left w:val="single" w:sz="8" w:space="0" w:color="auto"/>
        <w:right w:val="single" w:sz="8" w:space="0" w:color="auto"/>
      </w:pBdr>
      <w:spacing w:before="100" w:beforeAutospacing="1" w:after="100" w:afterAutospacing="1"/>
      <w:jc w:val="center"/>
      <w:textAlignment w:val="top"/>
    </w:pPr>
    <w:rPr>
      <w:b/>
      <w:bCs/>
      <w:sz w:val="16"/>
      <w:szCs w:val="16"/>
      <w:lang w:val="es-GT" w:eastAsia="es-GT"/>
    </w:rPr>
  </w:style>
  <w:style w:type="paragraph" w:customStyle="1" w:styleId="xl93">
    <w:name w:val="xl93"/>
    <w:basedOn w:val="Normal"/>
    <w:rsid w:val="008764A0"/>
    <w:pPr>
      <w:widowControl/>
      <w:pBdr>
        <w:left w:val="single" w:sz="8" w:space="0" w:color="auto"/>
        <w:right w:val="double" w:sz="6" w:space="0" w:color="auto"/>
      </w:pBdr>
      <w:spacing w:before="100" w:beforeAutospacing="1" w:after="100" w:afterAutospacing="1"/>
      <w:jc w:val="center"/>
      <w:textAlignment w:val="top"/>
    </w:pPr>
    <w:rPr>
      <w:b/>
      <w:bCs/>
      <w:sz w:val="16"/>
      <w:szCs w:val="16"/>
      <w:lang w:val="es-GT" w:eastAsia="es-GT"/>
    </w:rPr>
  </w:style>
  <w:style w:type="paragraph" w:customStyle="1" w:styleId="xl94">
    <w:name w:val="xl94"/>
    <w:basedOn w:val="Normal"/>
    <w:rsid w:val="008764A0"/>
    <w:pPr>
      <w:widowControl/>
      <w:pBdr>
        <w:left w:val="single" w:sz="8" w:space="0" w:color="auto"/>
        <w:right w:val="double" w:sz="6" w:space="0" w:color="auto"/>
      </w:pBdr>
      <w:spacing w:before="100" w:beforeAutospacing="1" w:after="100" w:afterAutospacing="1"/>
      <w:jc w:val="center"/>
    </w:pPr>
    <w:rPr>
      <w:b/>
      <w:bCs/>
      <w:color w:val="000000"/>
      <w:sz w:val="16"/>
      <w:szCs w:val="16"/>
      <w:lang w:val="es-GT" w:eastAsia="es-GT"/>
    </w:rPr>
  </w:style>
  <w:style w:type="paragraph" w:customStyle="1" w:styleId="xl95">
    <w:name w:val="xl95"/>
    <w:basedOn w:val="Normal"/>
    <w:rsid w:val="008764A0"/>
    <w:pPr>
      <w:widowControl/>
      <w:pBdr>
        <w:left w:val="single" w:sz="8" w:space="0" w:color="auto"/>
        <w:bottom w:val="double" w:sz="6" w:space="0" w:color="auto"/>
        <w:right w:val="double" w:sz="6" w:space="0" w:color="auto"/>
      </w:pBdr>
      <w:spacing w:before="100" w:beforeAutospacing="1" w:after="100" w:afterAutospacing="1"/>
      <w:jc w:val="center"/>
    </w:pPr>
    <w:rPr>
      <w:sz w:val="16"/>
      <w:szCs w:val="16"/>
      <w:lang w:val="es-GT" w:eastAsia="es-GT"/>
    </w:rPr>
  </w:style>
  <w:style w:type="paragraph" w:customStyle="1" w:styleId="xl97">
    <w:name w:val="xl97"/>
    <w:basedOn w:val="Normal"/>
    <w:rsid w:val="008764A0"/>
    <w:pPr>
      <w:widowControl/>
      <w:pBdr>
        <w:left w:val="single" w:sz="8" w:space="0" w:color="auto"/>
        <w:right w:val="single" w:sz="8" w:space="0" w:color="auto"/>
      </w:pBdr>
      <w:spacing w:before="100" w:beforeAutospacing="1" w:after="100" w:afterAutospacing="1"/>
      <w:textAlignment w:val="top"/>
    </w:pPr>
    <w:rPr>
      <w:sz w:val="16"/>
      <w:szCs w:val="16"/>
      <w:lang w:val="es-GT" w:eastAsia="es-GT"/>
    </w:rPr>
  </w:style>
  <w:style w:type="paragraph" w:customStyle="1" w:styleId="xl98">
    <w:name w:val="xl98"/>
    <w:basedOn w:val="Normal"/>
    <w:rsid w:val="008764A0"/>
    <w:pPr>
      <w:widowControl/>
      <w:pBdr>
        <w:left w:val="single" w:sz="8" w:space="0" w:color="auto"/>
        <w:right w:val="double" w:sz="6" w:space="0" w:color="auto"/>
      </w:pBdr>
      <w:spacing w:before="100" w:beforeAutospacing="1" w:after="100" w:afterAutospacing="1"/>
    </w:pPr>
    <w:rPr>
      <w:sz w:val="24"/>
      <w:szCs w:val="24"/>
      <w:lang w:val="es-GT" w:eastAsia="es-GT"/>
    </w:rPr>
  </w:style>
  <w:style w:type="paragraph" w:customStyle="1" w:styleId="xl99">
    <w:name w:val="xl99"/>
    <w:basedOn w:val="Normal"/>
    <w:rsid w:val="008764A0"/>
    <w:pPr>
      <w:widowControl/>
      <w:pBdr>
        <w:left w:val="single" w:sz="8" w:space="0" w:color="auto"/>
      </w:pBdr>
      <w:spacing w:before="100" w:beforeAutospacing="1" w:after="100" w:afterAutospacing="1"/>
    </w:pPr>
    <w:rPr>
      <w:b/>
      <w:bCs/>
      <w:color w:val="000000"/>
      <w:sz w:val="16"/>
      <w:szCs w:val="16"/>
      <w:lang w:val="es-GT" w:eastAsia="es-GT"/>
    </w:rPr>
  </w:style>
  <w:style w:type="paragraph" w:customStyle="1" w:styleId="xl100">
    <w:name w:val="xl100"/>
    <w:basedOn w:val="Normal"/>
    <w:rsid w:val="008764A0"/>
    <w:pPr>
      <w:widowControl/>
      <w:pBdr>
        <w:lef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101">
    <w:name w:val="xl101"/>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color w:val="000000"/>
      <w:sz w:val="16"/>
      <w:szCs w:val="16"/>
      <w:lang w:val="es-GT" w:eastAsia="es-GT"/>
    </w:rPr>
  </w:style>
  <w:style w:type="paragraph" w:customStyle="1" w:styleId="xl102">
    <w:name w:val="xl102"/>
    <w:basedOn w:val="Normal"/>
    <w:rsid w:val="008764A0"/>
    <w:pPr>
      <w:widowControl/>
      <w:pBdr>
        <w:top w:val="single" w:sz="8" w:space="0" w:color="auto"/>
        <w:left w:val="single" w:sz="8" w:space="0" w:color="auto"/>
        <w:bottom w:val="single" w:sz="8" w:space="0" w:color="auto"/>
        <w:right w:val="double" w:sz="6" w:space="0" w:color="auto"/>
      </w:pBdr>
      <w:spacing w:before="100" w:beforeAutospacing="1" w:after="100" w:afterAutospacing="1"/>
      <w:jc w:val="center"/>
    </w:pPr>
    <w:rPr>
      <w:b/>
      <w:bCs/>
      <w:color w:val="000000"/>
      <w:sz w:val="16"/>
      <w:szCs w:val="16"/>
      <w:lang w:val="es-GT" w:eastAsia="es-GT"/>
    </w:rPr>
  </w:style>
  <w:style w:type="paragraph" w:customStyle="1" w:styleId="xl103">
    <w:name w:val="xl103"/>
    <w:basedOn w:val="Normal"/>
    <w:rsid w:val="008764A0"/>
    <w:pPr>
      <w:widowControl/>
      <w:pBdr>
        <w:left w:val="single" w:sz="8" w:space="0" w:color="auto"/>
        <w:right w:val="single" w:sz="8" w:space="0" w:color="auto"/>
      </w:pBdr>
      <w:spacing w:before="100" w:beforeAutospacing="1" w:after="100" w:afterAutospacing="1"/>
    </w:pPr>
    <w:rPr>
      <w:b/>
      <w:bCs/>
      <w:color w:val="000000"/>
      <w:sz w:val="16"/>
      <w:szCs w:val="16"/>
      <w:lang w:val="es-GT" w:eastAsia="es-GT"/>
    </w:rPr>
  </w:style>
  <w:style w:type="paragraph" w:customStyle="1" w:styleId="xl104">
    <w:name w:val="xl104"/>
    <w:basedOn w:val="Normal"/>
    <w:rsid w:val="008764A0"/>
    <w:pPr>
      <w:widowControl/>
      <w:pBdr>
        <w:left w:val="single" w:sz="8" w:space="0" w:color="auto"/>
        <w:right w:val="single" w:sz="8" w:space="0" w:color="auto"/>
      </w:pBdr>
      <w:spacing w:before="100" w:beforeAutospacing="1" w:after="100" w:afterAutospacing="1"/>
      <w:jc w:val="center"/>
    </w:pPr>
    <w:rPr>
      <w:b/>
      <w:bCs/>
      <w:color w:val="000000"/>
      <w:sz w:val="16"/>
      <w:szCs w:val="16"/>
      <w:lang w:val="es-GT" w:eastAsia="es-GT"/>
    </w:rPr>
  </w:style>
  <w:style w:type="paragraph" w:customStyle="1" w:styleId="xl105">
    <w:name w:val="xl105"/>
    <w:basedOn w:val="Normal"/>
    <w:rsid w:val="008764A0"/>
    <w:pPr>
      <w:widowControl/>
      <w:pBdr>
        <w:left w:val="single" w:sz="8" w:space="0" w:color="auto"/>
        <w:right w:val="single" w:sz="8" w:space="0" w:color="auto"/>
      </w:pBdr>
      <w:spacing w:before="100" w:beforeAutospacing="1" w:after="100" w:afterAutospacing="1"/>
    </w:pPr>
    <w:rPr>
      <w:b/>
      <w:bCs/>
      <w:sz w:val="16"/>
      <w:szCs w:val="16"/>
      <w:lang w:val="es-GT" w:eastAsia="es-GT"/>
    </w:rPr>
  </w:style>
  <w:style w:type="paragraph" w:customStyle="1" w:styleId="xl106">
    <w:name w:val="xl106"/>
    <w:basedOn w:val="Normal"/>
    <w:rsid w:val="008764A0"/>
    <w:pPr>
      <w:widowControl/>
      <w:pBdr>
        <w:left w:val="single" w:sz="8" w:space="0" w:color="auto"/>
        <w:right w:val="single" w:sz="8" w:space="0" w:color="auto"/>
      </w:pBdr>
      <w:spacing w:before="100" w:beforeAutospacing="1" w:after="100" w:afterAutospacing="1"/>
      <w:textAlignment w:val="top"/>
    </w:pPr>
    <w:rPr>
      <w:color w:val="000000"/>
      <w:sz w:val="16"/>
      <w:szCs w:val="16"/>
      <w:lang w:val="es-GT" w:eastAsia="es-GT"/>
    </w:rPr>
  </w:style>
  <w:style w:type="paragraph" w:customStyle="1" w:styleId="xl107">
    <w:name w:val="xl107"/>
    <w:basedOn w:val="Normal"/>
    <w:rsid w:val="008764A0"/>
    <w:pPr>
      <w:widowControl/>
      <w:pBdr>
        <w:left w:val="single" w:sz="8" w:space="0" w:color="auto"/>
        <w:right w:val="single" w:sz="8" w:space="0" w:color="auto"/>
      </w:pBdr>
      <w:spacing w:before="100" w:beforeAutospacing="1" w:after="100" w:afterAutospacing="1"/>
    </w:pPr>
    <w:rPr>
      <w:color w:val="000000"/>
      <w:sz w:val="16"/>
      <w:szCs w:val="16"/>
      <w:lang w:val="es-GT" w:eastAsia="es-GT"/>
    </w:rPr>
  </w:style>
  <w:style w:type="paragraph" w:customStyle="1" w:styleId="xl108">
    <w:name w:val="xl108"/>
    <w:basedOn w:val="Normal"/>
    <w:rsid w:val="008764A0"/>
    <w:pPr>
      <w:widowControl/>
      <w:pBdr>
        <w:left w:val="single" w:sz="8" w:space="0" w:color="auto"/>
        <w:righ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109">
    <w:name w:val="xl109"/>
    <w:basedOn w:val="Normal"/>
    <w:rsid w:val="008764A0"/>
    <w:pPr>
      <w:widowControl/>
      <w:pBdr>
        <w:left w:val="single" w:sz="8" w:space="0" w:color="auto"/>
        <w:right w:val="single" w:sz="8" w:space="0" w:color="auto"/>
      </w:pBdr>
      <w:spacing w:before="100" w:beforeAutospacing="1" w:after="100" w:afterAutospacing="1"/>
    </w:pPr>
    <w:rPr>
      <w:sz w:val="16"/>
      <w:szCs w:val="16"/>
      <w:lang w:val="es-GT" w:eastAsia="es-GT"/>
    </w:rPr>
  </w:style>
  <w:style w:type="paragraph" w:customStyle="1" w:styleId="xl110">
    <w:name w:val="xl110"/>
    <w:basedOn w:val="Normal"/>
    <w:rsid w:val="008764A0"/>
    <w:pPr>
      <w:widowControl/>
      <w:pBdr>
        <w:left w:val="single" w:sz="8" w:space="0" w:color="auto"/>
        <w:bottom w:val="double" w:sz="6" w:space="0" w:color="auto"/>
        <w:right w:val="single" w:sz="8" w:space="0" w:color="auto"/>
      </w:pBdr>
      <w:spacing w:before="100" w:beforeAutospacing="1" w:after="100" w:afterAutospacing="1"/>
    </w:pPr>
    <w:rPr>
      <w:sz w:val="16"/>
      <w:szCs w:val="16"/>
      <w:lang w:val="es-GT" w:eastAsia="es-GT"/>
    </w:rPr>
  </w:style>
  <w:style w:type="paragraph" w:customStyle="1" w:styleId="xl111">
    <w:name w:val="xl111"/>
    <w:basedOn w:val="Normal"/>
    <w:rsid w:val="008764A0"/>
    <w:pPr>
      <w:widowControl/>
      <w:spacing w:before="100" w:beforeAutospacing="1" w:after="100" w:afterAutospacing="1"/>
    </w:pPr>
    <w:rPr>
      <w:sz w:val="24"/>
      <w:szCs w:val="24"/>
      <w:lang w:val="es-GT" w:eastAsia="es-GT"/>
    </w:rPr>
  </w:style>
  <w:style w:type="paragraph" w:customStyle="1" w:styleId="xl112">
    <w:name w:val="xl112"/>
    <w:basedOn w:val="Normal"/>
    <w:rsid w:val="008764A0"/>
    <w:pPr>
      <w:widowControl/>
      <w:pBdr>
        <w:left w:val="double" w:sz="6" w:space="0" w:color="auto"/>
        <w:bottom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113">
    <w:name w:val="xl113"/>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114">
    <w:name w:val="xl114"/>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115">
    <w:name w:val="xl115"/>
    <w:basedOn w:val="Normal"/>
    <w:rsid w:val="008764A0"/>
    <w:pPr>
      <w:widowControl/>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lang w:val="es-GT" w:eastAsia="es-GT"/>
    </w:rPr>
  </w:style>
  <w:style w:type="paragraph" w:styleId="NormalWeb">
    <w:name w:val="Normal (Web)"/>
    <w:basedOn w:val="Normal"/>
    <w:uiPriority w:val="99"/>
    <w:unhideWhenUsed/>
    <w:rsid w:val="00711BCD"/>
    <w:pPr>
      <w:widowControl/>
      <w:spacing w:before="100" w:beforeAutospacing="1" w:after="100" w:afterAutospacing="1"/>
    </w:pPr>
    <w:rPr>
      <w:sz w:val="24"/>
      <w:szCs w:val="24"/>
      <w:lang w:val="es-GT" w:eastAsia="es-GT"/>
    </w:rPr>
  </w:style>
  <w:style w:type="paragraph" w:customStyle="1" w:styleId="xl116">
    <w:name w:val="xl116"/>
    <w:basedOn w:val="Normal"/>
    <w:rsid w:val="00774E44"/>
    <w:pPr>
      <w:widowControl/>
      <w:pBdr>
        <w:left w:val="single" w:sz="4" w:space="0" w:color="auto"/>
        <w:right w:val="single" w:sz="4" w:space="0" w:color="auto"/>
      </w:pBdr>
      <w:spacing w:before="100" w:beforeAutospacing="1" w:after="100" w:afterAutospacing="1"/>
      <w:jc w:val="right"/>
    </w:pPr>
    <w:rPr>
      <w:i/>
      <w:iCs/>
      <w:color w:val="000000"/>
      <w:sz w:val="16"/>
      <w:szCs w:val="16"/>
      <w:u w:val="single"/>
      <w:lang w:val="es-GT" w:eastAsia="es-GT"/>
    </w:rPr>
  </w:style>
  <w:style w:type="paragraph" w:customStyle="1" w:styleId="xl117">
    <w:name w:val="xl117"/>
    <w:basedOn w:val="Normal"/>
    <w:rsid w:val="00774E44"/>
    <w:pPr>
      <w:widowControl/>
      <w:pBdr>
        <w:left w:val="single" w:sz="4" w:space="0" w:color="auto"/>
        <w:right w:val="single" w:sz="4" w:space="0" w:color="auto"/>
      </w:pBdr>
      <w:spacing w:before="100" w:beforeAutospacing="1" w:after="100" w:afterAutospacing="1"/>
    </w:pPr>
    <w:rPr>
      <w:i/>
      <w:iCs/>
      <w:sz w:val="16"/>
      <w:szCs w:val="16"/>
      <w:u w:val="single"/>
      <w:lang w:val="es-GT" w:eastAsia="es-GT"/>
    </w:rPr>
  </w:style>
  <w:style w:type="paragraph" w:customStyle="1" w:styleId="xl118">
    <w:name w:val="xl118"/>
    <w:basedOn w:val="Normal"/>
    <w:rsid w:val="00774E44"/>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GT" w:eastAsia="es-GT"/>
    </w:rPr>
  </w:style>
  <w:style w:type="paragraph" w:customStyle="1" w:styleId="xl119">
    <w:name w:val="xl119"/>
    <w:basedOn w:val="Normal"/>
    <w:rsid w:val="00774E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GT" w:eastAsia="es-GT"/>
    </w:rPr>
  </w:style>
  <w:style w:type="paragraph" w:customStyle="1" w:styleId="xl120">
    <w:name w:val="xl120"/>
    <w:basedOn w:val="Normal"/>
    <w:rsid w:val="00774E44"/>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es-GT" w:eastAsia="es-GT"/>
    </w:rPr>
  </w:style>
  <w:style w:type="paragraph" w:customStyle="1" w:styleId="xl121">
    <w:name w:val="xl121"/>
    <w:basedOn w:val="Normal"/>
    <w:rsid w:val="00774E44"/>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b/>
      <w:bCs/>
      <w:color w:val="000000"/>
      <w:sz w:val="16"/>
      <w:szCs w:val="16"/>
      <w:lang w:val="es-GT" w:eastAsia="es-GT"/>
    </w:rPr>
  </w:style>
  <w:style w:type="paragraph" w:customStyle="1" w:styleId="xl122">
    <w:name w:val="xl122"/>
    <w:basedOn w:val="Normal"/>
    <w:rsid w:val="00774E44"/>
    <w:pPr>
      <w:widowControl/>
      <w:pBdr>
        <w:top w:val="double" w:sz="6" w:space="0" w:color="auto"/>
        <w:left w:val="single" w:sz="4" w:space="0" w:color="auto"/>
        <w:right w:val="single" w:sz="4" w:space="0" w:color="auto"/>
      </w:pBdr>
      <w:spacing w:before="100" w:beforeAutospacing="1" w:after="100" w:afterAutospacing="1"/>
      <w:jc w:val="center"/>
    </w:pPr>
    <w:rPr>
      <w:b/>
      <w:bCs/>
      <w:color w:val="000000"/>
      <w:sz w:val="16"/>
      <w:szCs w:val="16"/>
      <w:lang w:val="es-GT" w:eastAsia="es-GT"/>
    </w:rPr>
  </w:style>
  <w:style w:type="paragraph" w:customStyle="1" w:styleId="xl123">
    <w:name w:val="xl123"/>
    <w:basedOn w:val="Normal"/>
    <w:rsid w:val="00774E44"/>
    <w:pPr>
      <w:widowControl/>
      <w:pBdr>
        <w:left w:val="single" w:sz="4" w:space="0" w:color="auto"/>
        <w:bottom w:val="single" w:sz="4" w:space="0" w:color="auto"/>
        <w:right w:val="single" w:sz="4" w:space="0" w:color="auto"/>
      </w:pBdr>
      <w:spacing w:before="100" w:beforeAutospacing="1" w:after="100" w:afterAutospacing="1"/>
      <w:jc w:val="center"/>
    </w:pPr>
    <w:rPr>
      <w:b/>
      <w:bCs/>
      <w:color w:val="000000"/>
      <w:sz w:val="16"/>
      <w:szCs w:val="16"/>
      <w:lang w:val="es-GT" w:eastAsia="es-GT"/>
    </w:rPr>
  </w:style>
  <w:style w:type="paragraph" w:customStyle="1" w:styleId="xl124">
    <w:name w:val="xl124"/>
    <w:basedOn w:val="Normal"/>
    <w:rsid w:val="00774E44"/>
    <w:pPr>
      <w:widowControl/>
      <w:pBdr>
        <w:top w:val="double" w:sz="6"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lang w:val="es-GT" w:eastAsia="es-GT"/>
    </w:rPr>
  </w:style>
  <w:style w:type="paragraph" w:customStyle="1" w:styleId="xl125">
    <w:name w:val="xl125"/>
    <w:basedOn w:val="Normal"/>
    <w:rsid w:val="00774E44"/>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lang w:val="es-GT" w:eastAsia="es-GT"/>
    </w:rPr>
  </w:style>
  <w:style w:type="paragraph" w:styleId="Listaconvietas">
    <w:name w:val="List Bullet"/>
    <w:basedOn w:val="Normal"/>
    <w:uiPriority w:val="99"/>
    <w:unhideWhenUsed/>
    <w:rsid w:val="00AB70BF"/>
    <w:pPr>
      <w:numPr>
        <w:numId w:val="3"/>
      </w:numPr>
      <w:contextualSpacing/>
    </w:pPr>
  </w:style>
  <w:style w:type="table" w:styleId="Sombreadoclaro-nfasis1">
    <w:name w:val="Light Shading Accent 1"/>
    <w:basedOn w:val="Tablanormal"/>
    <w:uiPriority w:val="60"/>
    <w:rsid w:val="00AB70BF"/>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tulodeTDC">
    <w:name w:val="TOC Heading"/>
    <w:basedOn w:val="Ttulo1"/>
    <w:next w:val="Normal"/>
    <w:uiPriority w:val="39"/>
    <w:unhideWhenUsed/>
    <w:qFormat/>
    <w:rsid w:val="00AB70BF"/>
    <w:pPr>
      <w:keepLines/>
      <w:widowControl/>
      <w:spacing w:before="480" w:line="276" w:lineRule="auto"/>
      <w:jc w:val="left"/>
      <w:outlineLvl w:val="9"/>
    </w:pPr>
    <w:rPr>
      <w:rFonts w:asciiTheme="majorHAnsi" w:eastAsiaTheme="majorEastAsia" w:hAnsiTheme="majorHAnsi" w:cstheme="majorBidi"/>
      <w:bCs/>
      <w:color w:val="2F5496" w:themeColor="accent1" w:themeShade="BF"/>
      <w:sz w:val="28"/>
      <w:szCs w:val="28"/>
      <w:lang w:val="es-GT" w:eastAsia="es-GT"/>
    </w:rPr>
  </w:style>
  <w:style w:type="paragraph" w:styleId="TDC2">
    <w:name w:val="toc 2"/>
    <w:basedOn w:val="Normal"/>
    <w:next w:val="Normal"/>
    <w:autoRedefine/>
    <w:uiPriority w:val="39"/>
    <w:unhideWhenUsed/>
    <w:qFormat/>
    <w:rsid w:val="00270ED2"/>
    <w:pPr>
      <w:tabs>
        <w:tab w:val="left" w:pos="880"/>
        <w:tab w:val="right" w:leader="dot" w:pos="9962"/>
      </w:tabs>
      <w:spacing w:after="100"/>
      <w:ind w:left="142"/>
    </w:pPr>
  </w:style>
  <w:style w:type="paragraph" w:styleId="TDC3">
    <w:name w:val="toc 3"/>
    <w:basedOn w:val="Normal"/>
    <w:next w:val="Normal"/>
    <w:autoRedefine/>
    <w:uiPriority w:val="39"/>
    <w:unhideWhenUsed/>
    <w:qFormat/>
    <w:rsid w:val="00621133"/>
    <w:pPr>
      <w:tabs>
        <w:tab w:val="left" w:pos="993"/>
        <w:tab w:val="left" w:pos="1100"/>
        <w:tab w:val="right" w:leader="dot" w:pos="9962"/>
      </w:tabs>
      <w:spacing w:after="100"/>
      <w:ind w:left="142"/>
    </w:pPr>
  </w:style>
  <w:style w:type="paragraph" w:styleId="TDC1">
    <w:name w:val="toc 1"/>
    <w:basedOn w:val="Normal"/>
    <w:next w:val="Normal"/>
    <w:autoRedefine/>
    <w:uiPriority w:val="39"/>
    <w:unhideWhenUsed/>
    <w:qFormat/>
    <w:rsid w:val="000A3EEE"/>
    <w:pPr>
      <w:tabs>
        <w:tab w:val="left" w:pos="400"/>
        <w:tab w:val="left" w:pos="720"/>
        <w:tab w:val="left" w:pos="960"/>
        <w:tab w:val="left" w:pos="1276"/>
        <w:tab w:val="right" w:leader="dot" w:pos="9962"/>
      </w:tabs>
      <w:ind w:left="567" w:hanging="142"/>
    </w:pPr>
    <w:rPr>
      <w:bCs/>
      <w:noProof/>
    </w:rPr>
  </w:style>
  <w:style w:type="character" w:styleId="Textoennegrita">
    <w:name w:val="Strong"/>
    <w:basedOn w:val="Fuentedeprrafopredeter"/>
    <w:uiPriority w:val="22"/>
    <w:qFormat/>
    <w:rsid w:val="00AB70BF"/>
    <w:rPr>
      <w:b/>
      <w:bCs/>
    </w:rPr>
  </w:style>
  <w:style w:type="paragraph" w:customStyle="1" w:styleId="default0">
    <w:name w:val="default"/>
    <w:basedOn w:val="Normal"/>
    <w:rsid w:val="00AB70BF"/>
    <w:pPr>
      <w:widowControl/>
      <w:spacing w:after="150"/>
    </w:pPr>
    <w:rPr>
      <w:sz w:val="24"/>
      <w:szCs w:val="24"/>
      <w:lang w:val="es-GT" w:eastAsia="es-GT"/>
    </w:rPr>
  </w:style>
  <w:style w:type="paragraph" w:styleId="Subttulo">
    <w:name w:val="Subtitle"/>
    <w:basedOn w:val="Normal"/>
    <w:link w:val="SubttuloCar"/>
    <w:uiPriority w:val="11"/>
    <w:qFormat/>
    <w:rsid w:val="00D50E05"/>
    <w:pPr>
      <w:widowControl/>
      <w:jc w:val="both"/>
    </w:pPr>
    <w:rPr>
      <w:rFonts w:ascii="CG Times" w:hAnsi="CG Times"/>
      <w:b/>
      <w:bCs/>
      <w:sz w:val="24"/>
      <w:szCs w:val="24"/>
      <w:lang w:val="es-ES"/>
    </w:rPr>
  </w:style>
  <w:style w:type="character" w:customStyle="1" w:styleId="SubttuloCar">
    <w:name w:val="Subtítulo Car"/>
    <w:basedOn w:val="Fuentedeprrafopredeter"/>
    <w:link w:val="Subttulo"/>
    <w:uiPriority w:val="11"/>
    <w:rsid w:val="00D50E05"/>
    <w:rPr>
      <w:rFonts w:ascii="CG Times" w:eastAsia="Times New Roman" w:hAnsi="CG Times" w:cs="Times New Roman"/>
      <w:b/>
      <w:bCs/>
      <w:szCs w:val="24"/>
      <w:lang w:val="es-ES" w:eastAsia="es-ES"/>
    </w:rPr>
  </w:style>
  <w:style w:type="table" w:customStyle="1" w:styleId="TableNormal1">
    <w:name w:val="Table Normal1"/>
    <w:uiPriority w:val="2"/>
    <w:semiHidden/>
    <w:unhideWhenUsed/>
    <w:qFormat/>
    <w:rsid w:val="00D50E05"/>
    <w:pPr>
      <w:widowControl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0E05"/>
    <w:rPr>
      <w:rFonts w:asciiTheme="minorHAnsi" w:eastAsiaTheme="minorHAnsi" w:hAnsiTheme="minorHAnsi" w:cstheme="minorBidi"/>
      <w:sz w:val="22"/>
      <w:szCs w:val="22"/>
      <w:lang w:val="en-US" w:eastAsia="en-US"/>
    </w:rPr>
  </w:style>
  <w:style w:type="character" w:customStyle="1" w:styleId="TextonotapieCar1">
    <w:name w:val="Texto nota pie Car1"/>
    <w:aliases w:val="ft Car1,ft Car Car1,ft Car Car Car2,Texto nota pie2 Car,ft1 Car,ft Car Car Car1 Car,Texto nota pie Car2 Car,ft Car Car2 Car,ft Car Car Car Car,fn Car,single space Car,footnote text Car,FOOTNOTES Car,Texto nota pie IIRSA Car,F Car"/>
    <w:basedOn w:val="Fuentedeprrafopredeter"/>
    <w:rsid w:val="00D50E05"/>
    <w:rPr>
      <w:rFonts w:ascii="Times New Roman" w:eastAsia="SimSun" w:hAnsi="Times New Roman" w:cs="Times New Roman"/>
      <w:sz w:val="20"/>
      <w:szCs w:val="20"/>
      <w:lang w:val="es-ES"/>
    </w:rPr>
  </w:style>
  <w:style w:type="character" w:customStyle="1" w:styleId="PrrafodelistaCar">
    <w:name w:val="Párrafo de lista Car"/>
    <w:aliases w:val="Párrafo de lista 2 Car,Título PDM Car"/>
    <w:basedOn w:val="Fuentedeprrafopredeter"/>
    <w:link w:val="Prrafodelista"/>
    <w:uiPriority w:val="34"/>
    <w:rsid w:val="00D50E05"/>
    <w:rPr>
      <w:rFonts w:eastAsia="Times New Roman" w:cs="Times New Roman"/>
      <w:sz w:val="20"/>
      <w:szCs w:val="20"/>
      <w:lang w:val="es-ES_tradnl" w:eastAsia="es-ES"/>
    </w:rPr>
  </w:style>
  <w:style w:type="character" w:customStyle="1" w:styleId="None">
    <w:name w:val="None"/>
    <w:rsid w:val="00D50E05"/>
  </w:style>
  <w:style w:type="paragraph" w:customStyle="1" w:styleId="Pa2">
    <w:name w:val="Pa2"/>
    <w:basedOn w:val="Default"/>
    <w:next w:val="Default"/>
    <w:uiPriority w:val="99"/>
    <w:rsid w:val="008C102B"/>
    <w:pPr>
      <w:spacing w:line="241" w:lineRule="atLeast"/>
    </w:pPr>
    <w:rPr>
      <w:rFonts w:ascii="Andada" w:eastAsia="Malgun Gothic" w:hAnsi="Andada" w:cs="Times New Roman"/>
      <w:color w:val="auto"/>
      <w:lang w:eastAsia="es-ES"/>
    </w:rPr>
  </w:style>
  <w:style w:type="paragraph" w:customStyle="1" w:styleId="Pa3">
    <w:name w:val="Pa3"/>
    <w:basedOn w:val="Default"/>
    <w:next w:val="Default"/>
    <w:uiPriority w:val="99"/>
    <w:rsid w:val="008C102B"/>
    <w:pPr>
      <w:spacing w:line="241" w:lineRule="atLeast"/>
    </w:pPr>
    <w:rPr>
      <w:rFonts w:ascii="Andada" w:eastAsia="Malgun Gothic" w:hAnsi="Andada" w:cs="Times New Roman"/>
      <w:color w:val="auto"/>
      <w:lang w:eastAsia="es-ES"/>
    </w:rPr>
  </w:style>
  <w:style w:type="character" w:customStyle="1" w:styleId="A4">
    <w:name w:val="A4"/>
    <w:uiPriority w:val="99"/>
    <w:rsid w:val="008C102B"/>
    <w:rPr>
      <w:rFonts w:cs="Andada"/>
      <w:color w:val="000000"/>
      <w:sz w:val="14"/>
      <w:szCs w:val="14"/>
    </w:rPr>
  </w:style>
  <w:style w:type="paragraph" w:customStyle="1" w:styleId="Pa4">
    <w:name w:val="Pa4"/>
    <w:basedOn w:val="Default"/>
    <w:next w:val="Default"/>
    <w:uiPriority w:val="99"/>
    <w:rsid w:val="008C102B"/>
    <w:pPr>
      <w:spacing w:line="241" w:lineRule="atLeast"/>
    </w:pPr>
    <w:rPr>
      <w:rFonts w:ascii="Andada" w:eastAsia="Malgun Gothic" w:hAnsi="Andada" w:cs="Times New Roman"/>
      <w:color w:val="auto"/>
      <w:lang w:eastAsia="es-ES"/>
    </w:rPr>
  </w:style>
  <w:style w:type="paragraph" w:styleId="HTMLconformatoprevio">
    <w:name w:val="HTML Preformatted"/>
    <w:basedOn w:val="Normal"/>
    <w:link w:val="HTMLconformatoprevioCar"/>
    <w:uiPriority w:val="99"/>
    <w:semiHidden/>
    <w:unhideWhenUsed/>
    <w:rsid w:val="008C1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GT" w:eastAsia="es-GT"/>
    </w:rPr>
  </w:style>
  <w:style w:type="character" w:customStyle="1" w:styleId="HTMLconformatoprevioCar">
    <w:name w:val="HTML con formato previo Car"/>
    <w:basedOn w:val="Fuentedeprrafopredeter"/>
    <w:link w:val="HTMLconformatoprevio"/>
    <w:uiPriority w:val="99"/>
    <w:semiHidden/>
    <w:rsid w:val="008C102B"/>
    <w:rPr>
      <w:rFonts w:ascii="Courier New" w:eastAsia="Times New Roman" w:hAnsi="Courier New" w:cs="Courier New"/>
      <w:sz w:val="20"/>
      <w:szCs w:val="20"/>
      <w:lang w:eastAsia="es-GT"/>
    </w:rPr>
  </w:style>
  <w:style w:type="character" w:customStyle="1" w:styleId="Mencinsinresolver1">
    <w:name w:val="Mención sin resolver1"/>
    <w:basedOn w:val="Fuentedeprrafopredeter"/>
    <w:uiPriority w:val="99"/>
    <w:semiHidden/>
    <w:unhideWhenUsed/>
    <w:rsid w:val="008C102B"/>
    <w:rPr>
      <w:color w:val="605E5C"/>
      <w:shd w:val="clear" w:color="auto" w:fill="E1DFDD"/>
    </w:rPr>
  </w:style>
  <w:style w:type="table" w:customStyle="1" w:styleId="Tablanormal41">
    <w:name w:val="Tabla normal 41"/>
    <w:basedOn w:val="Tablanormal"/>
    <w:uiPriority w:val="44"/>
    <w:rsid w:val="008C102B"/>
    <w:pPr>
      <w:spacing w:after="0" w:line="240" w:lineRule="auto"/>
    </w:pPr>
    <w:rPr>
      <w:rFonts w:ascii="Cambria" w:eastAsia="Malgun Gothic" w:hAnsi="Cambria" w:cs="Times New Roman"/>
      <w:sz w:val="20"/>
      <w:szCs w:val="20"/>
      <w:lang w:eastAsia="es-GT"/>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
    <w:name w:val="Tabla de cuadrícula 4 - Énfasis 11"/>
    <w:basedOn w:val="Tablanormal"/>
    <w:uiPriority w:val="49"/>
    <w:rsid w:val="008C102B"/>
    <w:pPr>
      <w:spacing w:after="0" w:line="240" w:lineRule="auto"/>
    </w:pPr>
    <w:rPr>
      <w:rFonts w:ascii="Cambria" w:eastAsia="Malgun Gothic" w:hAnsi="Cambria" w:cs="Times New Roman"/>
      <w:sz w:val="20"/>
      <w:szCs w:val="20"/>
      <w:lang w:eastAsia="es-GT"/>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sutil">
    <w:name w:val="Subtle Emphasis"/>
    <w:uiPriority w:val="19"/>
    <w:qFormat/>
    <w:rsid w:val="008C102B"/>
    <w:rPr>
      <w:rFonts w:ascii="Times New Roman" w:hAnsi="Times New Roman"/>
    </w:rPr>
  </w:style>
  <w:style w:type="character" w:styleId="Textodelmarcadordeposicin">
    <w:name w:val="Placeholder Text"/>
    <w:basedOn w:val="Fuentedeprrafopredeter"/>
    <w:uiPriority w:val="99"/>
    <w:semiHidden/>
    <w:rsid w:val="008C102B"/>
    <w:rPr>
      <w:color w:val="808080"/>
    </w:rPr>
  </w:style>
  <w:style w:type="table" w:customStyle="1" w:styleId="Tablanormal11">
    <w:name w:val="Tabla normal 11"/>
    <w:basedOn w:val="Tablanormal"/>
    <w:uiPriority w:val="41"/>
    <w:rsid w:val="008C102B"/>
    <w:pPr>
      <w:spacing w:after="0" w:line="240" w:lineRule="auto"/>
    </w:pPr>
    <w:rPr>
      <w:rFonts w:ascii="Cambria" w:eastAsia="Malgun Gothic" w:hAnsi="Cambria" w:cs="Times New Roman"/>
      <w:sz w:val="20"/>
      <w:szCs w:val="20"/>
      <w:lang w:eastAsia="es-GT"/>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tulo11">
    <w:name w:val="Título 11"/>
    <w:basedOn w:val="Normal"/>
    <w:rsid w:val="008C102B"/>
    <w:pPr>
      <w:widowControl/>
      <w:numPr>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21">
    <w:name w:val="Título 21"/>
    <w:basedOn w:val="Normal"/>
    <w:rsid w:val="008C102B"/>
    <w:pPr>
      <w:widowControl/>
      <w:numPr>
        <w:ilvl w:val="1"/>
        <w:numId w:val="4"/>
      </w:numPr>
      <w:spacing w:after="200" w:line="288" w:lineRule="auto"/>
      <w:ind w:left="576"/>
    </w:pPr>
    <w:rPr>
      <w:rFonts w:asciiTheme="minorHAnsi" w:eastAsiaTheme="minorEastAsia" w:hAnsiTheme="minorHAnsi" w:cstheme="minorBidi"/>
      <w:sz w:val="21"/>
      <w:szCs w:val="21"/>
      <w:lang w:val="es-GT" w:eastAsia="en-US"/>
    </w:rPr>
  </w:style>
  <w:style w:type="paragraph" w:customStyle="1" w:styleId="Ttulo31">
    <w:name w:val="Título 31"/>
    <w:basedOn w:val="Normal"/>
    <w:rsid w:val="008C102B"/>
    <w:pPr>
      <w:widowControl/>
      <w:numPr>
        <w:ilvl w:val="2"/>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41">
    <w:name w:val="Título 41"/>
    <w:basedOn w:val="Normal"/>
    <w:rsid w:val="008C102B"/>
    <w:pPr>
      <w:widowControl/>
      <w:numPr>
        <w:ilvl w:val="3"/>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51">
    <w:name w:val="Título 51"/>
    <w:basedOn w:val="Normal"/>
    <w:rsid w:val="008C102B"/>
    <w:pPr>
      <w:widowControl/>
      <w:numPr>
        <w:ilvl w:val="4"/>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61">
    <w:name w:val="Título 61"/>
    <w:basedOn w:val="Normal"/>
    <w:rsid w:val="008C102B"/>
    <w:pPr>
      <w:widowControl/>
      <w:numPr>
        <w:ilvl w:val="5"/>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71">
    <w:name w:val="Título 71"/>
    <w:basedOn w:val="Normal"/>
    <w:rsid w:val="008C102B"/>
    <w:pPr>
      <w:widowControl/>
      <w:numPr>
        <w:ilvl w:val="6"/>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81">
    <w:name w:val="Título 81"/>
    <w:basedOn w:val="Normal"/>
    <w:rsid w:val="008C102B"/>
    <w:pPr>
      <w:widowControl/>
      <w:numPr>
        <w:ilvl w:val="7"/>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91">
    <w:name w:val="Título 91"/>
    <w:basedOn w:val="Normal"/>
    <w:rsid w:val="008C102B"/>
    <w:pPr>
      <w:widowControl/>
      <w:numPr>
        <w:ilvl w:val="8"/>
        <w:numId w:val="4"/>
      </w:numPr>
      <w:spacing w:after="200" w:line="288" w:lineRule="auto"/>
    </w:pPr>
    <w:rPr>
      <w:rFonts w:asciiTheme="minorHAnsi" w:eastAsiaTheme="minorEastAsia" w:hAnsiTheme="minorHAnsi" w:cstheme="minorBidi"/>
      <w:sz w:val="21"/>
      <w:szCs w:val="21"/>
      <w:lang w:val="es-GT" w:eastAsia="en-US"/>
    </w:rPr>
  </w:style>
  <w:style w:type="table" w:customStyle="1" w:styleId="Tablanormal411">
    <w:name w:val="Tabla normal 411"/>
    <w:basedOn w:val="Tablanormal"/>
    <w:uiPriority w:val="44"/>
    <w:rsid w:val="00EA05E6"/>
    <w:pPr>
      <w:spacing w:after="0" w:line="240" w:lineRule="auto"/>
    </w:pPr>
    <w:rPr>
      <w:rFonts w:ascii="Cambria" w:eastAsia="Malgun Gothic" w:hAnsi="Cambria" w:cs="Times New Roman"/>
      <w:sz w:val="20"/>
      <w:szCs w:val="20"/>
      <w:lang w:eastAsia="es-GT"/>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1">
    <w:name w:val="Tabla de cuadrícula 4 - Énfasis 111"/>
    <w:basedOn w:val="Tablanormal"/>
    <w:uiPriority w:val="49"/>
    <w:rsid w:val="00EA05E6"/>
    <w:pPr>
      <w:spacing w:after="0" w:line="240" w:lineRule="auto"/>
    </w:pPr>
    <w:rPr>
      <w:rFonts w:ascii="Cambria" w:eastAsia="Malgun Gothic" w:hAnsi="Cambria" w:cs="Times New Roman"/>
      <w:sz w:val="20"/>
      <w:szCs w:val="20"/>
      <w:lang w:eastAsia="es-GT"/>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normal111">
    <w:name w:val="Tabla normal 111"/>
    <w:basedOn w:val="Tablanormal"/>
    <w:uiPriority w:val="41"/>
    <w:rsid w:val="00EA05E6"/>
    <w:pPr>
      <w:spacing w:after="0" w:line="240" w:lineRule="auto"/>
    </w:pPr>
    <w:rPr>
      <w:rFonts w:ascii="Cambria" w:eastAsia="Malgun Gothic" w:hAnsi="Cambria" w:cs="Times New Roman"/>
      <w:sz w:val="20"/>
      <w:szCs w:val="20"/>
      <w:lang w:eastAsia="es-GT"/>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8A5924"/>
    <w:rPr>
      <w:rFonts w:asciiTheme="minorHAnsi" w:hAnsiTheme="minorHAnsi"/>
      <w:b/>
      <w:i/>
      <w:iCs/>
    </w:rPr>
  </w:style>
  <w:style w:type="paragraph" w:styleId="Cita">
    <w:name w:val="Quote"/>
    <w:basedOn w:val="Normal"/>
    <w:next w:val="Normal"/>
    <w:link w:val="CitaCar"/>
    <w:uiPriority w:val="29"/>
    <w:qFormat/>
    <w:rsid w:val="008A5924"/>
    <w:pPr>
      <w:widowControl/>
    </w:pPr>
    <w:rPr>
      <w:rFonts w:asciiTheme="minorHAnsi" w:eastAsiaTheme="minorEastAsia" w:hAnsiTheme="minorHAnsi"/>
      <w:i/>
      <w:sz w:val="24"/>
      <w:szCs w:val="24"/>
      <w:lang w:val="es-GT" w:eastAsia="en-US"/>
    </w:rPr>
  </w:style>
  <w:style w:type="character" w:customStyle="1" w:styleId="CitaCar">
    <w:name w:val="Cita Car"/>
    <w:basedOn w:val="Fuentedeprrafopredeter"/>
    <w:link w:val="Cita"/>
    <w:uiPriority w:val="29"/>
    <w:rsid w:val="008A5924"/>
    <w:rPr>
      <w:rFonts w:asciiTheme="minorHAnsi" w:eastAsiaTheme="minorEastAsia" w:hAnsiTheme="minorHAnsi" w:cs="Times New Roman"/>
      <w:i/>
      <w:szCs w:val="24"/>
    </w:rPr>
  </w:style>
  <w:style w:type="paragraph" w:styleId="Citadestacada">
    <w:name w:val="Intense Quote"/>
    <w:basedOn w:val="Normal"/>
    <w:next w:val="Normal"/>
    <w:link w:val="CitadestacadaCar"/>
    <w:uiPriority w:val="30"/>
    <w:qFormat/>
    <w:rsid w:val="008A5924"/>
    <w:pPr>
      <w:widowControl/>
      <w:ind w:left="720" w:right="720"/>
    </w:pPr>
    <w:rPr>
      <w:rFonts w:asciiTheme="minorHAnsi" w:eastAsiaTheme="minorEastAsia" w:hAnsiTheme="minorHAnsi"/>
      <w:b/>
      <w:i/>
      <w:sz w:val="24"/>
      <w:szCs w:val="22"/>
      <w:lang w:val="es-GT" w:eastAsia="en-US"/>
    </w:rPr>
  </w:style>
  <w:style w:type="character" w:customStyle="1" w:styleId="CitadestacadaCar">
    <w:name w:val="Cita destacada Car"/>
    <w:basedOn w:val="Fuentedeprrafopredeter"/>
    <w:link w:val="Citadestacada"/>
    <w:uiPriority w:val="30"/>
    <w:rsid w:val="008A5924"/>
    <w:rPr>
      <w:rFonts w:asciiTheme="minorHAnsi" w:eastAsiaTheme="minorEastAsia" w:hAnsiTheme="minorHAnsi" w:cs="Times New Roman"/>
      <w:b/>
      <w:i/>
    </w:rPr>
  </w:style>
  <w:style w:type="character" w:styleId="nfasisintenso">
    <w:name w:val="Intense Emphasis"/>
    <w:basedOn w:val="Fuentedeprrafopredeter"/>
    <w:uiPriority w:val="21"/>
    <w:qFormat/>
    <w:rsid w:val="008A5924"/>
    <w:rPr>
      <w:b/>
      <w:i/>
      <w:sz w:val="24"/>
      <w:szCs w:val="24"/>
      <w:u w:val="single"/>
    </w:rPr>
  </w:style>
  <w:style w:type="character" w:styleId="Referenciasutil">
    <w:name w:val="Subtle Reference"/>
    <w:basedOn w:val="Fuentedeprrafopredeter"/>
    <w:uiPriority w:val="31"/>
    <w:qFormat/>
    <w:rsid w:val="008A5924"/>
    <w:rPr>
      <w:sz w:val="24"/>
      <w:szCs w:val="24"/>
      <w:u w:val="single"/>
    </w:rPr>
  </w:style>
  <w:style w:type="character" w:styleId="Referenciaintensa">
    <w:name w:val="Intense Reference"/>
    <w:basedOn w:val="Fuentedeprrafopredeter"/>
    <w:uiPriority w:val="32"/>
    <w:qFormat/>
    <w:rsid w:val="008A5924"/>
    <w:rPr>
      <w:b/>
      <w:sz w:val="24"/>
      <w:u w:val="single"/>
    </w:rPr>
  </w:style>
  <w:style w:type="character" w:styleId="Ttulodellibro">
    <w:name w:val="Book Title"/>
    <w:basedOn w:val="Fuentedeprrafopredeter"/>
    <w:uiPriority w:val="33"/>
    <w:qFormat/>
    <w:rsid w:val="008A5924"/>
    <w:rPr>
      <w:rFonts w:asciiTheme="majorHAnsi" w:eastAsiaTheme="majorEastAsia" w:hAnsiTheme="majorHAnsi"/>
      <w:b/>
      <w:i/>
      <w:sz w:val="24"/>
      <w:szCs w:val="24"/>
    </w:rPr>
  </w:style>
  <w:style w:type="table" w:customStyle="1" w:styleId="Tabladecuadrcula4-nfasis51">
    <w:name w:val="Tabla de cuadrícula 4 - Énfasis 51"/>
    <w:basedOn w:val="Tablanormal"/>
    <w:uiPriority w:val="49"/>
    <w:rsid w:val="008A5924"/>
    <w:pPr>
      <w:spacing w:after="0" w:line="240" w:lineRule="auto"/>
    </w:pPr>
    <w:rPr>
      <w:rFonts w:asciiTheme="minorHAnsi" w:hAnsiTheme="minorHAnsi"/>
      <w:sz w:val="22"/>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abladeilustraciones">
    <w:name w:val="table of figures"/>
    <w:basedOn w:val="Normal"/>
    <w:next w:val="Normal"/>
    <w:uiPriority w:val="99"/>
    <w:unhideWhenUsed/>
    <w:rsid w:val="008A5924"/>
    <w:pPr>
      <w:widowControl/>
      <w:spacing w:after="60"/>
    </w:pPr>
    <w:rPr>
      <w:rFonts w:eastAsiaTheme="minorEastAsia"/>
      <w:sz w:val="24"/>
      <w:szCs w:val="24"/>
      <w:lang w:val="es-GT" w:eastAsia="en-US"/>
    </w:rPr>
  </w:style>
  <w:style w:type="paragraph" w:styleId="TDC4">
    <w:name w:val="toc 4"/>
    <w:basedOn w:val="Normal"/>
    <w:next w:val="Normal"/>
    <w:autoRedefine/>
    <w:uiPriority w:val="39"/>
    <w:unhideWhenUsed/>
    <w:rsid w:val="008A5924"/>
    <w:pPr>
      <w:widowControl/>
      <w:tabs>
        <w:tab w:val="left" w:pos="1760"/>
        <w:tab w:val="right" w:leader="dot" w:pos="8828"/>
      </w:tabs>
      <w:spacing w:after="100"/>
      <w:ind w:left="720"/>
    </w:pPr>
    <w:rPr>
      <w:rFonts w:eastAsiaTheme="minorEastAsia"/>
      <w:noProof/>
      <w:lang w:val="es-GT" w:eastAsia="en-US"/>
    </w:rPr>
  </w:style>
  <w:style w:type="paragraph" w:styleId="TDC5">
    <w:name w:val="toc 5"/>
    <w:basedOn w:val="Normal"/>
    <w:next w:val="Normal"/>
    <w:autoRedefine/>
    <w:uiPriority w:val="39"/>
    <w:unhideWhenUsed/>
    <w:rsid w:val="008A5924"/>
    <w:pPr>
      <w:widowControl/>
      <w:spacing w:after="100"/>
      <w:ind w:left="960"/>
    </w:pPr>
    <w:rPr>
      <w:rFonts w:asciiTheme="minorHAnsi" w:eastAsiaTheme="minorEastAsia" w:hAnsiTheme="minorHAnsi"/>
      <w:sz w:val="24"/>
      <w:szCs w:val="24"/>
      <w:lang w:val="es-GT" w:eastAsia="en-US"/>
    </w:rPr>
  </w:style>
  <w:style w:type="table" w:styleId="Listaclara-nfasis1">
    <w:name w:val="Light List Accent 1"/>
    <w:basedOn w:val="Tablanormal"/>
    <w:uiPriority w:val="61"/>
    <w:rsid w:val="008A5924"/>
    <w:pPr>
      <w:spacing w:after="0" w:line="240" w:lineRule="auto"/>
    </w:pPr>
    <w:rPr>
      <w:rFonts w:asciiTheme="minorHAnsi" w:hAnsiTheme="minorHAnsi"/>
      <w:sz w:val="22"/>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extonotaalfinal">
    <w:name w:val="endnote text"/>
    <w:basedOn w:val="Normal"/>
    <w:link w:val="TextonotaalfinalCar"/>
    <w:uiPriority w:val="99"/>
    <w:semiHidden/>
    <w:unhideWhenUsed/>
    <w:rsid w:val="00AE116A"/>
  </w:style>
  <w:style w:type="character" w:customStyle="1" w:styleId="TextonotaalfinalCar">
    <w:name w:val="Texto nota al final Car"/>
    <w:basedOn w:val="Fuentedeprrafopredeter"/>
    <w:link w:val="Textonotaalfinal"/>
    <w:uiPriority w:val="99"/>
    <w:semiHidden/>
    <w:rsid w:val="00AE116A"/>
    <w:rPr>
      <w:rFonts w:eastAsia="Times New Roman" w:cs="Times New Roman"/>
      <w:sz w:val="20"/>
      <w:szCs w:val="20"/>
      <w:lang w:val="es-ES_tradnl" w:eastAsia="es-ES"/>
    </w:rPr>
  </w:style>
  <w:style w:type="character" w:styleId="Refdenotaalfinal">
    <w:name w:val="endnote reference"/>
    <w:basedOn w:val="Fuentedeprrafopredeter"/>
    <w:uiPriority w:val="99"/>
    <w:semiHidden/>
    <w:unhideWhenUsed/>
    <w:rsid w:val="00AE116A"/>
    <w:rPr>
      <w:vertAlign w:val="superscript"/>
    </w:rPr>
  </w:style>
  <w:style w:type="table" w:styleId="Cuadrculaclara-nfasis1">
    <w:name w:val="Light Grid Accent 1"/>
    <w:basedOn w:val="Tablanormal"/>
    <w:uiPriority w:val="62"/>
    <w:rsid w:val="00D30644"/>
    <w:pPr>
      <w:spacing w:after="0" w:line="240" w:lineRule="auto"/>
    </w:pPr>
    <w:rPr>
      <w:rFonts w:asciiTheme="minorHAnsi" w:hAnsiTheme="minorHAnsi"/>
      <w:sz w:val="22"/>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ombreadoclaro-nfasis5">
    <w:name w:val="Light Shading Accent 5"/>
    <w:basedOn w:val="Tablanormal"/>
    <w:uiPriority w:val="60"/>
    <w:rsid w:val="00D30644"/>
    <w:pPr>
      <w:spacing w:after="0" w:line="240" w:lineRule="auto"/>
    </w:pPr>
    <w:rPr>
      <w:rFonts w:asciiTheme="minorHAnsi" w:hAnsiTheme="minorHAnsi"/>
      <w:color w:val="2E74B5" w:themeColor="accent5" w:themeShade="BF"/>
      <w:sz w:val="22"/>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BodyText2Sgl">
    <w:name w:val="Body Text 2 Sgl"/>
    <w:basedOn w:val="Normal"/>
    <w:qFormat/>
    <w:rsid w:val="00D30644"/>
    <w:pPr>
      <w:widowControl/>
      <w:spacing w:after="240"/>
      <w:ind w:firstLine="720"/>
    </w:pPr>
    <w:rPr>
      <w:rFonts w:eastAsiaTheme="minorHAnsi" w:cstheme="minorBidi"/>
      <w:szCs w:val="24"/>
      <w:lang w:val="en-US" w:eastAsia="en-US"/>
    </w:rPr>
  </w:style>
  <w:style w:type="paragraph" w:styleId="Revisin">
    <w:name w:val="Revision"/>
    <w:hidden/>
    <w:uiPriority w:val="99"/>
    <w:semiHidden/>
    <w:rsid w:val="00D30644"/>
    <w:pPr>
      <w:spacing w:after="0" w:line="240" w:lineRule="auto"/>
    </w:pPr>
    <w:rPr>
      <w:rFonts w:asciiTheme="minorHAnsi" w:eastAsiaTheme="minorEastAsia" w:hAnsiTheme="minorHAnsi"/>
      <w:szCs w:val="24"/>
      <w:lang w:val="es-ES_tradnl" w:eastAsia="es-ES"/>
    </w:rPr>
  </w:style>
  <w:style w:type="character" w:customStyle="1" w:styleId="mw-headline">
    <w:name w:val="mw-headline"/>
    <w:basedOn w:val="Fuentedeprrafopredeter"/>
    <w:rsid w:val="00D30644"/>
  </w:style>
  <w:style w:type="character" w:customStyle="1" w:styleId="mw-editsection">
    <w:name w:val="mw-editsection"/>
    <w:basedOn w:val="Fuentedeprrafopredeter"/>
    <w:rsid w:val="00D30644"/>
  </w:style>
  <w:style w:type="character" w:customStyle="1" w:styleId="mw-editsection-bracket">
    <w:name w:val="mw-editsection-bracket"/>
    <w:basedOn w:val="Fuentedeprrafopredeter"/>
    <w:rsid w:val="00D30644"/>
  </w:style>
  <w:style w:type="paragraph" w:customStyle="1" w:styleId="print-icon">
    <w:name w:val="print-icon"/>
    <w:basedOn w:val="Normal"/>
    <w:rsid w:val="00D30644"/>
    <w:pPr>
      <w:widowControl/>
      <w:spacing w:before="100" w:beforeAutospacing="1" w:after="100" w:afterAutospacing="1"/>
    </w:pPr>
    <w:rPr>
      <w:sz w:val="24"/>
      <w:szCs w:val="24"/>
      <w:lang w:val="es-MX" w:eastAsia="es-MX"/>
    </w:rPr>
  </w:style>
  <w:style w:type="paragraph" w:customStyle="1" w:styleId="email-icon">
    <w:name w:val="email-icon"/>
    <w:basedOn w:val="Normal"/>
    <w:rsid w:val="00D30644"/>
    <w:pPr>
      <w:widowControl/>
      <w:spacing w:before="100" w:beforeAutospacing="1" w:after="100" w:afterAutospacing="1"/>
    </w:pPr>
    <w:rPr>
      <w:sz w:val="24"/>
      <w:szCs w:val="24"/>
      <w:lang w:val="es-MX" w:eastAsia="es-MX"/>
    </w:rPr>
  </w:style>
  <w:style w:type="paragraph" w:customStyle="1" w:styleId="twli">
    <w:name w:val="twli"/>
    <w:basedOn w:val="Normal"/>
    <w:rsid w:val="00D30644"/>
    <w:pPr>
      <w:widowControl/>
      <w:spacing w:before="100" w:beforeAutospacing="1" w:after="100" w:afterAutospacing="1"/>
    </w:pPr>
    <w:rPr>
      <w:sz w:val="24"/>
      <w:szCs w:val="24"/>
      <w:lang w:val="es-MX" w:eastAsia="es-MX"/>
    </w:rPr>
  </w:style>
  <w:style w:type="paragraph" w:customStyle="1" w:styleId="fbli">
    <w:name w:val="fbli"/>
    <w:basedOn w:val="Normal"/>
    <w:rsid w:val="00D30644"/>
    <w:pPr>
      <w:widowControl/>
      <w:spacing w:before="100" w:beforeAutospacing="1" w:after="100" w:afterAutospacing="1"/>
    </w:pPr>
    <w:rPr>
      <w:sz w:val="24"/>
      <w:szCs w:val="24"/>
      <w:lang w:val="es-MX" w:eastAsia="es-MX"/>
    </w:rPr>
  </w:style>
  <w:style w:type="character" w:customStyle="1" w:styleId="bylinename">
    <w:name w:val="byline__name"/>
    <w:basedOn w:val="Fuentedeprrafopredeter"/>
    <w:rsid w:val="00D30644"/>
  </w:style>
  <w:style w:type="character" w:customStyle="1" w:styleId="bylinetitle">
    <w:name w:val="byline__title"/>
    <w:basedOn w:val="Fuentedeprrafopredeter"/>
    <w:rsid w:val="00D30644"/>
  </w:style>
  <w:style w:type="paragraph" w:customStyle="1" w:styleId="mini-info-listitem">
    <w:name w:val="mini-info-list__item"/>
    <w:basedOn w:val="Normal"/>
    <w:rsid w:val="00D30644"/>
    <w:pPr>
      <w:widowControl/>
      <w:spacing w:before="100" w:beforeAutospacing="1" w:after="100" w:afterAutospacing="1"/>
    </w:pPr>
    <w:rPr>
      <w:sz w:val="24"/>
      <w:szCs w:val="24"/>
      <w:lang w:val="es-MX" w:eastAsia="es-MX"/>
    </w:rPr>
  </w:style>
  <w:style w:type="character" w:customStyle="1" w:styleId="chart-title">
    <w:name w:val="chart-title"/>
    <w:basedOn w:val="Fuentedeprrafopredeter"/>
    <w:rsid w:val="00D30644"/>
  </w:style>
  <w:style w:type="character" w:customStyle="1" w:styleId="sapmtext">
    <w:name w:val="sapmtext"/>
    <w:basedOn w:val="Fuentedeprrafopredeter"/>
    <w:rsid w:val="00D30644"/>
  </w:style>
  <w:style w:type="character" w:customStyle="1" w:styleId="A9">
    <w:name w:val="A9"/>
    <w:uiPriority w:val="99"/>
    <w:rsid w:val="00D30644"/>
    <w:rPr>
      <w:rFonts w:cs="Myriad Pro"/>
      <w:color w:val="000000"/>
      <w:sz w:val="20"/>
      <w:szCs w:val="20"/>
    </w:rPr>
  </w:style>
  <w:style w:type="character" w:customStyle="1" w:styleId="A6">
    <w:name w:val="A6"/>
    <w:uiPriority w:val="99"/>
    <w:rsid w:val="00D30644"/>
    <w:rPr>
      <w:rFonts w:cs="Myriad Pro"/>
      <w:b/>
      <w:bCs/>
      <w:color w:val="000000"/>
      <w:sz w:val="22"/>
      <w:szCs w:val="22"/>
    </w:rPr>
  </w:style>
  <w:style w:type="character" w:customStyle="1" w:styleId="A5">
    <w:name w:val="A5"/>
    <w:uiPriority w:val="99"/>
    <w:rsid w:val="00D30644"/>
    <w:rPr>
      <w:rFonts w:cs="Myriad Pro Cond"/>
      <w:b/>
      <w:bCs/>
      <w:color w:val="000000"/>
      <w:sz w:val="52"/>
      <w:szCs w:val="52"/>
    </w:rPr>
  </w:style>
  <w:style w:type="character" w:customStyle="1" w:styleId="Mencinsinresolver2">
    <w:name w:val="Mención sin resolver2"/>
    <w:basedOn w:val="Fuentedeprrafopredeter"/>
    <w:uiPriority w:val="99"/>
    <w:semiHidden/>
    <w:unhideWhenUsed/>
    <w:rsid w:val="004707AB"/>
    <w:rPr>
      <w:color w:val="605E5C"/>
      <w:shd w:val="clear" w:color="auto" w:fill="E1DFDD"/>
    </w:rPr>
  </w:style>
  <w:style w:type="table" w:customStyle="1" w:styleId="Tablaconcuadrcula1">
    <w:name w:val="Tabla con cuadrícula1"/>
    <w:basedOn w:val="Tablanormal"/>
    <w:next w:val="Tablaconcuadrcula"/>
    <w:uiPriority w:val="39"/>
    <w:rsid w:val="004C5F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grafeCar">
    <w:name w:val="Epígrafe Car"/>
    <w:basedOn w:val="Fuentedeprrafopredeter"/>
    <w:link w:val="Epgrafe"/>
    <w:uiPriority w:val="35"/>
    <w:rsid w:val="001566FA"/>
    <w:rPr>
      <w:rFonts w:eastAsia="Times New Roman" w:cs="Times New Roman"/>
      <w:b/>
      <w:color w:val="0000FF"/>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EF"/>
    <w:pPr>
      <w:widowControl w:val="0"/>
      <w:spacing w:after="0" w:line="240" w:lineRule="auto"/>
    </w:pPr>
    <w:rPr>
      <w:rFonts w:eastAsia="Times New Roman" w:cs="Times New Roman"/>
      <w:sz w:val="20"/>
      <w:szCs w:val="20"/>
      <w:lang w:val="es-ES_tradnl" w:eastAsia="es-ES"/>
    </w:rPr>
  </w:style>
  <w:style w:type="paragraph" w:styleId="Ttulo1">
    <w:name w:val="heading 1"/>
    <w:aliases w:val="título 1"/>
    <w:basedOn w:val="Normal"/>
    <w:next w:val="Normal"/>
    <w:link w:val="Ttulo1Car"/>
    <w:uiPriority w:val="9"/>
    <w:qFormat/>
    <w:rsid w:val="006475EF"/>
    <w:pPr>
      <w:keepNext/>
      <w:jc w:val="center"/>
      <w:outlineLvl w:val="0"/>
    </w:pPr>
    <w:rPr>
      <w:b/>
      <w:color w:val="000000"/>
      <w:sz w:val="16"/>
    </w:rPr>
  </w:style>
  <w:style w:type="paragraph" w:styleId="Ttulo2">
    <w:name w:val="heading 2"/>
    <w:basedOn w:val="Normal"/>
    <w:next w:val="Normal"/>
    <w:link w:val="Ttulo2Car"/>
    <w:uiPriority w:val="9"/>
    <w:qFormat/>
    <w:rsid w:val="006475EF"/>
    <w:pPr>
      <w:keepNext/>
      <w:outlineLvl w:val="1"/>
    </w:pPr>
    <w:rPr>
      <w:b/>
      <w:color w:val="000000"/>
    </w:rPr>
  </w:style>
  <w:style w:type="paragraph" w:styleId="Ttulo3">
    <w:name w:val="heading 3"/>
    <w:aliases w:val="título 3,Título proyecto,Títul4,Título 3 Sección,I3-3,h3,3,Título 3 Car Car,T3 para doc. Metro,Titulo 3,head:3#,.h3,Headline 3,Bold Head,bh,Títulobis,Map title,ARTICULO,Subsubcapitulo,Título 3_SIGMA,Capít.,Heading 31,heading 5"/>
    <w:basedOn w:val="Normal"/>
    <w:next w:val="Normal"/>
    <w:link w:val="Ttulo3Car"/>
    <w:uiPriority w:val="9"/>
    <w:qFormat/>
    <w:rsid w:val="006475EF"/>
    <w:pPr>
      <w:keepNext/>
      <w:outlineLvl w:val="2"/>
    </w:pPr>
    <w:rPr>
      <w:b/>
      <w:sz w:val="16"/>
      <w:u w:val="single"/>
    </w:rPr>
  </w:style>
  <w:style w:type="paragraph" w:styleId="Ttulo4">
    <w:name w:val="heading 4"/>
    <w:basedOn w:val="Normal"/>
    <w:next w:val="Normal"/>
    <w:link w:val="Ttulo4Car"/>
    <w:uiPriority w:val="9"/>
    <w:qFormat/>
    <w:rsid w:val="006475EF"/>
    <w:pPr>
      <w:keepNext/>
      <w:jc w:val="center"/>
      <w:outlineLvl w:val="3"/>
    </w:pPr>
    <w:rPr>
      <w:b/>
      <w:sz w:val="16"/>
    </w:rPr>
  </w:style>
  <w:style w:type="paragraph" w:styleId="Ttulo5">
    <w:name w:val="heading 5"/>
    <w:basedOn w:val="Normal"/>
    <w:next w:val="Normal"/>
    <w:link w:val="Ttulo5Car"/>
    <w:uiPriority w:val="9"/>
    <w:qFormat/>
    <w:rsid w:val="006475EF"/>
    <w:pPr>
      <w:keepNext/>
      <w:jc w:val="center"/>
      <w:outlineLvl w:val="4"/>
    </w:pPr>
    <w:rPr>
      <w:b/>
      <w:color w:val="0000FF"/>
    </w:rPr>
  </w:style>
  <w:style w:type="paragraph" w:styleId="Ttulo6">
    <w:name w:val="heading 6"/>
    <w:basedOn w:val="Normal"/>
    <w:next w:val="Normal"/>
    <w:link w:val="Ttulo6Car"/>
    <w:uiPriority w:val="9"/>
    <w:qFormat/>
    <w:rsid w:val="006475EF"/>
    <w:pPr>
      <w:keepNext/>
      <w:outlineLvl w:val="5"/>
    </w:pPr>
    <w:rPr>
      <w:b/>
      <w:color w:val="000000"/>
      <w:sz w:val="16"/>
    </w:rPr>
  </w:style>
  <w:style w:type="paragraph" w:styleId="Ttulo7">
    <w:name w:val="heading 7"/>
    <w:basedOn w:val="Normal"/>
    <w:next w:val="Normal"/>
    <w:link w:val="Ttulo7Car"/>
    <w:uiPriority w:val="9"/>
    <w:qFormat/>
    <w:rsid w:val="006475EF"/>
    <w:pPr>
      <w:keepNext/>
      <w:jc w:val="both"/>
      <w:outlineLvl w:val="6"/>
    </w:pPr>
    <w:rPr>
      <w:b/>
    </w:rPr>
  </w:style>
  <w:style w:type="paragraph" w:styleId="Ttulo8">
    <w:name w:val="heading 8"/>
    <w:basedOn w:val="Normal"/>
    <w:next w:val="Normal"/>
    <w:link w:val="Ttulo8Car"/>
    <w:uiPriority w:val="9"/>
    <w:qFormat/>
    <w:rsid w:val="006475EF"/>
    <w:pPr>
      <w:keepNext/>
      <w:outlineLvl w:val="7"/>
    </w:pPr>
    <w:rPr>
      <w:b/>
      <w:color w:val="000000"/>
      <w:sz w:val="18"/>
      <w:lang w:val="es-ES"/>
    </w:rPr>
  </w:style>
  <w:style w:type="paragraph" w:styleId="Ttulo9">
    <w:name w:val="heading 9"/>
    <w:basedOn w:val="Normal"/>
    <w:next w:val="Normal"/>
    <w:link w:val="Ttulo9Car"/>
    <w:uiPriority w:val="9"/>
    <w:qFormat/>
    <w:rsid w:val="006475EF"/>
    <w:pPr>
      <w:keepNext/>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
    <w:basedOn w:val="Fuentedeprrafopredeter"/>
    <w:link w:val="Ttulo1"/>
    <w:uiPriority w:val="9"/>
    <w:rsid w:val="006475EF"/>
    <w:rPr>
      <w:rFonts w:eastAsia="Times New Roman" w:cs="Times New Roman"/>
      <w:b/>
      <w:color w:val="000000"/>
      <w:sz w:val="16"/>
      <w:szCs w:val="20"/>
      <w:lang w:val="es-ES_tradnl" w:eastAsia="es-ES"/>
    </w:rPr>
  </w:style>
  <w:style w:type="character" w:customStyle="1" w:styleId="Ttulo2Car">
    <w:name w:val="Título 2 Car"/>
    <w:basedOn w:val="Fuentedeprrafopredeter"/>
    <w:link w:val="Ttulo2"/>
    <w:uiPriority w:val="9"/>
    <w:rsid w:val="006475EF"/>
    <w:rPr>
      <w:rFonts w:eastAsia="Times New Roman" w:cs="Times New Roman"/>
      <w:b/>
      <w:color w:val="000000"/>
      <w:sz w:val="20"/>
      <w:szCs w:val="20"/>
      <w:lang w:val="es-ES_tradnl" w:eastAsia="es-ES"/>
    </w:rPr>
  </w:style>
  <w:style w:type="character" w:customStyle="1" w:styleId="Ttulo3Car">
    <w:name w:val="Título 3 Car"/>
    <w:aliases w:val="título 3 Car,Título proyecto Car,Títul4 Car,Título 3 Sección Car,I3-3 Car,h3 Car,3 Car,Título 3 Car Car Car,T3 para doc. Metro Car,Titulo 3 Car,head:3# Car,.h3 Car,Headline 3 Car,Bold Head Car,bh Car,Títulobis Car,Map title Car,ARTICULO Car"/>
    <w:basedOn w:val="Fuentedeprrafopredeter"/>
    <w:link w:val="Ttulo3"/>
    <w:uiPriority w:val="9"/>
    <w:rsid w:val="006475EF"/>
    <w:rPr>
      <w:rFonts w:eastAsia="Times New Roman" w:cs="Times New Roman"/>
      <w:b/>
      <w:sz w:val="16"/>
      <w:szCs w:val="20"/>
      <w:u w:val="single"/>
      <w:lang w:val="es-ES_tradnl" w:eastAsia="es-ES"/>
    </w:rPr>
  </w:style>
  <w:style w:type="character" w:customStyle="1" w:styleId="Ttulo4Car">
    <w:name w:val="Título 4 Car"/>
    <w:basedOn w:val="Fuentedeprrafopredeter"/>
    <w:link w:val="Ttulo4"/>
    <w:uiPriority w:val="9"/>
    <w:rsid w:val="006475EF"/>
    <w:rPr>
      <w:rFonts w:eastAsia="Times New Roman" w:cs="Times New Roman"/>
      <w:b/>
      <w:sz w:val="16"/>
      <w:szCs w:val="20"/>
      <w:lang w:val="es-ES_tradnl" w:eastAsia="es-ES"/>
    </w:rPr>
  </w:style>
  <w:style w:type="character" w:customStyle="1" w:styleId="Ttulo5Car">
    <w:name w:val="Título 5 Car"/>
    <w:basedOn w:val="Fuentedeprrafopredeter"/>
    <w:link w:val="Ttulo5"/>
    <w:uiPriority w:val="9"/>
    <w:rsid w:val="006475EF"/>
    <w:rPr>
      <w:rFonts w:eastAsia="Times New Roman" w:cs="Times New Roman"/>
      <w:b/>
      <w:color w:val="0000FF"/>
      <w:sz w:val="20"/>
      <w:szCs w:val="20"/>
      <w:lang w:val="es-ES_tradnl" w:eastAsia="es-ES"/>
    </w:rPr>
  </w:style>
  <w:style w:type="character" w:customStyle="1" w:styleId="Ttulo6Car">
    <w:name w:val="Título 6 Car"/>
    <w:basedOn w:val="Fuentedeprrafopredeter"/>
    <w:link w:val="Ttulo6"/>
    <w:uiPriority w:val="9"/>
    <w:rsid w:val="006475EF"/>
    <w:rPr>
      <w:rFonts w:eastAsia="Times New Roman" w:cs="Times New Roman"/>
      <w:b/>
      <w:color w:val="000000"/>
      <w:sz w:val="16"/>
      <w:szCs w:val="20"/>
      <w:lang w:val="es-ES_tradnl" w:eastAsia="es-ES"/>
    </w:rPr>
  </w:style>
  <w:style w:type="character" w:customStyle="1" w:styleId="Ttulo7Car">
    <w:name w:val="Título 7 Car"/>
    <w:basedOn w:val="Fuentedeprrafopredeter"/>
    <w:link w:val="Ttulo7"/>
    <w:uiPriority w:val="9"/>
    <w:rsid w:val="006475EF"/>
    <w:rPr>
      <w:rFonts w:eastAsia="Times New Roman" w:cs="Times New Roman"/>
      <w:b/>
      <w:sz w:val="20"/>
      <w:szCs w:val="20"/>
      <w:lang w:val="es-ES_tradnl" w:eastAsia="es-ES"/>
    </w:rPr>
  </w:style>
  <w:style w:type="character" w:customStyle="1" w:styleId="Ttulo8Car">
    <w:name w:val="Título 8 Car"/>
    <w:basedOn w:val="Fuentedeprrafopredeter"/>
    <w:link w:val="Ttulo8"/>
    <w:uiPriority w:val="9"/>
    <w:rsid w:val="006475EF"/>
    <w:rPr>
      <w:rFonts w:eastAsia="Times New Roman" w:cs="Times New Roman"/>
      <w:b/>
      <w:color w:val="000000"/>
      <w:sz w:val="18"/>
      <w:szCs w:val="20"/>
      <w:lang w:val="es-ES" w:eastAsia="es-ES"/>
    </w:rPr>
  </w:style>
  <w:style w:type="character" w:customStyle="1" w:styleId="Ttulo9Car">
    <w:name w:val="Título 9 Car"/>
    <w:basedOn w:val="Fuentedeprrafopredeter"/>
    <w:link w:val="Ttulo9"/>
    <w:uiPriority w:val="9"/>
    <w:rsid w:val="006475EF"/>
    <w:rPr>
      <w:rFonts w:eastAsia="Times New Roman" w:cs="Times New Roman"/>
      <w:b/>
      <w:sz w:val="20"/>
      <w:szCs w:val="20"/>
      <w:lang w:val="es-ES_tradnl" w:eastAsia="es-ES"/>
    </w:rPr>
  </w:style>
  <w:style w:type="paragraph" w:styleId="Encabezado">
    <w:name w:val="header"/>
    <w:basedOn w:val="Normal"/>
    <w:link w:val="EncabezadoCar"/>
    <w:uiPriority w:val="99"/>
    <w:rsid w:val="006475EF"/>
    <w:pPr>
      <w:tabs>
        <w:tab w:val="center" w:pos="4252"/>
        <w:tab w:val="right" w:pos="8504"/>
      </w:tabs>
    </w:pPr>
  </w:style>
  <w:style w:type="character" w:customStyle="1" w:styleId="EncabezadoCar">
    <w:name w:val="Encabezado Car"/>
    <w:basedOn w:val="Fuentedeprrafopredeter"/>
    <w:link w:val="Encabezado"/>
    <w:uiPriority w:val="99"/>
    <w:rsid w:val="006475EF"/>
    <w:rPr>
      <w:rFonts w:eastAsia="Times New Roman" w:cs="Times New Roman"/>
      <w:sz w:val="20"/>
      <w:szCs w:val="20"/>
      <w:lang w:val="es-ES_tradnl" w:eastAsia="es-ES"/>
    </w:rPr>
  </w:style>
  <w:style w:type="paragraph" w:styleId="Piedepgina">
    <w:name w:val="footer"/>
    <w:basedOn w:val="Normal"/>
    <w:link w:val="PiedepginaCar"/>
    <w:uiPriority w:val="99"/>
    <w:rsid w:val="006475EF"/>
    <w:pPr>
      <w:tabs>
        <w:tab w:val="center" w:pos="4252"/>
        <w:tab w:val="right" w:pos="8504"/>
      </w:tabs>
    </w:pPr>
  </w:style>
  <w:style w:type="character" w:customStyle="1" w:styleId="PiedepginaCar">
    <w:name w:val="Pie de página Car"/>
    <w:basedOn w:val="Fuentedeprrafopredeter"/>
    <w:link w:val="Piedepgina"/>
    <w:uiPriority w:val="99"/>
    <w:rsid w:val="006475EF"/>
    <w:rPr>
      <w:rFonts w:eastAsia="Times New Roman" w:cs="Times New Roman"/>
      <w:sz w:val="20"/>
      <w:szCs w:val="20"/>
      <w:lang w:val="es-ES_tradnl" w:eastAsia="es-ES"/>
    </w:rPr>
  </w:style>
  <w:style w:type="character" w:styleId="Nmerodepgina">
    <w:name w:val="page number"/>
    <w:basedOn w:val="Fuentedeprrafopredeter"/>
    <w:rsid w:val="006475EF"/>
  </w:style>
  <w:style w:type="character" w:styleId="Refdecomentario">
    <w:name w:val="annotation reference"/>
    <w:basedOn w:val="Fuentedeprrafopredeter"/>
    <w:uiPriority w:val="99"/>
    <w:semiHidden/>
    <w:rsid w:val="006475EF"/>
    <w:rPr>
      <w:sz w:val="16"/>
    </w:rPr>
  </w:style>
  <w:style w:type="paragraph" w:styleId="Textocomentario">
    <w:name w:val="annotation text"/>
    <w:basedOn w:val="Normal"/>
    <w:link w:val="TextocomentarioCar"/>
    <w:uiPriority w:val="99"/>
    <w:semiHidden/>
    <w:rsid w:val="006475EF"/>
  </w:style>
  <w:style w:type="character" w:customStyle="1" w:styleId="TextocomentarioCar">
    <w:name w:val="Texto comentario Car"/>
    <w:basedOn w:val="Fuentedeprrafopredeter"/>
    <w:link w:val="Textocomentario"/>
    <w:uiPriority w:val="99"/>
    <w:semiHidden/>
    <w:rsid w:val="006475EF"/>
    <w:rPr>
      <w:rFonts w:eastAsia="Times New Roman" w:cs="Times New Roman"/>
      <w:sz w:val="20"/>
      <w:szCs w:val="20"/>
      <w:lang w:val="es-ES_tradnl" w:eastAsia="es-ES"/>
    </w:rPr>
  </w:style>
  <w:style w:type="paragraph" w:styleId="Ttulo">
    <w:name w:val="Title"/>
    <w:basedOn w:val="Normal"/>
    <w:link w:val="TtuloCar"/>
    <w:uiPriority w:val="10"/>
    <w:qFormat/>
    <w:rsid w:val="006475EF"/>
    <w:pPr>
      <w:jc w:val="center"/>
    </w:pPr>
    <w:rPr>
      <w:b/>
      <w:sz w:val="22"/>
    </w:rPr>
  </w:style>
  <w:style w:type="character" w:customStyle="1" w:styleId="TtuloCar">
    <w:name w:val="Título Car"/>
    <w:basedOn w:val="Fuentedeprrafopredeter"/>
    <w:link w:val="Ttulo"/>
    <w:uiPriority w:val="10"/>
    <w:rsid w:val="006475EF"/>
    <w:rPr>
      <w:rFonts w:eastAsia="Times New Roman" w:cs="Times New Roman"/>
      <w:b/>
      <w:sz w:val="22"/>
      <w:szCs w:val="20"/>
      <w:lang w:val="es-ES_tradnl" w:eastAsia="es-ES"/>
    </w:rPr>
  </w:style>
  <w:style w:type="paragraph" w:styleId="Textoindependiente">
    <w:name w:val="Body Text"/>
    <w:basedOn w:val="Normal"/>
    <w:link w:val="TextoindependienteCar"/>
    <w:uiPriority w:val="99"/>
    <w:rsid w:val="006475EF"/>
    <w:rPr>
      <w:color w:val="0000FF"/>
      <w:sz w:val="16"/>
    </w:rPr>
  </w:style>
  <w:style w:type="character" w:customStyle="1" w:styleId="TextoindependienteCar">
    <w:name w:val="Texto independiente Car"/>
    <w:basedOn w:val="Fuentedeprrafopredeter"/>
    <w:link w:val="Textoindependiente"/>
    <w:uiPriority w:val="99"/>
    <w:rsid w:val="006475EF"/>
    <w:rPr>
      <w:rFonts w:eastAsia="Times New Roman" w:cs="Times New Roman"/>
      <w:color w:val="0000FF"/>
      <w:sz w:val="16"/>
      <w:szCs w:val="20"/>
      <w:lang w:val="es-ES_tradnl" w:eastAsia="es-ES"/>
    </w:rPr>
  </w:style>
  <w:style w:type="paragraph" w:styleId="Epgrafe">
    <w:name w:val="caption"/>
    <w:basedOn w:val="Normal"/>
    <w:next w:val="Normal"/>
    <w:link w:val="EpgrafeCar"/>
    <w:uiPriority w:val="35"/>
    <w:qFormat/>
    <w:rsid w:val="006475EF"/>
    <w:pPr>
      <w:jc w:val="center"/>
    </w:pPr>
    <w:rPr>
      <w:b/>
      <w:color w:val="0000FF"/>
    </w:rPr>
  </w:style>
  <w:style w:type="paragraph" w:styleId="Sangradetextonormal">
    <w:name w:val="Body Text Indent"/>
    <w:basedOn w:val="Normal"/>
    <w:link w:val="SangradetextonormalCar"/>
    <w:rsid w:val="006475EF"/>
    <w:pPr>
      <w:jc w:val="center"/>
    </w:pPr>
    <w:rPr>
      <w:b/>
    </w:rPr>
  </w:style>
  <w:style w:type="character" w:customStyle="1" w:styleId="SangradetextonormalCar">
    <w:name w:val="Sangría de texto normal Car"/>
    <w:basedOn w:val="Fuentedeprrafopredeter"/>
    <w:link w:val="Sangradetextonormal"/>
    <w:rsid w:val="006475EF"/>
    <w:rPr>
      <w:rFonts w:eastAsia="Times New Roman" w:cs="Times New Roman"/>
      <w:b/>
      <w:sz w:val="20"/>
      <w:szCs w:val="20"/>
      <w:lang w:val="es-ES_tradnl" w:eastAsia="es-ES"/>
    </w:rPr>
  </w:style>
  <w:style w:type="paragraph" w:styleId="Sangra2detindependiente">
    <w:name w:val="Body Text Indent 2"/>
    <w:basedOn w:val="Normal"/>
    <w:link w:val="Sangra2detindependienteCar"/>
    <w:rsid w:val="006475EF"/>
    <w:pPr>
      <w:ind w:left="709"/>
    </w:pPr>
  </w:style>
  <w:style w:type="character" w:customStyle="1" w:styleId="Sangra2detindependienteCar">
    <w:name w:val="Sangría 2 de t. independiente Car"/>
    <w:basedOn w:val="Fuentedeprrafopredeter"/>
    <w:link w:val="Sangra2detindependiente"/>
    <w:rsid w:val="006475EF"/>
    <w:rPr>
      <w:rFonts w:eastAsia="Times New Roman" w:cs="Times New Roman"/>
      <w:sz w:val="20"/>
      <w:szCs w:val="20"/>
      <w:lang w:val="es-ES_tradnl" w:eastAsia="es-ES"/>
    </w:rPr>
  </w:style>
  <w:style w:type="paragraph" w:styleId="Sangra3detindependiente">
    <w:name w:val="Body Text Indent 3"/>
    <w:basedOn w:val="Normal"/>
    <w:link w:val="Sangra3detindependienteCar"/>
    <w:rsid w:val="006475EF"/>
    <w:pPr>
      <w:ind w:left="630" w:firstLine="439"/>
      <w:jc w:val="both"/>
    </w:pPr>
  </w:style>
  <w:style w:type="character" w:customStyle="1" w:styleId="Sangra3detindependienteCar">
    <w:name w:val="Sangría 3 de t. independiente Car"/>
    <w:basedOn w:val="Fuentedeprrafopredeter"/>
    <w:link w:val="Sangra3detindependiente"/>
    <w:rsid w:val="006475EF"/>
    <w:rPr>
      <w:rFonts w:eastAsia="Times New Roman" w:cs="Times New Roman"/>
      <w:sz w:val="20"/>
      <w:szCs w:val="20"/>
      <w:lang w:val="es-ES_tradnl" w:eastAsia="es-ES"/>
    </w:rPr>
  </w:style>
  <w:style w:type="paragraph" w:styleId="Textoindependiente2">
    <w:name w:val="Body Text 2"/>
    <w:basedOn w:val="Normal"/>
    <w:link w:val="Textoindependiente2Car"/>
    <w:rsid w:val="006475EF"/>
    <w:pPr>
      <w:jc w:val="both"/>
    </w:pPr>
    <w:rPr>
      <w:noProof/>
      <w:sz w:val="24"/>
    </w:rPr>
  </w:style>
  <w:style w:type="character" w:customStyle="1" w:styleId="Textoindependiente2Car">
    <w:name w:val="Texto independiente 2 Car"/>
    <w:basedOn w:val="Fuentedeprrafopredeter"/>
    <w:link w:val="Textoindependiente2"/>
    <w:rsid w:val="006475EF"/>
    <w:rPr>
      <w:rFonts w:eastAsia="Times New Roman" w:cs="Times New Roman"/>
      <w:noProof/>
      <w:szCs w:val="20"/>
      <w:lang w:val="es-ES_tradnl" w:eastAsia="es-ES"/>
    </w:rPr>
  </w:style>
  <w:style w:type="paragraph" w:styleId="Mapadeldocumento">
    <w:name w:val="Document Map"/>
    <w:basedOn w:val="Normal"/>
    <w:link w:val="MapadeldocumentoCar"/>
    <w:semiHidden/>
    <w:rsid w:val="006475EF"/>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475EF"/>
    <w:rPr>
      <w:rFonts w:ascii="Tahoma" w:eastAsia="Times New Roman" w:hAnsi="Tahoma" w:cs="Times New Roman"/>
      <w:sz w:val="20"/>
      <w:szCs w:val="20"/>
      <w:shd w:val="clear" w:color="auto" w:fill="000080"/>
      <w:lang w:val="es-ES_tradnl" w:eastAsia="es-ES"/>
    </w:rPr>
  </w:style>
  <w:style w:type="paragraph" w:styleId="Textoindependiente3">
    <w:name w:val="Body Text 3"/>
    <w:basedOn w:val="Normal"/>
    <w:link w:val="Textoindependiente3Car"/>
    <w:rsid w:val="006475EF"/>
    <w:pPr>
      <w:jc w:val="center"/>
    </w:pPr>
    <w:rPr>
      <w:rFonts w:eastAsia="Arial Unicode MS"/>
      <w:b/>
      <w:bCs/>
      <w:sz w:val="14"/>
    </w:rPr>
  </w:style>
  <w:style w:type="character" w:customStyle="1" w:styleId="Textoindependiente3Car">
    <w:name w:val="Texto independiente 3 Car"/>
    <w:basedOn w:val="Fuentedeprrafopredeter"/>
    <w:link w:val="Textoindependiente3"/>
    <w:rsid w:val="006475EF"/>
    <w:rPr>
      <w:rFonts w:eastAsia="Arial Unicode MS" w:cs="Times New Roman"/>
      <w:b/>
      <w:bCs/>
      <w:sz w:val="14"/>
      <w:szCs w:val="20"/>
      <w:lang w:val="es-ES_tradnl" w:eastAsia="es-ES"/>
    </w:rPr>
  </w:style>
  <w:style w:type="paragraph" w:customStyle="1" w:styleId="xl24">
    <w:name w:val="xl24"/>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sz w:val="24"/>
      <w:szCs w:val="24"/>
      <w:lang w:val="es-ES"/>
    </w:rPr>
  </w:style>
  <w:style w:type="paragraph" w:customStyle="1" w:styleId="xl25">
    <w:name w:val="xl25"/>
    <w:basedOn w:val="Normal"/>
    <w:rsid w:val="006475EF"/>
    <w:pPr>
      <w:widowControl/>
      <w:pBdr>
        <w:left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26">
    <w:name w:val="xl26"/>
    <w:basedOn w:val="Normal"/>
    <w:rsid w:val="006475EF"/>
    <w:pPr>
      <w:widowControl/>
      <w:pBdr>
        <w:right w:val="single" w:sz="4" w:space="0" w:color="auto"/>
      </w:pBdr>
      <w:spacing w:before="100" w:beforeAutospacing="1" w:after="100" w:afterAutospacing="1"/>
    </w:pPr>
    <w:rPr>
      <w:rFonts w:eastAsia="Arial Unicode MS"/>
      <w:sz w:val="24"/>
      <w:szCs w:val="24"/>
      <w:lang w:val="es-ES"/>
    </w:rPr>
  </w:style>
  <w:style w:type="paragraph" w:customStyle="1" w:styleId="xl27">
    <w:name w:val="xl27"/>
    <w:basedOn w:val="Normal"/>
    <w:rsid w:val="006475EF"/>
    <w:pPr>
      <w:widowControl/>
      <w:pBdr>
        <w:left w:val="single" w:sz="4" w:space="0" w:color="auto"/>
        <w:right w:val="single" w:sz="4" w:space="0" w:color="auto"/>
      </w:pBdr>
      <w:spacing w:before="100" w:beforeAutospacing="1" w:after="100" w:afterAutospacing="1"/>
    </w:pPr>
    <w:rPr>
      <w:rFonts w:eastAsia="Arial Unicode MS"/>
      <w:sz w:val="24"/>
      <w:szCs w:val="24"/>
      <w:lang w:val="es-ES"/>
    </w:rPr>
  </w:style>
  <w:style w:type="paragraph" w:customStyle="1" w:styleId="xl28">
    <w:name w:val="xl28"/>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sz w:val="24"/>
      <w:szCs w:val="24"/>
      <w:lang w:val="es-ES"/>
    </w:rPr>
  </w:style>
  <w:style w:type="paragraph" w:customStyle="1" w:styleId="xl29">
    <w:name w:val="xl29"/>
    <w:basedOn w:val="Normal"/>
    <w:rsid w:val="006475EF"/>
    <w:pPr>
      <w:widowControl/>
      <w:pBdr>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30">
    <w:name w:val="xl30"/>
    <w:basedOn w:val="Normal"/>
    <w:rsid w:val="006475EF"/>
    <w:pPr>
      <w:widowControl/>
      <w:pBdr>
        <w:left w:val="single" w:sz="4" w:space="0" w:color="auto"/>
        <w:right w:val="single" w:sz="4" w:space="0" w:color="auto"/>
      </w:pBdr>
      <w:spacing w:before="100" w:beforeAutospacing="1" w:after="100" w:afterAutospacing="1"/>
    </w:pPr>
    <w:rPr>
      <w:rFonts w:eastAsia="Arial Unicode MS"/>
      <w:b/>
      <w:bCs/>
      <w:sz w:val="24"/>
      <w:szCs w:val="24"/>
      <w:u w:val="double"/>
      <w:lang w:val="es-ES"/>
    </w:rPr>
  </w:style>
  <w:style w:type="paragraph" w:customStyle="1" w:styleId="xl31">
    <w:name w:val="xl31"/>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u w:val="double"/>
      <w:lang w:val="es-ES"/>
    </w:rPr>
  </w:style>
  <w:style w:type="paragraph" w:customStyle="1" w:styleId="xl32">
    <w:name w:val="xl32"/>
    <w:basedOn w:val="Normal"/>
    <w:rsid w:val="006475EF"/>
    <w:pPr>
      <w:widowControl/>
      <w:pBdr>
        <w:right w:val="single" w:sz="4" w:space="0" w:color="auto"/>
      </w:pBdr>
      <w:spacing w:before="100" w:beforeAutospacing="1" w:after="100" w:afterAutospacing="1"/>
    </w:pPr>
    <w:rPr>
      <w:rFonts w:eastAsia="Arial Unicode MS"/>
      <w:b/>
      <w:bCs/>
      <w:sz w:val="24"/>
      <w:szCs w:val="24"/>
      <w:lang w:val="es-ES"/>
    </w:rPr>
  </w:style>
  <w:style w:type="paragraph" w:customStyle="1" w:styleId="xl33">
    <w:name w:val="xl33"/>
    <w:basedOn w:val="Normal"/>
    <w:rsid w:val="006475EF"/>
    <w:pPr>
      <w:widowControl/>
      <w:pBdr>
        <w:left w:val="single" w:sz="4" w:space="0" w:color="auto"/>
        <w:right w:val="single" w:sz="4" w:space="0" w:color="auto"/>
      </w:pBdr>
      <w:spacing w:before="100" w:beforeAutospacing="1" w:after="100" w:afterAutospacing="1"/>
    </w:pPr>
    <w:rPr>
      <w:rFonts w:eastAsia="Arial Unicode MS"/>
      <w:b/>
      <w:bCs/>
      <w:sz w:val="24"/>
      <w:szCs w:val="24"/>
      <w:lang w:val="es-ES"/>
    </w:rPr>
  </w:style>
  <w:style w:type="paragraph" w:customStyle="1" w:styleId="xl34">
    <w:name w:val="xl34"/>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customStyle="1" w:styleId="xl35">
    <w:name w:val="xl35"/>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b/>
      <w:bCs/>
      <w:sz w:val="24"/>
      <w:szCs w:val="24"/>
      <w:u w:val="single"/>
      <w:lang w:val="es-ES"/>
    </w:rPr>
  </w:style>
  <w:style w:type="paragraph" w:customStyle="1" w:styleId="xl36">
    <w:name w:val="xl36"/>
    <w:basedOn w:val="Normal"/>
    <w:rsid w:val="006475EF"/>
    <w:pPr>
      <w:widowControl/>
      <w:pBdr>
        <w:left w:val="single" w:sz="4" w:space="0" w:color="auto"/>
        <w:right w:val="single" w:sz="4" w:space="0" w:color="auto"/>
      </w:pBdr>
      <w:spacing w:before="100" w:beforeAutospacing="1" w:after="100" w:afterAutospacing="1"/>
    </w:pPr>
    <w:rPr>
      <w:rFonts w:eastAsia="Arial Unicode MS"/>
      <w:b/>
      <w:bCs/>
      <w:sz w:val="24"/>
      <w:szCs w:val="24"/>
      <w:u w:val="single"/>
      <w:lang w:val="es-ES"/>
    </w:rPr>
  </w:style>
  <w:style w:type="paragraph" w:customStyle="1" w:styleId="xl37">
    <w:name w:val="xl37"/>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u w:val="single"/>
      <w:lang w:val="es-ES"/>
    </w:rPr>
  </w:style>
  <w:style w:type="paragraph" w:customStyle="1" w:styleId="xl38">
    <w:name w:val="xl38"/>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39">
    <w:name w:val="xl39"/>
    <w:basedOn w:val="Normal"/>
    <w:rsid w:val="006475EF"/>
    <w:pPr>
      <w:widowControl/>
      <w:pBdr>
        <w:left w:val="double" w:sz="6" w:space="0" w:color="auto"/>
        <w:right w:val="single" w:sz="4" w:space="0" w:color="auto"/>
      </w:pBdr>
      <w:spacing w:before="100" w:beforeAutospacing="1" w:after="100" w:afterAutospacing="1"/>
      <w:jc w:val="center"/>
      <w:textAlignment w:val="top"/>
    </w:pPr>
    <w:rPr>
      <w:rFonts w:eastAsia="Arial Unicode MS"/>
      <w:sz w:val="24"/>
      <w:szCs w:val="24"/>
      <w:lang w:val="es-ES"/>
    </w:rPr>
  </w:style>
  <w:style w:type="paragraph" w:customStyle="1" w:styleId="xl40">
    <w:name w:val="xl40"/>
    <w:basedOn w:val="Normal"/>
    <w:rsid w:val="006475EF"/>
    <w:pPr>
      <w:widowControl/>
      <w:pBdr>
        <w:left w:val="single" w:sz="4" w:space="0" w:color="auto"/>
        <w:right w:val="single" w:sz="4" w:space="0" w:color="auto"/>
      </w:pBdr>
      <w:spacing w:before="100" w:beforeAutospacing="1" w:after="100" w:afterAutospacing="1"/>
    </w:pPr>
    <w:rPr>
      <w:rFonts w:eastAsia="Arial Unicode MS"/>
      <w:sz w:val="24"/>
      <w:szCs w:val="24"/>
      <w:lang w:val="es-ES"/>
    </w:rPr>
  </w:style>
  <w:style w:type="paragraph" w:customStyle="1" w:styleId="xl41">
    <w:name w:val="xl41"/>
    <w:basedOn w:val="Normal"/>
    <w:rsid w:val="006475EF"/>
    <w:pPr>
      <w:widowControl/>
      <w:pBdr>
        <w:left w:val="double" w:sz="6" w:space="0" w:color="auto"/>
      </w:pBdr>
      <w:spacing w:before="100" w:beforeAutospacing="1" w:after="100" w:afterAutospacing="1"/>
    </w:pPr>
    <w:rPr>
      <w:rFonts w:eastAsia="Arial Unicode MS"/>
      <w:sz w:val="24"/>
      <w:szCs w:val="24"/>
      <w:lang w:val="es-ES"/>
    </w:rPr>
  </w:style>
  <w:style w:type="paragraph" w:customStyle="1" w:styleId="xl42">
    <w:name w:val="xl42"/>
    <w:basedOn w:val="Normal"/>
    <w:rsid w:val="006475EF"/>
    <w:pPr>
      <w:widowControl/>
      <w:pBdr>
        <w:left w:val="double" w:sz="6" w:space="0" w:color="auto"/>
        <w:bottom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43">
    <w:name w:val="xl43"/>
    <w:basedOn w:val="Normal"/>
    <w:rsid w:val="006475EF"/>
    <w:pPr>
      <w:widowControl/>
      <w:pBdr>
        <w:bottom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44">
    <w:name w:val="xl44"/>
    <w:basedOn w:val="Normal"/>
    <w:rsid w:val="006475EF"/>
    <w:pPr>
      <w:widowControl/>
      <w:pBdr>
        <w:left w:val="single" w:sz="4" w:space="0" w:color="auto"/>
        <w:bottom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45">
    <w:name w:val="xl45"/>
    <w:basedOn w:val="Normal"/>
    <w:rsid w:val="006475EF"/>
    <w:pPr>
      <w:widowControl/>
      <w:pBdr>
        <w:left w:val="single" w:sz="4" w:space="0" w:color="auto"/>
        <w:bottom w:val="double" w:sz="6" w:space="0" w:color="auto"/>
        <w:right w:val="double" w:sz="6" w:space="0" w:color="auto"/>
      </w:pBdr>
      <w:spacing w:before="100" w:beforeAutospacing="1" w:after="100" w:afterAutospacing="1"/>
      <w:jc w:val="center"/>
    </w:pPr>
    <w:rPr>
      <w:rFonts w:eastAsia="Arial Unicode MS"/>
      <w:sz w:val="24"/>
      <w:szCs w:val="24"/>
      <w:lang w:val="es-ES"/>
    </w:rPr>
  </w:style>
  <w:style w:type="paragraph" w:customStyle="1" w:styleId="xl46">
    <w:name w:val="xl46"/>
    <w:basedOn w:val="Normal"/>
    <w:rsid w:val="006475EF"/>
    <w:pPr>
      <w:widowControl/>
      <w:pBdr>
        <w:top w:val="double" w:sz="6" w:space="0" w:color="auto"/>
        <w:left w:val="double" w:sz="6"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47">
    <w:name w:val="xl47"/>
    <w:basedOn w:val="Normal"/>
    <w:rsid w:val="006475EF"/>
    <w:pPr>
      <w:widowControl/>
      <w:pBdr>
        <w:top w:val="double" w:sz="6" w:space="0" w:color="auto"/>
        <w:right w:val="single" w:sz="4" w:space="0" w:color="auto"/>
      </w:pBdr>
      <w:spacing w:before="100" w:beforeAutospacing="1" w:after="100" w:afterAutospacing="1"/>
    </w:pPr>
    <w:rPr>
      <w:rFonts w:eastAsia="Arial Unicode MS"/>
      <w:b/>
      <w:bCs/>
      <w:sz w:val="24"/>
      <w:szCs w:val="24"/>
      <w:lang w:val="es-ES"/>
    </w:rPr>
  </w:style>
  <w:style w:type="paragraph" w:customStyle="1" w:styleId="xl48">
    <w:name w:val="xl48"/>
    <w:basedOn w:val="Normal"/>
    <w:rsid w:val="006475EF"/>
    <w:pPr>
      <w:widowControl/>
      <w:pBdr>
        <w:top w:val="double" w:sz="6" w:space="0" w:color="auto"/>
        <w:left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49">
    <w:name w:val="xl49"/>
    <w:basedOn w:val="Normal"/>
    <w:rsid w:val="006475EF"/>
    <w:pPr>
      <w:widowControl/>
      <w:pBdr>
        <w:top w:val="double" w:sz="6" w:space="0" w:color="auto"/>
        <w:left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customStyle="1" w:styleId="xl50">
    <w:name w:val="xl50"/>
    <w:basedOn w:val="Normal"/>
    <w:rsid w:val="006475EF"/>
    <w:pPr>
      <w:widowControl/>
      <w:pBdr>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1">
    <w:name w:val="xl51"/>
    <w:basedOn w:val="Normal"/>
    <w:rsid w:val="006475EF"/>
    <w:pPr>
      <w:widowControl/>
      <w:pBdr>
        <w:left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2">
    <w:name w:val="xl52"/>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customStyle="1" w:styleId="xl53">
    <w:name w:val="xl53"/>
    <w:basedOn w:val="Normal"/>
    <w:rsid w:val="006475EF"/>
    <w:pPr>
      <w:widowControl/>
      <w:pBdr>
        <w:left w:val="double" w:sz="6"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4">
    <w:name w:val="xl54"/>
    <w:basedOn w:val="Normal"/>
    <w:rsid w:val="006475EF"/>
    <w:pPr>
      <w:widowControl/>
      <w:pBdr>
        <w:bottom w:val="single" w:sz="4" w:space="0" w:color="auto"/>
        <w:right w:val="single" w:sz="4" w:space="0" w:color="auto"/>
      </w:pBdr>
      <w:spacing w:before="100" w:beforeAutospacing="1" w:after="100" w:afterAutospacing="1"/>
    </w:pPr>
    <w:rPr>
      <w:rFonts w:eastAsia="Arial Unicode MS"/>
      <w:b/>
      <w:bCs/>
      <w:sz w:val="24"/>
      <w:szCs w:val="24"/>
      <w:lang w:val="es-ES"/>
    </w:rPr>
  </w:style>
  <w:style w:type="paragraph" w:customStyle="1" w:styleId="xl55">
    <w:name w:val="xl55"/>
    <w:basedOn w:val="Normal"/>
    <w:rsid w:val="006475EF"/>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6">
    <w:name w:val="xl56"/>
    <w:basedOn w:val="Normal"/>
    <w:rsid w:val="006475EF"/>
    <w:pPr>
      <w:widowControl/>
      <w:pBdr>
        <w:left w:val="single" w:sz="4" w:space="0" w:color="auto"/>
        <w:bottom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styleId="Textodeglobo">
    <w:name w:val="Balloon Text"/>
    <w:basedOn w:val="Normal"/>
    <w:link w:val="TextodegloboCar"/>
    <w:uiPriority w:val="99"/>
    <w:semiHidden/>
    <w:rsid w:val="006475EF"/>
    <w:rPr>
      <w:rFonts w:ascii="Tahoma" w:hAnsi="Tahoma" w:cs="Tahoma"/>
      <w:sz w:val="16"/>
      <w:szCs w:val="16"/>
    </w:rPr>
  </w:style>
  <w:style w:type="character" w:customStyle="1" w:styleId="TextodegloboCar">
    <w:name w:val="Texto de globo Car"/>
    <w:basedOn w:val="Fuentedeprrafopredeter"/>
    <w:link w:val="Textodeglobo"/>
    <w:uiPriority w:val="99"/>
    <w:semiHidden/>
    <w:rsid w:val="006475EF"/>
    <w:rPr>
      <w:rFonts w:ascii="Tahoma" w:eastAsia="Times New Roman" w:hAnsi="Tahoma" w:cs="Tahoma"/>
      <w:sz w:val="16"/>
      <w:szCs w:val="16"/>
      <w:lang w:val="es-ES_tradnl" w:eastAsia="es-ES"/>
    </w:rPr>
  </w:style>
  <w:style w:type="paragraph" w:customStyle="1" w:styleId="xl60">
    <w:name w:val="xl60"/>
    <w:basedOn w:val="Normal"/>
    <w:rsid w:val="006475EF"/>
    <w:pPr>
      <w:widowControl/>
      <w:pBdr>
        <w:right w:val="single" w:sz="4" w:space="0" w:color="auto"/>
      </w:pBdr>
      <w:spacing w:before="100" w:beforeAutospacing="1" w:after="100" w:afterAutospacing="1"/>
    </w:pPr>
    <w:rPr>
      <w:sz w:val="18"/>
      <w:szCs w:val="18"/>
      <w:lang w:val="es-ES"/>
    </w:rPr>
  </w:style>
  <w:style w:type="paragraph" w:customStyle="1" w:styleId="xl96">
    <w:name w:val="xl96"/>
    <w:basedOn w:val="Normal"/>
    <w:rsid w:val="006475EF"/>
    <w:pPr>
      <w:widowControl/>
      <w:pBdr>
        <w:left w:val="single" w:sz="4" w:space="0" w:color="auto"/>
        <w:right w:val="single" w:sz="4" w:space="0" w:color="auto"/>
      </w:pBdr>
      <w:spacing w:before="100" w:beforeAutospacing="1" w:after="100" w:afterAutospacing="1"/>
      <w:textAlignment w:val="top"/>
    </w:pPr>
    <w:rPr>
      <w:rFonts w:eastAsia="Arial Unicode MS"/>
      <w:sz w:val="14"/>
      <w:szCs w:val="14"/>
      <w:lang w:val="es-ES"/>
    </w:rPr>
  </w:style>
  <w:style w:type="table" w:styleId="Tablaconcuadrcula">
    <w:name w:val="Table Grid"/>
    <w:basedOn w:val="Tablanormal"/>
    <w:uiPriority w:val="39"/>
    <w:rsid w:val="006475EF"/>
    <w:pPr>
      <w:spacing w:after="0" w:line="240" w:lineRule="auto"/>
    </w:pPr>
    <w:rPr>
      <w:rFonts w:eastAsia="Times New Roman" w:cs="Times New Roman"/>
      <w:sz w:val="20"/>
      <w:szCs w:val="20"/>
      <w:lang w:eastAsia="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6475EF"/>
    <w:pPr>
      <w:spacing w:after="0" w:line="240" w:lineRule="auto"/>
    </w:pPr>
    <w:rPr>
      <w:rFonts w:ascii="Calibri" w:eastAsia="Times New Roman" w:hAnsi="Calibri" w:cs="Times New Roman"/>
      <w:sz w:val="22"/>
      <w:lang w:val="es-ES"/>
    </w:rPr>
  </w:style>
  <w:style w:type="character" w:customStyle="1" w:styleId="SinespaciadoCar">
    <w:name w:val="Sin espaciado Car"/>
    <w:basedOn w:val="Fuentedeprrafopredeter"/>
    <w:link w:val="Sinespaciado"/>
    <w:uiPriority w:val="1"/>
    <w:rsid w:val="006475EF"/>
    <w:rPr>
      <w:rFonts w:ascii="Calibri" w:eastAsia="Times New Roman" w:hAnsi="Calibri" w:cs="Times New Roman"/>
      <w:sz w:val="22"/>
      <w:lang w:val="es-ES"/>
    </w:rPr>
  </w:style>
  <w:style w:type="paragraph" w:customStyle="1" w:styleId="Default">
    <w:name w:val="Default"/>
    <w:rsid w:val="006475EF"/>
    <w:pPr>
      <w:autoSpaceDE w:val="0"/>
      <w:autoSpaceDN w:val="0"/>
      <w:adjustRightInd w:val="0"/>
      <w:spacing w:after="0" w:line="240" w:lineRule="auto"/>
    </w:pPr>
    <w:rPr>
      <w:rFonts w:ascii="Helvetica" w:eastAsia="Times New Roman" w:hAnsi="Helvetica" w:cs="Helvetica"/>
      <w:color w:val="000000"/>
      <w:szCs w:val="24"/>
      <w:lang w:eastAsia="es-GT"/>
    </w:rPr>
  </w:style>
  <w:style w:type="paragraph" w:styleId="Asuntodelcomentario">
    <w:name w:val="annotation subject"/>
    <w:basedOn w:val="Textocomentario"/>
    <w:next w:val="Textocomentario"/>
    <w:link w:val="AsuntodelcomentarioCar"/>
    <w:uiPriority w:val="99"/>
    <w:rsid w:val="006475EF"/>
    <w:rPr>
      <w:b/>
      <w:bCs/>
    </w:rPr>
  </w:style>
  <w:style w:type="character" w:customStyle="1" w:styleId="AsuntodelcomentarioCar">
    <w:name w:val="Asunto del comentario Car"/>
    <w:basedOn w:val="TextocomentarioCar"/>
    <w:link w:val="Asuntodelcomentario"/>
    <w:uiPriority w:val="99"/>
    <w:rsid w:val="006475EF"/>
    <w:rPr>
      <w:rFonts w:eastAsia="Times New Roman" w:cs="Times New Roman"/>
      <w:b/>
      <w:bCs/>
      <w:sz w:val="20"/>
      <w:szCs w:val="20"/>
      <w:lang w:val="es-ES_tradnl" w:eastAsia="es-ES"/>
    </w:rPr>
  </w:style>
  <w:style w:type="character" w:styleId="Hipervnculo">
    <w:name w:val="Hyperlink"/>
    <w:basedOn w:val="Fuentedeprrafopredeter"/>
    <w:uiPriority w:val="99"/>
    <w:rsid w:val="006475EF"/>
    <w:rPr>
      <w:color w:val="0000FF"/>
      <w:u w:val="single"/>
    </w:rPr>
  </w:style>
  <w:style w:type="paragraph" w:styleId="Prrafodelista">
    <w:name w:val="List Paragraph"/>
    <w:aliases w:val="Párrafo de lista 2,Título PDM"/>
    <w:basedOn w:val="Normal"/>
    <w:link w:val="PrrafodelistaCar"/>
    <w:uiPriority w:val="34"/>
    <w:qFormat/>
    <w:rsid w:val="006475EF"/>
    <w:pPr>
      <w:ind w:left="720"/>
      <w:contextualSpacing/>
    </w:pPr>
  </w:style>
  <w:style w:type="numbering" w:customStyle="1" w:styleId="Estilo1">
    <w:name w:val="Estilo1"/>
    <w:uiPriority w:val="99"/>
    <w:rsid w:val="006475EF"/>
    <w:pPr>
      <w:numPr>
        <w:numId w:val="1"/>
      </w:numPr>
    </w:pPr>
  </w:style>
  <w:style w:type="numbering" w:customStyle="1" w:styleId="Estilo2">
    <w:name w:val="Estilo2"/>
    <w:uiPriority w:val="99"/>
    <w:rsid w:val="006475EF"/>
    <w:pPr>
      <w:numPr>
        <w:numId w:val="2"/>
      </w:numPr>
    </w:pPr>
  </w:style>
  <w:style w:type="paragraph" w:styleId="Textonotapie">
    <w:name w:val="footnote text"/>
    <w:aliases w:val="ft,ft Car,ft Car Car,Texto nota pie2,ft1,ft Car Car Car1,Texto nota pie Car2,ft Car Car2,ft Car Car Car,fn,single space,footnote text,FOOTNOTES,Texto nota pie IIRSA,foottextfra,footnote,F,Char,Footnote Text Char2,Footnote Text Char1 Char1"/>
    <w:basedOn w:val="Normal"/>
    <w:link w:val="TextonotapieCar"/>
    <w:uiPriority w:val="99"/>
    <w:rsid w:val="000A36AF"/>
  </w:style>
  <w:style w:type="character" w:customStyle="1" w:styleId="TextonotapieCar">
    <w:name w:val="Texto nota pie Car"/>
    <w:aliases w:val="ft Car2,ft Car Car3,ft Car Car Car3,Texto nota pie2 Car1,ft1 Car1,ft Car Car Car1 Car1,Texto nota pie Car2 Car1,ft Car Car2 Car1,ft Car Car Car Car1,fn Car1,single space Car1,footnote text Car1,FOOTNOTES Car1,Texto nota pie IIRSA Car1"/>
    <w:basedOn w:val="Fuentedeprrafopredeter"/>
    <w:link w:val="Textonotapie"/>
    <w:uiPriority w:val="99"/>
    <w:rsid w:val="000A36AF"/>
    <w:rPr>
      <w:rFonts w:eastAsia="Times New Roman" w:cs="Times New Roman"/>
      <w:sz w:val="20"/>
      <w:szCs w:val="20"/>
      <w:lang w:val="es-ES_tradnl" w:eastAsia="es-ES"/>
    </w:rPr>
  </w:style>
  <w:style w:type="character" w:styleId="Refdenotaalpie">
    <w:name w:val="footnote reference"/>
    <w:aliases w:val="ftref,16 Point,Superscript 6 Point,fr,Footnote Reference Number,Footnote Reference_LVL6,Footnote Reference_LVL61,Footnote Reference_LVL62,Footnote Reference_LVL63,Footnote Reference_LVL64,SUPERS,EN Footnote Reference,number"/>
    <w:basedOn w:val="Fuentedeprrafopredeter"/>
    <w:uiPriority w:val="99"/>
    <w:rsid w:val="000A36AF"/>
    <w:rPr>
      <w:vertAlign w:val="superscript"/>
    </w:rPr>
  </w:style>
  <w:style w:type="character" w:styleId="Hipervnculovisitado">
    <w:name w:val="FollowedHyperlink"/>
    <w:basedOn w:val="Fuentedeprrafopredeter"/>
    <w:uiPriority w:val="99"/>
    <w:semiHidden/>
    <w:unhideWhenUsed/>
    <w:rsid w:val="00442A3E"/>
    <w:rPr>
      <w:color w:val="800080"/>
      <w:u w:val="single"/>
    </w:rPr>
  </w:style>
  <w:style w:type="paragraph" w:customStyle="1" w:styleId="xl57">
    <w:name w:val="xl57"/>
    <w:basedOn w:val="Normal"/>
    <w:rsid w:val="00442A3E"/>
    <w:pPr>
      <w:widowControl/>
      <w:pBdr>
        <w:left w:val="single" w:sz="8" w:space="0" w:color="auto"/>
        <w:right w:val="single" w:sz="8" w:space="0" w:color="auto"/>
      </w:pBdr>
      <w:spacing w:before="100" w:beforeAutospacing="1" w:after="100" w:afterAutospacing="1"/>
      <w:textAlignment w:val="top"/>
    </w:pPr>
    <w:rPr>
      <w:color w:val="000000"/>
      <w:sz w:val="16"/>
      <w:szCs w:val="16"/>
      <w:lang w:val="es-GT" w:eastAsia="es-GT"/>
    </w:rPr>
  </w:style>
  <w:style w:type="paragraph" w:customStyle="1" w:styleId="xl58">
    <w:name w:val="xl58"/>
    <w:basedOn w:val="Normal"/>
    <w:rsid w:val="00442A3E"/>
    <w:pPr>
      <w:widowControl/>
      <w:pBdr>
        <w:left w:val="single" w:sz="8" w:space="0" w:color="auto"/>
        <w:bottom w:val="double" w:sz="6"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59">
    <w:name w:val="xl59"/>
    <w:basedOn w:val="Normal"/>
    <w:rsid w:val="00442A3E"/>
    <w:pPr>
      <w:widowControl/>
      <w:pBdr>
        <w:left w:val="single" w:sz="8" w:space="0" w:color="auto"/>
        <w:bottom w:val="double" w:sz="6" w:space="0" w:color="auto"/>
        <w:right w:val="single" w:sz="8" w:space="0" w:color="auto"/>
      </w:pBdr>
      <w:spacing w:before="100" w:beforeAutospacing="1" w:after="100" w:afterAutospacing="1"/>
      <w:jc w:val="right"/>
    </w:pPr>
    <w:rPr>
      <w:sz w:val="16"/>
      <w:szCs w:val="16"/>
      <w:lang w:val="es-GT" w:eastAsia="es-GT"/>
    </w:rPr>
  </w:style>
  <w:style w:type="paragraph" w:customStyle="1" w:styleId="xl61">
    <w:name w:val="xl61"/>
    <w:basedOn w:val="Normal"/>
    <w:rsid w:val="00442A3E"/>
    <w:pPr>
      <w:widowControl/>
      <w:pBdr>
        <w:left w:val="single" w:sz="8" w:space="0" w:color="auto"/>
        <w:right w:val="double" w:sz="6" w:space="0" w:color="auto"/>
      </w:pBdr>
      <w:spacing w:before="100" w:beforeAutospacing="1" w:after="100" w:afterAutospacing="1"/>
      <w:jc w:val="center"/>
    </w:pPr>
    <w:rPr>
      <w:color w:val="000000"/>
      <w:sz w:val="16"/>
      <w:szCs w:val="16"/>
      <w:lang w:val="es-GT" w:eastAsia="es-GT"/>
    </w:rPr>
  </w:style>
  <w:style w:type="paragraph" w:customStyle="1" w:styleId="xl62">
    <w:name w:val="xl62"/>
    <w:basedOn w:val="Normal"/>
    <w:rsid w:val="00442A3E"/>
    <w:pPr>
      <w:widowControl/>
      <w:pBdr>
        <w:left w:val="single" w:sz="8" w:space="0" w:color="auto"/>
        <w:right w:val="double" w:sz="6" w:space="0" w:color="auto"/>
      </w:pBdr>
      <w:spacing w:before="100" w:beforeAutospacing="1" w:after="100" w:afterAutospacing="1"/>
      <w:jc w:val="center"/>
    </w:pPr>
    <w:rPr>
      <w:b/>
      <w:bCs/>
      <w:sz w:val="16"/>
      <w:szCs w:val="16"/>
      <w:lang w:val="es-GT" w:eastAsia="es-GT"/>
    </w:rPr>
  </w:style>
  <w:style w:type="paragraph" w:customStyle="1" w:styleId="xl63">
    <w:name w:val="xl63"/>
    <w:basedOn w:val="Normal"/>
    <w:rsid w:val="00442A3E"/>
    <w:pPr>
      <w:widowControl/>
      <w:pBdr>
        <w:left w:val="single" w:sz="8"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64">
    <w:name w:val="xl64"/>
    <w:basedOn w:val="Normal"/>
    <w:rsid w:val="00442A3E"/>
    <w:pPr>
      <w:widowControl/>
      <w:pBdr>
        <w:left w:val="single" w:sz="8" w:space="0" w:color="auto"/>
        <w:right w:val="double" w:sz="6" w:space="0" w:color="auto"/>
      </w:pBdr>
      <w:spacing w:before="100" w:beforeAutospacing="1" w:after="100" w:afterAutospacing="1"/>
      <w:jc w:val="center"/>
      <w:textAlignment w:val="top"/>
    </w:pPr>
    <w:rPr>
      <w:sz w:val="16"/>
      <w:szCs w:val="16"/>
      <w:lang w:val="es-GT" w:eastAsia="es-GT"/>
    </w:rPr>
  </w:style>
  <w:style w:type="paragraph" w:customStyle="1" w:styleId="xl65">
    <w:name w:val="xl65"/>
    <w:basedOn w:val="Normal"/>
    <w:rsid w:val="00442A3E"/>
    <w:pPr>
      <w:widowControl/>
      <w:pBdr>
        <w:left w:val="single" w:sz="8" w:space="0" w:color="auto"/>
        <w:right w:val="single" w:sz="8" w:space="0" w:color="auto"/>
      </w:pBdr>
      <w:spacing w:before="100" w:beforeAutospacing="1" w:after="100" w:afterAutospacing="1"/>
      <w:jc w:val="center"/>
      <w:textAlignment w:val="top"/>
    </w:pPr>
    <w:rPr>
      <w:b/>
      <w:bCs/>
      <w:sz w:val="16"/>
      <w:szCs w:val="16"/>
      <w:lang w:val="es-GT" w:eastAsia="es-GT"/>
    </w:rPr>
  </w:style>
  <w:style w:type="paragraph" w:customStyle="1" w:styleId="xl66">
    <w:name w:val="xl66"/>
    <w:basedOn w:val="Normal"/>
    <w:rsid w:val="00442A3E"/>
    <w:pPr>
      <w:widowControl/>
      <w:pBdr>
        <w:left w:val="single" w:sz="8" w:space="0" w:color="auto"/>
        <w:right w:val="double" w:sz="6" w:space="0" w:color="auto"/>
      </w:pBdr>
      <w:spacing w:before="100" w:beforeAutospacing="1" w:after="100" w:afterAutospacing="1"/>
      <w:jc w:val="center"/>
      <w:textAlignment w:val="top"/>
    </w:pPr>
    <w:rPr>
      <w:b/>
      <w:bCs/>
      <w:sz w:val="16"/>
      <w:szCs w:val="16"/>
      <w:lang w:val="es-GT" w:eastAsia="es-GT"/>
    </w:rPr>
  </w:style>
  <w:style w:type="paragraph" w:customStyle="1" w:styleId="xl67">
    <w:name w:val="xl67"/>
    <w:basedOn w:val="Normal"/>
    <w:rsid w:val="00442A3E"/>
    <w:pPr>
      <w:widowControl/>
      <w:pBdr>
        <w:left w:val="single" w:sz="8" w:space="0" w:color="auto"/>
        <w:right w:val="double" w:sz="6" w:space="0" w:color="auto"/>
      </w:pBdr>
      <w:spacing w:before="100" w:beforeAutospacing="1" w:after="100" w:afterAutospacing="1"/>
      <w:jc w:val="center"/>
    </w:pPr>
    <w:rPr>
      <w:b/>
      <w:bCs/>
      <w:color w:val="000000"/>
      <w:sz w:val="16"/>
      <w:szCs w:val="16"/>
      <w:lang w:val="es-GT" w:eastAsia="es-GT"/>
    </w:rPr>
  </w:style>
  <w:style w:type="paragraph" w:customStyle="1" w:styleId="xl68">
    <w:name w:val="xl68"/>
    <w:basedOn w:val="Normal"/>
    <w:rsid w:val="00442A3E"/>
    <w:pPr>
      <w:widowControl/>
      <w:pBdr>
        <w:left w:val="single" w:sz="8" w:space="0" w:color="auto"/>
        <w:bottom w:val="double" w:sz="6" w:space="0" w:color="auto"/>
        <w:right w:val="single" w:sz="8" w:space="0" w:color="auto"/>
      </w:pBdr>
      <w:spacing w:before="100" w:beforeAutospacing="1" w:after="100" w:afterAutospacing="1"/>
    </w:pPr>
    <w:rPr>
      <w:sz w:val="16"/>
      <w:szCs w:val="16"/>
      <w:lang w:val="es-GT" w:eastAsia="es-GT"/>
    </w:rPr>
  </w:style>
  <w:style w:type="paragraph" w:customStyle="1" w:styleId="xl69">
    <w:name w:val="xl69"/>
    <w:basedOn w:val="Normal"/>
    <w:rsid w:val="00442A3E"/>
    <w:pPr>
      <w:widowControl/>
      <w:pBdr>
        <w:left w:val="single" w:sz="8" w:space="0" w:color="auto"/>
        <w:bottom w:val="double" w:sz="6" w:space="0" w:color="auto"/>
        <w:right w:val="double" w:sz="6" w:space="0" w:color="auto"/>
      </w:pBdr>
      <w:spacing w:before="100" w:beforeAutospacing="1" w:after="100" w:afterAutospacing="1"/>
      <w:jc w:val="center"/>
    </w:pPr>
    <w:rPr>
      <w:sz w:val="16"/>
      <w:szCs w:val="16"/>
      <w:lang w:val="es-GT" w:eastAsia="es-GT"/>
    </w:rPr>
  </w:style>
  <w:style w:type="paragraph" w:customStyle="1" w:styleId="xl70">
    <w:name w:val="xl70"/>
    <w:basedOn w:val="Normal"/>
    <w:rsid w:val="00442A3E"/>
    <w:pPr>
      <w:widowControl/>
      <w:pBdr>
        <w:left w:val="double" w:sz="6"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71">
    <w:name w:val="xl71"/>
    <w:basedOn w:val="Normal"/>
    <w:rsid w:val="00442A3E"/>
    <w:pPr>
      <w:widowControl/>
      <w:pBdr>
        <w:left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72">
    <w:name w:val="xl72"/>
    <w:basedOn w:val="Normal"/>
    <w:rsid w:val="00442A3E"/>
    <w:pPr>
      <w:widowControl/>
      <w:pBdr>
        <w:left w:val="double" w:sz="6" w:space="0" w:color="auto"/>
        <w:right w:val="single" w:sz="8" w:space="0" w:color="auto"/>
      </w:pBdr>
      <w:spacing w:before="100" w:beforeAutospacing="1" w:after="100" w:afterAutospacing="1"/>
    </w:pPr>
    <w:rPr>
      <w:b/>
      <w:bCs/>
      <w:sz w:val="16"/>
      <w:szCs w:val="16"/>
      <w:lang w:val="es-GT" w:eastAsia="es-GT"/>
    </w:rPr>
  </w:style>
  <w:style w:type="paragraph" w:customStyle="1" w:styleId="xl73">
    <w:name w:val="xl73"/>
    <w:basedOn w:val="Normal"/>
    <w:rsid w:val="00442A3E"/>
    <w:pPr>
      <w:widowControl/>
      <w:pBdr>
        <w:left w:val="single" w:sz="8" w:space="0" w:color="auto"/>
        <w:right w:val="single" w:sz="8" w:space="0" w:color="auto"/>
      </w:pBdr>
      <w:spacing w:before="100" w:beforeAutospacing="1" w:after="100" w:afterAutospacing="1"/>
      <w:textAlignment w:val="top"/>
    </w:pPr>
    <w:rPr>
      <w:sz w:val="16"/>
      <w:szCs w:val="16"/>
      <w:lang w:val="es-GT" w:eastAsia="es-GT"/>
    </w:rPr>
  </w:style>
  <w:style w:type="paragraph" w:customStyle="1" w:styleId="xl74">
    <w:name w:val="xl74"/>
    <w:basedOn w:val="Normal"/>
    <w:rsid w:val="00442A3E"/>
    <w:pPr>
      <w:widowControl/>
      <w:pBdr>
        <w:left w:val="single" w:sz="8" w:space="0" w:color="auto"/>
        <w:right w:val="double" w:sz="6" w:space="0" w:color="auto"/>
      </w:pBdr>
      <w:spacing w:before="100" w:beforeAutospacing="1" w:after="100" w:afterAutospacing="1"/>
    </w:pPr>
    <w:rPr>
      <w:sz w:val="24"/>
      <w:szCs w:val="24"/>
      <w:lang w:val="es-GT" w:eastAsia="es-GT"/>
    </w:rPr>
  </w:style>
  <w:style w:type="paragraph" w:customStyle="1" w:styleId="xl75">
    <w:name w:val="xl75"/>
    <w:basedOn w:val="Normal"/>
    <w:rsid w:val="00442A3E"/>
    <w:pPr>
      <w:widowControl/>
      <w:pBdr>
        <w:left w:val="single" w:sz="8" w:space="0" w:color="auto"/>
      </w:pBdr>
      <w:spacing w:before="100" w:beforeAutospacing="1" w:after="100" w:afterAutospacing="1"/>
    </w:pPr>
    <w:rPr>
      <w:b/>
      <w:bCs/>
      <w:color w:val="000000"/>
      <w:sz w:val="16"/>
      <w:szCs w:val="16"/>
      <w:lang w:val="es-GT" w:eastAsia="es-GT"/>
    </w:rPr>
  </w:style>
  <w:style w:type="paragraph" w:customStyle="1" w:styleId="xl76">
    <w:name w:val="xl76"/>
    <w:basedOn w:val="Normal"/>
    <w:rsid w:val="00442A3E"/>
    <w:pPr>
      <w:widowControl/>
      <w:pBdr>
        <w:lef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77">
    <w:name w:val="xl77"/>
    <w:basedOn w:val="Normal"/>
    <w:rsid w:val="008764A0"/>
    <w:pPr>
      <w:widowControl/>
      <w:pBdr>
        <w:left w:val="double" w:sz="6" w:space="0" w:color="auto"/>
        <w:right w:val="single" w:sz="8" w:space="0" w:color="auto"/>
      </w:pBdr>
      <w:spacing w:before="100" w:beforeAutospacing="1" w:after="100" w:afterAutospacing="1"/>
    </w:pPr>
    <w:rPr>
      <w:color w:val="000000"/>
      <w:sz w:val="16"/>
      <w:szCs w:val="16"/>
      <w:lang w:val="es-GT" w:eastAsia="es-GT"/>
    </w:rPr>
  </w:style>
  <w:style w:type="paragraph" w:customStyle="1" w:styleId="xl78">
    <w:name w:val="xl78"/>
    <w:basedOn w:val="Normal"/>
    <w:rsid w:val="008764A0"/>
    <w:pPr>
      <w:widowControl/>
      <w:pBdr>
        <w:left w:val="single" w:sz="8" w:space="0" w:color="auto"/>
        <w:right w:val="single" w:sz="8" w:space="0" w:color="auto"/>
      </w:pBdr>
      <w:spacing w:before="100" w:beforeAutospacing="1" w:after="100" w:afterAutospacing="1"/>
    </w:pPr>
    <w:rPr>
      <w:color w:val="000000"/>
      <w:sz w:val="16"/>
      <w:szCs w:val="16"/>
      <w:lang w:val="es-GT" w:eastAsia="es-GT"/>
    </w:rPr>
  </w:style>
  <w:style w:type="paragraph" w:customStyle="1" w:styleId="xl79">
    <w:name w:val="xl79"/>
    <w:basedOn w:val="Normal"/>
    <w:rsid w:val="008764A0"/>
    <w:pPr>
      <w:widowControl/>
      <w:pBdr>
        <w:left w:val="single" w:sz="8" w:space="0" w:color="auto"/>
        <w:right w:val="double" w:sz="6" w:space="0" w:color="auto"/>
      </w:pBdr>
      <w:spacing w:before="100" w:beforeAutospacing="1" w:after="100" w:afterAutospacing="1"/>
    </w:pPr>
    <w:rPr>
      <w:color w:val="000000"/>
      <w:sz w:val="16"/>
      <w:szCs w:val="16"/>
      <w:lang w:val="es-GT" w:eastAsia="es-GT"/>
    </w:rPr>
  </w:style>
  <w:style w:type="paragraph" w:customStyle="1" w:styleId="xl80">
    <w:name w:val="xl80"/>
    <w:basedOn w:val="Normal"/>
    <w:rsid w:val="008764A0"/>
    <w:pPr>
      <w:widowControl/>
      <w:pBdr>
        <w:left w:val="single" w:sz="8" w:space="0" w:color="auto"/>
        <w:right w:val="single" w:sz="8" w:space="0" w:color="auto"/>
      </w:pBdr>
      <w:spacing w:before="100" w:beforeAutospacing="1" w:after="100" w:afterAutospacing="1"/>
      <w:jc w:val="center"/>
    </w:pPr>
    <w:rPr>
      <w:b/>
      <w:bCs/>
      <w:color w:val="000000"/>
      <w:sz w:val="16"/>
      <w:szCs w:val="16"/>
      <w:lang w:val="es-GT" w:eastAsia="es-GT"/>
    </w:rPr>
  </w:style>
  <w:style w:type="paragraph" w:customStyle="1" w:styleId="xl81">
    <w:name w:val="xl81"/>
    <w:basedOn w:val="Normal"/>
    <w:rsid w:val="008764A0"/>
    <w:pPr>
      <w:widowControl/>
      <w:pBdr>
        <w:left w:val="single" w:sz="8" w:space="0" w:color="auto"/>
        <w:right w:val="single" w:sz="8" w:space="0" w:color="auto"/>
      </w:pBdr>
      <w:spacing w:before="100" w:beforeAutospacing="1" w:after="100" w:afterAutospacing="1"/>
      <w:jc w:val="center"/>
      <w:textAlignment w:val="top"/>
    </w:pPr>
    <w:rPr>
      <w:b/>
      <w:bCs/>
      <w:color w:val="000000"/>
      <w:sz w:val="16"/>
      <w:szCs w:val="16"/>
      <w:lang w:val="es-GT" w:eastAsia="es-GT"/>
    </w:rPr>
  </w:style>
  <w:style w:type="paragraph" w:customStyle="1" w:styleId="xl82">
    <w:name w:val="xl82"/>
    <w:basedOn w:val="Normal"/>
    <w:rsid w:val="008764A0"/>
    <w:pPr>
      <w:widowControl/>
      <w:pBdr>
        <w:left w:val="double" w:sz="6" w:space="0" w:color="auto"/>
        <w:right w:val="single" w:sz="8" w:space="0" w:color="auto"/>
      </w:pBdr>
      <w:spacing w:before="100" w:beforeAutospacing="1" w:after="100" w:afterAutospacing="1"/>
    </w:pPr>
    <w:rPr>
      <w:sz w:val="24"/>
      <w:szCs w:val="24"/>
      <w:lang w:val="es-GT" w:eastAsia="es-GT"/>
    </w:rPr>
  </w:style>
  <w:style w:type="paragraph" w:customStyle="1" w:styleId="xl83">
    <w:name w:val="xl83"/>
    <w:basedOn w:val="Normal"/>
    <w:rsid w:val="008764A0"/>
    <w:pPr>
      <w:widowControl/>
      <w:pBdr>
        <w:left w:val="single" w:sz="8" w:space="0" w:color="auto"/>
        <w:right w:val="single" w:sz="8" w:space="0" w:color="auto"/>
      </w:pBdr>
      <w:spacing w:before="100" w:beforeAutospacing="1" w:after="100" w:afterAutospacing="1"/>
    </w:pPr>
    <w:rPr>
      <w:b/>
      <w:bCs/>
      <w:color w:val="000000"/>
      <w:sz w:val="16"/>
      <w:szCs w:val="16"/>
      <w:lang w:val="es-GT" w:eastAsia="es-GT"/>
    </w:rPr>
  </w:style>
  <w:style w:type="paragraph" w:customStyle="1" w:styleId="xl84">
    <w:name w:val="xl84"/>
    <w:basedOn w:val="Normal"/>
    <w:rsid w:val="008764A0"/>
    <w:pPr>
      <w:widowControl/>
      <w:pBdr>
        <w:left w:val="single" w:sz="8" w:space="0" w:color="auto"/>
        <w:righ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85">
    <w:name w:val="xl85"/>
    <w:basedOn w:val="Normal"/>
    <w:rsid w:val="008764A0"/>
    <w:pPr>
      <w:widowControl/>
      <w:pBdr>
        <w:left w:val="single" w:sz="8" w:space="0" w:color="auto"/>
        <w:bottom w:val="double" w:sz="6"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86">
    <w:name w:val="xl86"/>
    <w:basedOn w:val="Normal"/>
    <w:rsid w:val="008764A0"/>
    <w:pPr>
      <w:widowControl/>
      <w:pBdr>
        <w:left w:val="single" w:sz="8" w:space="0" w:color="auto"/>
        <w:bottom w:val="double" w:sz="6" w:space="0" w:color="auto"/>
        <w:right w:val="single" w:sz="8" w:space="0" w:color="auto"/>
      </w:pBdr>
      <w:spacing w:before="100" w:beforeAutospacing="1" w:after="100" w:afterAutospacing="1"/>
      <w:jc w:val="right"/>
    </w:pPr>
    <w:rPr>
      <w:sz w:val="16"/>
      <w:szCs w:val="16"/>
      <w:lang w:val="es-GT" w:eastAsia="es-GT"/>
    </w:rPr>
  </w:style>
  <w:style w:type="paragraph" w:customStyle="1" w:styleId="xl87">
    <w:name w:val="xl87"/>
    <w:basedOn w:val="Normal"/>
    <w:rsid w:val="008764A0"/>
    <w:pPr>
      <w:widowControl/>
      <w:pBdr>
        <w:left w:val="single" w:sz="8" w:space="0" w:color="auto"/>
        <w:right w:val="single" w:sz="8" w:space="0" w:color="auto"/>
      </w:pBdr>
      <w:spacing w:before="100" w:beforeAutospacing="1" w:after="100" w:afterAutospacing="1"/>
    </w:pPr>
    <w:rPr>
      <w:b/>
      <w:bCs/>
      <w:sz w:val="16"/>
      <w:szCs w:val="16"/>
      <w:lang w:val="es-GT" w:eastAsia="es-GT"/>
    </w:rPr>
  </w:style>
  <w:style w:type="paragraph" w:customStyle="1" w:styleId="xl88">
    <w:name w:val="xl88"/>
    <w:basedOn w:val="Normal"/>
    <w:rsid w:val="008764A0"/>
    <w:pPr>
      <w:widowControl/>
      <w:pBdr>
        <w:left w:val="single" w:sz="8" w:space="0" w:color="auto"/>
        <w:right w:val="double" w:sz="6" w:space="0" w:color="auto"/>
      </w:pBdr>
      <w:spacing w:before="100" w:beforeAutospacing="1" w:after="100" w:afterAutospacing="1"/>
      <w:jc w:val="center"/>
    </w:pPr>
    <w:rPr>
      <w:color w:val="000000"/>
      <w:sz w:val="16"/>
      <w:szCs w:val="16"/>
      <w:lang w:val="es-GT" w:eastAsia="es-GT"/>
    </w:rPr>
  </w:style>
  <w:style w:type="paragraph" w:customStyle="1" w:styleId="xl89">
    <w:name w:val="xl89"/>
    <w:basedOn w:val="Normal"/>
    <w:rsid w:val="008764A0"/>
    <w:pPr>
      <w:widowControl/>
      <w:pBdr>
        <w:left w:val="single" w:sz="8" w:space="0" w:color="auto"/>
        <w:right w:val="double" w:sz="6" w:space="0" w:color="auto"/>
      </w:pBdr>
      <w:spacing w:before="100" w:beforeAutospacing="1" w:after="100" w:afterAutospacing="1"/>
      <w:jc w:val="center"/>
    </w:pPr>
    <w:rPr>
      <w:b/>
      <w:bCs/>
      <w:sz w:val="16"/>
      <w:szCs w:val="16"/>
      <w:lang w:val="es-GT" w:eastAsia="es-GT"/>
    </w:rPr>
  </w:style>
  <w:style w:type="paragraph" w:customStyle="1" w:styleId="xl90">
    <w:name w:val="xl90"/>
    <w:basedOn w:val="Normal"/>
    <w:rsid w:val="008764A0"/>
    <w:pPr>
      <w:widowControl/>
      <w:pBdr>
        <w:left w:val="single" w:sz="8"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91">
    <w:name w:val="xl91"/>
    <w:basedOn w:val="Normal"/>
    <w:rsid w:val="008764A0"/>
    <w:pPr>
      <w:widowControl/>
      <w:pBdr>
        <w:left w:val="single" w:sz="8" w:space="0" w:color="auto"/>
        <w:right w:val="double" w:sz="6" w:space="0" w:color="auto"/>
      </w:pBdr>
      <w:spacing w:before="100" w:beforeAutospacing="1" w:after="100" w:afterAutospacing="1"/>
      <w:jc w:val="center"/>
      <w:textAlignment w:val="top"/>
    </w:pPr>
    <w:rPr>
      <w:sz w:val="16"/>
      <w:szCs w:val="16"/>
      <w:lang w:val="es-GT" w:eastAsia="es-GT"/>
    </w:rPr>
  </w:style>
  <w:style w:type="paragraph" w:customStyle="1" w:styleId="xl92">
    <w:name w:val="xl92"/>
    <w:basedOn w:val="Normal"/>
    <w:rsid w:val="008764A0"/>
    <w:pPr>
      <w:widowControl/>
      <w:pBdr>
        <w:left w:val="single" w:sz="8" w:space="0" w:color="auto"/>
        <w:right w:val="single" w:sz="8" w:space="0" w:color="auto"/>
      </w:pBdr>
      <w:spacing w:before="100" w:beforeAutospacing="1" w:after="100" w:afterAutospacing="1"/>
      <w:jc w:val="center"/>
      <w:textAlignment w:val="top"/>
    </w:pPr>
    <w:rPr>
      <w:b/>
      <w:bCs/>
      <w:sz w:val="16"/>
      <w:szCs w:val="16"/>
      <w:lang w:val="es-GT" w:eastAsia="es-GT"/>
    </w:rPr>
  </w:style>
  <w:style w:type="paragraph" w:customStyle="1" w:styleId="xl93">
    <w:name w:val="xl93"/>
    <w:basedOn w:val="Normal"/>
    <w:rsid w:val="008764A0"/>
    <w:pPr>
      <w:widowControl/>
      <w:pBdr>
        <w:left w:val="single" w:sz="8" w:space="0" w:color="auto"/>
        <w:right w:val="double" w:sz="6" w:space="0" w:color="auto"/>
      </w:pBdr>
      <w:spacing w:before="100" w:beforeAutospacing="1" w:after="100" w:afterAutospacing="1"/>
      <w:jc w:val="center"/>
      <w:textAlignment w:val="top"/>
    </w:pPr>
    <w:rPr>
      <w:b/>
      <w:bCs/>
      <w:sz w:val="16"/>
      <w:szCs w:val="16"/>
      <w:lang w:val="es-GT" w:eastAsia="es-GT"/>
    </w:rPr>
  </w:style>
  <w:style w:type="paragraph" w:customStyle="1" w:styleId="xl94">
    <w:name w:val="xl94"/>
    <w:basedOn w:val="Normal"/>
    <w:rsid w:val="008764A0"/>
    <w:pPr>
      <w:widowControl/>
      <w:pBdr>
        <w:left w:val="single" w:sz="8" w:space="0" w:color="auto"/>
        <w:right w:val="double" w:sz="6" w:space="0" w:color="auto"/>
      </w:pBdr>
      <w:spacing w:before="100" w:beforeAutospacing="1" w:after="100" w:afterAutospacing="1"/>
      <w:jc w:val="center"/>
    </w:pPr>
    <w:rPr>
      <w:b/>
      <w:bCs/>
      <w:color w:val="000000"/>
      <w:sz w:val="16"/>
      <w:szCs w:val="16"/>
      <w:lang w:val="es-GT" w:eastAsia="es-GT"/>
    </w:rPr>
  </w:style>
  <w:style w:type="paragraph" w:customStyle="1" w:styleId="xl95">
    <w:name w:val="xl95"/>
    <w:basedOn w:val="Normal"/>
    <w:rsid w:val="008764A0"/>
    <w:pPr>
      <w:widowControl/>
      <w:pBdr>
        <w:left w:val="single" w:sz="8" w:space="0" w:color="auto"/>
        <w:bottom w:val="double" w:sz="6" w:space="0" w:color="auto"/>
        <w:right w:val="double" w:sz="6" w:space="0" w:color="auto"/>
      </w:pBdr>
      <w:spacing w:before="100" w:beforeAutospacing="1" w:after="100" w:afterAutospacing="1"/>
      <w:jc w:val="center"/>
    </w:pPr>
    <w:rPr>
      <w:sz w:val="16"/>
      <w:szCs w:val="16"/>
      <w:lang w:val="es-GT" w:eastAsia="es-GT"/>
    </w:rPr>
  </w:style>
  <w:style w:type="paragraph" w:customStyle="1" w:styleId="xl97">
    <w:name w:val="xl97"/>
    <w:basedOn w:val="Normal"/>
    <w:rsid w:val="008764A0"/>
    <w:pPr>
      <w:widowControl/>
      <w:pBdr>
        <w:left w:val="single" w:sz="8" w:space="0" w:color="auto"/>
        <w:right w:val="single" w:sz="8" w:space="0" w:color="auto"/>
      </w:pBdr>
      <w:spacing w:before="100" w:beforeAutospacing="1" w:after="100" w:afterAutospacing="1"/>
      <w:textAlignment w:val="top"/>
    </w:pPr>
    <w:rPr>
      <w:sz w:val="16"/>
      <w:szCs w:val="16"/>
      <w:lang w:val="es-GT" w:eastAsia="es-GT"/>
    </w:rPr>
  </w:style>
  <w:style w:type="paragraph" w:customStyle="1" w:styleId="xl98">
    <w:name w:val="xl98"/>
    <w:basedOn w:val="Normal"/>
    <w:rsid w:val="008764A0"/>
    <w:pPr>
      <w:widowControl/>
      <w:pBdr>
        <w:left w:val="single" w:sz="8" w:space="0" w:color="auto"/>
        <w:right w:val="double" w:sz="6" w:space="0" w:color="auto"/>
      </w:pBdr>
      <w:spacing w:before="100" w:beforeAutospacing="1" w:after="100" w:afterAutospacing="1"/>
    </w:pPr>
    <w:rPr>
      <w:sz w:val="24"/>
      <w:szCs w:val="24"/>
      <w:lang w:val="es-GT" w:eastAsia="es-GT"/>
    </w:rPr>
  </w:style>
  <w:style w:type="paragraph" w:customStyle="1" w:styleId="xl99">
    <w:name w:val="xl99"/>
    <w:basedOn w:val="Normal"/>
    <w:rsid w:val="008764A0"/>
    <w:pPr>
      <w:widowControl/>
      <w:pBdr>
        <w:left w:val="single" w:sz="8" w:space="0" w:color="auto"/>
      </w:pBdr>
      <w:spacing w:before="100" w:beforeAutospacing="1" w:after="100" w:afterAutospacing="1"/>
    </w:pPr>
    <w:rPr>
      <w:b/>
      <w:bCs/>
      <w:color w:val="000000"/>
      <w:sz w:val="16"/>
      <w:szCs w:val="16"/>
      <w:lang w:val="es-GT" w:eastAsia="es-GT"/>
    </w:rPr>
  </w:style>
  <w:style w:type="paragraph" w:customStyle="1" w:styleId="xl100">
    <w:name w:val="xl100"/>
    <w:basedOn w:val="Normal"/>
    <w:rsid w:val="008764A0"/>
    <w:pPr>
      <w:widowControl/>
      <w:pBdr>
        <w:lef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101">
    <w:name w:val="xl101"/>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color w:val="000000"/>
      <w:sz w:val="16"/>
      <w:szCs w:val="16"/>
      <w:lang w:val="es-GT" w:eastAsia="es-GT"/>
    </w:rPr>
  </w:style>
  <w:style w:type="paragraph" w:customStyle="1" w:styleId="xl102">
    <w:name w:val="xl102"/>
    <w:basedOn w:val="Normal"/>
    <w:rsid w:val="008764A0"/>
    <w:pPr>
      <w:widowControl/>
      <w:pBdr>
        <w:top w:val="single" w:sz="8" w:space="0" w:color="auto"/>
        <w:left w:val="single" w:sz="8" w:space="0" w:color="auto"/>
        <w:bottom w:val="single" w:sz="8" w:space="0" w:color="auto"/>
        <w:right w:val="double" w:sz="6" w:space="0" w:color="auto"/>
      </w:pBdr>
      <w:spacing w:before="100" w:beforeAutospacing="1" w:after="100" w:afterAutospacing="1"/>
      <w:jc w:val="center"/>
    </w:pPr>
    <w:rPr>
      <w:b/>
      <w:bCs/>
      <w:color w:val="000000"/>
      <w:sz w:val="16"/>
      <w:szCs w:val="16"/>
      <w:lang w:val="es-GT" w:eastAsia="es-GT"/>
    </w:rPr>
  </w:style>
  <w:style w:type="paragraph" w:customStyle="1" w:styleId="xl103">
    <w:name w:val="xl103"/>
    <w:basedOn w:val="Normal"/>
    <w:rsid w:val="008764A0"/>
    <w:pPr>
      <w:widowControl/>
      <w:pBdr>
        <w:left w:val="single" w:sz="8" w:space="0" w:color="auto"/>
        <w:right w:val="single" w:sz="8" w:space="0" w:color="auto"/>
      </w:pBdr>
      <w:spacing w:before="100" w:beforeAutospacing="1" w:after="100" w:afterAutospacing="1"/>
    </w:pPr>
    <w:rPr>
      <w:b/>
      <w:bCs/>
      <w:color w:val="000000"/>
      <w:sz w:val="16"/>
      <w:szCs w:val="16"/>
      <w:lang w:val="es-GT" w:eastAsia="es-GT"/>
    </w:rPr>
  </w:style>
  <w:style w:type="paragraph" w:customStyle="1" w:styleId="xl104">
    <w:name w:val="xl104"/>
    <w:basedOn w:val="Normal"/>
    <w:rsid w:val="008764A0"/>
    <w:pPr>
      <w:widowControl/>
      <w:pBdr>
        <w:left w:val="single" w:sz="8" w:space="0" w:color="auto"/>
        <w:right w:val="single" w:sz="8" w:space="0" w:color="auto"/>
      </w:pBdr>
      <w:spacing w:before="100" w:beforeAutospacing="1" w:after="100" w:afterAutospacing="1"/>
      <w:jc w:val="center"/>
    </w:pPr>
    <w:rPr>
      <w:b/>
      <w:bCs/>
      <w:color w:val="000000"/>
      <w:sz w:val="16"/>
      <w:szCs w:val="16"/>
      <w:lang w:val="es-GT" w:eastAsia="es-GT"/>
    </w:rPr>
  </w:style>
  <w:style w:type="paragraph" w:customStyle="1" w:styleId="xl105">
    <w:name w:val="xl105"/>
    <w:basedOn w:val="Normal"/>
    <w:rsid w:val="008764A0"/>
    <w:pPr>
      <w:widowControl/>
      <w:pBdr>
        <w:left w:val="single" w:sz="8" w:space="0" w:color="auto"/>
        <w:right w:val="single" w:sz="8" w:space="0" w:color="auto"/>
      </w:pBdr>
      <w:spacing w:before="100" w:beforeAutospacing="1" w:after="100" w:afterAutospacing="1"/>
    </w:pPr>
    <w:rPr>
      <w:b/>
      <w:bCs/>
      <w:sz w:val="16"/>
      <w:szCs w:val="16"/>
      <w:lang w:val="es-GT" w:eastAsia="es-GT"/>
    </w:rPr>
  </w:style>
  <w:style w:type="paragraph" w:customStyle="1" w:styleId="xl106">
    <w:name w:val="xl106"/>
    <w:basedOn w:val="Normal"/>
    <w:rsid w:val="008764A0"/>
    <w:pPr>
      <w:widowControl/>
      <w:pBdr>
        <w:left w:val="single" w:sz="8" w:space="0" w:color="auto"/>
        <w:right w:val="single" w:sz="8" w:space="0" w:color="auto"/>
      </w:pBdr>
      <w:spacing w:before="100" w:beforeAutospacing="1" w:after="100" w:afterAutospacing="1"/>
      <w:textAlignment w:val="top"/>
    </w:pPr>
    <w:rPr>
      <w:color w:val="000000"/>
      <w:sz w:val="16"/>
      <w:szCs w:val="16"/>
      <w:lang w:val="es-GT" w:eastAsia="es-GT"/>
    </w:rPr>
  </w:style>
  <w:style w:type="paragraph" w:customStyle="1" w:styleId="xl107">
    <w:name w:val="xl107"/>
    <w:basedOn w:val="Normal"/>
    <w:rsid w:val="008764A0"/>
    <w:pPr>
      <w:widowControl/>
      <w:pBdr>
        <w:left w:val="single" w:sz="8" w:space="0" w:color="auto"/>
        <w:right w:val="single" w:sz="8" w:space="0" w:color="auto"/>
      </w:pBdr>
      <w:spacing w:before="100" w:beforeAutospacing="1" w:after="100" w:afterAutospacing="1"/>
    </w:pPr>
    <w:rPr>
      <w:color w:val="000000"/>
      <w:sz w:val="16"/>
      <w:szCs w:val="16"/>
      <w:lang w:val="es-GT" w:eastAsia="es-GT"/>
    </w:rPr>
  </w:style>
  <w:style w:type="paragraph" w:customStyle="1" w:styleId="xl108">
    <w:name w:val="xl108"/>
    <w:basedOn w:val="Normal"/>
    <w:rsid w:val="008764A0"/>
    <w:pPr>
      <w:widowControl/>
      <w:pBdr>
        <w:left w:val="single" w:sz="8" w:space="0" w:color="auto"/>
        <w:righ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109">
    <w:name w:val="xl109"/>
    <w:basedOn w:val="Normal"/>
    <w:rsid w:val="008764A0"/>
    <w:pPr>
      <w:widowControl/>
      <w:pBdr>
        <w:left w:val="single" w:sz="8" w:space="0" w:color="auto"/>
        <w:right w:val="single" w:sz="8" w:space="0" w:color="auto"/>
      </w:pBdr>
      <w:spacing w:before="100" w:beforeAutospacing="1" w:after="100" w:afterAutospacing="1"/>
    </w:pPr>
    <w:rPr>
      <w:sz w:val="16"/>
      <w:szCs w:val="16"/>
      <w:lang w:val="es-GT" w:eastAsia="es-GT"/>
    </w:rPr>
  </w:style>
  <w:style w:type="paragraph" w:customStyle="1" w:styleId="xl110">
    <w:name w:val="xl110"/>
    <w:basedOn w:val="Normal"/>
    <w:rsid w:val="008764A0"/>
    <w:pPr>
      <w:widowControl/>
      <w:pBdr>
        <w:left w:val="single" w:sz="8" w:space="0" w:color="auto"/>
        <w:bottom w:val="double" w:sz="6" w:space="0" w:color="auto"/>
        <w:right w:val="single" w:sz="8" w:space="0" w:color="auto"/>
      </w:pBdr>
      <w:spacing w:before="100" w:beforeAutospacing="1" w:after="100" w:afterAutospacing="1"/>
    </w:pPr>
    <w:rPr>
      <w:sz w:val="16"/>
      <w:szCs w:val="16"/>
      <w:lang w:val="es-GT" w:eastAsia="es-GT"/>
    </w:rPr>
  </w:style>
  <w:style w:type="paragraph" w:customStyle="1" w:styleId="xl111">
    <w:name w:val="xl111"/>
    <w:basedOn w:val="Normal"/>
    <w:rsid w:val="008764A0"/>
    <w:pPr>
      <w:widowControl/>
      <w:spacing w:before="100" w:beforeAutospacing="1" w:after="100" w:afterAutospacing="1"/>
    </w:pPr>
    <w:rPr>
      <w:sz w:val="24"/>
      <w:szCs w:val="24"/>
      <w:lang w:val="es-GT" w:eastAsia="es-GT"/>
    </w:rPr>
  </w:style>
  <w:style w:type="paragraph" w:customStyle="1" w:styleId="xl112">
    <w:name w:val="xl112"/>
    <w:basedOn w:val="Normal"/>
    <w:rsid w:val="008764A0"/>
    <w:pPr>
      <w:widowControl/>
      <w:pBdr>
        <w:left w:val="double" w:sz="6" w:space="0" w:color="auto"/>
        <w:bottom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113">
    <w:name w:val="xl113"/>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114">
    <w:name w:val="xl114"/>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115">
    <w:name w:val="xl115"/>
    <w:basedOn w:val="Normal"/>
    <w:rsid w:val="008764A0"/>
    <w:pPr>
      <w:widowControl/>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lang w:val="es-GT" w:eastAsia="es-GT"/>
    </w:rPr>
  </w:style>
  <w:style w:type="paragraph" w:styleId="NormalWeb">
    <w:name w:val="Normal (Web)"/>
    <w:basedOn w:val="Normal"/>
    <w:uiPriority w:val="99"/>
    <w:unhideWhenUsed/>
    <w:rsid w:val="00711BCD"/>
    <w:pPr>
      <w:widowControl/>
      <w:spacing w:before="100" w:beforeAutospacing="1" w:after="100" w:afterAutospacing="1"/>
    </w:pPr>
    <w:rPr>
      <w:sz w:val="24"/>
      <w:szCs w:val="24"/>
      <w:lang w:val="es-GT" w:eastAsia="es-GT"/>
    </w:rPr>
  </w:style>
  <w:style w:type="paragraph" w:customStyle="1" w:styleId="xl116">
    <w:name w:val="xl116"/>
    <w:basedOn w:val="Normal"/>
    <w:rsid w:val="00774E44"/>
    <w:pPr>
      <w:widowControl/>
      <w:pBdr>
        <w:left w:val="single" w:sz="4" w:space="0" w:color="auto"/>
        <w:right w:val="single" w:sz="4" w:space="0" w:color="auto"/>
      </w:pBdr>
      <w:spacing w:before="100" w:beforeAutospacing="1" w:after="100" w:afterAutospacing="1"/>
      <w:jc w:val="right"/>
    </w:pPr>
    <w:rPr>
      <w:i/>
      <w:iCs/>
      <w:color w:val="000000"/>
      <w:sz w:val="16"/>
      <w:szCs w:val="16"/>
      <w:u w:val="single"/>
      <w:lang w:val="es-GT" w:eastAsia="es-GT"/>
    </w:rPr>
  </w:style>
  <w:style w:type="paragraph" w:customStyle="1" w:styleId="xl117">
    <w:name w:val="xl117"/>
    <w:basedOn w:val="Normal"/>
    <w:rsid w:val="00774E44"/>
    <w:pPr>
      <w:widowControl/>
      <w:pBdr>
        <w:left w:val="single" w:sz="4" w:space="0" w:color="auto"/>
        <w:right w:val="single" w:sz="4" w:space="0" w:color="auto"/>
      </w:pBdr>
      <w:spacing w:before="100" w:beforeAutospacing="1" w:after="100" w:afterAutospacing="1"/>
    </w:pPr>
    <w:rPr>
      <w:i/>
      <w:iCs/>
      <w:sz w:val="16"/>
      <w:szCs w:val="16"/>
      <w:u w:val="single"/>
      <w:lang w:val="es-GT" w:eastAsia="es-GT"/>
    </w:rPr>
  </w:style>
  <w:style w:type="paragraph" w:customStyle="1" w:styleId="xl118">
    <w:name w:val="xl118"/>
    <w:basedOn w:val="Normal"/>
    <w:rsid w:val="00774E44"/>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GT" w:eastAsia="es-GT"/>
    </w:rPr>
  </w:style>
  <w:style w:type="paragraph" w:customStyle="1" w:styleId="xl119">
    <w:name w:val="xl119"/>
    <w:basedOn w:val="Normal"/>
    <w:rsid w:val="00774E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GT" w:eastAsia="es-GT"/>
    </w:rPr>
  </w:style>
  <w:style w:type="paragraph" w:customStyle="1" w:styleId="xl120">
    <w:name w:val="xl120"/>
    <w:basedOn w:val="Normal"/>
    <w:rsid w:val="00774E44"/>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es-GT" w:eastAsia="es-GT"/>
    </w:rPr>
  </w:style>
  <w:style w:type="paragraph" w:customStyle="1" w:styleId="xl121">
    <w:name w:val="xl121"/>
    <w:basedOn w:val="Normal"/>
    <w:rsid w:val="00774E44"/>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b/>
      <w:bCs/>
      <w:color w:val="000000"/>
      <w:sz w:val="16"/>
      <w:szCs w:val="16"/>
      <w:lang w:val="es-GT" w:eastAsia="es-GT"/>
    </w:rPr>
  </w:style>
  <w:style w:type="paragraph" w:customStyle="1" w:styleId="xl122">
    <w:name w:val="xl122"/>
    <w:basedOn w:val="Normal"/>
    <w:rsid w:val="00774E44"/>
    <w:pPr>
      <w:widowControl/>
      <w:pBdr>
        <w:top w:val="double" w:sz="6" w:space="0" w:color="auto"/>
        <w:left w:val="single" w:sz="4" w:space="0" w:color="auto"/>
        <w:right w:val="single" w:sz="4" w:space="0" w:color="auto"/>
      </w:pBdr>
      <w:spacing w:before="100" w:beforeAutospacing="1" w:after="100" w:afterAutospacing="1"/>
      <w:jc w:val="center"/>
    </w:pPr>
    <w:rPr>
      <w:b/>
      <w:bCs/>
      <w:color w:val="000000"/>
      <w:sz w:val="16"/>
      <w:szCs w:val="16"/>
      <w:lang w:val="es-GT" w:eastAsia="es-GT"/>
    </w:rPr>
  </w:style>
  <w:style w:type="paragraph" w:customStyle="1" w:styleId="xl123">
    <w:name w:val="xl123"/>
    <w:basedOn w:val="Normal"/>
    <w:rsid w:val="00774E44"/>
    <w:pPr>
      <w:widowControl/>
      <w:pBdr>
        <w:left w:val="single" w:sz="4" w:space="0" w:color="auto"/>
        <w:bottom w:val="single" w:sz="4" w:space="0" w:color="auto"/>
        <w:right w:val="single" w:sz="4" w:space="0" w:color="auto"/>
      </w:pBdr>
      <w:spacing w:before="100" w:beforeAutospacing="1" w:after="100" w:afterAutospacing="1"/>
      <w:jc w:val="center"/>
    </w:pPr>
    <w:rPr>
      <w:b/>
      <w:bCs/>
      <w:color w:val="000000"/>
      <w:sz w:val="16"/>
      <w:szCs w:val="16"/>
      <w:lang w:val="es-GT" w:eastAsia="es-GT"/>
    </w:rPr>
  </w:style>
  <w:style w:type="paragraph" w:customStyle="1" w:styleId="xl124">
    <w:name w:val="xl124"/>
    <w:basedOn w:val="Normal"/>
    <w:rsid w:val="00774E44"/>
    <w:pPr>
      <w:widowControl/>
      <w:pBdr>
        <w:top w:val="double" w:sz="6"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lang w:val="es-GT" w:eastAsia="es-GT"/>
    </w:rPr>
  </w:style>
  <w:style w:type="paragraph" w:customStyle="1" w:styleId="xl125">
    <w:name w:val="xl125"/>
    <w:basedOn w:val="Normal"/>
    <w:rsid w:val="00774E44"/>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lang w:val="es-GT" w:eastAsia="es-GT"/>
    </w:rPr>
  </w:style>
  <w:style w:type="paragraph" w:styleId="Listaconvietas">
    <w:name w:val="List Bullet"/>
    <w:basedOn w:val="Normal"/>
    <w:uiPriority w:val="99"/>
    <w:unhideWhenUsed/>
    <w:rsid w:val="00AB70BF"/>
    <w:pPr>
      <w:numPr>
        <w:numId w:val="3"/>
      </w:numPr>
      <w:contextualSpacing/>
    </w:pPr>
  </w:style>
  <w:style w:type="table" w:styleId="Sombreadoclaro-nfasis1">
    <w:name w:val="Light Shading Accent 1"/>
    <w:basedOn w:val="Tablanormal"/>
    <w:uiPriority w:val="60"/>
    <w:rsid w:val="00AB70BF"/>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tulodeTDC">
    <w:name w:val="TOC Heading"/>
    <w:basedOn w:val="Ttulo1"/>
    <w:next w:val="Normal"/>
    <w:uiPriority w:val="39"/>
    <w:unhideWhenUsed/>
    <w:qFormat/>
    <w:rsid w:val="00AB70BF"/>
    <w:pPr>
      <w:keepLines/>
      <w:widowControl/>
      <w:spacing w:before="480" w:line="276" w:lineRule="auto"/>
      <w:jc w:val="left"/>
      <w:outlineLvl w:val="9"/>
    </w:pPr>
    <w:rPr>
      <w:rFonts w:asciiTheme="majorHAnsi" w:eastAsiaTheme="majorEastAsia" w:hAnsiTheme="majorHAnsi" w:cstheme="majorBidi"/>
      <w:bCs/>
      <w:color w:val="2F5496" w:themeColor="accent1" w:themeShade="BF"/>
      <w:sz w:val="28"/>
      <w:szCs w:val="28"/>
      <w:lang w:val="es-GT" w:eastAsia="es-GT"/>
    </w:rPr>
  </w:style>
  <w:style w:type="paragraph" w:styleId="TDC2">
    <w:name w:val="toc 2"/>
    <w:basedOn w:val="Normal"/>
    <w:next w:val="Normal"/>
    <w:autoRedefine/>
    <w:uiPriority w:val="39"/>
    <w:unhideWhenUsed/>
    <w:qFormat/>
    <w:rsid w:val="00270ED2"/>
    <w:pPr>
      <w:tabs>
        <w:tab w:val="left" w:pos="880"/>
        <w:tab w:val="right" w:leader="dot" w:pos="9962"/>
      </w:tabs>
      <w:spacing w:after="100"/>
      <w:ind w:left="142"/>
    </w:pPr>
  </w:style>
  <w:style w:type="paragraph" w:styleId="TDC3">
    <w:name w:val="toc 3"/>
    <w:basedOn w:val="Normal"/>
    <w:next w:val="Normal"/>
    <w:autoRedefine/>
    <w:uiPriority w:val="39"/>
    <w:unhideWhenUsed/>
    <w:qFormat/>
    <w:rsid w:val="00621133"/>
    <w:pPr>
      <w:tabs>
        <w:tab w:val="left" w:pos="993"/>
        <w:tab w:val="left" w:pos="1100"/>
        <w:tab w:val="right" w:leader="dot" w:pos="9962"/>
      </w:tabs>
      <w:spacing w:after="100"/>
      <w:ind w:left="142"/>
    </w:pPr>
  </w:style>
  <w:style w:type="paragraph" w:styleId="TDC1">
    <w:name w:val="toc 1"/>
    <w:basedOn w:val="Normal"/>
    <w:next w:val="Normal"/>
    <w:autoRedefine/>
    <w:uiPriority w:val="39"/>
    <w:unhideWhenUsed/>
    <w:qFormat/>
    <w:rsid w:val="000A3EEE"/>
    <w:pPr>
      <w:tabs>
        <w:tab w:val="left" w:pos="400"/>
        <w:tab w:val="left" w:pos="720"/>
        <w:tab w:val="left" w:pos="960"/>
        <w:tab w:val="left" w:pos="1276"/>
        <w:tab w:val="right" w:leader="dot" w:pos="9962"/>
      </w:tabs>
      <w:ind w:left="567" w:hanging="142"/>
    </w:pPr>
    <w:rPr>
      <w:bCs/>
      <w:noProof/>
    </w:rPr>
  </w:style>
  <w:style w:type="character" w:styleId="Textoennegrita">
    <w:name w:val="Strong"/>
    <w:basedOn w:val="Fuentedeprrafopredeter"/>
    <w:uiPriority w:val="22"/>
    <w:qFormat/>
    <w:rsid w:val="00AB70BF"/>
    <w:rPr>
      <w:b/>
      <w:bCs/>
    </w:rPr>
  </w:style>
  <w:style w:type="paragraph" w:customStyle="1" w:styleId="default0">
    <w:name w:val="default"/>
    <w:basedOn w:val="Normal"/>
    <w:rsid w:val="00AB70BF"/>
    <w:pPr>
      <w:widowControl/>
      <w:spacing w:after="150"/>
    </w:pPr>
    <w:rPr>
      <w:sz w:val="24"/>
      <w:szCs w:val="24"/>
      <w:lang w:val="es-GT" w:eastAsia="es-GT"/>
    </w:rPr>
  </w:style>
  <w:style w:type="paragraph" w:styleId="Subttulo">
    <w:name w:val="Subtitle"/>
    <w:basedOn w:val="Normal"/>
    <w:link w:val="SubttuloCar"/>
    <w:uiPriority w:val="11"/>
    <w:qFormat/>
    <w:rsid w:val="00D50E05"/>
    <w:pPr>
      <w:widowControl/>
      <w:jc w:val="both"/>
    </w:pPr>
    <w:rPr>
      <w:rFonts w:ascii="CG Times" w:hAnsi="CG Times"/>
      <w:b/>
      <w:bCs/>
      <w:sz w:val="24"/>
      <w:szCs w:val="24"/>
      <w:lang w:val="es-ES"/>
    </w:rPr>
  </w:style>
  <w:style w:type="character" w:customStyle="1" w:styleId="SubttuloCar">
    <w:name w:val="Subtítulo Car"/>
    <w:basedOn w:val="Fuentedeprrafopredeter"/>
    <w:link w:val="Subttulo"/>
    <w:uiPriority w:val="11"/>
    <w:rsid w:val="00D50E05"/>
    <w:rPr>
      <w:rFonts w:ascii="CG Times" w:eastAsia="Times New Roman" w:hAnsi="CG Times" w:cs="Times New Roman"/>
      <w:b/>
      <w:bCs/>
      <w:szCs w:val="24"/>
      <w:lang w:val="es-ES" w:eastAsia="es-ES"/>
    </w:rPr>
  </w:style>
  <w:style w:type="table" w:customStyle="1" w:styleId="TableNormal1">
    <w:name w:val="Table Normal1"/>
    <w:uiPriority w:val="2"/>
    <w:semiHidden/>
    <w:unhideWhenUsed/>
    <w:qFormat/>
    <w:rsid w:val="00D50E05"/>
    <w:pPr>
      <w:widowControl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0E05"/>
    <w:rPr>
      <w:rFonts w:asciiTheme="minorHAnsi" w:eastAsiaTheme="minorHAnsi" w:hAnsiTheme="minorHAnsi" w:cstheme="minorBidi"/>
      <w:sz w:val="22"/>
      <w:szCs w:val="22"/>
      <w:lang w:val="en-US" w:eastAsia="en-US"/>
    </w:rPr>
  </w:style>
  <w:style w:type="character" w:customStyle="1" w:styleId="TextonotapieCar1">
    <w:name w:val="Texto nota pie Car1"/>
    <w:aliases w:val="ft Car1,ft Car Car1,ft Car Car Car2,Texto nota pie2 Car,ft1 Car,ft Car Car Car1 Car,Texto nota pie Car2 Car,ft Car Car2 Car,ft Car Car Car Car,fn Car,single space Car,footnote text Car,FOOTNOTES Car,Texto nota pie IIRSA Car,F Car"/>
    <w:basedOn w:val="Fuentedeprrafopredeter"/>
    <w:rsid w:val="00D50E05"/>
    <w:rPr>
      <w:rFonts w:ascii="Times New Roman" w:eastAsia="SimSun" w:hAnsi="Times New Roman" w:cs="Times New Roman"/>
      <w:sz w:val="20"/>
      <w:szCs w:val="20"/>
      <w:lang w:val="es-ES"/>
    </w:rPr>
  </w:style>
  <w:style w:type="character" w:customStyle="1" w:styleId="PrrafodelistaCar">
    <w:name w:val="Párrafo de lista Car"/>
    <w:aliases w:val="Párrafo de lista 2 Car,Título PDM Car"/>
    <w:basedOn w:val="Fuentedeprrafopredeter"/>
    <w:link w:val="Prrafodelista"/>
    <w:uiPriority w:val="34"/>
    <w:rsid w:val="00D50E05"/>
    <w:rPr>
      <w:rFonts w:eastAsia="Times New Roman" w:cs="Times New Roman"/>
      <w:sz w:val="20"/>
      <w:szCs w:val="20"/>
      <w:lang w:val="es-ES_tradnl" w:eastAsia="es-ES"/>
    </w:rPr>
  </w:style>
  <w:style w:type="character" w:customStyle="1" w:styleId="None">
    <w:name w:val="None"/>
    <w:rsid w:val="00D50E05"/>
  </w:style>
  <w:style w:type="paragraph" w:customStyle="1" w:styleId="Pa2">
    <w:name w:val="Pa2"/>
    <w:basedOn w:val="Default"/>
    <w:next w:val="Default"/>
    <w:uiPriority w:val="99"/>
    <w:rsid w:val="008C102B"/>
    <w:pPr>
      <w:spacing w:line="241" w:lineRule="atLeast"/>
    </w:pPr>
    <w:rPr>
      <w:rFonts w:ascii="Andada" w:eastAsia="Malgun Gothic" w:hAnsi="Andada" w:cs="Times New Roman"/>
      <w:color w:val="auto"/>
      <w:lang w:eastAsia="es-ES"/>
    </w:rPr>
  </w:style>
  <w:style w:type="paragraph" w:customStyle="1" w:styleId="Pa3">
    <w:name w:val="Pa3"/>
    <w:basedOn w:val="Default"/>
    <w:next w:val="Default"/>
    <w:uiPriority w:val="99"/>
    <w:rsid w:val="008C102B"/>
    <w:pPr>
      <w:spacing w:line="241" w:lineRule="atLeast"/>
    </w:pPr>
    <w:rPr>
      <w:rFonts w:ascii="Andada" w:eastAsia="Malgun Gothic" w:hAnsi="Andada" w:cs="Times New Roman"/>
      <w:color w:val="auto"/>
      <w:lang w:eastAsia="es-ES"/>
    </w:rPr>
  </w:style>
  <w:style w:type="character" w:customStyle="1" w:styleId="A4">
    <w:name w:val="A4"/>
    <w:uiPriority w:val="99"/>
    <w:rsid w:val="008C102B"/>
    <w:rPr>
      <w:rFonts w:cs="Andada"/>
      <w:color w:val="000000"/>
      <w:sz w:val="14"/>
      <w:szCs w:val="14"/>
    </w:rPr>
  </w:style>
  <w:style w:type="paragraph" w:customStyle="1" w:styleId="Pa4">
    <w:name w:val="Pa4"/>
    <w:basedOn w:val="Default"/>
    <w:next w:val="Default"/>
    <w:uiPriority w:val="99"/>
    <w:rsid w:val="008C102B"/>
    <w:pPr>
      <w:spacing w:line="241" w:lineRule="atLeast"/>
    </w:pPr>
    <w:rPr>
      <w:rFonts w:ascii="Andada" w:eastAsia="Malgun Gothic" w:hAnsi="Andada" w:cs="Times New Roman"/>
      <w:color w:val="auto"/>
      <w:lang w:eastAsia="es-ES"/>
    </w:rPr>
  </w:style>
  <w:style w:type="paragraph" w:styleId="HTMLconformatoprevio">
    <w:name w:val="HTML Preformatted"/>
    <w:basedOn w:val="Normal"/>
    <w:link w:val="HTMLconformatoprevioCar"/>
    <w:uiPriority w:val="99"/>
    <w:semiHidden/>
    <w:unhideWhenUsed/>
    <w:rsid w:val="008C1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GT" w:eastAsia="es-GT"/>
    </w:rPr>
  </w:style>
  <w:style w:type="character" w:customStyle="1" w:styleId="HTMLconformatoprevioCar">
    <w:name w:val="HTML con formato previo Car"/>
    <w:basedOn w:val="Fuentedeprrafopredeter"/>
    <w:link w:val="HTMLconformatoprevio"/>
    <w:uiPriority w:val="99"/>
    <w:semiHidden/>
    <w:rsid w:val="008C102B"/>
    <w:rPr>
      <w:rFonts w:ascii="Courier New" w:eastAsia="Times New Roman" w:hAnsi="Courier New" w:cs="Courier New"/>
      <w:sz w:val="20"/>
      <w:szCs w:val="20"/>
      <w:lang w:eastAsia="es-GT"/>
    </w:rPr>
  </w:style>
  <w:style w:type="character" w:customStyle="1" w:styleId="Mencinsinresolver1">
    <w:name w:val="Mención sin resolver1"/>
    <w:basedOn w:val="Fuentedeprrafopredeter"/>
    <w:uiPriority w:val="99"/>
    <w:semiHidden/>
    <w:unhideWhenUsed/>
    <w:rsid w:val="008C102B"/>
    <w:rPr>
      <w:color w:val="605E5C"/>
      <w:shd w:val="clear" w:color="auto" w:fill="E1DFDD"/>
    </w:rPr>
  </w:style>
  <w:style w:type="table" w:customStyle="1" w:styleId="Tablanormal41">
    <w:name w:val="Tabla normal 41"/>
    <w:basedOn w:val="Tablanormal"/>
    <w:uiPriority w:val="44"/>
    <w:rsid w:val="008C102B"/>
    <w:pPr>
      <w:spacing w:after="0" w:line="240" w:lineRule="auto"/>
    </w:pPr>
    <w:rPr>
      <w:rFonts w:ascii="Cambria" w:eastAsia="Malgun Gothic" w:hAnsi="Cambria" w:cs="Times New Roman"/>
      <w:sz w:val="20"/>
      <w:szCs w:val="20"/>
      <w:lang w:eastAsia="es-GT"/>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
    <w:name w:val="Tabla de cuadrícula 4 - Énfasis 11"/>
    <w:basedOn w:val="Tablanormal"/>
    <w:uiPriority w:val="49"/>
    <w:rsid w:val="008C102B"/>
    <w:pPr>
      <w:spacing w:after="0" w:line="240" w:lineRule="auto"/>
    </w:pPr>
    <w:rPr>
      <w:rFonts w:ascii="Cambria" w:eastAsia="Malgun Gothic" w:hAnsi="Cambria" w:cs="Times New Roman"/>
      <w:sz w:val="20"/>
      <w:szCs w:val="20"/>
      <w:lang w:eastAsia="es-GT"/>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sutil">
    <w:name w:val="Subtle Emphasis"/>
    <w:uiPriority w:val="19"/>
    <w:qFormat/>
    <w:rsid w:val="008C102B"/>
    <w:rPr>
      <w:rFonts w:ascii="Times New Roman" w:hAnsi="Times New Roman"/>
    </w:rPr>
  </w:style>
  <w:style w:type="character" w:styleId="Textodelmarcadordeposicin">
    <w:name w:val="Placeholder Text"/>
    <w:basedOn w:val="Fuentedeprrafopredeter"/>
    <w:uiPriority w:val="99"/>
    <w:semiHidden/>
    <w:rsid w:val="008C102B"/>
    <w:rPr>
      <w:color w:val="808080"/>
    </w:rPr>
  </w:style>
  <w:style w:type="table" w:customStyle="1" w:styleId="Tablanormal11">
    <w:name w:val="Tabla normal 11"/>
    <w:basedOn w:val="Tablanormal"/>
    <w:uiPriority w:val="41"/>
    <w:rsid w:val="008C102B"/>
    <w:pPr>
      <w:spacing w:after="0" w:line="240" w:lineRule="auto"/>
    </w:pPr>
    <w:rPr>
      <w:rFonts w:ascii="Cambria" w:eastAsia="Malgun Gothic" w:hAnsi="Cambria" w:cs="Times New Roman"/>
      <w:sz w:val="20"/>
      <w:szCs w:val="20"/>
      <w:lang w:eastAsia="es-GT"/>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tulo11">
    <w:name w:val="Título 11"/>
    <w:basedOn w:val="Normal"/>
    <w:rsid w:val="008C102B"/>
    <w:pPr>
      <w:widowControl/>
      <w:numPr>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21">
    <w:name w:val="Título 21"/>
    <w:basedOn w:val="Normal"/>
    <w:rsid w:val="008C102B"/>
    <w:pPr>
      <w:widowControl/>
      <w:numPr>
        <w:ilvl w:val="1"/>
        <w:numId w:val="4"/>
      </w:numPr>
      <w:spacing w:after="200" w:line="288" w:lineRule="auto"/>
      <w:ind w:left="576"/>
    </w:pPr>
    <w:rPr>
      <w:rFonts w:asciiTheme="minorHAnsi" w:eastAsiaTheme="minorEastAsia" w:hAnsiTheme="minorHAnsi" w:cstheme="minorBidi"/>
      <w:sz w:val="21"/>
      <w:szCs w:val="21"/>
      <w:lang w:val="es-GT" w:eastAsia="en-US"/>
    </w:rPr>
  </w:style>
  <w:style w:type="paragraph" w:customStyle="1" w:styleId="Ttulo31">
    <w:name w:val="Título 31"/>
    <w:basedOn w:val="Normal"/>
    <w:rsid w:val="008C102B"/>
    <w:pPr>
      <w:widowControl/>
      <w:numPr>
        <w:ilvl w:val="2"/>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41">
    <w:name w:val="Título 41"/>
    <w:basedOn w:val="Normal"/>
    <w:rsid w:val="008C102B"/>
    <w:pPr>
      <w:widowControl/>
      <w:numPr>
        <w:ilvl w:val="3"/>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51">
    <w:name w:val="Título 51"/>
    <w:basedOn w:val="Normal"/>
    <w:rsid w:val="008C102B"/>
    <w:pPr>
      <w:widowControl/>
      <w:numPr>
        <w:ilvl w:val="4"/>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61">
    <w:name w:val="Título 61"/>
    <w:basedOn w:val="Normal"/>
    <w:rsid w:val="008C102B"/>
    <w:pPr>
      <w:widowControl/>
      <w:numPr>
        <w:ilvl w:val="5"/>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71">
    <w:name w:val="Título 71"/>
    <w:basedOn w:val="Normal"/>
    <w:rsid w:val="008C102B"/>
    <w:pPr>
      <w:widowControl/>
      <w:numPr>
        <w:ilvl w:val="6"/>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81">
    <w:name w:val="Título 81"/>
    <w:basedOn w:val="Normal"/>
    <w:rsid w:val="008C102B"/>
    <w:pPr>
      <w:widowControl/>
      <w:numPr>
        <w:ilvl w:val="7"/>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91">
    <w:name w:val="Título 91"/>
    <w:basedOn w:val="Normal"/>
    <w:rsid w:val="008C102B"/>
    <w:pPr>
      <w:widowControl/>
      <w:numPr>
        <w:ilvl w:val="8"/>
        <w:numId w:val="4"/>
      </w:numPr>
      <w:spacing w:after="200" w:line="288" w:lineRule="auto"/>
    </w:pPr>
    <w:rPr>
      <w:rFonts w:asciiTheme="minorHAnsi" w:eastAsiaTheme="minorEastAsia" w:hAnsiTheme="minorHAnsi" w:cstheme="minorBidi"/>
      <w:sz w:val="21"/>
      <w:szCs w:val="21"/>
      <w:lang w:val="es-GT" w:eastAsia="en-US"/>
    </w:rPr>
  </w:style>
  <w:style w:type="table" w:customStyle="1" w:styleId="Tablanormal411">
    <w:name w:val="Tabla normal 411"/>
    <w:basedOn w:val="Tablanormal"/>
    <w:uiPriority w:val="44"/>
    <w:rsid w:val="00EA05E6"/>
    <w:pPr>
      <w:spacing w:after="0" w:line="240" w:lineRule="auto"/>
    </w:pPr>
    <w:rPr>
      <w:rFonts w:ascii="Cambria" w:eastAsia="Malgun Gothic" w:hAnsi="Cambria" w:cs="Times New Roman"/>
      <w:sz w:val="20"/>
      <w:szCs w:val="20"/>
      <w:lang w:eastAsia="es-GT"/>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1">
    <w:name w:val="Tabla de cuadrícula 4 - Énfasis 111"/>
    <w:basedOn w:val="Tablanormal"/>
    <w:uiPriority w:val="49"/>
    <w:rsid w:val="00EA05E6"/>
    <w:pPr>
      <w:spacing w:after="0" w:line="240" w:lineRule="auto"/>
    </w:pPr>
    <w:rPr>
      <w:rFonts w:ascii="Cambria" w:eastAsia="Malgun Gothic" w:hAnsi="Cambria" w:cs="Times New Roman"/>
      <w:sz w:val="20"/>
      <w:szCs w:val="20"/>
      <w:lang w:eastAsia="es-GT"/>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normal111">
    <w:name w:val="Tabla normal 111"/>
    <w:basedOn w:val="Tablanormal"/>
    <w:uiPriority w:val="41"/>
    <w:rsid w:val="00EA05E6"/>
    <w:pPr>
      <w:spacing w:after="0" w:line="240" w:lineRule="auto"/>
    </w:pPr>
    <w:rPr>
      <w:rFonts w:ascii="Cambria" w:eastAsia="Malgun Gothic" w:hAnsi="Cambria" w:cs="Times New Roman"/>
      <w:sz w:val="20"/>
      <w:szCs w:val="20"/>
      <w:lang w:eastAsia="es-GT"/>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8A5924"/>
    <w:rPr>
      <w:rFonts w:asciiTheme="minorHAnsi" w:hAnsiTheme="minorHAnsi"/>
      <w:b/>
      <w:i/>
      <w:iCs/>
    </w:rPr>
  </w:style>
  <w:style w:type="paragraph" w:styleId="Cita">
    <w:name w:val="Quote"/>
    <w:basedOn w:val="Normal"/>
    <w:next w:val="Normal"/>
    <w:link w:val="CitaCar"/>
    <w:uiPriority w:val="29"/>
    <w:qFormat/>
    <w:rsid w:val="008A5924"/>
    <w:pPr>
      <w:widowControl/>
    </w:pPr>
    <w:rPr>
      <w:rFonts w:asciiTheme="minorHAnsi" w:eastAsiaTheme="minorEastAsia" w:hAnsiTheme="minorHAnsi"/>
      <w:i/>
      <w:sz w:val="24"/>
      <w:szCs w:val="24"/>
      <w:lang w:val="es-GT" w:eastAsia="en-US"/>
    </w:rPr>
  </w:style>
  <w:style w:type="character" w:customStyle="1" w:styleId="CitaCar">
    <w:name w:val="Cita Car"/>
    <w:basedOn w:val="Fuentedeprrafopredeter"/>
    <w:link w:val="Cita"/>
    <w:uiPriority w:val="29"/>
    <w:rsid w:val="008A5924"/>
    <w:rPr>
      <w:rFonts w:asciiTheme="minorHAnsi" w:eastAsiaTheme="minorEastAsia" w:hAnsiTheme="minorHAnsi" w:cs="Times New Roman"/>
      <w:i/>
      <w:szCs w:val="24"/>
    </w:rPr>
  </w:style>
  <w:style w:type="paragraph" w:styleId="Citadestacada">
    <w:name w:val="Intense Quote"/>
    <w:basedOn w:val="Normal"/>
    <w:next w:val="Normal"/>
    <w:link w:val="CitadestacadaCar"/>
    <w:uiPriority w:val="30"/>
    <w:qFormat/>
    <w:rsid w:val="008A5924"/>
    <w:pPr>
      <w:widowControl/>
      <w:ind w:left="720" w:right="720"/>
    </w:pPr>
    <w:rPr>
      <w:rFonts w:asciiTheme="minorHAnsi" w:eastAsiaTheme="minorEastAsia" w:hAnsiTheme="minorHAnsi"/>
      <w:b/>
      <w:i/>
      <w:sz w:val="24"/>
      <w:szCs w:val="22"/>
      <w:lang w:val="es-GT" w:eastAsia="en-US"/>
    </w:rPr>
  </w:style>
  <w:style w:type="character" w:customStyle="1" w:styleId="CitadestacadaCar">
    <w:name w:val="Cita destacada Car"/>
    <w:basedOn w:val="Fuentedeprrafopredeter"/>
    <w:link w:val="Citadestacada"/>
    <w:uiPriority w:val="30"/>
    <w:rsid w:val="008A5924"/>
    <w:rPr>
      <w:rFonts w:asciiTheme="minorHAnsi" w:eastAsiaTheme="minorEastAsia" w:hAnsiTheme="minorHAnsi" w:cs="Times New Roman"/>
      <w:b/>
      <w:i/>
    </w:rPr>
  </w:style>
  <w:style w:type="character" w:styleId="nfasisintenso">
    <w:name w:val="Intense Emphasis"/>
    <w:basedOn w:val="Fuentedeprrafopredeter"/>
    <w:uiPriority w:val="21"/>
    <w:qFormat/>
    <w:rsid w:val="008A5924"/>
    <w:rPr>
      <w:b/>
      <w:i/>
      <w:sz w:val="24"/>
      <w:szCs w:val="24"/>
      <w:u w:val="single"/>
    </w:rPr>
  </w:style>
  <w:style w:type="character" w:styleId="Referenciasutil">
    <w:name w:val="Subtle Reference"/>
    <w:basedOn w:val="Fuentedeprrafopredeter"/>
    <w:uiPriority w:val="31"/>
    <w:qFormat/>
    <w:rsid w:val="008A5924"/>
    <w:rPr>
      <w:sz w:val="24"/>
      <w:szCs w:val="24"/>
      <w:u w:val="single"/>
    </w:rPr>
  </w:style>
  <w:style w:type="character" w:styleId="Referenciaintensa">
    <w:name w:val="Intense Reference"/>
    <w:basedOn w:val="Fuentedeprrafopredeter"/>
    <w:uiPriority w:val="32"/>
    <w:qFormat/>
    <w:rsid w:val="008A5924"/>
    <w:rPr>
      <w:b/>
      <w:sz w:val="24"/>
      <w:u w:val="single"/>
    </w:rPr>
  </w:style>
  <w:style w:type="character" w:styleId="Ttulodellibro">
    <w:name w:val="Book Title"/>
    <w:basedOn w:val="Fuentedeprrafopredeter"/>
    <w:uiPriority w:val="33"/>
    <w:qFormat/>
    <w:rsid w:val="008A5924"/>
    <w:rPr>
      <w:rFonts w:asciiTheme="majorHAnsi" w:eastAsiaTheme="majorEastAsia" w:hAnsiTheme="majorHAnsi"/>
      <w:b/>
      <w:i/>
      <w:sz w:val="24"/>
      <w:szCs w:val="24"/>
    </w:rPr>
  </w:style>
  <w:style w:type="table" w:customStyle="1" w:styleId="Tabladecuadrcula4-nfasis51">
    <w:name w:val="Tabla de cuadrícula 4 - Énfasis 51"/>
    <w:basedOn w:val="Tablanormal"/>
    <w:uiPriority w:val="49"/>
    <w:rsid w:val="008A5924"/>
    <w:pPr>
      <w:spacing w:after="0" w:line="240" w:lineRule="auto"/>
    </w:pPr>
    <w:rPr>
      <w:rFonts w:asciiTheme="minorHAnsi" w:hAnsiTheme="minorHAnsi"/>
      <w:sz w:val="22"/>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abladeilustraciones">
    <w:name w:val="table of figures"/>
    <w:basedOn w:val="Normal"/>
    <w:next w:val="Normal"/>
    <w:uiPriority w:val="99"/>
    <w:unhideWhenUsed/>
    <w:rsid w:val="008A5924"/>
    <w:pPr>
      <w:widowControl/>
      <w:spacing w:after="60"/>
    </w:pPr>
    <w:rPr>
      <w:rFonts w:eastAsiaTheme="minorEastAsia"/>
      <w:sz w:val="24"/>
      <w:szCs w:val="24"/>
      <w:lang w:val="es-GT" w:eastAsia="en-US"/>
    </w:rPr>
  </w:style>
  <w:style w:type="paragraph" w:styleId="TDC4">
    <w:name w:val="toc 4"/>
    <w:basedOn w:val="Normal"/>
    <w:next w:val="Normal"/>
    <w:autoRedefine/>
    <w:uiPriority w:val="39"/>
    <w:unhideWhenUsed/>
    <w:rsid w:val="008A5924"/>
    <w:pPr>
      <w:widowControl/>
      <w:tabs>
        <w:tab w:val="left" w:pos="1760"/>
        <w:tab w:val="right" w:leader="dot" w:pos="8828"/>
      </w:tabs>
      <w:spacing w:after="100"/>
      <w:ind w:left="720"/>
    </w:pPr>
    <w:rPr>
      <w:rFonts w:eastAsiaTheme="minorEastAsia"/>
      <w:noProof/>
      <w:lang w:val="es-GT" w:eastAsia="en-US"/>
    </w:rPr>
  </w:style>
  <w:style w:type="paragraph" w:styleId="TDC5">
    <w:name w:val="toc 5"/>
    <w:basedOn w:val="Normal"/>
    <w:next w:val="Normal"/>
    <w:autoRedefine/>
    <w:uiPriority w:val="39"/>
    <w:unhideWhenUsed/>
    <w:rsid w:val="008A5924"/>
    <w:pPr>
      <w:widowControl/>
      <w:spacing w:after="100"/>
      <w:ind w:left="960"/>
    </w:pPr>
    <w:rPr>
      <w:rFonts w:asciiTheme="minorHAnsi" w:eastAsiaTheme="minorEastAsia" w:hAnsiTheme="minorHAnsi"/>
      <w:sz w:val="24"/>
      <w:szCs w:val="24"/>
      <w:lang w:val="es-GT" w:eastAsia="en-US"/>
    </w:rPr>
  </w:style>
  <w:style w:type="table" w:styleId="Listaclara-nfasis1">
    <w:name w:val="Light List Accent 1"/>
    <w:basedOn w:val="Tablanormal"/>
    <w:uiPriority w:val="61"/>
    <w:rsid w:val="008A5924"/>
    <w:pPr>
      <w:spacing w:after="0" w:line="240" w:lineRule="auto"/>
    </w:pPr>
    <w:rPr>
      <w:rFonts w:asciiTheme="minorHAnsi" w:hAnsiTheme="minorHAnsi"/>
      <w:sz w:val="22"/>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extonotaalfinal">
    <w:name w:val="endnote text"/>
    <w:basedOn w:val="Normal"/>
    <w:link w:val="TextonotaalfinalCar"/>
    <w:uiPriority w:val="99"/>
    <w:semiHidden/>
    <w:unhideWhenUsed/>
    <w:rsid w:val="00AE116A"/>
  </w:style>
  <w:style w:type="character" w:customStyle="1" w:styleId="TextonotaalfinalCar">
    <w:name w:val="Texto nota al final Car"/>
    <w:basedOn w:val="Fuentedeprrafopredeter"/>
    <w:link w:val="Textonotaalfinal"/>
    <w:uiPriority w:val="99"/>
    <w:semiHidden/>
    <w:rsid w:val="00AE116A"/>
    <w:rPr>
      <w:rFonts w:eastAsia="Times New Roman" w:cs="Times New Roman"/>
      <w:sz w:val="20"/>
      <w:szCs w:val="20"/>
      <w:lang w:val="es-ES_tradnl" w:eastAsia="es-ES"/>
    </w:rPr>
  </w:style>
  <w:style w:type="character" w:styleId="Refdenotaalfinal">
    <w:name w:val="endnote reference"/>
    <w:basedOn w:val="Fuentedeprrafopredeter"/>
    <w:uiPriority w:val="99"/>
    <w:semiHidden/>
    <w:unhideWhenUsed/>
    <w:rsid w:val="00AE116A"/>
    <w:rPr>
      <w:vertAlign w:val="superscript"/>
    </w:rPr>
  </w:style>
  <w:style w:type="table" w:styleId="Cuadrculaclara-nfasis1">
    <w:name w:val="Light Grid Accent 1"/>
    <w:basedOn w:val="Tablanormal"/>
    <w:uiPriority w:val="62"/>
    <w:rsid w:val="00D30644"/>
    <w:pPr>
      <w:spacing w:after="0" w:line="240" w:lineRule="auto"/>
    </w:pPr>
    <w:rPr>
      <w:rFonts w:asciiTheme="minorHAnsi" w:hAnsiTheme="minorHAnsi"/>
      <w:sz w:val="22"/>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ombreadoclaro-nfasis5">
    <w:name w:val="Light Shading Accent 5"/>
    <w:basedOn w:val="Tablanormal"/>
    <w:uiPriority w:val="60"/>
    <w:rsid w:val="00D30644"/>
    <w:pPr>
      <w:spacing w:after="0" w:line="240" w:lineRule="auto"/>
    </w:pPr>
    <w:rPr>
      <w:rFonts w:asciiTheme="minorHAnsi" w:hAnsiTheme="minorHAnsi"/>
      <w:color w:val="2E74B5" w:themeColor="accent5" w:themeShade="BF"/>
      <w:sz w:val="22"/>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BodyText2Sgl">
    <w:name w:val="Body Text 2 Sgl"/>
    <w:basedOn w:val="Normal"/>
    <w:qFormat/>
    <w:rsid w:val="00D30644"/>
    <w:pPr>
      <w:widowControl/>
      <w:spacing w:after="240"/>
      <w:ind w:firstLine="720"/>
    </w:pPr>
    <w:rPr>
      <w:rFonts w:eastAsiaTheme="minorHAnsi" w:cstheme="minorBidi"/>
      <w:szCs w:val="24"/>
      <w:lang w:val="en-US" w:eastAsia="en-US"/>
    </w:rPr>
  </w:style>
  <w:style w:type="paragraph" w:styleId="Revisin">
    <w:name w:val="Revision"/>
    <w:hidden/>
    <w:uiPriority w:val="99"/>
    <w:semiHidden/>
    <w:rsid w:val="00D30644"/>
    <w:pPr>
      <w:spacing w:after="0" w:line="240" w:lineRule="auto"/>
    </w:pPr>
    <w:rPr>
      <w:rFonts w:asciiTheme="minorHAnsi" w:eastAsiaTheme="minorEastAsia" w:hAnsiTheme="minorHAnsi"/>
      <w:szCs w:val="24"/>
      <w:lang w:val="es-ES_tradnl" w:eastAsia="es-ES"/>
    </w:rPr>
  </w:style>
  <w:style w:type="character" w:customStyle="1" w:styleId="mw-headline">
    <w:name w:val="mw-headline"/>
    <w:basedOn w:val="Fuentedeprrafopredeter"/>
    <w:rsid w:val="00D30644"/>
  </w:style>
  <w:style w:type="character" w:customStyle="1" w:styleId="mw-editsection">
    <w:name w:val="mw-editsection"/>
    <w:basedOn w:val="Fuentedeprrafopredeter"/>
    <w:rsid w:val="00D30644"/>
  </w:style>
  <w:style w:type="character" w:customStyle="1" w:styleId="mw-editsection-bracket">
    <w:name w:val="mw-editsection-bracket"/>
    <w:basedOn w:val="Fuentedeprrafopredeter"/>
    <w:rsid w:val="00D30644"/>
  </w:style>
  <w:style w:type="paragraph" w:customStyle="1" w:styleId="print-icon">
    <w:name w:val="print-icon"/>
    <w:basedOn w:val="Normal"/>
    <w:rsid w:val="00D30644"/>
    <w:pPr>
      <w:widowControl/>
      <w:spacing w:before="100" w:beforeAutospacing="1" w:after="100" w:afterAutospacing="1"/>
    </w:pPr>
    <w:rPr>
      <w:sz w:val="24"/>
      <w:szCs w:val="24"/>
      <w:lang w:val="es-MX" w:eastAsia="es-MX"/>
    </w:rPr>
  </w:style>
  <w:style w:type="paragraph" w:customStyle="1" w:styleId="email-icon">
    <w:name w:val="email-icon"/>
    <w:basedOn w:val="Normal"/>
    <w:rsid w:val="00D30644"/>
    <w:pPr>
      <w:widowControl/>
      <w:spacing w:before="100" w:beforeAutospacing="1" w:after="100" w:afterAutospacing="1"/>
    </w:pPr>
    <w:rPr>
      <w:sz w:val="24"/>
      <w:szCs w:val="24"/>
      <w:lang w:val="es-MX" w:eastAsia="es-MX"/>
    </w:rPr>
  </w:style>
  <w:style w:type="paragraph" w:customStyle="1" w:styleId="twli">
    <w:name w:val="twli"/>
    <w:basedOn w:val="Normal"/>
    <w:rsid w:val="00D30644"/>
    <w:pPr>
      <w:widowControl/>
      <w:spacing w:before="100" w:beforeAutospacing="1" w:after="100" w:afterAutospacing="1"/>
    </w:pPr>
    <w:rPr>
      <w:sz w:val="24"/>
      <w:szCs w:val="24"/>
      <w:lang w:val="es-MX" w:eastAsia="es-MX"/>
    </w:rPr>
  </w:style>
  <w:style w:type="paragraph" w:customStyle="1" w:styleId="fbli">
    <w:name w:val="fbli"/>
    <w:basedOn w:val="Normal"/>
    <w:rsid w:val="00D30644"/>
    <w:pPr>
      <w:widowControl/>
      <w:spacing w:before="100" w:beforeAutospacing="1" w:after="100" w:afterAutospacing="1"/>
    </w:pPr>
    <w:rPr>
      <w:sz w:val="24"/>
      <w:szCs w:val="24"/>
      <w:lang w:val="es-MX" w:eastAsia="es-MX"/>
    </w:rPr>
  </w:style>
  <w:style w:type="character" w:customStyle="1" w:styleId="bylinename">
    <w:name w:val="byline__name"/>
    <w:basedOn w:val="Fuentedeprrafopredeter"/>
    <w:rsid w:val="00D30644"/>
  </w:style>
  <w:style w:type="character" w:customStyle="1" w:styleId="bylinetitle">
    <w:name w:val="byline__title"/>
    <w:basedOn w:val="Fuentedeprrafopredeter"/>
    <w:rsid w:val="00D30644"/>
  </w:style>
  <w:style w:type="paragraph" w:customStyle="1" w:styleId="mini-info-listitem">
    <w:name w:val="mini-info-list__item"/>
    <w:basedOn w:val="Normal"/>
    <w:rsid w:val="00D30644"/>
    <w:pPr>
      <w:widowControl/>
      <w:spacing w:before="100" w:beforeAutospacing="1" w:after="100" w:afterAutospacing="1"/>
    </w:pPr>
    <w:rPr>
      <w:sz w:val="24"/>
      <w:szCs w:val="24"/>
      <w:lang w:val="es-MX" w:eastAsia="es-MX"/>
    </w:rPr>
  </w:style>
  <w:style w:type="character" w:customStyle="1" w:styleId="chart-title">
    <w:name w:val="chart-title"/>
    <w:basedOn w:val="Fuentedeprrafopredeter"/>
    <w:rsid w:val="00D30644"/>
  </w:style>
  <w:style w:type="character" w:customStyle="1" w:styleId="sapmtext">
    <w:name w:val="sapmtext"/>
    <w:basedOn w:val="Fuentedeprrafopredeter"/>
    <w:rsid w:val="00D30644"/>
  </w:style>
  <w:style w:type="character" w:customStyle="1" w:styleId="A9">
    <w:name w:val="A9"/>
    <w:uiPriority w:val="99"/>
    <w:rsid w:val="00D30644"/>
    <w:rPr>
      <w:rFonts w:cs="Myriad Pro"/>
      <w:color w:val="000000"/>
      <w:sz w:val="20"/>
      <w:szCs w:val="20"/>
    </w:rPr>
  </w:style>
  <w:style w:type="character" w:customStyle="1" w:styleId="A6">
    <w:name w:val="A6"/>
    <w:uiPriority w:val="99"/>
    <w:rsid w:val="00D30644"/>
    <w:rPr>
      <w:rFonts w:cs="Myriad Pro"/>
      <w:b/>
      <w:bCs/>
      <w:color w:val="000000"/>
      <w:sz w:val="22"/>
      <w:szCs w:val="22"/>
    </w:rPr>
  </w:style>
  <w:style w:type="character" w:customStyle="1" w:styleId="A5">
    <w:name w:val="A5"/>
    <w:uiPriority w:val="99"/>
    <w:rsid w:val="00D30644"/>
    <w:rPr>
      <w:rFonts w:cs="Myriad Pro Cond"/>
      <w:b/>
      <w:bCs/>
      <w:color w:val="000000"/>
      <w:sz w:val="52"/>
      <w:szCs w:val="52"/>
    </w:rPr>
  </w:style>
  <w:style w:type="character" w:customStyle="1" w:styleId="Mencinsinresolver2">
    <w:name w:val="Mención sin resolver2"/>
    <w:basedOn w:val="Fuentedeprrafopredeter"/>
    <w:uiPriority w:val="99"/>
    <w:semiHidden/>
    <w:unhideWhenUsed/>
    <w:rsid w:val="004707AB"/>
    <w:rPr>
      <w:color w:val="605E5C"/>
      <w:shd w:val="clear" w:color="auto" w:fill="E1DFDD"/>
    </w:rPr>
  </w:style>
  <w:style w:type="table" w:customStyle="1" w:styleId="Tablaconcuadrcula1">
    <w:name w:val="Tabla con cuadrícula1"/>
    <w:basedOn w:val="Tablanormal"/>
    <w:next w:val="Tablaconcuadrcula"/>
    <w:uiPriority w:val="39"/>
    <w:rsid w:val="004C5F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grafeCar">
    <w:name w:val="Epígrafe Car"/>
    <w:basedOn w:val="Fuentedeprrafopredeter"/>
    <w:link w:val="Epgrafe"/>
    <w:uiPriority w:val="35"/>
    <w:rsid w:val="001566FA"/>
    <w:rPr>
      <w:rFonts w:eastAsia="Times New Roman" w:cs="Times New Roman"/>
      <w:b/>
      <w:color w:val="0000FF"/>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319">
      <w:bodyDiv w:val="1"/>
      <w:marLeft w:val="0"/>
      <w:marRight w:val="0"/>
      <w:marTop w:val="0"/>
      <w:marBottom w:val="0"/>
      <w:divBdr>
        <w:top w:val="none" w:sz="0" w:space="0" w:color="auto"/>
        <w:left w:val="none" w:sz="0" w:space="0" w:color="auto"/>
        <w:bottom w:val="none" w:sz="0" w:space="0" w:color="auto"/>
        <w:right w:val="none" w:sz="0" w:space="0" w:color="auto"/>
      </w:divBdr>
    </w:div>
    <w:div w:id="26493884">
      <w:bodyDiv w:val="1"/>
      <w:marLeft w:val="0"/>
      <w:marRight w:val="0"/>
      <w:marTop w:val="0"/>
      <w:marBottom w:val="0"/>
      <w:divBdr>
        <w:top w:val="none" w:sz="0" w:space="0" w:color="auto"/>
        <w:left w:val="none" w:sz="0" w:space="0" w:color="auto"/>
        <w:bottom w:val="none" w:sz="0" w:space="0" w:color="auto"/>
        <w:right w:val="none" w:sz="0" w:space="0" w:color="auto"/>
      </w:divBdr>
    </w:div>
    <w:div w:id="28843476">
      <w:bodyDiv w:val="1"/>
      <w:marLeft w:val="0"/>
      <w:marRight w:val="0"/>
      <w:marTop w:val="0"/>
      <w:marBottom w:val="0"/>
      <w:divBdr>
        <w:top w:val="none" w:sz="0" w:space="0" w:color="auto"/>
        <w:left w:val="none" w:sz="0" w:space="0" w:color="auto"/>
        <w:bottom w:val="none" w:sz="0" w:space="0" w:color="auto"/>
        <w:right w:val="none" w:sz="0" w:space="0" w:color="auto"/>
      </w:divBdr>
    </w:div>
    <w:div w:id="36975263">
      <w:bodyDiv w:val="1"/>
      <w:marLeft w:val="0"/>
      <w:marRight w:val="0"/>
      <w:marTop w:val="0"/>
      <w:marBottom w:val="0"/>
      <w:divBdr>
        <w:top w:val="none" w:sz="0" w:space="0" w:color="auto"/>
        <w:left w:val="none" w:sz="0" w:space="0" w:color="auto"/>
        <w:bottom w:val="none" w:sz="0" w:space="0" w:color="auto"/>
        <w:right w:val="none" w:sz="0" w:space="0" w:color="auto"/>
      </w:divBdr>
    </w:div>
    <w:div w:id="46611828">
      <w:bodyDiv w:val="1"/>
      <w:marLeft w:val="0"/>
      <w:marRight w:val="0"/>
      <w:marTop w:val="0"/>
      <w:marBottom w:val="0"/>
      <w:divBdr>
        <w:top w:val="none" w:sz="0" w:space="0" w:color="auto"/>
        <w:left w:val="none" w:sz="0" w:space="0" w:color="auto"/>
        <w:bottom w:val="none" w:sz="0" w:space="0" w:color="auto"/>
        <w:right w:val="none" w:sz="0" w:space="0" w:color="auto"/>
      </w:divBdr>
    </w:div>
    <w:div w:id="47462630">
      <w:bodyDiv w:val="1"/>
      <w:marLeft w:val="0"/>
      <w:marRight w:val="0"/>
      <w:marTop w:val="0"/>
      <w:marBottom w:val="0"/>
      <w:divBdr>
        <w:top w:val="none" w:sz="0" w:space="0" w:color="auto"/>
        <w:left w:val="none" w:sz="0" w:space="0" w:color="auto"/>
        <w:bottom w:val="none" w:sz="0" w:space="0" w:color="auto"/>
        <w:right w:val="none" w:sz="0" w:space="0" w:color="auto"/>
      </w:divBdr>
    </w:div>
    <w:div w:id="70931145">
      <w:bodyDiv w:val="1"/>
      <w:marLeft w:val="0"/>
      <w:marRight w:val="0"/>
      <w:marTop w:val="0"/>
      <w:marBottom w:val="0"/>
      <w:divBdr>
        <w:top w:val="none" w:sz="0" w:space="0" w:color="auto"/>
        <w:left w:val="none" w:sz="0" w:space="0" w:color="auto"/>
        <w:bottom w:val="none" w:sz="0" w:space="0" w:color="auto"/>
        <w:right w:val="none" w:sz="0" w:space="0" w:color="auto"/>
      </w:divBdr>
    </w:div>
    <w:div w:id="78454636">
      <w:bodyDiv w:val="1"/>
      <w:marLeft w:val="0"/>
      <w:marRight w:val="0"/>
      <w:marTop w:val="0"/>
      <w:marBottom w:val="0"/>
      <w:divBdr>
        <w:top w:val="none" w:sz="0" w:space="0" w:color="auto"/>
        <w:left w:val="none" w:sz="0" w:space="0" w:color="auto"/>
        <w:bottom w:val="none" w:sz="0" w:space="0" w:color="auto"/>
        <w:right w:val="none" w:sz="0" w:space="0" w:color="auto"/>
      </w:divBdr>
    </w:div>
    <w:div w:id="84304453">
      <w:bodyDiv w:val="1"/>
      <w:marLeft w:val="0"/>
      <w:marRight w:val="0"/>
      <w:marTop w:val="0"/>
      <w:marBottom w:val="0"/>
      <w:divBdr>
        <w:top w:val="none" w:sz="0" w:space="0" w:color="auto"/>
        <w:left w:val="none" w:sz="0" w:space="0" w:color="auto"/>
        <w:bottom w:val="none" w:sz="0" w:space="0" w:color="auto"/>
        <w:right w:val="none" w:sz="0" w:space="0" w:color="auto"/>
      </w:divBdr>
    </w:div>
    <w:div w:id="93284860">
      <w:bodyDiv w:val="1"/>
      <w:marLeft w:val="0"/>
      <w:marRight w:val="0"/>
      <w:marTop w:val="0"/>
      <w:marBottom w:val="0"/>
      <w:divBdr>
        <w:top w:val="none" w:sz="0" w:space="0" w:color="auto"/>
        <w:left w:val="none" w:sz="0" w:space="0" w:color="auto"/>
        <w:bottom w:val="none" w:sz="0" w:space="0" w:color="auto"/>
        <w:right w:val="none" w:sz="0" w:space="0" w:color="auto"/>
      </w:divBdr>
    </w:div>
    <w:div w:id="104468093">
      <w:bodyDiv w:val="1"/>
      <w:marLeft w:val="0"/>
      <w:marRight w:val="0"/>
      <w:marTop w:val="0"/>
      <w:marBottom w:val="0"/>
      <w:divBdr>
        <w:top w:val="none" w:sz="0" w:space="0" w:color="auto"/>
        <w:left w:val="none" w:sz="0" w:space="0" w:color="auto"/>
        <w:bottom w:val="none" w:sz="0" w:space="0" w:color="auto"/>
        <w:right w:val="none" w:sz="0" w:space="0" w:color="auto"/>
      </w:divBdr>
    </w:div>
    <w:div w:id="120617582">
      <w:bodyDiv w:val="1"/>
      <w:marLeft w:val="0"/>
      <w:marRight w:val="0"/>
      <w:marTop w:val="0"/>
      <w:marBottom w:val="0"/>
      <w:divBdr>
        <w:top w:val="none" w:sz="0" w:space="0" w:color="auto"/>
        <w:left w:val="none" w:sz="0" w:space="0" w:color="auto"/>
        <w:bottom w:val="none" w:sz="0" w:space="0" w:color="auto"/>
        <w:right w:val="none" w:sz="0" w:space="0" w:color="auto"/>
      </w:divBdr>
      <w:divsChild>
        <w:div w:id="4410033">
          <w:marLeft w:val="0"/>
          <w:marRight w:val="0"/>
          <w:marTop w:val="0"/>
          <w:marBottom w:val="0"/>
          <w:divBdr>
            <w:top w:val="none" w:sz="0" w:space="0" w:color="auto"/>
            <w:left w:val="none" w:sz="0" w:space="0" w:color="auto"/>
            <w:bottom w:val="none" w:sz="0" w:space="0" w:color="auto"/>
            <w:right w:val="none" w:sz="0" w:space="0" w:color="auto"/>
          </w:divBdr>
          <w:divsChild>
            <w:div w:id="1069885169">
              <w:marLeft w:val="0"/>
              <w:marRight w:val="0"/>
              <w:marTop w:val="0"/>
              <w:marBottom w:val="0"/>
              <w:divBdr>
                <w:top w:val="none" w:sz="0" w:space="0" w:color="auto"/>
                <w:left w:val="none" w:sz="0" w:space="0" w:color="auto"/>
                <w:bottom w:val="none" w:sz="0" w:space="0" w:color="auto"/>
                <w:right w:val="none" w:sz="0" w:space="0" w:color="auto"/>
              </w:divBdr>
              <w:divsChild>
                <w:div w:id="685208606">
                  <w:marLeft w:val="0"/>
                  <w:marRight w:val="0"/>
                  <w:marTop w:val="0"/>
                  <w:marBottom w:val="0"/>
                  <w:divBdr>
                    <w:top w:val="none" w:sz="0" w:space="0" w:color="auto"/>
                    <w:left w:val="none" w:sz="0" w:space="0" w:color="auto"/>
                    <w:bottom w:val="none" w:sz="0" w:space="0" w:color="auto"/>
                    <w:right w:val="none" w:sz="0" w:space="0" w:color="auto"/>
                  </w:divBdr>
                  <w:divsChild>
                    <w:div w:id="127818559">
                      <w:marLeft w:val="0"/>
                      <w:marRight w:val="0"/>
                      <w:marTop w:val="0"/>
                      <w:marBottom w:val="0"/>
                      <w:divBdr>
                        <w:top w:val="none" w:sz="0" w:space="0" w:color="auto"/>
                        <w:left w:val="none" w:sz="0" w:space="0" w:color="auto"/>
                        <w:bottom w:val="none" w:sz="0" w:space="0" w:color="auto"/>
                        <w:right w:val="none" w:sz="0" w:space="0" w:color="auto"/>
                      </w:divBdr>
                      <w:divsChild>
                        <w:div w:id="220099065">
                          <w:marLeft w:val="0"/>
                          <w:marRight w:val="0"/>
                          <w:marTop w:val="0"/>
                          <w:marBottom w:val="0"/>
                          <w:divBdr>
                            <w:top w:val="none" w:sz="0" w:space="0" w:color="auto"/>
                            <w:left w:val="none" w:sz="0" w:space="0" w:color="auto"/>
                            <w:bottom w:val="none" w:sz="0" w:space="0" w:color="auto"/>
                            <w:right w:val="none" w:sz="0" w:space="0" w:color="auto"/>
                          </w:divBdr>
                          <w:divsChild>
                            <w:div w:id="1407845857">
                              <w:marLeft w:val="0"/>
                              <w:marRight w:val="0"/>
                              <w:marTop w:val="0"/>
                              <w:marBottom w:val="0"/>
                              <w:divBdr>
                                <w:top w:val="none" w:sz="0" w:space="0" w:color="auto"/>
                                <w:left w:val="none" w:sz="0" w:space="0" w:color="auto"/>
                                <w:bottom w:val="none" w:sz="0" w:space="0" w:color="auto"/>
                                <w:right w:val="none" w:sz="0" w:space="0" w:color="auto"/>
                              </w:divBdr>
                              <w:divsChild>
                                <w:div w:id="1890805139">
                                  <w:marLeft w:val="0"/>
                                  <w:marRight w:val="0"/>
                                  <w:marTop w:val="0"/>
                                  <w:marBottom w:val="0"/>
                                  <w:divBdr>
                                    <w:top w:val="none" w:sz="0" w:space="0" w:color="auto"/>
                                    <w:left w:val="none" w:sz="0" w:space="0" w:color="auto"/>
                                    <w:bottom w:val="none" w:sz="0" w:space="0" w:color="auto"/>
                                    <w:right w:val="none" w:sz="0" w:space="0" w:color="auto"/>
                                  </w:divBdr>
                                  <w:divsChild>
                                    <w:div w:id="1800411661">
                                      <w:marLeft w:val="60"/>
                                      <w:marRight w:val="0"/>
                                      <w:marTop w:val="0"/>
                                      <w:marBottom w:val="0"/>
                                      <w:divBdr>
                                        <w:top w:val="none" w:sz="0" w:space="0" w:color="auto"/>
                                        <w:left w:val="none" w:sz="0" w:space="0" w:color="auto"/>
                                        <w:bottom w:val="none" w:sz="0" w:space="0" w:color="auto"/>
                                        <w:right w:val="none" w:sz="0" w:space="0" w:color="auto"/>
                                      </w:divBdr>
                                      <w:divsChild>
                                        <w:div w:id="737747316">
                                          <w:marLeft w:val="0"/>
                                          <w:marRight w:val="0"/>
                                          <w:marTop w:val="0"/>
                                          <w:marBottom w:val="0"/>
                                          <w:divBdr>
                                            <w:top w:val="none" w:sz="0" w:space="0" w:color="auto"/>
                                            <w:left w:val="none" w:sz="0" w:space="0" w:color="auto"/>
                                            <w:bottom w:val="none" w:sz="0" w:space="0" w:color="auto"/>
                                            <w:right w:val="none" w:sz="0" w:space="0" w:color="auto"/>
                                          </w:divBdr>
                                          <w:divsChild>
                                            <w:div w:id="385757916">
                                              <w:marLeft w:val="0"/>
                                              <w:marRight w:val="0"/>
                                              <w:marTop w:val="0"/>
                                              <w:marBottom w:val="120"/>
                                              <w:divBdr>
                                                <w:top w:val="single" w:sz="6" w:space="0" w:color="F5F5F5"/>
                                                <w:left w:val="single" w:sz="6" w:space="0" w:color="F5F5F5"/>
                                                <w:bottom w:val="single" w:sz="6" w:space="0" w:color="F5F5F5"/>
                                                <w:right w:val="single" w:sz="6" w:space="0" w:color="F5F5F5"/>
                                              </w:divBdr>
                                              <w:divsChild>
                                                <w:div w:id="1820267292">
                                                  <w:marLeft w:val="0"/>
                                                  <w:marRight w:val="0"/>
                                                  <w:marTop w:val="0"/>
                                                  <w:marBottom w:val="0"/>
                                                  <w:divBdr>
                                                    <w:top w:val="none" w:sz="0" w:space="0" w:color="auto"/>
                                                    <w:left w:val="none" w:sz="0" w:space="0" w:color="auto"/>
                                                    <w:bottom w:val="none" w:sz="0" w:space="0" w:color="auto"/>
                                                    <w:right w:val="none" w:sz="0" w:space="0" w:color="auto"/>
                                                  </w:divBdr>
                                                  <w:divsChild>
                                                    <w:div w:id="8707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50160">
      <w:bodyDiv w:val="1"/>
      <w:marLeft w:val="0"/>
      <w:marRight w:val="0"/>
      <w:marTop w:val="0"/>
      <w:marBottom w:val="0"/>
      <w:divBdr>
        <w:top w:val="none" w:sz="0" w:space="0" w:color="auto"/>
        <w:left w:val="none" w:sz="0" w:space="0" w:color="auto"/>
        <w:bottom w:val="none" w:sz="0" w:space="0" w:color="auto"/>
        <w:right w:val="none" w:sz="0" w:space="0" w:color="auto"/>
      </w:divBdr>
    </w:div>
    <w:div w:id="217939351">
      <w:bodyDiv w:val="1"/>
      <w:marLeft w:val="0"/>
      <w:marRight w:val="0"/>
      <w:marTop w:val="0"/>
      <w:marBottom w:val="0"/>
      <w:divBdr>
        <w:top w:val="none" w:sz="0" w:space="0" w:color="auto"/>
        <w:left w:val="none" w:sz="0" w:space="0" w:color="auto"/>
        <w:bottom w:val="none" w:sz="0" w:space="0" w:color="auto"/>
        <w:right w:val="none" w:sz="0" w:space="0" w:color="auto"/>
      </w:divBdr>
    </w:div>
    <w:div w:id="259533499">
      <w:bodyDiv w:val="1"/>
      <w:marLeft w:val="0"/>
      <w:marRight w:val="0"/>
      <w:marTop w:val="0"/>
      <w:marBottom w:val="0"/>
      <w:divBdr>
        <w:top w:val="none" w:sz="0" w:space="0" w:color="auto"/>
        <w:left w:val="none" w:sz="0" w:space="0" w:color="auto"/>
        <w:bottom w:val="none" w:sz="0" w:space="0" w:color="auto"/>
        <w:right w:val="none" w:sz="0" w:space="0" w:color="auto"/>
      </w:divBdr>
    </w:div>
    <w:div w:id="293027647">
      <w:bodyDiv w:val="1"/>
      <w:marLeft w:val="0"/>
      <w:marRight w:val="0"/>
      <w:marTop w:val="0"/>
      <w:marBottom w:val="0"/>
      <w:divBdr>
        <w:top w:val="none" w:sz="0" w:space="0" w:color="auto"/>
        <w:left w:val="none" w:sz="0" w:space="0" w:color="auto"/>
        <w:bottom w:val="none" w:sz="0" w:space="0" w:color="auto"/>
        <w:right w:val="none" w:sz="0" w:space="0" w:color="auto"/>
      </w:divBdr>
    </w:div>
    <w:div w:id="320043745">
      <w:bodyDiv w:val="1"/>
      <w:marLeft w:val="0"/>
      <w:marRight w:val="0"/>
      <w:marTop w:val="0"/>
      <w:marBottom w:val="0"/>
      <w:divBdr>
        <w:top w:val="none" w:sz="0" w:space="0" w:color="auto"/>
        <w:left w:val="none" w:sz="0" w:space="0" w:color="auto"/>
        <w:bottom w:val="none" w:sz="0" w:space="0" w:color="auto"/>
        <w:right w:val="none" w:sz="0" w:space="0" w:color="auto"/>
      </w:divBdr>
    </w:div>
    <w:div w:id="346635988">
      <w:bodyDiv w:val="1"/>
      <w:marLeft w:val="0"/>
      <w:marRight w:val="0"/>
      <w:marTop w:val="0"/>
      <w:marBottom w:val="0"/>
      <w:divBdr>
        <w:top w:val="none" w:sz="0" w:space="0" w:color="auto"/>
        <w:left w:val="none" w:sz="0" w:space="0" w:color="auto"/>
        <w:bottom w:val="none" w:sz="0" w:space="0" w:color="auto"/>
        <w:right w:val="none" w:sz="0" w:space="0" w:color="auto"/>
      </w:divBdr>
      <w:divsChild>
        <w:div w:id="1037966434">
          <w:marLeft w:val="360"/>
          <w:marRight w:val="0"/>
          <w:marTop w:val="200"/>
          <w:marBottom w:val="0"/>
          <w:divBdr>
            <w:top w:val="none" w:sz="0" w:space="0" w:color="auto"/>
            <w:left w:val="none" w:sz="0" w:space="0" w:color="auto"/>
            <w:bottom w:val="none" w:sz="0" w:space="0" w:color="auto"/>
            <w:right w:val="none" w:sz="0" w:space="0" w:color="auto"/>
          </w:divBdr>
        </w:div>
        <w:div w:id="1048721200">
          <w:marLeft w:val="360"/>
          <w:marRight w:val="0"/>
          <w:marTop w:val="200"/>
          <w:marBottom w:val="0"/>
          <w:divBdr>
            <w:top w:val="none" w:sz="0" w:space="0" w:color="auto"/>
            <w:left w:val="none" w:sz="0" w:space="0" w:color="auto"/>
            <w:bottom w:val="none" w:sz="0" w:space="0" w:color="auto"/>
            <w:right w:val="none" w:sz="0" w:space="0" w:color="auto"/>
          </w:divBdr>
        </w:div>
        <w:div w:id="1130783992">
          <w:marLeft w:val="360"/>
          <w:marRight w:val="0"/>
          <w:marTop w:val="200"/>
          <w:marBottom w:val="0"/>
          <w:divBdr>
            <w:top w:val="none" w:sz="0" w:space="0" w:color="auto"/>
            <w:left w:val="none" w:sz="0" w:space="0" w:color="auto"/>
            <w:bottom w:val="none" w:sz="0" w:space="0" w:color="auto"/>
            <w:right w:val="none" w:sz="0" w:space="0" w:color="auto"/>
          </w:divBdr>
        </w:div>
      </w:divsChild>
    </w:div>
    <w:div w:id="375618931">
      <w:bodyDiv w:val="1"/>
      <w:marLeft w:val="0"/>
      <w:marRight w:val="0"/>
      <w:marTop w:val="0"/>
      <w:marBottom w:val="0"/>
      <w:divBdr>
        <w:top w:val="none" w:sz="0" w:space="0" w:color="auto"/>
        <w:left w:val="none" w:sz="0" w:space="0" w:color="auto"/>
        <w:bottom w:val="none" w:sz="0" w:space="0" w:color="auto"/>
        <w:right w:val="none" w:sz="0" w:space="0" w:color="auto"/>
      </w:divBdr>
    </w:div>
    <w:div w:id="384835675">
      <w:bodyDiv w:val="1"/>
      <w:marLeft w:val="0"/>
      <w:marRight w:val="0"/>
      <w:marTop w:val="0"/>
      <w:marBottom w:val="0"/>
      <w:divBdr>
        <w:top w:val="none" w:sz="0" w:space="0" w:color="auto"/>
        <w:left w:val="none" w:sz="0" w:space="0" w:color="auto"/>
        <w:bottom w:val="none" w:sz="0" w:space="0" w:color="auto"/>
        <w:right w:val="none" w:sz="0" w:space="0" w:color="auto"/>
      </w:divBdr>
    </w:div>
    <w:div w:id="390617092">
      <w:bodyDiv w:val="1"/>
      <w:marLeft w:val="0"/>
      <w:marRight w:val="0"/>
      <w:marTop w:val="0"/>
      <w:marBottom w:val="0"/>
      <w:divBdr>
        <w:top w:val="none" w:sz="0" w:space="0" w:color="auto"/>
        <w:left w:val="none" w:sz="0" w:space="0" w:color="auto"/>
        <w:bottom w:val="none" w:sz="0" w:space="0" w:color="auto"/>
        <w:right w:val="none" w:sz="0" w:space="0" w:color="auto"/>
      </w:divBdr>
    </w:div>
    <w:div w:id="460735300">
      <w:bodyDiv w:val="1"/>
      <w:marLeft w:val="0"/>
      <w:marRight w:val="0"/>
      <w:marTop w:val="0"/>
      <w:marBottom w:val="0"/>
      <w:divBdr>
        <w:top w:val="none" w:sz="0" w:space="0" w:color="auto"/>
        <w:left w:val="none" w:sz="0" w:space="0" w:color="auto"/>
        <w:bottom w:val="none" w:sz="0" w:space="0" w:color="auto"/>
        <w:right w:val="none" w:sz="0" w:space="0" w:color="auto"/>
      </w:divBdr>
    </w:div>
    <w:div w:id="464734323">
      <w:bodyDiv w:val="1"/>
      <w:marLeft w:val="0"/>
      <w:marRight w:val="0"/>
      <w:marTop w:val="0"/>
      <w:marBottom w:val="0"/>
      <w:divBdr>
        <w:top w:val="none" w:sz="0" w:space="0" w:color="auto"/>
        <w:left w:val="none" w:sz="0" w:space="0" w:color="auto"/>
        <w:bottom w:val="none" w:sz="0" w:space="0" w:color="auto"/>
        <w:right w:val="none" w:sz="0" w:space="0" w:color="auto"/>
      </w:divBdr>
    </w:div>
    <w:div w:id="496118866">
      <w:bodyDiv w:val="1"/>
      <w:marLeft w:val="0"/>
      <w:marRight w:val="0"/>
      <w:marTop w:val="0"/>
      <w:marBottom w:val="0"/>
      <w:divBdr>
        <w:top w:val="none" w:sz="0" w:space="0" w:color="auto"/>
        <w:left w:val="none" w:sz="0" w:space="0" w:color="auto"/>
        <w:bottom w:val="none" w:sz="0" w:space="0" w:color="auto"/>
        <w:right w:val="none" w:sz="0" w:space="0" w:color="auto"/>
      </w:divBdr>
    </w:div>
    <w:div w:id="506946504">
      <w:bodyDiv w:val="1"/>
      <w:marLeft w:val="0"/>
      <w:marRight w:val="0"/>
      <w:marTop w:val="0"/>
      <w:marBottom w:val="0"/>
      <w:divBdr>
        <w:top w:val="none" w:sz="0" w:space="0" w:color="auto"/>
        <w:left w:val="none" w:sz="0" w:space="0" w:color="auto"/>
        <w:bottom w:val="none" w:sz="0" w:space="0" w:color="auto"/>
        <w:right w:val="none" w:sz="0" w:space="0" w:color="auto"/>
      </w:divBdr>
    </w:div>
    <w:div w:id="520094774">
      <w:bodyDiv w:val="1"/>
      <w:marLeft w:val="0"/>
      <w:marRight w:val="0"/>
      <w:marTop w:val="0"/>
      <w:marBottom w:val="0"/>
      <w:divBdr>
        <w:top w:val="none" w:sz="0" w:space="0" w:color="auto"/>
        <w:left w:val="none" w:sz="0" w:space="0" w:color="auto"/>
        <w:bottom w:val="none" w:sz="0" w:space="0" w:color="auto"/>
        <w:right w:val="none" w:sz="0" w:space="0" w:color="auto"/>
      </w:divBdr>
    </w:div>
    <w:div w:id="560143521">
      <w:bodyDiv w:val="1"/>
      <w:marLeft w:val="0"/>
      <w:marRight w:val="0"/>
      <w:marTop w:val="0"/>
      <w:marBottom w:val="0"/>
      <w:divBdr>
        <w:top w:val="none" w:sz="0" w:space="0" w:color="auto"/>
        <w:left w:val="none" w:sz="0" w:space="0" w:color="auto"/>
        <w:bottom w:val="none" w:sz="0" w:space="0" w:color="auto"/>
        <w:right w:val="none" w:sz="0" w:space="0" w:color="auto"/>
      </w:divBdr>
    </w:div>
    <w:div w:id="577903038">
      <w:bodyDiv w:val="1"/>
      <w:marLeft w:val="0"/>
      <w:marRight w:val="0"/>
      <w:marTop w:val="0"/>
      <w:marBottom w:val="0"/>
      <w:divBdr>
        <w:top w:val="none" w:sz="0" w:space="0" w:color="auto"/>
        <w:left w:val="none" w:sz="0" w:space="0" w:color="auto"/>
        <w:bottom w:val="none" w:sz="0" w:space="0" w:color="auto"/>
        <w:right w:val="none" w:sz="0" w:space="0" w:color="auto"/>
      </w:divBdr>
      <w:divsChild>
        <w:div w:id="1623806759">
          <w:marLeft w:val="547"/>
          <w:marRight w:val="0"/>
          <w:marTop w:val="86"/>
          <w:marBottom w:val="0"/>
          <w:divBdr>
            <w:top w:val="none" w:sz="0" w:space="0" w:color="auto"/>
            <w:left w:val="none" w:sz="0" w:space="0" w:color="auto"/>
            <w:bottom w:val="none" w:sz="0" w:space="0" w:color="auto"/>
            <w:right w:val="none" w:sz="0" w:space="0" w:color="auto"/>
          </w:divBdr>
        </w:div>
      </w:divsChild>
    </w:div>
    <w:div w:id="601835876">
      <w:bodyDiv w:val="1"/>
      <w:marLeft w:val="0"/>
      <w:marRight w:val="0"/>
      <w:marTop w:val="0"/>
      <w:marBottom w:val="0"/>
      <w:divBdr>
        <w:top w:val="none" w:sz="0" w:space="0" w:color="auto"/>
        <w:left w:val="none" w:sz="0" w:space="0" w:color="auto"/>
        <w:bottom w:val="none" w:sz="0" w:space="0" w:color="auto"/>
        <w:right w:val="none" w:sz="0" w:space="0" w:color="auto"/>
      </w:divBdr>
    </w:div>
    <w:div w:id="602080372">
      <w:bodyDiv w:val="1"/>
      <w:marLeft w:val="0"/>
      <w:marRight w:val="0"/>
      <w:marTop w:val="0"/>
      <w:marBottom w:val="0"/>
      <w:divBdr>
        <w:top w:val="none" w:sz="0" w:space="0" w:color="auto"/>
        <w:left w:val="none" w:sz="0" w:space="0" w:color="auto"/>
        <w:bottom w:val="none" w:sz="0" w:space="0" w:color="auto"/>
        <w:right w:val="none" w:sz="0" w:space="0" w:color="auto"/>
      </w:divBdr>
    </w:div>
    <w:div w:id="609749156">
      <w:bodyDiv w:val="1"/>
      <w:marLeft w:val="0"/>
      <w:marRight w:val="0"/>
      <w:marTop w:val="0"/>
      <w:marBottom w:val="0"/>
      <w:divBdr>
        <w:top w:val="none" w:sz="0" w:space="0" w:color="auto"/>
        <w:left w:val="none" w:sz="0" w:space="0" w:color="auto"/>
        <w:bottom w:val="none" w:sz="0" w:space="0" w:color="auto"/>
        <w:right w:val="none" w:sz="0" w:space="0" w:color="auto"/>
      </w:divBdr>
    </w:div>
    <w:div w:id="629628759">
      <w:bodyDiv w:val="1"/>
      <w:marLeft w:val="0"/>
      <w:marRight w:val="0"/>
      <w:marTop w:val="0"/>
      <w:marBottom w:val="0"/>
      <w:divBdr>
        <w:top w:val="none" w:sz="0" w:space="0" w:color="auto"/>
        <w:left w:val="none" w:sz="0" w:space="0" w:color="auto"/>
        <w:bottom w:val="none" w:sz="0" w:space="0" w:color="auto"/>
        <w:right w:val="none" w:sz="0" w:space="0" w:color="auto"/>
      </w:divBdr>
    </w:div>
    <w:div w:id="633220302">
      <w:bodyDiv w:val="1"/>
      <w:marLeft w:val="0"/>
      <w:marRight w:val="0"/>
      <w:marTop w:val="0"/>
      <w:marBottom w:val="0"/>
      <w:divBdr>
        <w:top w:val="none" w:sz="0" w:space="0" w:color="auto"/>
        <w:left w:val="none" w:sz="0" w:space="0" w:color="auto"/>
        <w:bottom w:val="none" w:sz="0" w:space="0" w:color="auto"/>
        <w:right w:val="none" w:sz="0" w:space="0" w:color="auto"/>
      </w:divBdr>
    </w:div>
    <w:div w:id="645933457">
      <w:bodyDiv w:val="1"/>
      <w:marLeft w:val="0"/>
      <w:marRight w:val="0"/>
      <w:marTop w:val="0"/>
      <w:marBottom w:val="0"/>
      <w:divBdr>
        <w:top w:val="none" w:sz="0" w:space="0" w:color="auto"/>
        <w:left w:val="none" w:sz="0" w:space="0" w:color="auto"/>
        <w:bottom w:val="none" w:sz="0" w:space="0" w:color="auto"/>
        <w:right w:val="none" w:sz="0" w:space="0" w:color="auto"/>
      </w:divBdr>
      <w:divsChild>
        <w:div w:id="86198770">
          <w:marLeft w:val="360"/>
          <w:marRight w:val="0"/>
          <w:marTop w:val="200"/>
          <w:marBottom w:val="0"/>
          <w:divBdr>
            <w:top w:val="none" w:sz="0" w:space="0" w:color="auto"/>
            <w:left w:val="none" w:sz="0" w:space="0" w:color="auto"/>
            <w:bottom w:val="none" w:sz="0" w:space="0" w:color="auto"/>
            <w:right w:val="none" w:sz="0" w:space="0" w:color="auto"/>
          </w:divBdr>
        </w:div>
        <w:div w:id="1895848216">
          <w:marLeft w:val="360"/>
          <w:marRight w:val="0"/>
          <w:marTop w:val="200"/>
          <w:marBottom w:val="0"/>
          <w:divBdr>
            <w:top w:val="none" w:sz="0" w:space="0" w:color="auto"/>
            <w:left w:val="none" w:sz="0" w:space="0" w:color="auto"/>
            <w:bottom w:val="none" w:sz="0" w:space="0" w:color="auto"/>
            <w:right w:val="none" w:sz="0" w:space="0" w:color="auto"/>
          </w:divBdr>
        </w:div>
        <w:div w:id="2145540680">
          <w:marLeft w:val="360"/>
          <w:marRight w:val="0"/>
          <w:marTop w:val="200"/>
          <w:marBottom w:val="0"/>
          <w:divBdr>
            <w:top w:val="none" w:sz="0" w:space="0" w:color="auto"/>
            <w:left w:val="none" w:sz="0" w:space="0" w:color="auto"/>
            <w:bottom w:val="none" w:sz="0" w:space="0" w:color="auto"/>
            <w:right w:val="none" w:sz="0" w:space="0" w:color="auto"/>
          </w:divBdr>
        </w:div>
      </w:divsChild>
    </w:div>
    <w:div w:id="667907903">
      <w:bodyDiv w:val="1"/>
      <w:marLeft w:val="0"/>
      <w:marRight w:val="0"/>
      <w:marTop w:val="0"/>
      <w:marBottom w:val="0"/>
      <w:divBdr>
        <w:top w:val="none" w:sz="0" w:space="0" w:color="auto"/>
        <w:left w:val="none" w:sz="0" w:space="0" w:color="auto"/>
        <w:bottom w:val="none" w:sz="0" w:space="0" w:color="auto"/>
        <w:right w:val="none" w:sz="0" w:space="0" w:color="auto"/>
      </w:divBdr>
    </w:div>
    <w:div w:id="673535863">
      <w:bodyDiv w:val="1"/>
      <w:marLeft w:val="0"/>
      <w:marRight w:val="0"/>
      <w:marTop w:val="0"/>
      <w:marBottom w:val="0"/>
      <w:divBdr>
        <w:top w:val="none" w:sz="0" w:space="0" w:color="auto"/>
        <w:left w:val="none" w:sz="0" w:space="0" w:color="auto"/>
        <w:bottom w:val="none" w:sz="0" w:space="0" w:color="auto"/>
        <w:right w:val="none" w:sz="0" w:space="0" w:color="auto"/>
      </w:divBdr>
    </w:div>
    <w:div w:id="696388802">
      <w:bodyDiv w:val="1"/>
      <w:marLeft w:val="0"/>
      <w:marRight w:val="0"/>
      <w:marTop w:val="0"/>
      <w:marBottom w:val="0"/>
      <w:divBdr>
        <w:top w:val="none" w:sz="0" w:space="0" w:color="auto"/>
        <w:left w:val="none" w:sz="0" w:space="0" w:color="auto"/>
        <w:bottom w:val="none" w:sz="0" w:space="0" w:color="auto"/>
        <w:right w:val="none" w:sz="0" w:space="0" w:color="auto"/>
      </w:divBdr>
    </w:div>
    <w:div w:id="730345227">
      <w:bodyDiv w:val="1"/>
      <w:marLeft w:val="0"/>
      <w:marRight w:val="0"/>
      <w:marTop w:val="0"/>
      <w:marBottom w:val="0"/>
      <w:divBdr>
        <w:top w:val="none" w:sz="0" w:space="0" w:color="auto"/>
        <w:left w:val="none" w:sz="0" w:space="0" w:color="auto"/>
        <w:bottom w:val="none" w:sz="0" w:space="0" w:color="auto"/>
        <w:right w:val="none" w:sz="0" w:space="0" w:color="auto"/>
      </w:divBdr>
    </w:div>
    <w:div w:id="750005612">
      <w:bodyDiv w:val="1"/>
      <w:marLeft w:val="0"/>
      <w:marRight w:val="0"/>
      <w:marTop w:val="0"/>
      <w:marBottom w:val="0"/>
      <w:divBdr>
        <w:top w:val="none" w:sz="0" w:space="0" w:color="auto"/>
        <w:left w:val="none" w:sz="0" w:space="0" w:color="auto"/>
        <w:bottom w:val="none" w:sz="0" w:space="0" w:color="auto"/>
        <w:right w:val="none" w:sz="0" w:space="0" w:color="auto"/>
      </w:divBdr>
    </w:div>
    <w:div w:id="751778733">
      <w:bodyDiv w:val="1"/>
      <w:marLeft w:val="0"/>
      <w:marRight w:val="0"/>
      <w:marTop w:val="0"/>
      <w:marBottom w:val="0"/>
      <w:divBdr>
        <w:top w:val="none" w:sz="0" w:space="0" w:color="auto"/>
        <w:left w:val="none" w:sz="0" w:space="0" w:color="auto"/>
        <w:bottom w:val="none" w:sz="0" w:space="0" w:color="auto"/>
        <w:right w:val="none" w:sz="0" w:space="0" w:color="auto"/>
      </w:divBdr>
      <w:divsChild>
        <w:div w:id="1256549398">
          <w:marLeft w:val="547"/>
          <w:marRight w:val="0"/>
          <w:marTop w:val="0"/>
          <w:marBottom w:val="0"/>
          <w:divBdr>
            <w:top w:val="none" w:sz="0" w:space="0" w:color="auto"/>
            <w:left w:val="none" w:sz="0" w:space="0" w:color="auto"/>
            <w:bottom w:val="none" w:sz="0" w:space="0" w:color="auto"/>
            <w:right w:val="none" w:sz="0" w:space="0" w:color="auto"/>
          </w:divBdr>
        </w:div>
      </w:divsChild>
    </w:div>
    <w:div w:id="790199745">
      <w:bodyDiv w:val="1"/>
      <w:marLeft w:val="0"/>
      <w:marRight w:val="0"/>
      <w:marTop w:val="0"/>
      <w:marBottom w:val="0"/>
      <w:divBdr>
        <w:top w:val="none" w:sz="0" w:space="0" w:color="auto"/>
        <w:left w:val="none" w:sz="0" w:space="0" w:color="auto"/>
        <w:bottom w:val="none" w:sz="0" w:space="0" w:color="auto"/>
        <w:right w:val="none" w:sz="0" w:space="0" w:color="auto"/>
      </w:divBdr>
    </w:div>
    <w:div w:id="804591636">
      <w:bodyDiv w:val="1"/>
      <w:marLeft w:val="0"/>
      <w:marRight w:val="0"/>
      <w:marTop w:val="0"/>
      <w:marBottom w:val="0"/>
      <w:divBdr>
        <w:top w:val="none" w:sz="0" w:space="0" w:color="auto"/>
        <w:left w:val="none" w:sz="0" w:space="0" w:color="auto"/>
        <w:bottom w:val="none" w:sz="0" w:space="0" w:color="auto"/>
        <w:right w:val="none" w:sz="0" w:space="0" w:color="auto"/>
      </w:divBdr>
    </w:div>
    <w:div w:id="809522081">
      <w:bodyDiv w:val="1"/>
      <w:marLeft w:val="0"/>
      <w:marRight w:val="0"/>
      <w:marTop w:val="0"/>
      <w:marBottom w:val="0"/>
      <w:divBdr>
        <w:top w:val="none" w:sz="0" w:space="0" w:color="auto"/>
        <w:left w:val="none" w:sz="0" w:space="0" w:color="auto"/>
        <w:bottom w:val="none" w:sz="0" w:space="0" w:color="auto"/>
        <w:right w:val="none" w:sz="0" w:space="0" w:color="auto"/>
      </w:divBdr>
    </w:div>
    <w:div w:id="820660625">
      <w:bodyDiv w:val="1"/>
      <w:marLeft w:val="0"/>
      <w:marRight w:val="0"/>
      <w:marTop w:val="0"/>
      <w:marBottom w:val="0"/>
      <w:divBdr>
        <w:top w:val="none" w:sz="0" w:space="0" w:color="auto"/>
        <w:left w:val="none" w:sz="0" w:space="0" w:color="auto"/>
        <w:bottom w:val="none" w:sz="0" w:space="0" w:color="auto"/>
        <w:right w:val="none" w:sz="0" w:space="0" w:color="auto"/>
      </w:divBdr>
    </w:div>
    <w:div w:id="829518740">
      <w:bodyDiv w:val="1"/>
      <w:marLeft w:val="0"/>
      <w:marRight w:val="0"/>
      <w:marTop w:val="0"/>
      <w:marBottom w:val="0"/>
      <w:divBdr>
        <w:top w:val="none" w:sz="0" w:space="0" w:color="auto"/>
        <w:left w:val="none" w:sz="0" w:space="0" w:color="auto"/>
        <w:bottom w:val="none" w:sz="0" w:space="0" w:color="auto"/>
        <w:right w:val="none" w:sz="0" w:space="0" w:color="auto"/>
      </w:divBdr>
    </w:div>
    <w:div w:id="851997416">
      <w:bodyDiv w:val="1"/>
      <w:marLeft w:val="0"/>
      <w:marRight w:val="0"/>
      <w:marTop w:val="0"/>
      <w:marBottom w:val="0"/>
      <w:divBdr>
        <w:top w:val="none" w:sz="0" w:space="0" w:color="auto"/>
        <w:left w:val="none" w:sz="0" w:space="0" w:color="auto"/>
        <w:bottom w:val="none" w:sz="0" w:space="0" w:color="auto"/>
        <w:right w:val="none" w:sz="0" w:space="0" w:color="auto"/>
      </w:divBdr>
    </w:div>
    <w:div w:id="858617432">
      <w:bodyDiv w:val="1"/>
      <w:marLeft w:val="0"/>
      <w:marRight w:val="0"/>
      <w:marTop w:val="0"/>
      <w:marBottom w:val="0"/>
      <w:divBdr>
        <w:top w:val="none" w:sz="0" w:space="0" w:color="auto"/>
        <w:left w:val="none" w:sz="0" w:space="0" w:color="auto"/>
        <w:bottom w:val="none" w:sz="0" w:space="0" w:color="auto"/>
        <w:right w:val="none" w:sz="0" w:space="0" w:color="auto"/>
      </w:divBdr>
    </w:div>
    <w:div w:id="861405662">
      <w:bodyDiv w:val="1"/>
      <w:marLeft w:val="0"/>
      <w:marRight w:val="0"/>
      <w:marTop w:val="0"/>
      <w:marBottom w:val="0"/>
      <w:divBdr>
        <w:top w:val="none" w:sz="0" w:space="0" w:color="auto"/>
        <w:left w:val="none" w:sz="0" w:space="0" w:color="auto"/>
        <w:bottom w:val="none" w:sz="0" w:space="0" w:color="auto"/>
        <w:right w:val="none" w:sz="0" w:space="0" w:color="auto"/>
      </w:divBdr>
    </w:div>
    <w:div w:id="871191237">
      <w:bodyDiv w:val="1"/>
      <w:marLeft w:val="0"/>
      <w:marRight w:val="0"/>
      <w:marTop w:val="0"/>
      <w:marBottom w:val="0"/>
      <w:divBdr>
        <w:top w:val="none" w:sz="0" w:space="0" w:color="auto"/>
        <w:left w:val="none" w:sz="0" w:space="0" w:color="auto"/>
        <w:bottom w:val="none" w:sz="0" w:space="0" w:color="auto"/>
        <w:right w:val="none" w:sz="0" w:space="0" w:color="auto"/>
      </w:divBdr>
      <w:divsChild>
        <w:div w:id="21447089">
          <w:marLeft w:val="1440"/>
          <w:marRight w:val="0"/>
          <w:marTop w:val="0"/>
          <w:marBottom w:val="0"/>
          <w:divBdr>
            <w:top w:val="none" w:sz="0" w:space="0" w:color="auto"/>
            <w:left w:val="none" w:sz="0" w:space="0" w:color="auto"/>
            <w:bottom w:val="none" w:sz="0" w:space="0" w:color="auto"/>
            <w:right w:val="none" w:sz="0" w:space="0" w:color="auto"/>
          </w:divBdr>
        </w:div>
        <w:div w:id="836534235">
          <w:marLeft w:val="1440"/>
          <w:marRight w:val="0"/>
          <w:marTop w:val="0"/>
          <w:marBottom w:val="0"/>
          <w:divBdr>
            <w:top w:val="none" w:sz="0" w:space="0" w:color="auto"/>
            <w:left w:val="none" w:sz="0" w:space="0" w:color="auto"/>
            <w:bottom w:val="none" w:sz="0" w:space="0" w:color="auto"/>
            <w:right w:val="none" w:sz="0" w:space="0" w:color="auto"/>
          </w:divBdr>
        </w:div>
        <w:div w:id="1394619757">
          <w:marLeft w:val="1440"/>
          <w:marRight w:val="0"/>
          <w:marTop w:val="0"/>
          <w:marBottom w:val="0"/>
          <w:divBdr>
            <w:top w:val="none" w:sz="0" w:space="0" w:color="auto"/>
            <w:left w:val="none" w:sz="0" w:space="0" w:color="auto"/>
            <w:bottom w:val="none" w:sz="0" w:space="0" w:color="auto"/>
            <w:right w:val="none" w:sz="0" w:space="0" w:color="auto"/>
          </w:divBdr>
        </w:div>
        <w:div w:id="1549074510">
          <w:marLeft w:val="1440"/>
          <w:marRight w:val="0"/>
          <w:marTop w:val="0"/>
          <w:marBottom w:val="0"/>
          <w:divBdr>
            <w:top w:val="none" w:sz="0" w:space="0" w:color="auto"/>
            <w:left w:val="none" w:sz="0" w:space="0" w:color="auto"/>
            <w:bottom w:val="none" w:sz="0" w:space="0" w:color="auto"/>
            <w:right w:val="none" w:sz="0" w:space="0" w:color="auto"/>
          </w:divBdr>
        </w:div>
        <w:div w:id="1564021390">
          <w:marLeft w:val="1440"/>
          <w:marRight w:val="0"/>
          <w:marTop w:val="0"/>
          <w:marBottom w:val="0"/>
          <w:divBdr>
            <w:top w:val="none" w:sz="0" w:space="0" w:color="auto"/>
            <w:left w:val="none" w:sz="0" w:space="0" w:color="auto"/>
            <w:bottom w:val="none" w:sz="0" w:space="0" w:color="auto"/>
            <w:right w:val="none" w:sz="0" w:space="0" w:color="auto"/>
          </w:divBdr>
        </w:div>
      </w:divsChild>
    </w:div>
    <w:div w:id="893588881">
      <w:bodyDiv w:val="1"/>
      <w:marLeft w:val="0"/>
      <w:marRight w:val="0"/>
      <w:marTop w:val="0"/>
      <w:marBottom w:val="0"/>
      <w:divBdr>
        <w:top w:val="none" w:sz="0" w:space="0" w:color="auto"/>
        <w:left w:val="none" w:sz="0" w:space="0" w:color="auto"/>
        <w:bottom w:val="none" w:sz="0" w:space="0" w:color="auto"/>
        <w:right w:val="none" w:sz="0" w:space="0" w:color="auto"/>
      </w:divBdr>
    </w:div>
    <w:div w:id="901525500">
      <w:bodyDiv w:val="1"/>
      <w:marLeft w:val="0"/>
      <w:marRight w:val="0"/>
      <w:marTop w:val="0"/>
      <w:marBottom w:val="0"/>
      <w:divBdr>
        <w:top w:val="none" w:sz="0" w:space="0" w:color="auto"/>
        <w:left w:val="none" w:sz="0" w:space="0" w:color="auto"/>
        <w:bottom w:val="none" w:sz="0" w:space="0" w:color="auto"/>
        <w:right w:val="none" w:sz="0" w:space="0" w:color="auto"/>
      </w:divBdr>
    </w:div>
    <w:div w:id="901601597">
      <w:bodyDiv w:val="1"/>
      <w:marLeft w:val="0"/>
      <w:marRight w:val="0"/>
      <w:marTop w:val="0"/>
      <w:marBottom w:val="0"/>
      <w:divBdr>
        <w:top w:val="none" w:sz="0" w:space="0" w:color="auto"/>
        <w:left w:val="none" w:sz="0" w:space="0" w:color="auto"/>
        <w:bottom w:val="none" w:sz="0" w:space="0" w:color="auto"/>
        <w:right w:val="none" w:sz="0" w:space="0" w:color="auto"/>
      </w:divBdr>
    </w:div>
    <w:div w:id="904150059">
      <w:bodyDiv w:val="1"/>
      <w:marLeft w:val="0"/>
      <w:marRight w:val="0"/>
      <w:marTop w:val="0"/>
      <w:marBottom w:val="0"/>
      <w:divBdr>
        <w:top w:val="none" w:sz="0" w:space="0" w:color="auto"/>
        <w:left w:val="none" w:sz="0" w:space="0" w:color="auto"/>
        <w:bottom w:val="none" w:sz="0" w:space="0" w:color="auto"/>
        <w:right w:val="none" w:sz="0" w:space="0" w:color="auto"/>
      </w:divBdr>
    </w:div>
    <w:div w:id="922907744">
      <w:bodyDiv w:val="1"/>
      <w:marLeft w:val="0"/>
      <w:marRight w:val="0"/>
      <w:marTop w:val="0"/>
      <w:marBottom w:val="0"/>
      <w:divBdr>
        <w:top w:val="none" w:sz="0" w:space="0" w:color="auto"/>
        <w:left w:val="none" w:sz="0" w:space="0" w:color="auto"/>
        <w:bottom w:val="none" w:sz="0" w:space="0" w:color="auto"/>
        <w:right w:val="none" w:sz="0" w:space="0" w:color="auto"/>
      </w:divBdr>
    </w:div>
    <w:div w:id="933634795">
      <w:bodyDiv w:val="1"/>
      <w:marLeft w:val="0"/>
      <w:marRight w:val="0"/>
      <w:marTop w:val="0"/>
      <w:marBottom w:val="0"/>
      <w:divBdr>
        <w:top w:val="none" w:sz="0" w:space="0" w:color="auto"/>
        <w:left w:val="none" w:sz="0" w:space="0" w:color="auto"/>
        <w:bottom w:val="none" w:sz="0" w:space="0" w:color="auto"/>
        <w:right w:val="none" w:sz="0" w:space="0" w:color="auto"/>
      </w:divBdr>
      <w:divsChild>
        <w:div w:id="1023441740">
          <w:marLeft w:val="0"/>
          <w:marRight w:val="0"/>
          <w:marTop w:val="0"/>
          <w:marBottom w:val="0"/>
          <w:divBdr>
            <w:top w:val="none" w:sz="0" w:space="0" w:color="auto"/>
            <w:left w:val="none" w:sz="0" w:space="0" w:color="auto"/>
            <w:bottom w:val="none" w:sz="0" w:space="0" w:color="auto"/>
            <w:right w:val="none" w:sz="0" w:space="0" w:color="auto"/>
          </w:divBdr>
          <w:divsChild>
            <w:div w:id="1248804490">
              <w:marLeft w:val="0"/>
              <w:marRight w:val="0"/>
              <w:marTop w:val="0"/>
              <w:marBottom w:val="0"/>
              <w:divBdr>
                <w:top w:val="none" w:sz="0" w:space="0" w:color="auto"/>
                <w:left w:val="none" w:sz="0" w:space="0" w:color="auto"/>
                <w:bottom w:val="none" w:sz="0" w:space="0" w:color="auto"/>
                <w:right w:val="none" w:sz="0" w:space="0" w:color="auto"/>
              </w:divBdr>
              <w:divsChild>
                <w:div w:id="1766733239">
                  <w:marLeft w:val="0"/>
                  <w:marRight w:val="0"/>
                  <w:marTop w:val="0"/>
                  <w:marBottom w:val="0"/>
                  <w:divBdr>
                    <w:top w:val="none" w:sz="0" w:space="0" w:color="auto"/>
                    <w:left w:val="none" w:sz="0" w:space="0" w:color="auto"/>
                    <w:bottom w:val="none" w:sz="0" w:space="0" w:color="auto"/>
                    <w:right w:val="none" w:sz="0" w:space="0" w:color="auto"/>
                  </w:divBdr>
                  <w:divsChild>
                    <w:div w:id="405734873">
                      <w:marLeft w:val="0"/>
                      <w:marRight w:val="0"/>
                      <w:marTop w:val="0"/>
                      <w:marBottom w:val="0"/>
                      <w:divBdr>
                        <w:top w:val="none" w:sz="0" w:space="0" w:color="auto"/>
                        <w:left w:val="none" w:sz="0" w:space="0" w:color="auto"/>
                        <w:bottom w:val="none" w:sz="0" w:space="0" w:color="auto"/>
                        <w:right w:val="none" w:sz="0" w:space="0" w:color="auto"/>
                      </w:divBdr>
                      <w:divsChild>
                        <w:div w:id="1719236473">
                          <w:marLeft w:val="0"/>
                          <w:marRight w:val="0"/>
                          <w:marTop w:val="0"/>
                          <w:marBottom w:val="0"/>
                          <w:divBdr>
                            <w:top w:val="none" w:sz="0" w:space="0" w:color="auto"/>
                            <w:left w:val="none" w:sz="0" w:space="0" w:color="auto"/>
                            <w:bottom w:val="none" w:sz="0" w:space="0" w:color="auto"/>
                            <w:right w:val="none" w:sz="0" w:space="0" w:color="auto"/>
                          </w:divBdr>
                          <w:divsChild>
                            <w:div w:id="2003121562">
                              <w:marLeft w:val="0"/>
                              <w:marRight w:val="0"/>
                              <w:marTop w:val="0"/>
                              <w:marBottom w:val="0"/>
                              <w:divBdr>
                                <w:top w:val="none" w:sz="0" w:space="0" w:color="auto"/>
                                <w:left w:val="none" w:sz="0" w:space="0" w:color="auto"/>
                                <w:bottom w:val="none" w:sz="0" w:space="0" w:color="auto"/>
                                <w:right w:val="none" w:sz="0" w:space="0" w:color="auto"/>
                              </w:divBdr>
                              <w:divsChild>
                                <w:div w:id="429786629">
                                  <w:marLeft w:val="0"/>
                                  <w:marRight w:val="0"/>
                                  <w:marTop w:val="0"/>
                                  <w:marBottom w:val="0"/>
                                  <w:divBdr>
                                    <w:top w:val="none" w:sz="0" w:space="0" w:color="auto"/>
                                    <w:left w:val="none" w:sz="0" w:space="0" w:color="auto"/>
                                    <w:bottom w:val="none" w:sz="0" w:space="0" w:color="auto"/>
                                    <w:right w:val="none" w:sz="0" w:space="0" w:color="auto"/>
                                  </w:divBdr>
                                  <w:divsChild>
                                    <w:div w:id="1008750938">
                                      <w:marLeft w:val="60"/>
                                      <w:marRight w:val="0"/>
                                      <w:marTop w:val="0"/>
                                      <w:marBottom w:val="0"/>
                                      <w:divBdr>
                                        <w:top w:val="none" w:sz="0" w:space="0" w:color="auto"/>
                                        <w:left w:val="none" w:sz="0" w:space="0" w:color="auto"/>
                                        <w:bottom w:val="none" w:sz="0" w:space="0" w:color="auto"/>
                                        <w:right w:val="none" w:sz="0" w:space="0" w:color="auto"/>
                                      </w:divBdr>
                                      <w:divsChild>
                                        <w:div w:id="2139951901">
                                          <w:marLeft w:val="0"/>
                                          <w:marRight w:val="0"/>
                                          <w:marTop w:val="0"/>
                                          <w:marBottom w:val="0"/>
                                          <w:divBdr>
                                            <w:top w:val="none" w:sz="0" w:space="0" w:color="auto"/>
                                            <w:left w:val="none" w:sz="0" w:space="0" w:color="auto"/>
                                            <w:bottom w:val="none" w:sz="0" w:space="0" w:color="auto"/>
                                            <w:right w:val="none" w:sz="0" w:space="0" w:color="auto"/>
                                          </w:divBdr>
                                          <w:divsChild>
                                            <w:div w:id="1167284687">
                                              <w:marLeft w:val="0"/>
                                              <w:marRight w:val="0"/>
                                              <w:marTop w:val="0"/>
                                              <w:marBottom w:val="120"/>
                                              <w:divBdr>
                                                <w:top w:val="single" w:sz="6" w:space="0" w:color="F5F5F5"/>
                                                <w:left w:val="single" w:sz="6" w:space="0" w:color="F5F5F5"/>
                                                <w:bottom w:val="single" w:sz="6" w:space="0" w:color="F5F5F5"/>
                                                <w:right w:val="single" w:sz="6" w:space="0" w:color="F5F5F5"/>
                                              </w:divBdr>
                                              <w:divsChild>
                                                <w:div w:id="518004096">
                                                  <w:marLeft w:val="0"/>
                                                  <w:marRight w:val="0"/>
                                                  <w:marTop w:val="0"/>
                                                  <w:marBottom w:val="0"/>
                                                  <w:divBdr>
                                                    <w:top w:val="none" w:sz="0" w:space="0" w:color="auto"/>
                                                    <w:left w:val="none" w:sz="0" w:space="0" w:color="auto"/>
                                                    <w:bottom w:val="none" w:sz="0" w:space="0" w:color="auto"/>
                                                    <w:right w:val="none" w:sz="0" w:space="0" w:color="auto"/>
                                                  </w:divBdr>
                                                  <w:divsChild>
                                                    <w:div w:id="1348213205">
                                                      <w:marLeft w:val="0"/>
                                                      <w:marRight w:val="0"/>
                                                      <w:marTop w:val="0"/>
                                                      <w:marBottom w:val="0"/>
                                                      <w:divBdr>
                                                        <w:top w:val="none" w:sz="0" w:space="0" w:color="auto"/>
                                                        <w:left w:val="none" w:sz="0" w:space="0" w:color="auto"/>
                                                        <w:bottom w:val="none" w:sz="0" w:space="0" w:color="auto"/>
                                                        <w:right w:val="none" w:sz="0" w:space="0" w:color="auto"/>
                                                      </w:divBdr>
                                                    </w:div>
                                                  </w:divsChild>
                                                </w:div>
                                                <w:div w:id="724136249">
                                                  <w:marLeft w:val="0"/>
                                                  <w:marRight w:val="0"/>
                                                  <w:marTop w:val="0"/>
                                                  <w:marBottom w:val="0"/>
                                                  <w:divBdr>
                                                    <w:top w:val="none" w:sz="0" w:space="0" w:color="auto"/>
                                                    <w:left w:val="none" w:sz="0" w:space="0" w:color="auto"/>
                                                    <w:bottom w:val="none" w:sz="0" w:space="0" w:color="auto"/>
                                                    <w:right w:val="none" w:sz="0" w:space="0" w:color="auto"/>
                                                  </w:divBdr>
                                                  <w:divsChild>
                                                    <w:div w:id="1316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8485793">
      <w:bodyDiv w:val="1"/>
      <w:marLeft w:val="0"/>
      <w:marRight w:val="0"/>
      <w:marTop w:val="0"/>
      <w:marBottom w:val="0"/>
      <w:divBdr>
        <w:top w:val="none" w:sz="0" w:space="0" w:color="auto"/>
        <w:left w:val="none" w:sz="0" w:space="0" w:color="auto"/>
        <w:bottom w:val="none" w:sz="0" w:space="0" w:color="auto"/>
        <w:right w:val="none" w:sz="0" w:space="0" w:color="auto"/>
      </w:divBdr>
    </w:div>
    <w:div w:id="938639262">
      <w:bodyDiv w:val="1"/>
      <w:marLeft w:val="0"/>
      <w:marRight w:val="0"/>
      <w:marTop w:val="0"/>
      <w:marBottom w:val="0"/>
      <w:divBdr>
        <w:top w:val="none" w:sz="0" w:space="0" w:color="auto"/>
        <w:left w:val="none" w:sz="0" w:space="0" w:color="auto"/>
        <w:bottom w:val="none" w:sz="0" w:space="0" w:color="auto"/>
        <w:right w:val="none" w:sz="0" w:space="0" w:color="auto"/>
      </w:divBdr>
      <w:divsChild>
        <w:div w:id="868907562">
          <w:marLeft w:val="547"/>
          <w:marRight w:val="0"/>
          <w:marTop w:val="86"/>
          <w:marBottom w:val="0"/>
          <w:divBdr>
            <w:top w:val="none" w:sz="0" w:space="0" w:color="auto"/>
            <w:left w:val="none" w:sz="0" w:space="0" w:color="auto"/>
            <w:bottom w:val="none" w:sz="0" w:space="0" w:color="auto"/>
            <w:right w:val="none" w:sz="0" w:space="0" w:color="auto"/>
          </w:divBdr>
        </w:div>
      </w:divsChild>
    </w:div>
    <w:div w:id="949244792">
      <w:bodyDiv w:val="1"/>
      <w:marLeft w:val="0"/>
      <w:marRight w:val="0"/>
      <w:marTop w:val="0"/>
      <w:marBottom w:val="0"/>
      <w:divBdr>
        <w:top w:val="none" w:sz="0" w:space="0" w:color="auto"/>
        <w:left w:val="none" w:sz="0" w:space="0" w:color="auto"/>
        <w:bottom w:val="none" w:sz="0" w:space="0" w:color="auto"/>
        <w:right w:val="none" w:sz="0" w:space="0" w:color="auto"/>
      </w:divBdr>
    </w:div>
    <w:div w:id="966357348">
      <w:bodyDiv w:val="1"/>
      <w:marLeft w:val="0"/>
      <w:marRight w:val="0"/>
      <w:marTop w:val="0"/>
      <w:marBottom w:val="0"/>
      <w:divBdr>
        <w:top w:val="none" w:sz="0" w:space="0" w:color="auto"/>
        <w:left w:val="none" w:sz="0" w:space="0" w:color="auto"/>
        <w:bottom w:val="none" w:sz="0" w:space="0" w:color="auto"/>
        <w:right w:val="none" w:sz="0" w:space="0" w:color="auto"/>
      </w:divBdr>
    </w:div>
    <w:div w:id="1039671287">
      <w:bodyDiv w:val="1"/>
      <w:marLeft w:val="0"/>
      <w:marRight w:val="0"/>
      <w:marTop w:val="0"/>
      <w:marBottom w:val="0"/>
      <w:divBdr>
        <w:top w:val="none" w:sz="0" w:space="0" w:color="auto"/>
        <w:left w:val="none" w:sz="0" w:space="0" w:color="auto"/>
        <w:bottom w:val="none" w:sz="0" w:space="0" w:color="auto"/>
        <w:right w:val="none" w:sz="0" w:space="0" w:color="auto"/>
      </w:divBdr>
    </w:div>
    <w:div w:id="1044333053">
      <w:bodyDiv w:val="1"/>
      <w:marLeft w:val="0"/>
      <w:marRight w:val="0"/>
      <w:marTop w:val="0"/>
      <w:marBottom w:val="0"/>
      <w:divBdr>
        <w:top w:val="none" w:sz="0" w:space="0" w:color="auto"/>
        <w:left w:val="none" w:sz="0" w:space="0" w:color="auto"/>
        <w:bottom w:val="none" w:sz="0" w:space="0" w:color="auto"/>
        <w:right w:val="none" w:sz="0" w:space="0" w:color="auto"/>
      </w:divBdr>
    </w:div>
    <w:div w:id="1066104694">
      <w:bodyDiv w:val="1"/>
      <w:marLeft w:val="0"/>
      <w:marRight w:val="0"/>
      <w:marTop w:val="0"/>
      <w:marBottom w:val="0"/>
      <w:divBdr>
        <w:top w:val="none" w:sz="0" w:space="0" w:color="auto"/>
        <w:left w:val="none" w:sz="0" w:space="0" w:color="auto"/>
        <w:bottom w:val="none" w:sz="0" w:space="0" w:color="auto"/>
        <w:right w:val="none" w:sz="0" w:space="0" w:color="auto"/>
      </w:divBdr>
    </w:div>
    <w:div w:id="1074856777">
      <w:bodyDiv w:val="1"/>
      <w:marLeft w:val="0"/>
      <w:marRight w:val="0"/>
      <w:marTop w:val="0"/>
      <w:marBottom w:val="0"/>
      <w:divBdr>
        <w:top w:val="none" w:sz="0" w:space="0" w:color="auto"/>
        <w:left w:val="none" w:sz="0" w:space="0" w:color="auto"/>
        <w:bottom w:val="none" w:sz="0" w:space="0" w:color="auto"/>
        <w:right w:val="none" w:sz="0" w:space="0" w:color="auto"/>
      </w:divBdr>
    </w:div>
    <w:div w:id="1079138236">
      <w:bodyDiv w:val="1"/>
      <w:marLeft w:val="0"/>
      <w:marRight w:val="0"/>
      <w:marTop w:val="0"/>
      <w:marBottom w:val="0"/>
      <w:divBdr>
        <w:top w:val="none" w:sz="0" w:space="0" w:color="auto"/>
        <w:left w:val="none" w:sz="0" w:space="0" w:color="auto"/>
        <w:bottom w:val="none" w:sz="0" w:space="0" w:color="auto"/>
        <w:right w:val="none" w:sz="0" w:space="0" w:color="auto"/>
      </w:divBdr>
    </w:div>
    <w:div w:id="1082683439">
      <w:bodyDiv w:val="1"/>
      <w:marLeft w:val="0"/>
      <w:marRight w:val="0"/>
      <w:marTop w:val="0"/>
      <w:marBottom w:val="0"/>
      <w:divBdr>
        <w:top w:val="none" w:sz="0" w:space="0" w:color="auto"/>
        <w:left w:val="none" w:sz="0" w:space="0" w:color="auto"/>
        <w:bottom w:val="none" w:sz="0" w:space="0" w:color="auto"/>
        <w:right w:val="none" w:sz="0" w:space="0" w:color="auto"/>
      </w:divBdr>
      <w:divsChild>
        <w:div w:id="2032684746">
          <w:marLeft w:val="547"/>
          <w:marRight w:val="0"/>
          <w:marTop w:val="86"/>
          <w:marBottom w:val="0"/>
          <w:divBdr>
            <w:top w:val="none" w:sz="0" w:space="0" w:color="auto"/>
            <w:left w:val="none" w:sz="0" w:space="0" w:color="auto"/>
            <w:bottom w:val="none" w:sz="0" w:space="0" w:color="auto"/>
            <w:right w:val="none" w:sz="0" w:space="0" w:color="auto"/>
          </w:divBdr>
        </w:div>
      </w:divsChild>
    </w:div>
    <w:div w:id="1084765109">
      <w:bodyDiv w:val="1"/>
      <w:marLeft w:val="0"/>
      <w:marRight w:val="0"/>
      <w:marTop w:val="0"/>
      <w:marBottom w:val="0"/>
      <w:divBdr>
        <w:top w:val="none" w:sz="0" w:space="0" w:color="auto"/>
        <w:left w:val="none" w:sz="0" w:space="0" w:color="auto"/>
        <w:bottom w:val="none" w:sz="0" w:space="0" w:color="auto"/>
        <w:right w:val="none" w:sz="0" w:space="0" w:color="auto"/>
      </w:divBdr>
    </w:div>
    <w:div w:id="1102602509">
      <w:bodyDiv w:val="1"/>
      <w:marLeft w:val="0"/>
      <w:marRight w:val="0"/>
      <w:marTop w:val="0"/>
      <w:marBottom w:val="0"/>
      <w:divBdr>
        <w:top w:val="none" w:sz="0" w:space="0" w:color="auto"/>
        <w:left w:val="none" w:sz="0" w:space="0" w:color="auto"/>
        <w:bottom w:val="none" w:sz="0" w:space="0" w:color="auto"/>
        <w:right w:val="none" w:sz="0" w:space="0" w:color="auto"/>
      </w:divBdr>
    </w:div>
    <w:div w:id="1123577246">
      <w:bodyDiv w:val="1"/>
      <w:marLeft w:val="0"/>
      <w:marRight w:val="0"/>
      <w:marTop w:val="0"/>
      <w:marBottom w:val="0"/>
      <w:divBdr>
        <w:top w:val="none" w:sz="0" w:space="0" w:color="auto"/>
        <w:left w:val="none" w:sz="0" w:space="0" w:color="auto"/>
        <w:bottom w:val="none" w:sz="0" w:space="0" w:color="auto"/>
        <w:right w:val="none" w:sz="0" w:space="0" w:color="auto"/>
      </w:divBdr>
    </w:div>
    <w:div w:id="1147087961">
      <w:bodyDiv w:val="1"/>
      <w:marLeft w:val="0"/>
      <w:marRight w:val="0"/>
      <w:marTop w:val="0"/>
      <w:marBottom w:val="0"/>
      <w:divBdr>
        <w:top w:val="none" w:sz="0" w:space="0" w:color="auto"/>
        <w:left w:val="none" w:sz="0" w:space="0" w:color="auto"/>
        <w:bottom w:val="none" w:sz="0" w:space="0" w:color="auto"/>
        <w:right w:val="none" w:sz="0" w:space="0" w:color="auto"/>
      </w:divBdr>
    </w:div>
    <w:div w:id="1161579754">
      <w:bodyDiv w:val="1"/>
      <w:marLeft w:val="0"/>
      <w:marRight w:val="0"/>
      <w:marTop w:val="0"/>
      <w:marBottom w:val="0"/>
      <w:divBdr>
        <w:top w:val="none" w:sz="0" w:space="0" w:color="auto"/>
        <w:left w:val="none" w:sz="0" w:space="0" w:color="auto"/>
        <w:bottom w:val="none" w:sz="0" w:space="0" w:color="auto"/>
        <w:right w:val="none" w:sz="0" w:space="0" w:color="auto"/>
      </w:divBdr>
    </w:div>
    <w:div w:id="1222516450">
      <w:bodyDiv w:val="1"/>
      <w:marLeft w:val="0"/>
      <w:marRight w:val="0"/>
      <w:marTop w:val="0"/>
      <w:marBottom w:val="0"/>
      <w:divBdr>
        <w:top w:val="none" w:sz="0" w:space="0" w:color="auto"/>
        <w:left w:val="none" w:sz="0" w:space="0" w:color="auto"/>
        <w:bottom w:val="none" w:sz="0" w:space="0" w:color="auto"/>
        <w:right w:val="none" w:sz="0" w:space="0" w:color="auto"/>
      </w:divBdr>
    </w:div>
    <w:div w:id="1231580021">
      <w:bodyDiv w:val="1"/>
      <w:marLeft w:val="0"/>
      <w:marRight w:val="0"/>
      <w:marTop w:val="0"/>
      <w:marBottom w:val="0"/>
      <w:divBdr>
        <w:top w:val="none" w:sz="0" w:space="0" w:color="auto"/>
        <w:left w:val="none" w:sz="0" w:space="0" w:color="auto"/>
        <w:bottom w:val="none" w:sz="0" w:space="0" w:color="auto"/>
        <w:right w:val="none" w:sz="0" w:space="0" w:color="auto"/>
      </w:divBdr>
    </w:div>
    <w:div w:id="1237208764">
      <w:bodyDiv w:val="1"/>
      <w:marLeft w:val="0"/>
      <w:marRight w:val="0"/>
      <w:marTop w:val="0"/>
      <w:marBottom w:val="0"/>
      <w:divBdr>
        <w:top w:val="none" w:sz="0" w:space="0" w:color="auto"/>
        <w:left w:val="none" w:sz="0" w:space="0" w:color="auto"/>
        <w:bottom w:val="none" w:sz="0" w:space="0" w:color="auto"/>
        <w:right w:val="none" w:sz="0" w:space="0" w:color="auto"/>
      </w:divBdr>
    </w:div>
    <w:div w:id="1264145387">
      <w:bodyDiv w:val="1"/>
      <w:marLeft w:val="0"/>
      <w:marRight w:val="0"/>
      <w:marTop w:val="0"/>
      <w:marBottom w:val="0"/>
      <w:divBdr>
        <w:top w:val="none" w:sz="0" w:space="0" w:color="auto"/>
        <w:left w:val="none" w:sz="0" w:space="0" w:color="auto"/>
        <w:bottom w:val="none" w:sz="0" w:space="0" w:color="auto"/>
        <w:right w:val="none" w:sz="0" w:space="0" w:color="auto"/>
      </w:divBdr>
    </w:div>
    <w:div w:id="1276209789">
      <w:bodyDiv w:val="1"/>
      <w:marLeft w:val="0"/>
      <w:marRight w:val="0"/>
      <w:marTop w:val="0"/>
      <w:marBottom w:val="0"/>
      <w:divBdr>
        <w:top w:val="none" w:sz="0" w:space="0" w:color="auto"/>
        <w:left w:val="none" w:sz="0" w:space="0" w:color="auto"/>
        <w:bottom w:val="none" w:sz="0" w:space="0" w:color="auto"/>
        <w:right w:val="none" w:sz="0" w:space="0" w:color="auto"/>
      </w:divBdr>
    </w:div>
    <w:div w:id="1316685951">
      <w:bodyDiv w:val="1"/>
      <w:marLeft w:val="0"/>
      <w:marRight w:val="0"/>
      <w:marTop w:val="0"/>
      <w:marBottom w:val="0"/>
      <w:divBdr>
        <w:top w:val="none" w:sz="0" w:space="0" w:color="auto"/>
        <w:left w:val="none" w:sz="0" w:space="0" w:color="auto"/>
        <w:bottom w:val="none" w:sz="0" w:space="0" w:color="auto"/>
        <w:right w:val="none" w:sz="0" w:space="0" w:color="auto"/>
      </w:divBdr>
    </w:div>
    <w:div w:id="1320771002">
      <w:bodyDiv w:val="1"/>
      <w:marLeft w:val="0"/>
      <w:marRight w:val="0"/>
      <w:marTop w:val="0"/>
      <w:marBottom w:val="0"/>
      <w:divBdr>
        <w:top w:val="none" w:sz="0" w:space="0" w:color="auto"/>
        <w:left w:val="none" w:sz="0" w:space="0" w:color="auto"/>
        <w:bottom w:val="none" w:sz="0" w:space="0" w:color="auto"/>
        <w:right w:val="none" w:sz="0" w:space="0" w:color="auto"/>
      </w:divBdr>
    </w:div>
    <w:div w:id="1328285680">
      <w:bodyDiv w:val="1"/>
      <w:marLeft w:val="0"/>
      <w:marRight w:val="0"/>
      <w:marTop w:val="0"/>
      <w:marBottom w:val="0"/>
      <w:divBdr>
        <w:top w:val="none" w:sz="0" w:space="0" w:color="auto"/>
        <w:left w:val="none" w:sz="0" w:space="0" w:color="auto"/>
        <w:bottom w:val="none" w:sz="0" w:space="0" w:color="auto"/>
        <w:right w:val="none" w:sz="0" w:space="0" w:color="auto"/>
      </w:divBdr>
    </w:div>
    <w:div w:id="1346321658">
      <w:bodyDiv w:val="1"/>
      <w:marLeft w:val="0"/>
      <w:marRight w:val="0"/>
      <w:marTop w:val="0"/>
      <w:marBottom w:val="0"/>
      <w:divBdr>
        <w:top w:val="none" w:sz="0" w:space="0" w:color="auto"/>
        <w:left w:val="none" w:sz="0" w:space="0" w:color="auto"/>
        <w:bottom w:val="none" w:sz="0" w:space="0" w:color="auto"/>
        <w:right w:val="none" w:sz="0" w:space="0" w:color="auto"/>
      </w:divBdr>
    </w:div>
    <w:div w:id="1349060356">
      <w:bodyDiv w:val="1"/>
      <w:marLeft w:val="0"/>
      <w:marRight w:val="0"/>
      <w:marTop w:val="0"/>
      <w:marBottom w:val="0"/>
      <w:divBdr>
        <w:top w:val="none" w:sz="0" w:space="0" w:color="auto"/>
        <w:left w:val="none" w:sz="0" w:space="0" w:color="auto"/>
        <w:bottom w:val="none" w:sz="0" w:space="0" w:color="auto"/>
        <w:right w:val="none" w:sz="0" w:space="0" w:color="auto"/>
      </w:divBdr>
    </w:div>
    <w:div w:id="1349720368">
      <w:bodyDiv w:val="1"/>
      <w:marLeft w:val="0"/>
      <w:marRight w:val="0"/>
      <w:marTop w:val="0"/>
      <w:marBottom w:val="0"/>
      <w:divBdr>
        <w:top w:val="none" w:sz="0" w:space="0" w:color="auto"/>
        <w:left w:val="none" w:sz="0" w:space="0" w:color="auto"/>
        <w:bottom w:val="none" w:sz="0" w:space="0" w:color="auto"/>
        <w:right w:val="none" w:sz="0" w:space="0" w:color="auto"/>
      </w:divBdr>
    </w:div>
    <w:div w:id="1356888028">
      <w:bodyDiv w:val="1"/>
      <w:marLeft w:val="0"/>
      <w:marRight w:val="0"/>
      <w:marTop w:val="0"/>
      <w:marBottom w:val="0"/>
      <w:divBdr>
        <w:top w:val="none" w:sz="0" w:space="0" w:color="auto"/>
        <w:left w:val="none" w:sz="0" w:space="0" w:color="auto"/>
        <w:bottom w:val="none" w:sz="0" w:space="0" w:color="auto"/>
        <w:right w:val="none" w:sz="0" w:space="0" w:color="auto"/>
      </w:divBdr>
      <w:divsChild>
        <w:div w:id="211236513">
          <w:marLeft w:val="360"/>
          <w:marRight w:val="0"/>
          <w:marTop w:val="200"/>
          <w:marBottom w:val="0"/>
          <w:divBdr>
            <w:top w:val="none" w:sz="0" w:space="0" w:color="auto"/>
            <w:left w:val="none" w:sz="0" w:space="0" w:color="auto"/>
            <w:bottom w:val="none" w:sz="0" w:space="0" w:color="auto"/>
            <w:right w:val="none" w:sz="0" w:space="0" w:color="auto"/>
          </w:divBdr>
        </w:div>
        <w:div w:id="1746144562">
          <w:marLeft w:val="360"/>
          <w:marRight w:val="0"/>
          <w:marTop w:val="200"/>
          <w:marBottom w:val="0"/>
          <w:divBdr>
            <w:top w:val="none" w:sz="0" w:space="0" w:color="auto"/>
            <w:left w:val="none" w:sz="0" w:space="0" w:color="auto"/>
            <w:bottom w:val="none" w:sz="0" w:space="0" w:color="auto"/>
            <w:right w:val="none" w:sz="0" w:space="0" w:color="auto"/>
          </w:divBdr>
        </w:div>
      </w:divsChild>
    </w:div>
    <w:div w:id="1359355426">
      <w:bodyDiv w:val="1"/>
      <w:marLeft w:val="0"/>
      <w:marRight w:val="0"/>
      <w:marTop w:val="0"/>
      <w:marBottom w:val="0"/>
      <w:divBdr>
        <w:top w:val="none" w:sz="0" w:space="0" w:color="auto"/>
        <w:left w:val="none" w:sz="0" w:space="0" w:color="auto"/>
        <w:bottom w:val="none" w:sz="0" w:space="0" w:color="auto"/>
        <w:right w:val="none" w:sz="0" w:space="0" w:color="auto"/>
      </w:divBdr>
      <w:divsChild>
        <w:div w:id="1943144430">
          <w:marLeft w:val="1080"/>
          <w:marRight w:val="0"/>
          <w:marTop w:val="100"/>
          <w:marBottom w:val="0"/>
          <w:divBdr>
            <w:top w:val="none" w:sz="0" w:space="0" w:color="auto"/>
            <w:left w:val="none" w:sz="0" w:space="0" w:color="auto"/>
            <w:bottom w:val="none" w:sz="0" w:space="0" w:color="auto"/>
            <w:right w:val="none" w:sz="0" w:space="0" w:color="auto"/>
          </w:divBdr>
        </w:div>
      </w:divsChild>
    </w:div>
    <w:div w:id="1423136721">
      <w:bodyDiv w:val="1"/>
      <w:marLeft w:val="0"/>
      <w:marRight w:val="0"/>
      <w:marTop w:val="0"/>
      <w:marBottom w:val="0"/>
      <w:divBdr>
        <w:top w:val="none" w:sz="0" w:space="0" w:color="auto"/>
        <w:left w:val="none" w:sz="0" w:space="0" w:color="auto"/>
        <w:bottom w:val="none" w:sz="0" w:space="0" w:color="auto"/>
        <w:right w:val="none" w:sz="0" w:space="0" w:color="auto"/>
      </w:divBdr>
    </w:div>
    <w:div w:id="1449662969">
      <w:bodyDiv w:val="1"/>
      <w:marLeft w:val="0"/>
      <w:marRight w:val="0"/>
      <w:marTop w:val="0"/>
      <w:marBottom w:val="0"/>
      <w:divBdr>
        <w:top w:val="none" w:sz="0" w:space="0" w:color="auto"/>
        <w:left w:val="none" w:sz="0" w:space="0" w:color="auto"/>
        <w:bottom w:val="none" w:sz="0" w:space="0" w:color="auto"/>
        <w:right w:val="none" w:sz="0" w:space="0" w:color="auto"/>
      </w:divBdr>
    </w:div>
    <w:div w:id="1469737768">
      <w:bodyDiv w:val="1"/>
      <w:marLeft w:val="0"/>
      <w:marRight w:val="0"/>
      <w:marTop w:val="0"/>
      <w:marBottom w:val="0"/>
      <w:divBdr>
        <w:top w:val="none" w:sz="0" w:space="0" w:color="auto"/>
        <w:left w:val="none" w:sz="0" w:space="0" w:color="auto"/>
        <w:bottom w:val="none" w:sz="0" w:space="0" w:color="auto"/>
        <w:right w:val="none" w:sz="0" w:space="0" w:color="auto"/>
      </w:divBdr>
    </w:div>
    <w:div w:id="1493331113">
      <w:bodyDiv w:val="1"/>
      <w:marLeft w:val="0"/>
      <w:marRight w:val="0"/>
      <w:marTop w:val="0"/>
      <w:marBottom w:val="0"/>
      <w:divBdr>
        <w:top w:val="none" w:sz="0" w:space="0" w:color="auto"/>
        <w:left w:val="none" w:sz="0" w:space="0" w:color="auto"/>
        <w:bottom w:val="none" w:sz="0" w:space="0" w:color="auto"/>
        <w:right w:val="none" w:sz="0" w:space="0" w:color="auto"/>
      </w:divBdr>
    </w:div>
    <w:div w:id="1496148198">
      <w:bodyDiv w:val="1"/>
      <w:marLeft w:val="0"/>
      <w:marRight w:val="0"/>
      <w:marTop w:val="0"/>
      <w:marBottom w:val="0"/>
      <w:divBdr>
        <w:top w:val="none" w:sz="0" w:space="0" w:color="auto"/>
        <w:left w:val="none" w:sz="0" w:space="0" w:color="auto"/>
        <w:bottom w:val="none" w:sz="0" w:space="0" w:color="auto"/>
        <w:right w:val="none" w:sz="0" w:space="0" w:color="auto"/>
      </w:divBdr>
    </w:div>
    <w:div w:id="1499729980">
      <w:bodyDiv w:val="1"/>
      <w:marLeft w:val="0"/>
      <w:marRight w:val="0"/>
      <w:marTop w:val="0"/>
      <w:marBottom w:val="0"/>
      <w:divBdr>
        <w:top w:val="none" w:sz="0" w:space="0" w:color="auto"/>
        <w:left w:val="none" w:sz="0" w:space="0" w:color="auto"/>
        <w:bottom w:val="none" w:sz="0" w:space="0" w:color="auto"/>
        <w:right w:val="none" w:sz="0" w:space="0" w:color="auto"/>
      </w:divBdr>
    </w:div>
    <w:div w:id="1506675114">
      <w:bodyDiv w:val="1"/>
      <w:marLeft w:val="0"/>
      <w:marRight w:val="0"/>
      <w:marTop w:val="0"/>
      <w:marBottom w:val="0"/>
      <w:divBdr>
        <w:top w:val="none" w:sz="0" w:space="0" w:color="auto"/>
        <w:left w:val="none" w:sz="0" w:space="0" w:color="auto"/>
        <w:bottom w:val="none" w:sz="0" w:space="0" w:color="auto"/>
        <w:right w:val="none" w:sz="0" w:space="0" w:color="auto"/>
      </w:divBdr>
    </w:div>
    <w:div w:id="1543514939">
      <w:bodyDiv w:val="1"/>
      <w:marLeft w:val="0"/>
      <w:marRight w:val="0"/>
      <w:marTop w:val="0"/>
      <w:marBottom w:val="0"/>
      <w:divBdr>
        <w:top w:val="none" w:sz="0" w:space="0" w:color="auto"/>
        <w:left w:val="none" w:sz="0" w:space="0" w:color="auto"/>
        <w:bottom w:val="none" w:sz="0" w:space="0" w:color="auto"/>
        <w:right w:val="none" w:sz="0" w:space="0" w:color="auto"/>
      </w:divBdr>
    </w:div>
    <w:div w:id="1553269071">
      <w:bodyDiv w:val="1"/>
      <w:marLeft w:val="0"/>
      <w:marRight w:val="0"/>
      <w:marTop w:val="0"/>
      <w:marBottom w:val="0"/>
      <w:divBdr>
        <w:top w:val="none" w:sz="0" w:space="0" w:color="auto"/>
        <w:left w:val="none" w:sz="0" w:space="0" w:color="auto"/>
        <w:bottom w:val="none" w:sz="0" w:space="0" w:color="auto"/>
        <w:right w:val="none" w:sz="0" w:space="0" w:color="auto"/>
      </w:divBdr>
    </w:div>
    <w:div w:id="1564024517">
      <w:bodyDiv w:val="1"/>
      <w:marLeft w:val="0"/>
      <w:marRight w:val="0"/>
      <w:marTop w:val="0"/>
      <w:marBottom w:val="0"/>
      <w:divBdr>
        <w:top w:val="none" w:sz="0" w:space="0" w:color="auto"/>
        <w:left w:val="none" w:sz="0" w:space="0" w:color="auto"/>
        <w:bottom w:val="none" w:sz="0" w:space="0" w:color="auto"/>
        <w:right w:val="none" w:sz="0" w:space="0" w:color="auto"/>
      </w:divBdr>
    </w:div>
    <w:div w:id="1566604601">
      <w:bodyDiv w:val="1"/>
      <w:marLeft w:val="0"/>
      <w:marRight w:val="0"/>
      <w:marTop w:val="0"/>
      <w:marBottom w:val="0"/>
      <w:divBdr>
        <w:top w:val="none" w:sz="0" w:space="0" w:color="auto"/>
        <w:left w:val="none" w:sz="0" w:space="0" w:color="auto"/>
        <w:bottom w:val="none" w:sz="0" w:space="0" w:color="auto"/>
        <w:right w:val="none" w:sz="0" w:space="0" w:color="auto"/>
      </w:divBdr>
    </w:div>
    <w:div w:id="1578830278">
      <w:bodyDiv w:val="1"/>
      <w:marLeft w:val="0"/>
      <w:marRight w:val="0"/>
      <w:marTop w:val="0"/>
      <w:marBottom w:val="0"/>
      <w:divBdr>
        <w:top w:val="none" w:sz="0" w:space="0" w:color="auto"/>
        <w:left w:val="none" w:sz="0" w:space="0" w:color="auto"/>
        <w:bottom w:val="none" w:sz="0" w:space="0" w:color="auto"/>
        <w:right w:val="none" w:sz="0" w:space="0" w:color="auto"/>
      </w:divBdr>
    </w:div>
    <w:div w:id="1593198024">
      <w:bodyDiv w:val="1"/>
      <w:marLeft w:val="0"/>
      <w:marRight w:val="0"/>
      <w:marTop w:val="0"/>
      <w:marBottom w:val="0"/>
      <w:divBdr>
        <w:top w:val="none" w:sz="0" w:space="0" w:color="auto"/>
        <w:left w:val="none" w:sz="0" w:space="0" w:color="auto"/>
        <w:bottom w:val="none" w:sz="0" w:space="0" w:color="auto"/>
        <w:right w:val="none" w:sz="0" w:space="0" w:color="auto"/>
      </w:divBdr>
    </w:div>
    <w:div w:id="1607543436">
      <w:bodyDiv w:val="1"/>
      <w:marLeft w:val="0"/>
      <w:marRight w:val="0"/>
      <w:marTop w:val="0"/>
      <w:marBottom w:val="0"/>
      <w:divBdr>
        <w:top w:val="none" w:sz="0" w:space="0" w:color="auto"/>
        <w:left w:val="none" w:sz="0" w:space="0" w:color="auto"/>
        <w:bottom w:val="none" w:sz="0" w:space="0" w:color="auto"/>
        <w:right w:val="none" w:sz="0" w:space="0" w:color="auto"/>
      </w:divBdr>
    </w:div>
    <w:div w:id="1696735766">
      <w:bodyDiv w:val="1"/>
      <w:marLeft w:val="0"/>
      <w:marRight w:val="0"/>
      <w:marTop w:val="0"/>
      <w:marBottom w:val="0"/>
      <w:divBdr>
        <w:top w:val="none" w:sz="0" w:space="0" w:color="auto"/>
        <w:left w:val="none" w:sz="0" w:space="0" w:color="auto"/>
        <w:bottom w:val="none" w:sz="0" w:space="0" w:color="auto"/>
        <w:right w:val="none" w:sz="0" w:space="0" w:color="auto"/>
      </w:divBdr>
    </w:div>
    <w:div w:id="1711302736">
      <w:bodyDiv w:val="1"/>
      <w:marLeft w:val="0"/>
      <w:marRight w:val="0"/>
      <w:marTop w:val="0"/>
      <w:marBottom w:val="0"/>
      <w:divBdr>
        <w:top w:val="none" w:sz="0" w:space="0" w:color="auto"/>
        <w:left w:val="none" w:sz="0" w:space="0" w:color="auto"/>
        <w:bottom w:val="none" w:sz="0" w:space="0" w:color="auto"/>
        <w:right w:val="none" w:sz="0" w:space="0" w:color="auto"/>
      </w:divBdr>
    </w:div>
    <w:div w:id="1724213260">
      <w:bodyDiv w:val="1"/>
      <w:marLeft w:val="0"/>
      <w:marRight w:val="0"/>
      <w:marTop w:val="0"/>
      <w:marBottom w:val="0"/>
      <w:divBdr>
        <w:top w:val="none" w:sz="0" w:space="0" w:color="auto"/>
        <w:left w:val="none" w:sz="0" w:space="0" w:color="auto"/>
        <w:bottom w:val="none" w:sz="0" w:space="0" w:color="auto"/>
        <w:right w:val="none" w:sz="0" w:space="0" w:color="auto"/>
      </w:divBdr>
    </w:div>
    <w:div w:id="1736736066">
      <w:bodyDiv w:val="1"/>
      <w:marLeft w:val="0"/>
      <w:marRight w:val="0"/>
      <w:marTop w:val="0"/>
      <w:marBottom w:val="0"/>
      <w:divBdr>
        <w:top w:val="none" w:sz="0" w:space="0" w:color="auto"/>
        <w:left w:val="none" w:sz="0" w:space="0" w:color="auto"/>
        <w:bottom w:val="none" w:sz="0" w:space="0" w:color="auto"/>
        <w:right w:val="none" w:sz="0" w:space="0" w:color="auto"/>
      </w:divBdr>
    </w:div>
    <w:div w:id="1752501417">
      <w:bodyDiv w:val="1"/>
      <w:marLeft w:val="0"/>
      <w:marRight w:val="0"/>
      <w:marTop w:val="0"/>
      <w:marBottom w:val="0"/>
      <w:divBdr>
        <w:top w:val="none" w:sz="0" w:space="0" w:color="auto"/>
        <w:left w:val="none" w:sz="0" w:space="0" w:color="auto"/>
        <w:bottom w:val="none" w:sz="0" w:space="0" w:color="auto"/>
        <w:right w:val="none" w:sz="0" w:space="0" w:color="auto"/>
      </w:divBdr>
    </w:div>
    <w:div w:id="1781800409">
      <w:bodyDiv w:val="1"/>
      <w:marLeft w:val="0"/>
      <w:marRight w:val="0"/>
      <w:marTop w:val="0"/>
      <w:marBottom w:val="0"/>
      <w:divBdr>
        <w:top w:val="none" w:sz="0" w:space="0" w:color="auto"/>
        <w:left w:val="none" w:sz="0" w:space="0" w:color="auto"/>
        <w:bottom w:val="none" w:sz="0" w:space="0" w:color="auto"/>
        <w:right w:val="none" w:sz="0" w:space="0" w:color="auto"/>
      </w:divBdr>
    </w:div>
    <w:div w:id="1790733759">
      <w:bodyDiv w:val="1"/>
      <w:marLeft w:val="0"/>
      <w:marRight w:val="0"/>
      <w:marTop w:val="0"/>
      <w:marBottom w:val="0"/>
      <w:divBdr>
        <w:top w:val="none" w:sz="0" w:space="0" w:color="auto"/>
        <w:left w:val="none" w:sz="0" w:space="0" w:color="auto"/>
        <w:bottom w:val="none" w:sz="0" w:space="0" w:color="auto"/>
        <w:right w:val="none" w:sz="0" w:space="0" w:color="auto"/>
      </w:divBdr>
    </w:div>
    <w:div w:id="1800495402">
      <w:bodyDiv w:val="1"/>
      <w:marLeft w:val="0"/>
      <w:marRight w:val="0"/>
      <w:marTop w:val="0"/>
      <w:marBottom w:val="0"/>
      <w:divBdr>
        <w:top w:val="none" w:sz="0" w:space="0" w:color="auto"/>
        <w:left w:val="none" w:sz="0" w:space="0" w:color="auto"/>
        <w:bottom w:val="none" w:sz="0" w:space="0" w:color="auto"/>
        <w:right w:val="none" w:sz="0" w:space="0" w:color="auto"/>
      </w:divBdr>
    </w:div>
    <w:div w:id="1812401408">
      <w:bodyDiv w:val="1"/>
      <w:marLeft w:val="0"/>
      <w:marRight w:val="0"/>
      <w:marTop w:val="0"/>
      <w:marBottom w:val="0"/>
      <w:divBdr>
        <w:top w:val="none" w:sz="0" w:space="0" w:color="auto"/>
        <w:left w:val="none" w:sz="0" w:space="0" w:color="auto"/>
        <w:bottom w:val="none" w:sz="0" w:space="0" w:color="auto"/>
        <w:right w:val="none" w:sz="0" w:space="0" w:color="auto"/>
      </w:divBdr>
    </w:div>
    <w:div w:id="1837066349">
      <w:bodyDiv w:val="1"/>
      <w:marLeft w:val="0"/>
      <w:marRight w:val="0"/>
      <w:marTop w:val="0"/>
      <w:marBottom w:val="0"/>
      <w:divBdr>
        <w:top w:val="none" w:sz="0" w:space="0" w:color="auto"/>
        <w:left w:val="none" w:sz="0" w:space="0" w:color="auto"/>
        <w:bottom w:val="none" w:sz="0" w:space="0" w:color="auto"/>
        <w:right w:val="none" w:sz="0" w:space="0" w:color="auto"/>
      </w:divBdr>
    </w:div>
    <w:div w:id="1845897349">
      <w:bodyDiv w:val="1"/>
      <w:marLeft w:val="0"/>
      <w:marRight w:val="0"/>
      <w:marTop w:val="0"/>
      <w:marBottom w:val="0"/>
      <w:divBdr>
        <w:top w:val="none" w:sz="0" w:space="0" w:color="auto"/>
        <w:left w:val="none" w:sz="0" w:space="0" w:color="auto"/>
        <w:bottom w:val="none" w:sz="0" w:space="0" w:color="auto"/>
        <w:right w:val="none" w:sz="0" w:space="0" w:color="auto"/>
      </w:divBdr>
    </w:div>
    <w:div w:id="1856729247">
      <w:bodyDiv w:val="1"/>
      <w:marLeft w:val="0"/>
      <w:marRight w:val="0"/>
      <w:marTop w:val="0"/>
      <w:marBottom w:val="0"/>
      <w:divBdr>
        <w:top w:val="none" w:sz="0" w:space="0" w:color="auto"/>
        <w:left w:val="none" w:sz="0" w:space="0" w:color="auto"/>
        <w:bottom w:val="none" w:sz="0" w:space="0" w:color="auto"/>
        <w:right w:val="none" w:sz="0" w:space="0" w:color="auto"/>
      </w:divBdr>
      <w:divsChild>
        <w:div w:id="1034770765">
          <w:marLeft w:val="547"/>
          <w:marRight w:val="0"/>
          <w:marTop w:val="0"/>
          <w:marBottom w:val="0"/>
          <w:divBdr>
            <w:top w:val="none" w:sz="0" w:space="0" w:color="auto"/>
            <w:left w:val="none" w:sz="0" w:space="0" w:color="auto"/>
            <w:bottom w:val="none" w:sz="0" w:space="0" w:color="auto"/>
            <w:right w:val="none" w:sz="0" w:space="0" w:color="auto"/>
          </w:divBdr>
        </w:div>
      </w:divsChild>
    </w:div>
    <w:div w:id="1911966013">
      <w:bodyDiv w:val="1"/>
      <w:marLeft w:val="0"/>
      <w:marRight w:val="0"/>
      <w:marTop w:val="0"/>
      <w:marBottom w:val="0"/>
      <w:divBdr>
        <w:top w:val="none" w:sz="0" w:space="0" w:color="auto"/>
        <w:left w:val="none" w:sz="0" w:space="0" w:color="auto"/>
        <w:bottom w:val="none" w:sz="0" w:space="0" w:color="auto"/>
        <w:right w:val="none" w:sz="0" w:space="0" w:color="auto"/>
      </w:divBdr>
    </w:div>
    <w:div w:id="1913540686">
      <w:bodyDiv w:val="1"/>
      <w:marLeft w:val="0"/>
      <w:marRight w:val="0"/>
      <w:marTop w:val="0"/>
      <w:marBottom w:val="0"/>
      <w:divBdr>
        <w:top w:val="none" w:sz="0" w:space="0" w:color="auto"/>
        <w:left w:val="none" w:sz="0" w:space="0" w:color="auto"/>
        <w:bottom w:val="none" w:sz="0" w:space="0" w:color="auto"/>
        <w:right w:val="none" w:sz="0" w:space="0" w:color="auto"/>
      </w:divBdr>
    </w:div>
    <w:div w:id="1925140997">
      <w:bodyDiv w:val="1"/>
      <w:marLeft w:val="0"/>
      <w:marRight w:val="0"/>
      <w:marTop w:val="0"/>
      <w:marBottom w:val="0"/>
      <w:divBdr>
        <w:top w:val="none" w:sz="0" w:space="0" w:color="auto"/>
        <w:left w:val="none" w:sz="0" w:space="0" w:color="auto"/>
        <w:bottom w:val="none" w:sz="0" w:space="0" w:color="auto"/>
        <w:right w:val="none" w:sz="0" w:space="0" w:color="auto"/>
      </w:divBdr>
    </w:div>
    <w:div w:id="1941600492">
      <w:bodyDiv w:val="1"/>
      <w:marLeft w:val="0"/>
      <w:marRight w:val="0"/>
      <w:marTop w:val="0"/>
      <w:marBottom w:val="0"/>
      <w:divBdr>
        <w:top w:val="none" w:sz="0" w:space="0" w:color="auto"/>
        <w:left w:val="none" w:sz="0" w:space="0" w:color="auto"/>
        <w:bottom w:val="none" w:sz="0" w:space="0" w:color="auto"/>
        <w:right w:val="none" w:sz="0" w:space="0" w:color="auto"/>
      </w:divBdr>
    </w:div>
    <w:div w:id="1943225032">
      <w:bodyDiv w:val="1"/>
      <w:marLeft w:val="0"/>
      <w:marRight w:val="0"/>
      <w:marTop w:val="0"/>
      <w:marBottom w:val="0"/>
      <w:divBdr>
        <w:top w:val="none" w:sz="0" w:space="0" w:color="auto"/>
        <w:left w:val="none" w:sz="0" w:space="0" w:color="auto"/>
        <w:bottom w:val="none" w:sz="0" w:space="0" w:color="auto"/>
        <w:right w:val="none" w:sz="0" w:space="0" w:color="auto"/>
      </w:divBdr>
    </w:div>
    <w:div w:id="1951357779">
      <w:bodyDiv w:val="1"/>
      <w:marLeft w:val="0"/>
      <w:marRight w:val="0"/>
      <w:marTop w:val="0"/>
      <w:marBottom w:val="0"/>
      <w:divBdr>
        <w:top w:val="none" w:sz="0" w:space="0" w:color="auto"/>
        <w:left w:val="none" w:sz="0" w:space="0" w:color="auto"/>
        <w:bottom w:val="none" w:sz="0" w:space="0" w:color="auto"/>
        <w:right w:val="none" w:sz="0" w:space="0" w:color="auto"/>
      </w:divBdr>
      <w:divsChild>
        <w:div w:id="1059593721">
          <w:marLeft w:val="547"/>
          <w:marRight w:val="0"/>
          <w:marTop w:val="0"/>
          <w:marBottom w:val="0"/>
          <w:divBdr>
            <w:top w:val="none" w:sz="0" w:space="0" w:color="auto"/>
            <w:left w:val="none" w:sz="0" w:space="0" w:color="auto"/>
            <w:bottom w:val="none" w:sz="0" w:space="0" w:color="auto"/>
            <w:right w:val="none" w:sz="0" w:space="0" w:color="auto"/>
          </w:divBdr>
        </w:div>
      </w:divsChild>
    </w:div>
    <w:div w:id="1998414971">
      <w:bodyDiv w:val="1"/>
      <w:marLeft w:val="0"/>
      <w:marRight w:val="0"/>
      <w:marTop w:val="0"/>
      <w:marBottom w:val="0"/>
      <w:divBdr>
        <w:top w:val="none" w:sz="0" w:space="0" w:color="auto"/>
        <w:left w:val="none" w:sz="0" w:space="0" w:color="auto"/>
        <w:bottom w:val="none" w:sz="0" w:space="0" w:color="auto"/>
        <w:right w:val="none" w:sz="0" w:space="0" w:color="auto"/>
      </w:divBdr>
    </w:div>
    <w:div w:id="2002000841">
      <w:bodyDiv w:val="1"/>
      <w:marLeft w:val="0"/>
      <w:marRight w:val="0"/>
      <w:marTop w:val="0"/>
      <w:marBottom w:val="0"/>
      <w:divBdr>
        <w:top w:val="none" w:sz="0" w:space="0" w:color="auto"/>
        <w:left w:val="none" w:sz="0" w:space="0" w:color="auto"/>
        <w:bottom w:val="none" w:sz="0" w:space="0" w:color="auto"/>
        <w:right w:val="none" w:sz="0" w:space="0" w:color="auto"/>
      </w:divBdr>
    </w:div>
    <w:div w:id="2003659688">
      <w:bodyDiv w:val="1"/>
      <w:marLeft w:val="0"/>
      <w:marRight w:val="0"/>
      <w:marTop w:val="0"/>
      <w:marBottom w:val="0"/>
      <w:divBdr>
        <w:top w:val="none" w:sz="0" w:space="0" w:color="auto"/>
        <w:left w:val="none" w:sz="0" w:space="0" w:color="auto"/>
        <w:bottom w:val="none" w:sz="0" w:space="0" w:color="auto"/>
        <w:right w:val="none" w:sz="0" w:space="0" w:color="auto"/>
      </w:divBdr>
    </w:div>
    <w:div w:id="2012751081">
      <w:bodyDiv w:val="1"/>
      <w:marLeft w:val="0"/>
      <w:marRight w:val="0"/>
      <w:marTop w:val="0"/>
      <w:marBottom w:val="0"/>
      <w:divBdr>
        <w:top w:val="none" w:sz="0" w:space="0" w:color="auto"/>
        <w:left w:val="none" w:sz="0" w:space="0" w:color="auto"/>
        <w:bottom w:val="none" w:sz="0" w:space="0" w:color="auto"/>
        <w:right w:val="none" w:sz="0" w:space="0" w:color="auto"/>
      </w:divBdr>
    </w:div>
    <w:div w:id="2042590244">
      <w:bodyDiv w:val="1"/>
      <w:marLeft w:val="0"/>
      <w:marRight w:val="0"/>
      <w:marTop w:val="0"/>
      <w:marBottom w:val="0"/>
      <w:divBdr>
        <w:top w:val="none" w:sz="0" w:space="0" w:color="auto"/>
        <w:left w:val="none" w:sz="0" w:space="0" w:color="auto"/>
        <w:bottom w:val="none" w:sz="0" w:space="0" w:color="auto"/>
        <w:right w:val="none" w:sz="0" w:space="0" w:color="auto"/>
      </w:divBdr>
    </w:div>
    <w:div w:id="2052608748">
      <w:bodyDiv w:val="1"/>
      <w:marLeft w:val="0"/>
      <w:marRight w:val="0"/>
      <w:marTop w:val="0"/>
      <w:marBottom w:val="0"/>
      <w:divBdr>
        <w:top w:val="none" w:sz="0" w:space="0" w:color="auto"/>
        <w:left w:val="none" w:sz="0" w:space="0" w:color="auto"/>
        <w:bottom w:val="none" w:sz="0" w:space="0" w:color="auto"/>
        <w:right w:val="none" w:sz="0" w:space="0" w:color="auto"/>
      </w:divBdr>
      <w:divsChild>
        <w:div w:id="41373671">
          <w:marLeft w:val="1080"/>
          <w:marRight w:val="0"/>
          <w:marTop w:val="100"/>
          <w:marBottom w:val="0"/>
          <w:divBdr>
            <w:top w:val="none" w:sz="0" w:space="0" w:color="auto"/>
            <w:left w:val="none" w:sz="0" w:space="0" w:color="auto"/>
            <w:bottom w:val="none" w:sz="0" w:space="0" w:color="auto"/>
            <w:right w:val="none" w:sz="0" w:space="0" w:color="auto"/>
          </w:divBdr>
        </w:div>
      </w:divsChild>
    </w:div>
    <w:div w:id="2088265300">
      <w:bodyDiv w:val="1"/>
      <w:marLeft w:val="0"/>
      <w:marRight w:val="0"/>
      <w:marTop w:val="0"/>
      <w:marBottom w:val="0"/>
      <w:divBdr>
        <w:top w:val="none" w:sz="0" w:space="0" w:color="auto"/>
        <w:left w:val="none" w:sz="0" w:space="0" w:color="auto"/>
        <w:bottom w:val="none" w:sz="0" w:space="0" w:color="auto"/>
        <w:right w:val="none" w:sz="0" w:space="0" w:color="auto"/>
      </w:divBdr>
    </w:div>
    <w:div w:id="2119909033">
      <w:bodyDiv w:val="1"/>
      <w:marLeft w:val="0"/>
      <w:marRight w:val="0"/>
      <w:marTop w:val="0"/>
      <w:marBottom w:val="0"/>
      <w:divBdr>
        <w:top w:val="none" w:sz="0" w:space="0" w:color="auto"/>
        <w:left w:val="none" w:sz="0" w:space="0" w:color="auto"/>
        <w:bottom w:val="none" w:sz="0" w:space="0" w:color="auto"/>
        <w:right w:val="none" w:sz="0" w:space="0" w:color="auto"/>
      </w:divBdr>
    </w:div>
    <w:div w:id="2126610370">
      <w:bodyDiv w:val="1"/>
      <w:marLeft w:val="0"/>
      <w:marRight w:val="0"/>
      <w:marTop w:val="0"/>
      <w:marBottom w:val="0"/>
      <w:divBdr>
        <w:top w:val="none" w:sz="0" w:space="0" w:color="auto"/>
        <w:left w:val="none" w:sz="0" w:space="0" w:color="auto"/>
        <w:bottom w:val="none" w:sz="0" w:space="0" w:color="auto"/>
        <w:right w:val="none" w:sz="0" w:space="0" w:color="auto"/>
      </w:divBdr>
    </w:div>
    <w:div w:id="214291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2.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48.xml"/><Relationship Id="rId68" Type="http://schemas.openxmlformats.org/officeDocument/2006/relationships/chart" Target="charts/chart51.xml"/><Relationship Id="rId76" Type="http://schemas.openxmlformats.org/officeDocument/2006/relationships/chart" Target="charts/chart59.xml"/><Relationship Id="rId84" Type="http://schemas.openxmlformats.org/officeDocument/2006/relationships/chart" Target="charts/chart67.xml"/><Relationship Id="rId89" Type="http://schemas.openxmlformats.org/officeDocument/2006/relationships/chart" Target="charts/chart72.xml"/><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chart" Target="charts/chart54.xml"/><Relationship Id="rId92" Type="http://schemas.openxmlformats.org/officeDocument/2006/relationships/chart" Target="charts/chart75.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image" Target="media/image4.emf"/><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image" Target="media/image9.png"/><Relationship Id="rId74" Type="http://schemas.openxmlformats.org/officeDocument/2006/relationships/chart" Target="charts/chart57.xml"/><Relationship Id="rId79" Type="http://schemas.openxmlformats.org/officeDocument/2006/relationships/chart" Target="charts/chart62.xml"/><Relationship Id="rId87" Type="http://schemas.openxmlformats.org/officeDocument/2006/relationships/chart" Target="charts/chart70.xml"/><Relationship Id="rId5" Type="http://schemas.openxmlformats.org/officeDocument/2006/relationships/settings" Target="settings.xml"/><Relationship Id="rId61" Type="http://schemas.openxmlformats.org/officeDocument/2006/relationships/chart" Target="charts/chart46.xml"/><Relationship Id="rId82" Type="http://schemas.openxmlformats.org/officeDocument/2006/relationships/chart" Target="charts/chart65.xml"/><Relationship Id="rId90" Type="http://schemas.openxmlformats.org/officeDocument/2006/relationships/chart" Target="charts/chart73.xml"/><Relationship Id="rId95" Type="http://schemas.openxmlformats.org/officeDocument/2006/relationships/image" Target="media/image12.png"/><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image" Target="media/image3.emf"/><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49.xml"/><Relationship Id="rId69" Type="http://schemas.openxmlformats.org/officeDocument/2006/relationships/chart" Target="charts/chart52.xml"/><Relationship Id="rId77" Type="http://schemas.openxmlformats.org/officeDocument/2006/relationships/chart" Target="charts/chart60.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chart" Target="charts/chart55.xml"/><Relationship Id="rId80" Type="http://schemas.openxmlformats.org/officeDocument/2006/relationships/chart" Target="charts/chart63.xml"/><Relationship Id="rId85" Type="http://schemas.openxmlformats.org/officeDocument/2006/relationships/chart" Target="charts/chart68.xml"/><Relationship Id="rId93" Type="http://schemas.openxmlformats.org/officeDocument/2006/relationships/image" Target="media/image10.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8.xml"/><Relationship Id="rId46" Type="http://schemas.openxmlformats.org/officeDocument/2006/relationships/image" Target="media/image5.emf"/><Relationship Id="rId59" Type="http://schemas.openxmlformats.org/officeDocument/2006/relationships/image" Target="media/image6.png"/><Relationship Id="rId67" Type="http://schemas.openxmlformats.org/officeDocument/2006/relationships/chart" Target="charts/chart50.xml"/><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chart" Target="charts/chart41.xml"/><Relationship Id="rId62" Type="http://schemas.openxmlformats.org/officeDocument/2006/relationships/chart" Target="charts/chart47.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chart" Target="charts/chart74.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2.emf"/><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3.xml"/><Relationship Id="rId52" Type="http://schemas.openxmlformats.org/officeDocument/2006/relationships/chart" Target="charts/chart39.xml"/><Relationship Id="rId60" Type="http://schemas.openxmlformats.org/officeDocument/2006/relationships/image" Target="media/image7.png"/><Relationship Id="rId65" Type="http://schemas.openxmlformats.org/officeDocument/2006/relationships/image" Target="media/image8.png"/><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image" Target="media/image11.png"/><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9.xml"/></Relationships>
</file>

<file path=word/_rels/footnotes.xml.rels><?xml version="1.0" encoding="UTF-8" standalone="yes"?>
<Relationships xmlns="http://schemas.openxmlformats.org/package/2006/relationships"><Relationship Id="rId2" Type="http://schemas.openxmlformats.org/officeDocument/2006/relationships/hyperlink" Target="https://icsid.worldbank.org/sites/default/files/publications/annualreport/es/ICSID_AR20_Spanish_CRA_Web.pdf" TargetMode="External"/><Relationship Id="rId1" Type="http://schemas.openxmlformats.org/officeDocument/2006/relationships/hyperlink" Target="https://icsid.worldbank.org/es/cases/search-case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psantizo\Desktop\ASD%20tropicalizado\ASD%20escenario%20DAPF%20%20310821.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psantizo\Desktop\ASD%20tropicalizado\ASD%20escenario%20DAPF%20%20310821.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psantizo\Desktop\ASD%20tropicalizado\ASD%20escenario%20DAPF%20%20310821.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psantizo\Desktop\ASD%20tropicalizado\ASD%20escenario%20DAPF%20%2031082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santizo\Desktop\ASD%20tropicalizado\ASD%20escenario%20DAPF%20%2031082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psantizo\Desktop\ASD%20tropicalizado\ASD%20escenario%20DAPF%20%2031082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3.xml.rels><?xml version="1.0" encoding="UTF-8" standalone="yes"?>
<Relationships xmlns="http://schemas.openxmlformats.org/package/2006/relationships"><Relationship Id="rId1" Type="http://schemas.openxmlformats.org/officeDocument/2006/relationships/oleObject" Target="https://d.docs.live.net/839d125cae53b6db/FMI/EFP/Riesgos%20Fiscales/2021/GL/Ingresos%20y%20gastos/Ingreso%20y%20Gasto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https://d.docs.live.net/839d125cae53b6db/FMI/EFP/Riesgos%20Fiscales/2021/GL/Ingresos%20y%20gastos/Ingreso%20y%20Gasto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https://d.docs.live.net/839d125cae53b6db/FMI/EFP/Riesgos%20Fiscales/2021/GL/Ingresos%20y%20gastos/Ingreso%20y%20Gastos.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https://d.docs.live.net/839d125cae53b6db/FMI/EFP/Riesgos%20Fiscales/2021/GL/Ingresos%20y%20gastos/Ingreso%20y%20Gastos.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https://d.docs.live.net/839d125cae53b6db/FMI/EFP/Riesgos%20Fiscales/2021/GL/Ingresos%20y%20gastos/Ingreso%20y%20Gasto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https://d.docs.live.net/839d125cae53b6db/FMI/EFP/Riesgos%20Fiscales/2021/GL/Ingresos%20y%20gastos/Ingreso%20y%20Gasto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https://d.docs.live.net/839d125cae53b6db/FMI/EFP/Riesgos%20Fiscales/2021/GL/Ingresos%20y%20gastos/Ingreso%20y%20Gast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0.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NULL"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NULL"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https://d.docs.live.net/839d125cae53b6db/FMI/EFP/Riesgos%20Fiscales/2021/Empresas/Ingresos%20y%20Gastos/Ingresos_y_gastos_(Empresas).xlsx" TargetMode="External"/><Relationship Id="rId1" Type="http://schemas.openxmlformats.org/officeDocument/2006/relationships/image" Target="../media/image6.jpeg"/></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https://d.docs.live.net/839d125cae53b6db/FMI/EFP/Riesgos%20Fiscales/2021/Empresas/Ingresos%20y%20Gastos/Ingresos_y_gastos_(Empresas).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https://d.docs.live.net/839d125cae53b6db/FMI/EFP/Riesgos%20Fiscales/2021/Empresas/Ingresos%20y%20Gastos/Ingresos_y_gastos_(Empresas).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https://d.docs.live.net/839d125cae53b6db/FMI/EFP/Riesgos%20Fiscales/2021/Empresas/Ingresos%20y%20Gastos/Ingresos_y_gastos_(Empresas).xlsx" TargetMode="Externa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https://d.docs.live.net/839d125cae53b6db/FMI/EFP/Riesgos%20Fiscales/2021/Empresas/Ingresos%20y%20Gastos/Ingresos_y_gastos_(Empresas).xlsx" TargetMode="External"/><Relationship Id="rId1" Type="http://schemas.openxmlformats.org/officeDocument/2006/relationships/image" Target="../media/image6.jpeg"/></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https://d.docs.live.net/839d125cae53b6db/FMI/EFP/Riesgos%20Fiscales/2021/Empresas/Ingresos%20y%20Gastos/Ingresos_y_gastos_(Empresas).xlsx" TargetMode="External"/><Relationship Id="rId1" Type="http://schemas.openxmlformats.org/officeDocument/2006/relationships/image" Target="../media/image6.jpeg"/></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https://d.docs.live.net/839d125cae53b6db/FMI/EFP/Riesgos%20Fiscales/2021/Empresas/Ingresos%20y%20Gastos/Ingresos_y_gastos_(Empresas).xlsx" TargetMode="External"/><Relationship Id="rId1" Type="http://schemas.openxmlformats.org/officeDocument/2006/relationships/image" Target="../media/image6.jpeg"/></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https://d.docs.live.net/839d125cae53b6db/FMI/EFP/Riesgos%20Fiscales/2021/Empresas/Ingresos%20y%20Gastos/Ingresos_y_gastos_(Empresas).xlsx" TargetMode="External"/><Relationship Id="rId1" Type="http://schemas.openxmlformats.org/officeDocument/2006/relationships/image" Target="../media/image6.jpeg"/></Relationships>
</file>

<file path=word/charts/_rels/chart68.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7.xml"/></Relationships>
</file>

<file path=word/charts/_rels/chart6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Hoja_de_c_lculo_de_Microsoft_Excel6.xlsx"/><Relationship Id="rId1" Type="http://schemas.openxmlformats.org/officeDocument/2006/relationships/themeOverride" Target="../theme/themeOverride9.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https://d.docs.live.net/839d125cae53b6db/FMI/EFP/Riesgos%20Fiscales/2021/Empresas/Ingresos%20y%20Gastos/Ingresos_y_gastos_(Empresas).xlsx" TargetMode="External"/><Relationship Id="rId1" Type="http://schemas.openxmlformats.org/officeDocument/2006/relationships/themeOverride" Target="../theme/themeOverride10.xml"/></Relationships>
</file>

<file path=word/charts/_rels/chart72.xml.rels><?xml version="1.0" encoding="UTF-8" standalone="yes"?>
<Relationships xmlns="http://schemas.openxmlformats.org/package/2006/relationships"><Relationship Id="rId2" Type="http://schemas.openxmlformats.org/officeDocument/2006/relationships/oleObject" Target="https://d.docs.live.net/839d125cae53b6db/FMI/EFP/Riesgos%20Fiscales/2021/Empresas/Ingresos%20y%20Gastos/Ingresos_y_gastos_(Empresas).xlsx" TargetMode="External"/><Relationship Id="rId1" Type="http://schemas.openxmlformats.org/officeDocument/2006/relationships/themeOverride" Target="../theme/themeOverride11.xml"/></Relationships>
</file>

<file path=word/charts/_rels/chart73.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Hoja_de_c_lculo_de_Microsoft_Excel7.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196742530471364E-2"/>
          <c:y val="5.0925925925925923E-2"/>
          <c:w val="0.92233937367418117"/>
          <c:h val="0.75982210557013696"/>
        </c:manualLayout>
      </c:layout>
      <c:lineChart>
        <c:grouping val="standard"/>
        <c:varyColors val="0"/>
        <c:ser>
          <c:idx val="0"/>
          <c:order val="0"/>
          <c:tx>
            <c:strRef>
              <c:f>'WEO_Data (17)'!$A$2</c:f>
              <c:strCache>
                <c:ptCount val="1"/>
                <c:pt idx="0">
                  <c:v>World</c:v>
                </c:pt>
              </c:strCache>
            </c:strRef>
          </c:tx>
          <c:spPr>
            <a:ln w="28575" cap="rnd">
              <a:solidFill>
                <a:schemeClr val="accent1"/>
              </a:solidFill>
              <a:round/>
            </a:ln>
            <a:effectLst/>
          </c:spPr>
          <c:marker>
            <c:symbol val="none"/>
          </c:marker>
          <c:cat>
            <c:numRef>
              <c:f>'WEO_Data (17)'!$F$1:$U$1</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'WEO_Data (17)'!$F$2:$U$2</c:f>
              <c:numCache>
                <c:formatCode>General</c:formatCode>
                <c:ptCount val="16"/>
                <c:pt idx="0">
                  <c:v>5.4359999999999999</c:v>
                </c:pt>
                <c:pt idx="1">
                  <c:v>5.5179999999999998</c:v>
                </c:pt>
                <c:pt idx="2">
                  <c:v>3.0169999999999999</c:v>
                </c:pt>
                <c:pt idx="3">
                  <c:v>-9.4E-2</c:v>
                </c:pt>
                <c:pt idx="4">
                  <c:v>5.4370000000000003</c:v>
                </c:pt>
                <c:pt idx="5">
                  <c:v>4.274</c:v>
                </c:pt>
                <c:pt idx="6">
                  <c:v>3.53</c:v>
                </c:pt>
                <c:pt idx="7">
                  <c:v>3.456</c:v>
                </c:pt>
                <c:pt idx="8">
                  <c:v>3.5609999999999999</c:v>
                </c:pt>
                <c:pt idx="9">
                  <c:v>3.4870000000000001</c:v>
                </c:pt>
                <c:pt idx="10">
                  <c:v>3.2909999999999999</c:v>
                </c:pt>
                <c:pt idx="11">
                  <c:v>3.762</c:v>
                </c:pt>
                <c:pt idx="12">
                  <c:v>3.5680000000000001</c:v>
                </c:pt>
                <c:pt idx="13">
                  <c:v>2.7639999999999998</c:v>
                </c:pt>
                <c:pt idx="14">
                  <c:v>-3.2669999999999999</c:v>
                </c:pt>
                <c:pt idx="15">
                  <c:v>6.0259999999999998</c:v>
                </c:pt>
              </c:numCache>
            </c:numRef>
          </c:val>
          <c:smooth val="0"/>
          <c:extLst xmlns:c16r2="http://schemas.microsoft.com/office/drawing/2015/06/chart">
            <c:ext xmlns:c16="http://schemas.microsoft.com/office/drawing/2014/chart" uri="{C3380CC4-5D6E-409C-BE32-E72D297353CC}">
              <c16:uniqueId val="{00000000-B91E-4F1C-9EF4-D029EDB780E5}"/>
            </c:ext>
          </c:extLst>
        </c:ser>
        <c:ser>
          <c:idx val="1"/>
          <c:order val="1"/>
          <c:tx>
            <c:strRef>
              <c:f>'WEO_Data (17)'!$A$3</c:f>
              <c:strCache>
                <c:ptCount val="1"/>
                <c:pt idx="0">
                  <c:v>Advanced economies</c:v>
                </c:pt>
              </c:strCache>
            </c:strRef>
          </c:tx>
          <c:spPr>
            <a:ln w="28575" cap="rnd">
              <a:solidFill>
                <a:schemeClr val="accent2"/>
              </a:solidFill>
              <a:round/>
            </a:ln>
            <a:effectLst/>
          </c:spPr>
          <c:marker>
            <c:symbol val="none"/>
          </c:marker>
          <c:cat>
            <c:numRef>
              <c:f>'WEO_Data (17)'!$F$1:$U$1</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'WEO_Data (17)'!$F$3:$U$3</c:f>
              <c:numCache>
                <c:formatCode>General</c:formatCode>
                <c:ptCount val="16"/>
                <c:pt idx="0">
                  <c:v>3.0779999999999998</c:v>
                </c:pt>
                <c:pt idx="1">
                  <c:v>2.69</c:v>
                </c:pt>
                <c:pt idx="2">
                  <c:v>0.23</c:v>
                </c:pt>
                <c:pt idx="3">
                  <c:v>-3.3159999999999998</c:v>
                </c:pt>
                <c:pt idx="4">
                  <c:v>3.11</c:v>
                </c:pt>
                <c:pt idx="5">
                  <c:v>1.748</c:v>
                </c:pt>
                <c:pt idx="6">
                  <c:v>1.1879999999999999</c:v>
                </c:pt>
                <c:pt idx="7">
                  <c:v>1.407</c:v>
                </c:pt>
                <c:pt idx="8">
                  <c:v>2.0819999999999999</c:v>
                </c:pt>
                <c:pt idx="9">
                  <c:v>2.4369999999999998</c:v>
                </c:pt>
                <c:pt idx="10">
                  <c:v>1.7729999999999999</c:v>
                </c:pt>
                <c:pt idx="11">
                  <c:v>2.4649999999999999</c:v>
                </c:pt>
                <c:pt idx="12">
                  <c:v>2.2999999999999998</c:v>
                </c:pt>
                <c:pt idx="13">
                  <c:v>1.6379999999999999</c:v>
                </c:pt>
                <c:pt idx="14">
                  <c:v>-4.7130000000000001</c:v>
                </c:pt>
                <c:pt idx="15">
                  <c:v>5.1369999999999996</c:v>
                </c:pt>
              </c:numCache>
            </c:numRef>
          </c:val>
          <c:smooth val="0"/>
          <c:extLst xmlns:c16r2="http://schemas.microsoft.com/office/drawing/2015/06/chart">
            <c:ext xmlns:c16="http://schemas.microsoft.com/office/drawing/2014/chart" uri="{C3380CC4-5D6E-409C-BE32-E72D297353CC}">
              <c16:uniqueId val="{00000001-B91E-4F1C-9EF4-D029EDB780E5}"/>
            </c:ext>
          </c:extLst>
        </c:ser>
        <c:ser>
          <c:idx val="2"/>
          <c:order val="2"/>
          <c:tx>
            <c:strRef>
              <c:f>'WEO_Data (17)'!$A$4</c:f>
              <c:strCache>
                <c:ptCount val="1"/>
                <c:pt idx="0">
                  <c:v>Emerging market and developing economies</c:v>
                </c:pt>
              </c:strCache>
            </c:strRef>
          </c:tx>
          <c:spPr>
            <a:ln w="28575" cap="rnd">
              <a:solidFill>
                <a:srgbClr val="C00000"/>
              </a:solidFill>
              <a:round/>
            </a:ln>
            <a:effectLst/>
          </c:spPr>
          <c:marker>
            <c:symbol val="none"/>
          </c:marker>
          <c:cat>
            <c:numRef>
              <c:f>'WEO_Data (17)'!$F$1:$U$1</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'WEO_Data (17)'!$F$4:$U$4</c:f>
              <c:numCache>
                <c:formatCode>General</c:formatCode>
                <c:ptCount val="16"/>
                <c:pt idx="0">
                  <c:v>7.9320000000000004</c:v>
                </c:pt>
                <c:pt idx="1">
                  <c:v>8.3580000000000005</c:v>
                </c:pt>
                <c:pt idx="2">
                  <c:v>5.6740000000000004</c:v>
                </c:pt>
                <c:pt idx="3">
                  <c:v>2.806</c:v>
                </c:pt>
                <c:pt idx="4">
                  <c:v>7.4459999999999997</c:v>
                </c:pt>
                <c:pt idx="5">
                  <c:v>6.3730000000000002</c:v>
                </c:pt>
                <c:pt idx="6">
                  <c:v>5.4</c:v>
                </c:pt>
                <c:pt idx="7">
                  <c:v>5.0679999999999996</c:v>
                </c:pt>
                <c:pt idx="8">
                  <c:v>4.7169999999999996</c:v>
                </c:pt>
                <c:pt idx="9">
                  <c:v>4.327</c:v>
                </c:pt>
                <c:pt idx="10">
                  <c:v>4.5039999999999996</c:v>
                </c:pt>
                <c:pt idx="11">
                  <c:v>4.7830000000000004</c:v>
                </c:pt>
                <c:pt idx="12">
                  <c:v>4.5460000000000003</c:v>
                </c:pt>
                <c:pt idx="13">
                  <c:v>3.617</c:v>
                </c:pt>
                <c:pt idx="14">
                  <c:v>-2.198</c:v>
                </c:pt>
                <c:pt idx="15">
                  <c:v>6.6740000000000004</c:v>
                </c:pt>
              </c:numCache>
            </c:numRef>
          </c:val>
          <c:smooth val="0"/>
          <c:extLst xmlns:c16r2="http://schemas.microsoft.com/office/drawing/2015/06/chart">
            <c:ext xmlns:c16="http://schemas.microsoft.com/office/drawing/2014/chart" uri="{C3380CC4-5D6E-409C-BE32-E72D297353CC}">
              <c16:uniqueId val="{00000002-B91E-4F1C-9EF4-D029EDB780E5}"/>
            </c:ext>
          </c:extLst>
        </c:ser>
        <c:dLbls>
          <c:showLegendKey val="0"/>
          <c:showVal val="0"/>
          <c:showCatName val="0"/>
          <c:showSerName val="0"/>
          <c:showPercent val="0"/>
          <c:showBubbleSize val="0"/>
        </c:dLbls>
        <c:marker val="1"/>
        <c:smooth val="0"/>
        <c:axId val="192814080"/>
        <c:axId val="192815872"/>
      </c:lineChart>
      <c:catAx>
        <c:axId val="19281408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815872"/>
        <c:crosses val="autoZero"/>
        <c:auto val="1"/>
        <c:lblAlgn val="ctr"/>
        <c:lblOffset val="100"/>
        <c:noMultiLvlLbl val="0"/>
      </c:catAx>
      <c:valAx>
        <c:axId val="192815872"/>
        <c:scaling>
          <c:orientation val="minMax"/>
          <c:max val="8.5"/>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814080"/>
        <c:crosses val="autoZero"/>
        <c:crossBetween val="between"/>
      </c:valAx>
      <c:spPr>
        <a:noFill/>
        <a:ln>
          <a:noFill/>
        </a:ln>
        <a:effectLst/>
      </c:spPr>
    </c:plotArea>
    <c:legend>
      <c:legendPos val="r"/>
      <c:layout>
        <c:manualLayout>
          <c:xMode val="edge"/>
          <c:yMode val="edge"/>
          <c:x val="6.5744436055082444E-3"/>
          <c:y val="0.89988261883931175"/>
          <c:w val="0.9911424513716609"/>
          <c:h val="9.83829104695246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43354416763479"/>
          <c:y val="7.3089700996677748E-2"/>
          <c:w val="0.77947902413837611"/>
          <c:h val="0.7050534080322618"/>
        </c:manualLayout>
      </c:layout>
      <c:barChart>
        <c:barDir val="col"/>
        <c:grouping val="clustered"/>
        <c:varyColors val="0"/>
        <c:ser>
          <c:idx val="0"/>
          <c:order val="0"/>
          <c:tx>
            <c:strRef>
              <c:f>Hoja1!$D$10</c:f>
              <c:strCache>
                <c:ptCount val="1"/>
                <c:pt idx="0">
                  <c:v>Pronostico PIBr</c:v>
                </c:pt>
              </c:strCache>
            </c:strRef>
          </c:tx>
          <c:spPr>
            <a:solidFill>
              <a:schemeClr val="accent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Hoja1!$E$8:$H$8</c:f>
              <c:strCache>
                <c:ptCount val="4"/>
                <c:pt idx="0">
                  <c:v>Dic/2020</c:v>
                </c:pt>
                <c:pt idx="1">
                  <c:v>Mar-21</c:v>
                </c:pt>
                <c:pt idx="2">
                  <c:v>Apr-21</c:v>
                </c:pt>
                <c:pt idx="3">
                  <c:v>Jul-21</c:v>
                </c:pt>
              </c:strCache>
            </c:strRef>
          </c:cat>
          <c:val>
            <c:numRef>
              <c:f>Hoja1!$E$10:$H$10</c:f>
              <c:numCache>
                <c:formatCode>#,##0.0</c:formatCode>
                <c:ptCount val="4"/>
                <c:pt idx="0">
                  <c:v>3.5</c:v>
                </c:pt>
                <c:pt idx="1">
                  <c:v>3.5</c:v>
                </c:pt>
                <c:pt idx="2">
                  <c:v>4</c:v>
                </c:pt>
                <c:pt idx="3">
                  <c:v>5</c:v>
                </c:pt>
              </c:numCache>
            </c:numRef>
          </c:val>
          <c:extLst xmlns:c16r2="http://schemas.microsoft.com/office/drawing/2015/06/chart">
            <c:ext xmlns:c16="http://schemas.microsoft.com/office/drawing/2014/chart" uri="{C3380CC4-5D6E-409C-BE32-E72D297353CC}">
              <c16:uniqueId val="{00000000-FFD9-4C9C-84F2-A6D08B6A340F}"/>
            </c:ext>
          </c:extLst>
        </c:ser>
        <c:dLbls>
          <c:showLegendKey val="0"/>
          <c:showVal val="0"/>
          <c:showCatName val="0"/>
          <c:showSerName val="0"/>
          <c:showPercent val="0"/>
          <c:showBubbleSize val="0"/>
        </c:dLbls>
        <c:gapWidth val="75"/>
        <c:overlap val="-25"/>
        <c:axId val="248232576"/>
        <c:axId val="248231424"/>
      </c:barChart>
      <c:lineChart>
        <c:grouping val="standard"/>
        <c:varyColors val="0"/>
        <c:ser>
          <c:idx val="1"/>
          <c:order val="1"/>
          <c:tx>
            <c:strRef>
              <c:f>Hoja1!$D$9</c:f>
              <c:strCache>
                <c:ptCount val="1"/>
                <c:pt idx="0">
                  <c:v>Variación</c:v>
                </c:pt>
              </c:strCache>
            </c:strRef>
          </c:tx>
          <c:spPr>
            <a:ln w="28575" cap="rnd">
              <a:solidFill>
                <a:schemeClr val="accent2"/>
              </a:solidFill>
              <a:round/>
            </a:ln>
            <a:effectLst/>
          </c:spPr>
          <c:marker>
            <c:symbol val="circle"/>
            <c:size val="8"/>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Hoja1!$E$8:$H$8</c:f>
              <c:strCache>
                <c:ptCount val="4"/>
                <c:pt idx="0">
                  <c:v>Dic/2020</c:v>
                </c:pt>
                <c:pt idx="1">
                  <c:v>Mar-21</c:v>
                </c:pt>
                <c:pt idx="2">
                  <c:v>Apr-21</c:v>
                </c:pt>
                <c:pt idx="3">
                  <c:v>Jul-21</c:v>
                </c:pt>
              </c:strCache>
            </c:strRef>
          </c:cat>
          <c:val>
            <c:numRef>
              <c:f>Hoja1!$E$9:$H$9</c:f>
              <c:numCache>
                <c:formatCode>#,##0.0</c:formatCode>
                <c:ptCount val="4"/>
                <c:pt idx="0">
                  <c:v>0</c:v>
                </c:pt>
                <c:pt idx="1">
                  <c:v>0</c:v>
                </c:pt>
                <c:pt idx="2">
                  <c:v>0.5</c:v>
                </c:pt>
                <c:pt idx="3">
                  <c:v>1.5</c:v>
                </c:pt>
              </c:numCache>
            </c:numRef>
          </c:val>
          <c:smooth val="0"/>
          <c:extLst xmlns:c16r2="http://schemas.microsoft.com/office/drawing/2015/06/chart">
            <c:ext xmlns:c16="http://schemas.microsoft.com/office/drawing/2014/chart" uri="{C3380CC4-5D6E-409C-BE32-E72D297353CC}">
              <c16:uniqueId val="{00000001-FFD9-4C9C-84F2-A6D08B6A340F}"/>
            </c:ext>
          </c:extLst>
        </c:ser>
        <c:dLbls>
          <c:showLegendKey val="0"/>
          <c:showVal val="0"/>
          <c:showCatName val="0"/>
          <c:showSerName val="0"/>
          <c:showPercent val="0"/>
          <c:showBubbleSize val="0"/>
        </c:dLbls>
        <c:marker val="1"/>
        <c:smooth val="0"/>
        <c:axId val="248232576"/>
        <c:axId val="248231424"/>
      </c:lineChart>
      <c:catAx>
        <c:axId val="24823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231424"/>
        <c:crosses val="autoZero"/>
        <c:auto val="1"/>
        <c:lblAlgn val="ctr"/>
        <c:lblOffset val="100"/>
        <c:noMultiLvlLbl val="0"/>
      </c:catAx>
      <c:valAx>
        <c:axId val="248231424"/>
        <c:scaling>
          <c:orientation val="minMax"/>
        </c:scaling>
        <c:delete val="0"/>
        <c:axPos val="l"/>
        <c:majorGridlines>
          <c:spPr>
            <a:ln w="9525" cap="flat" cmpd="sng" algn="ctr">
              <a:solidFill>
                <a:schemeClr val="tx1">
                  <a:alpha val="2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Porcentaje</a:t>
                </a:r>
              </a:p>
            </c:rich>
          </c:tx>
          <c:layout>
            <c:manualLayout>
              <c:xMode val="edge"/>
              <c:yMode val="edge"/>
              <c:x val="4.3715846994535519E-3"/>
              <c:y val="0.21771261150495727"/>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232576"/>
        <c:crosses val="autoZero"/>
        <c:crossBetween val="between"/>
      </c:valAx>
      <c:spPr>
        <a:noFill/>
        <a:ln>
          <a:noFill/>
        </a:ln>
        <a:effectLst/>
      </c:spPr>
    </c:plotArea>
    <c:legend>
      <c:legendPos val="b"/>
      <c:layout>
        <c:manualLayout>
          <c:xMode val="edge"/>
          <c:yMode val="edge"/>
          <c:x val="0.12520115313454672"/>
          <c:y val="0.89714519072474108"/>
          <c:w val="0.7408545243319995"/>
          <c:h val="0.102854809275258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83763375731883"/>
          <c:y val="7.2368421052631582E-2"/>
          <c:w val="0.76203416111447608"/>
          <c:h val="0.70346456692913373"/>
        </c:manualLayout>
      </c:layout>
      <c:barChart>
        <c:barDir val="col"/>
        <c:grouping val="clustered"/>
        <c:varyColors val="0"/>
        <c:ser>
          <c:idx val="0"/>
          <c:order val="0"/>
          <c:tx>
            <c:strRef>
              <c:f>Hoja1!$D$12</c:f>
              <c:strCache>
                <c:ptCount val="1"/>
                <c:pt idx="0">
                  <c:v>Pronostico PIBn</c:v>
                </c:pt>
              </c:strCache>
            </c:strRef>
          </c:tx>
          <c:spPr>
            <a:solidFill>
              <a:schemeClr val="accent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Hoja1!$E$8:$H$8</c:f>
              <c:strCache>
                <c:ptCount val="4"/>
                <c:pt idx="0">
                  <c:v>Dic/2020</c:v>
                </c:pt>
                <c:pt idx="1">
                  <c:v>Mar-21</c:v>
                </c:pt>
                <c:pt idx="2">
                  <c:v>Apr-21</c:v>
                </c:pt>
                <c:pt idx="3">
                  <c:v>Jul-21</c:v>
                </c:pt>
              </c:strCache>
            </c:strRef>
          </c:cat>
          <c:val>
            <c:numRef>
              <c:f>Hoja1!$E$12:$H$12</c:f>
              <c:numCache>
                <c:formatCode>#,##0.0</c:formatCode>
                <c:ptCount val="4"/>
                <c:pt idx="0">
                  <c:v>6.2</c:v>
                </c:pt>
                <c:pt idx="1">
                  <c:v>6.2</c:v>
                </c:pt>
                <c:pt idx="2">
                  <c:v>7.2</c:v>
                </c:pt>
                <c:pt idx="3">
                  <c:v>8.6999999999999993</c:v>
                </c:pt>
              </c:numCache>
            </c:numRef>
          </c:val>
          <c:extLst xmlns:c16r2="http://schemas.microsoft.com/office/drawing/2015/06/chart">
            <c:ext xmlns:c16="http://schemas.microsoft.com/office/drawing/2014/chart" uri="{C3380CC4-5D6E-409C-BE32-E72D297353CC}">
              <c16:uniqueId val="{00000000-87FF-4F42-B40A-6D9B560984AB}"/>
            </c:ext>
          </c:extLst>
        </c:ser>
        <c:dLbls>
          <c:showLegendKey val="0"/>
          <c:showVal val="0"/>
          <c:showCatName val="0"/>
          <c:showSerName val="0"/>
          <c:showPercent val="0"/>
          <c:showBubbleSize val="0"/>
        </c:dLbls>
        <c:gapWidth val="75"/>
        <c:overlap val="-25"/>
        <c:axId val="248163328"/>
        <c:axId val="248169216"/>
      </c:barChart>
      <c:lineChart>
        <c:grouping val="standard"/>
        <c:varyColors val="0"/>
        <c:ser>
          <c:idx val="1"/>
          <c:order val="1"/>
          <c:tx>
            <c:strRef>
              <c:f>Hoja1!$D$11</c:f>
              <c:strCache>
                <c:ptCount val="1"/>
                <c:pt idx="0">
                  <c:v>Variación</c:v>
                </c:pt>
              </c:strCache>
            </c:strRef>
          </c:tx>
          <c:spPr>
            <a:ln w="28575" cap="rnd">
              <a:solidFill>
                <a:schemeClr val="accent2"/>
              </a:solidFill>
              <a:round/>
            </a:ln>
            <a:effectLst/>
          </c:spPr>
          <c:marker>
            <c:symbol val="circle"/>
            <c:size val="8"/>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Hoja1!$E$8:$H$8</c:f>
              <c:strCache>
                <c:ptCount val="4"/>
                <c:pt idx="0">
                  <c:v>Dic/2020</c:v>
                </c:pt>
                <c:pt idx="1">
                  <c:v>Mar-21</c:v>
                </c:pt>
                <c:pt idx="2">
                  <c:v>Apr-21</c:v>
                </c:pt>
                <c:pt idx="3">
                  <c:v>Jul-21</c:v>
                </c:pt>
              </c:strCache>
            </c:strRef>
          </c:cat>
          <c:val>
            <c:numRef>
              <c:f>Hoja1!$E$11:$H$11</c:f>
              <c:numCache>
                <c:formatCode>#,##0.0</c:formatCode>
                <c:ptCount val="4"/>
                <c:pt idx="0">
                  <c:v>0</c:v>
                </c:pt>
                <c:pt idx="1">
                  <c:v>0</c:v>
                </c:pt>
                <c:pt idx="2">
                  <c:v>1</c:v>
                </c:pt>
                <c:pt idx="3">
                  <c:v>2.4999999999999991</c:v>
                </c:pt>
              </c:numCache>
            </c:numRef>
          </c:val>
          <c:smooth val="0"/>
          <c:extLst xmlns:c16r2="http://schemas.microsoft.com/office/drawing/2015/06/chart">
            <c:ext xmlns:c16="http://schemas.microsoft.com/office/drawing/2014/chart" uri="{C3380CC4-5D6E-409C-BE32-E72D297353CC}">
              <c16:uniqueId val="{00000001-87FF-4F42-B40A-6D9B560984AB}"/>
            </c:ext>
          </c:extLst>
        </c:ser>
        <c:dLbls>
          <c:showLegendKey val="0"/>
          <c:showVal val="0"/>
          <c:showCatName val="0"/>
          <c:showSerName val="0"/>
          <c:showPercent val="0"/>
          <c:showBubbleSize val="0"/>
        </c:dLbls>
        <c:marker val="1"/>
        <c:smooth val="0"/>
        <c:axId val="248163328"/>
        <c:axId val="248169216"/>
      </c:lineChart>
      <c:catAx>
        <c:axId val="2481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169216"/>
        <c:crosses val="autoZero"/>
        <c:auto val="1"/>
        <c:lblAlgn val="ctr"/>
        <c:lblOffset val="100"/>
        <c:noMultiLvlLbl val="0"/>
      </c:catAx>
      <c:valAx>
        <c:axId val="248169216"/>
        <c:scaling>
          <c:orientation val="minMax"/>
        </c:scaling>
        <c:delete val="0"/>
        <c:axPos val="l"/>
        <c:majorGridlines>
          <c:spPr>
            <a:ln w="9525" cap="flat" cmpd="sng" algn="ctr">
              <a:solidFill>
                <a:schemeClr val="tx1">
                  <a:alpha val="2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Porcentaje</a:t>
                </a:r>
              </a:p>
            </c:rich>
          </c:tx>
          <c:layout>
            <c:manualLayout>
              <c:xMode val="edge"/>
              <c:yMode val="edge"/>
              <c:x val="2.8717948717948718E-2"/>
              <c:y val="0.2204983423124741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163328"/>
        <c:crosses val="autoZero"/>
        <c:crossBetween val="between"/>
      </c:valAx>
      <c:spPr>
        <a:noFill/>
        <a:ln>
          <a:noFill/>
        </a:ln>
        <a:effectLst/>
      </c:spPr>
    </c:plotArea>
    <c:legend>
      <c:legendPos val="b"/>
      <c:layout>
        <c:manualLayout>
          <c:xMode val="edge"/>
          <c:yMode val="edge"/>
          <c:x val="0.1553463355542096"/>
          <c:y val="0.88897948611686695"/>
          <c:w val="0.68930700585503735"/>
          <c:h val="0.111020513883133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2934241692189"/>
          <c:y val="7.3162620552045227E-2"/>
          <c:w val="0.76463768408923216"/>
          <c:h val="0.62039650264867541"/>
        </c:manualLayout>
      </c:layout>
      <c:barChart>
        <c:barDir val="col"/>
        <c:grouping val="clustered"/>
        <c:varyColors val="0"/>
        <c:ser>
          <c:idx val="0"/>
          <c:order val="0"/>
          <c:tx>
            <c:strRef>
              <c:f>Hoja1!$D$16</c:f>
              <c:strCache>
                <c:ptCount val="1"/>
                <c:pt idx="0">
                  <c:v>Pronostico Exportaciones</c:v>
                </c:pt>
              </c:strCache>
            </c:strRef>
          </c:tx>
          <c:spPr>
            <a:solidFill>
              <a:schemeClr val="bg1">
                <a:lumMod val="65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Hoja1!$E$8:$H$8</c:f>
              <c:strCache>
                <c:ptCount val="4"/>
                <c:pt idx="0">
                  <c:v>Dic/2020</c:v>
                </c:pt>
                <c:pt idx="1">
                  <c:v>Mar-21</c:v>
                </c:pt>
                <c:pt idx="2">
                  <c:v>Apr-21</c:v>
                </c:pt>
                <c:pt idx="3">
                  <c:v>Jul-21</c:v>
                </c:pt>
              </c:strCache>
            </c:strRef>
          </c:cat>
          <c:val>
            <c:numRef>
              <c:f>Hoja1!$E$16:$H$16</c:f>
              <c:numCache>
                <c:formatCode>#,##0.0</c:formatCode>
                <c:ptCount val="4"/>
                <c:pt idx="0">
                  <c:v>9</c:v>
                </c:pt>
                <c:pt idx="1">
                  <c:v>9</c:v>
                </c:pt>
                <c:pt idx="2">
                  <c:v>10</c:v>
                </c:pt>
                <c:pt idx="3">
                  <c:v>12</c:v>
                </c:pt>
              </c:numCache>
            </c:numRef>
          </c:val>
          <c:extLst xmlns:c16r2="http://schemas.microsoft.com/office/drawing/2015/06/chart">
            <c:ext xmlns:c16="http://schemas.microsoft.com/office/drawing/2014/chart" uri="{C3380CC4-5D6E-409C-BE32-E72D297353CC}">
              <c16:uniqueId val="{00000000-57AE-4BE8-BADF-E4F8B9E01D0A}"/>
            </c:ext>
          </c:extLst>
        </c:ser>
        <c:dLbls>
          <c:showLegendKey val="0"/>
          <c:showVal val="0"/>
          <c:showCatName val="0"/>
          <c:showSerName val="0"/>
          <c:showPercent val="0"/>
          <c:showBubbleSize val="0"/>
        </c:dLbls>
        <c:gapWidth val="75"/>
        <c:overlap val="-25"/>
        <c:axId val="248274944"/>
        <c:axId val="248276480"/>
      </c:barChart>
      <c:lineChart>
        <c:grouping val="standard"/>
        <c:varyColors val="0"/>
        <c:ser>
          <c:idx val="1"/>
          <c:order val="1"/>
          <c:tx>
            <c:strRef>
              <c:f>Hoja1!$D$15</c:f>
              <c:strCache>
                <c:ptCount val="1"/>
                <c:pt idx="0">
                  <c:v>Variación</c:v>
                </c:pt>
              </c:strCache>
            </c:strRef>
          </c:tx>
          <c:spPr>
            <a:ln w="28575" cap="rnd">
              <a:solidFill>
                <a:schemeClr val="accent2"/>
              </a:solidFill>
              <a:round/>
            </a:ln>
            <a:effectLst/>
          </c:spPr>
          <c:marker>
            <c:symbol val="circle"/>
            <c:size val="8"/>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Hoja1!$E$8:$H$8</c:f>
              <c:strCache>
                <c:ptCount val="4"/>
                <c:pt idx="0">
                  <c:v>Dic/2020</c:v>
                </c:pt>
                <c:pt idx="1">
                  <c:v>Mar-21</c:v>
                </c:pt>
                <c:pt idx="2">
                  <c:v>Apr-21</c:v>
                </c:pt>
                <c:pt idx="3">
                  <c:v>Jul-21</c:v>
                </c:pt>
              </c:strCache>
            </c:strRef>
          </c:cat>
          <c:val>
            <c:numRef>
              <c:f>Hoja1!$E$15:$H$15</c:f>
              <c:numCache>
                <c:formatCode>#,##0.0</c:formatCode>
                <c:ptCount val="4"/>
                <c:pt idx="0">
                  <c:v>0</c:v>
                </c:pt>
                <c:pt idx="1">
                  <c:v>0</c:v>
                </c:pt>
                <c:pt idx="2">
                  <c:v>1</c:v>
                </c:pt>
                <c:pt idx="3">
                  <c:v>3</c:v>
                </c:pt>
              </c:numCache>
            </c:numRef>
          </c:val>
          <c:smooth val="0"/>
          <c:extLst xmlns:c16r2="http://schemas.microsoft.com/office/drawing/2015/06/chart">
            <c:ext xmlns:c16="http://schemas.microsoft.com/office/drawing/2014/chart" uri="{C3380CC4-5D6E-409C-BE32-E72D297353CC}">
              <c16:uniqueId val="{00000001-57AE-4BE8-BADF-E4F8B9E01D0A}"/>
            </c:ext>
          </c:extLst>
        </c:ser>
        <c:dLbls>
          <c:showLegendKey val="0"/>
          <c:showVal val="0"/>
          <c:showCatName val="0"/>
          <c:showSerName val="0"/>
          <c:showPercent val="0"/>
          <c:showBubbleSize val="0"/>
        </c:dLbls>
        <c:marker val="1"/>
        <c:smooth val="0"/>
        <c:axId val="248274944"/>
        <c:axId val="248276480"/>
      </c:lineChart>
      <c:catAx>
        <c:axId val="24827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276480"/>
        <c:crosses val="autoZero"/>
        <c:auto val="1"/>
        <c:lblAlgn val="ctr"/>
        <c:lblOffset val="100"/>
        <c:noMultiLvlLbl val="0"/>
      </c:catAx>
      <c:valAx>
        <c:axId val="248276480"/>
        <c:scaling>
          <c:orientation val="minMax"/>
        </c:scaling>
        <c:delete val="0"/>
        <c:axPos val="l"/>
        <c:majorGridlines>
          <c:spPr>
            <a:ln w="9525" cap="flat" cmpd="sng" algn="ctr">
              <a:solidFill>
                <a:schemeClr val="tx1">
                  <a:alpha val="2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Porcentaje</a:t>
                </a:r>
              </a:p>
            </c:rich>
          </c:tx>
          <c:layout>
            <c:manualLayout>
              <c:xMode val="edge"/>
              <c:yMode val="edge"/>
              <c:x val="1.2836970474967908E-2"/>
              <c:y val="0.21743124310990886"/>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27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50501379635239"/>
          <c:y val="7.3162620552045227E-2"/>
          <c:w val="0.77348643919510063"/>
          <c:h val="0.62039650264867541"/>
        </c:manualLayout>
      </c:layout>
      <c:barChart>
        <c:barDir val="col"/>
        <c:grouping val="clustered"/>
        <c:varyColors val="0"/>
        <c:ser>
          <c:idx val="0"/>
          <c:order val="0"/>
          <c:tx>
            <c:strRef>
              <c:f>Hoja1!$D$14</c:f>
              <c:strCache>
                <c:ptCount val="1"/>
                <c:pt idx="0">
                  <c:v>Pronostico Importaciones</c:v>
                </c:pt>
              </c:strCache>
            </c:strRef>
          </c:tx>
          <c:spPr>
            <a:solidFill>
              <a:schemeClr val="bg1">
                <a:lumMod val="65000"/>
              </a:schemeClr>
            </a:solidFill>
            <a:ln>
              <a:noFill/>
            </a:ln>
            <a:effectLst>
              <a:outerShdw blurRad="50800" dist="38100" dir="2700000" algn="tl" rotWithShape="0">
                <a:prstClr val="black">
                  <a:alpha val="40000"/>
                </a:prstClr>
              </a:outerShdw>
            </a:effectLst>
          </c:spPr>
          <c:invertIfNegative val="0"/>
          <c:dLbls>
            <c:dLbl>
              <c:idx val="3"/>
              <c:layout>
                <c:manualLayout>
                  <c:x val="0"/>
                  <c:y val="0.1749461230881224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BC-4CF7-BBC9-A85FA3CD85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Hoja1!$E$8:$H$8</c:f>
              <c:strCache>
                <c:ptCount val="4"/>
                <c:pt idx="0">
                  <c:v>Dic/2020</c:v>
                </c:pt>
                <c:pt idx="1">
                  <c:v>Mar-21</c:v>
                </c:pt>
                <c:pt idx="2">
                  <c:v>Apr-21</c:v>
                </c:pt>
                <c:pt idx="3">
                  <c:v>Jul-21</c:v>
                </c:pt>
              </c:strCache>
            </c:strRef>
          </c:cat>
          <c:val>
            <c:numRef>
              <c:f>Hoja1!$E$14:$H$14</c:f>
              <c:numCache>
                <c:formatCode>#,##0.0</c:formatCode>
                <c:ptCount val="4"/>
                <c:pt idx="0">
                  <c:v>9.5</c:v>
                </c:pt>
                <c:pt idx="1">
                  <c:v>9.5</c:v>
                </c:pt>
                <c:pt idx="2">
                  <c:v>11</c:v>
                </c:pt>
                <c:pt idx="3">
                  <c:v>20</c:v>
                </c:pt>
              </c:numCache>
            </c:numRef>
          </c:val>
          <c:extLst xmlns:c16r2="http://schemas.microsoft.com/office/drawing/2015/06/chart">
            <c:ext xmlns:c16="http://schemas.microsoft.com/office/drawing/2014/chart" uri="{C3380CC4-5D6E-409C-BE32-E72D297353CC}">
              <c16:uniqueId val="{00000000-BFBC-4CF7-BBC9-A85FA3CD8538}"/>
            </c:ext>
          </c:extLst>
        </c:ser>
        <c:dLbls>
          <c:showLegendKey val="0"/>
          <c:showVal val="0"/>
          <c:showCatName val="0"/>
          <c:showSerName val="0"/>
          <c:showPercent val="0"/>
          <c:showBubbleSize val="0"/>
        </c:dLbls>
        <c:gapWidth val="75"/>
        <c:overlap val="-25"/>
        <c:axId val="248464512"/>
        <c:axId val="248466048"/>
      </c:barChart>
      <c:lineChart>
        <c:grouping val="standard"/>
        <c:varyColors val="0"/>
        <c:ser>
          <c:idx val="1"/>
          <c:order val="1"/>
          <c:tx>
            <c:strRef>
              <c:f>Hoja1!$D$13</c:f>
              <c:strCache>
                <c:ptCount val="1"/>
                <c:pt idx="0">
                  <c:v>Variación</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Hoja1!$E$8:$H$8</c:f>
              <c:strCache>
                <c:ptCount val="4"/>
                <c:pt idx="0">
                  <c:v>Dic/2020</c:v>
                </c:pt>
                <c:pt idx="1">
                  <c:v>Mar-21</c:v>
                </c:pt>
                <c:pt idx="2">
                  <c:v>Apr-21</c:v>
                </c:pt>
                <c:pt idx="3">
                  <c:v>Jul-21</c:v>
                </c:pt>
              </c:strCache>
            </c:strRef>
          </c:cat>
          <c:val>
            <c:numRef>
              <c:f>Hoja1!$E$13:$H$13</c:f>
              <c:numCache>
                <c:formatCode>#,##0.0</c:formatCode>
                <c:ptCount val="4"/>
                <c:pt idx="0">
                  <c:v>0</c:v>
                </c:pt>
                <c:pt idx="1">
                  <c:v>0</c:v>
                </c:pt>
                <c:pt idx="2">
                  <c:v>1.5</c:v>
                </c:pt>
                <c:pt idx="3">
                  <c:v>10.5</c:v>
                </c:pt>
              </c:numCache>
            </c:numRef>
          </c:val>
          <c:smooth val="0"/>
          <c:extLst xmlns:c16r2="http://schemas.microsoft.com/office/drawing/2015/06/chart">
            <c:ext xmlns:c16="http://schemas.microsoft.com/office/drawing/2014/chart" uri="{C3380CC4-5D6E-409C-BE32-E72D297353CC}">
              <c16:uniqueId val="{00000001-BFBC-4CF7-BBC9-A85FA3CD8538}"/>
            </c:ext>
          </c:extLst>
        </c:ser>
        <c:dLbls>
          <c:showLegendKey val="0"/>
          <c:showVal val="0"/>
          <c:showCatName val="0"/>
          <c:showSerName val="0"/>
          <c:showPercent val="0"/>
          <c:showBubbleSize val="0"/>
        </c:dLbls>
        <c:marker val="1"/>
        <c:smooth val="0"/>
        <c:axId val="248464512"/>
        <c:axId val="248466048"/>
      </c:lineChart>
      <c:catAx>
        <c:axId val="24846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466048"/>
        <c:crosses val="autoZero"/>
        <c:auto val="1"/>
        <c:lblAlgn val="ctr"/>
        <c:lblOffset val="100"/>
        <c:noMultiLvlLbl val="0"/>
      </c:catAx>
      <c:valAx>
        <c:axId val="248466048"/>
        <c:scaling>
          <c:orientation val="minMax"/>
        </c:scaling>
        <c:delete val="0"/>
        <c:axPos val="l"/>
        <c:majorGridlines>
          <c:spPr>
            <a:ln w="9525" cap="flat" cmpd="sng" algn="ctr">
              <a:solidFill>
                <a:schemeClr val="tx1">
                  <a:alpha val="4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Porcentaje</a:t>
                </a:r>
              </a:p>
            </c:rich>
          </c:tx>
          <c:layout>
            <c:manualLayout>
              <c:xMode val="edge"/>
              <c:yMode val="edge"/>
              <c:x val="4.2735042735042739E-3"/>
              <c:y val="0.21743124310990886"/>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46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84763104167703E-2"/>
          <c:y val="4.1304201867445184E-2"/>
          <c:w val="0.89286479878649005"/>
          <c:h val="0.64371884707072169"/>
        </c:manualLayout>
      </c:layout>
      <c:lineChart>
        <c:grouping val="standard"/>
        <c:varyColors val="0"/>
        <c:ser>
          <c:idx val="0"/>
          <c:order val="0"/>
          <c:tx>
            <c:strRef>
              <c:f>'sr005 (2)'!$F$125</c:f>
              <c:strCache>
                <c:ptCount val="1"/>
                <c:pt idx="0">
                  <c:v>Inflación</c:v>
                </c:pt>
              </c:strCache>
            </c:strRef>
          </c:tx>
          <c:spPr>
            <a:ln w="38100" cap="rnd">
              <a:solidFill>
                <a:srgbClr val="002060"/>
              </a:solidFill>
              <a:round/>
            </a:ln>
            <a:effectLst/>
          </c:spPr>
          <c:marker>
            <c:symbol val="circle"/>
            <c:size val="3"/>
            <c:spPr>
              <a:solidFill>
                <a:srgbClr val="00B0F0"/>
              </a:solidFill>
              <a:ln w="9525">
                <a:solidFill>
                  <a:schemeClr val="accent1"/>
                </a:solidFill>
              </a:ln>
              <a:effectLst/>
            </c:spPr>
          </c:marker>
          <c:dLbls>
            <c:dLbl>
              <c:idx val="25"/>
              <c:layout>
                <c:manualLayout>
                  <c:x val="-7.401230734294547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18-4D96-8DCE-575139D361DC}"/>
                </c:ext>
              </c:extLst>
            </c:dLbl>
            <c:dLbl>
              <c:idx val="29"/>
              <c:layout>
                <c:manualLayout>
                  <c:x val="-1.3884197419928924E-3"/>
                  <c:y val="-0.24594078319006685"/>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sz="800"/>
                  </a:pPr>
                  <a:endParaRPr lang="es-GT"/>
                </a:p>
              </c:tx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11457496384380522"/>
                      <c:h val="0.1320037001105521"/>
                    </c:manualLayout>
                  </c15:layout>
                </c:ext>
                <c:ext xmlns:c16="http://schemas.microsoft.com/office/drawing/2014/chart" uri="{C3380CC4-5D6E-409C-BE32-E72D297353CC}">
                  <c16:uniqueId val="{00000001-3E18-4D96-8DCE-575139D361D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'sr005 (2)'!$C$126:$C$155</c:f>
              <c:numCache>
                <c:formatCode>mmm\-yy</c:formatCode>
                <c:ptCount val="3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numCache>
            </c:numRef>
          </c:cat>
          <c:val>
            <c:numRef>
              <c:f>'sr005 (2)'!$F$126:$F$155</c:f>
              <c:numCache>
                <c:formatCode>0.00</c:formatCode>
                <c:ptCount val="30"/>
                <c:pt idx="0">
                  <c:v>4.0999999999999996</c:v>
                </c:pt>
                <c:pt idx="1">
                  <c:v>4.46</c:v>
                </c:pt>
                <c:pt idx="2">
                  <c:v>4.17</c:v>
                </c:pt>
                <c:pt idx="3">
                  <c:v>4.75</c:v>
                </c:pt>
                <c:pt idx="4">
                  <c:v>4.54</c:v>
                </c:pt>
                <c:pt idx="5">
                  <c:v>4.8</c:v>
                </c:pt>
                <c:pt idx="6">
                  <c:v>4.37</c:v>
                </c:pt>
                <c:pt idx="7">
                  <c:v>3.01</c:v>
                </c:pt>
                <c:pt idx="8">
                  <c:v>1.8</c:v>
                </c:pt>
                <c:pt idx="9">
                  <c:v>2.17</c:v>
                </c:pt>
                <c:pt idx="10">
                  <c:v>2.92</c:v>
                </c:pt>
                <c:pt idx="11">
                  <c:v>3.41</c:v>
                </c:pt>
                <c:pt idx="12">
                  <c:v>1.78</c:v>
                </c:pt>
                <c:pt idx="13">
                  <c:v>1.24</c:v>
                </c:pt>
                <c:pt idx="14">
                  <c:v>1.77</c:v>
                </c:pt>
                <c:pt idx="15">
                  <c:v>1.88</c:v>
                </c:pt>
                <c:pt idx="16">
                  <c:v>1.8</c:v>
                </c:pt>
                <c:pt idx="17">
                  <c:v>2.39</c:v>
                </c:pt>
                <c:pt idx="18">
                  <c:v>2.88</c:v>
                </c:pt>
                <c:pt idx="19">
                  <c:v>4.1900000000000004</c:v>
                </c:pt>
                <c:pt idx="20">
                  <c:v>4.97</c:v>
                </c:pt>
                <c:pt idx="21">
                  <c:v>5.34</c:v>
                </c:pt>
                <c:pt idx="22">
                  <c:v>5.46</c:v>
                </c:pt>
                <c:pt idx="23">
                  <c:v>4.82</c:v>
                </c:pt>
                <c:pt idx="24">
                  <c:v>5.24</c:v>
                </c:pt>
                <c:pt idx="25">
                  <c:v>6</c:v>
                </c:pt>
                <c:pt idx="26">
                  <c:v>5.84</c:v>
                </c:pt>
                <c:pt idx="27" formatCode="General">
                  <c:v>5.2</c:v>
                </c:pt>
                <c:pt idx="28" formatCode="General">
                  <c:v>5.17</c:v>
                </c:pt>
                <c:pt idx="29" formatCode="General">
                  <c:v>3.91</c:v>
                </c:pt>
              </c:numCache>
            </c:numRef>
          </c:val>
          <c:smooth val="1"/>
          <c:extLst xmlns:c16r2="http://schemas.microsoft.com/office/drawing/2015/06/chart">
            <c:ext xmlns:c16="http://schemas.microsoft.com/office/drawing/2014/chart" uri="{C3380CC4-5D6E-409C-BE32-E72D297353CC}">
              <c16:uniqueId val="{00000002-3E18-4D96-8DCE-575139D361DC}"/>
            </c:ext>
          </c:extLst>
        </c:ser>
        <c:ser>
          <c:idx val="1"/>
          <c:order val="1"/>
          <c:tx>
            <c:strRef>
              <c:f>'sr005 (2)'!$G$125</c:f>
              <c:strCache>
                <c:ptCount val="1"/>
                <c:pt idx="0">
                  <c:v>Meta, R-max</c:v>
                </c:pt>
              </c:strCache>
            </c:strRef>
          </c:tx>
          <c:spPr>
            <a:ln w="28575" cap="rnd">
              <a:solidFill>
                <a:srgbClr val="92D050"/>
              </a:solidFill>
              <a:prstDash val="sysDot"/>
              <a:round/>
            </a:ln>
            <a:effectLst/>
          </c:spPr>
          <c:marker>
            <c:symbol val="none"/>
          </c:marker>
          <c:cat>
            <c:numRef>
              <c:f>'sr005 (2)'!$C$126:$C$155</c:f>
              <c:numCache>
                <c:formatCode>mmm\-yy</c:formatCode>
                <c:ptCount val="3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numCache>
            </c:numRef>
          </c:cat>
          <c:val>
            <c:numRef>
              <c:f>'sr005 (2)'!$G$126:$G$155</c:f>
              <c:numCache>
                <c:formatCode>0.00</c:formatCode>
                <c:ptCount val="3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numCache>
            </c:numRef>
          </c:val>
          <c:smooth val="0"/>
          <c:extLst xmlns:c16r2="http://schemas.microsoft.com/office/drawing/2015/06/chart">
            <c:ext xmlns:c16="http://schemas.microsoft.com/office/drawing/2014/chart" uri="{C3380CC4-5D6E-409C-BE32-E72D297353CC}">
              <c16:uniqueId val="{00000003-3E18-4D96-8DCE-575139D361DC}"/>
            </c:ext>
          </c:extLst>
        </c:ser>
        <c:ser>
          <c:idx val="2"/>
          <c:order val="2"/>
          <c:tx>
            <c:strRef>
              <c:f>'sr005 (2)'!$E$125</c:f>
              <c:strCache>
                <c:ptCount val="1"/>
                <c:pt idx="0">
                  <c:v>Meta, R-min</c:v>
                </c:pt>
              </c:strCache>
            </c:strRef>
          </c:tx>
          <c:spPr>
            <a:ln w="28575" cap="rnd">
              <a:solidFill>
                <a:srgbClr val="92D050"/>
              </a:solidFill>
              <a:prstDash val="sysDot"/>
              <a:round/>
            </a:ln>
            <a:effectLst/>
          </c:spPr>
          <c:marker>
            <c:symbol val="none"/>
          </c:marker>
          <c:cat>
            <c:numRef>
              <c:f>'sr005 (2)'!$C$126:$C$155</c:f>
              <c:numCache>
                <c:formatCode>mmm\-yy</c:formatCode>
                <c:ptCount val="3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numCache>
            </c:numRef>
          </c:cat>
          <c:val>
            <c:numRef>
              <c:f>'sr005 (2)'!$E$126:$E$155</c:f>
              <c:numCache>
                <c:formatCode>0.00</c:formatCode>
                <c:ptCount val="30"/>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numCache>
            </c:numRef>
          </c:val>
          <c:smooth val="0"/>
          <c:extLst xmlns:c16r2="http://schemas.microsoft.com/office/drawing/2015/06/chart">
            <c:ext xmlns:c16="http://schemas.microsoft.com/office/drawing/2014/chart" uri="{C3380CC4-5D6E-409C-BE32-E72D297353CC}">
              <c16:uniqueId val="{00000004-3E18-4D96-8DCE-575139D361DC}"/>
            </c:ext>
          </c:extLst>
        </c:ser>
        <c:ser>
          <c:idx val="3"/>
          <c:order val="3"/>
          <c:tx>
            <c:strRef>
              <c:f>'sr005 (2)'!$H$125</c:f>
              <c:strCache>
                <c:ptCount val="1"/>
                <c:pt idx="0">
                  <c:v>Promedio 2019-2021</c:v>
                </c:pt>
              </c:strCache>
            </c:strRef>
          </c:tx>
          <c:spPr>
            <a:ln w="38100" cap="rnd">
              <a:solidFill>
                <a:srgbClr val="FF0000"/>
              </a:solidFill>
              <a:round/>
            </a:ln>
            <a:effectLst/>
          </c:spPr>
          <c:marker>
            <c:symbol val="none"/>
          </c:marker>
          <c:dLbls>
            <c:dLbl>
              <c:idx val="10"/>
              <c:layout>
                <c:manualLayout>
                  <c:x val="-1.529386060738475E-2"/>
                  <c:y val="0.1976005645730415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18-4D96-8DCE-575139D361D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'sr005 (2)'!$C$126:$C$155</c:f>
              <c:numCache>
                <c:formatCode>mmm\-yy</c:formatCode>
                <c:ptCount val="3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numCache>
            </c:numRef>
          </c:cat>
          <c:val>
            <c:numRef>
              <c:f>'sr005 (2)'!$H$126:$H$155</c:f>
              <c:numCache>
                <c:formatCode>0.00</c:formatCode>
                <c:ptCount val="30"/>
                <c:pt idx="0">
                  <c:v>3.8126666666666669</c:v>
                </c:pt>
                <c:pt idx="1">
                  <c:v>3.8126666666666669</c:v>
                </c:pt>
                <c:pt idx="2">
                  <c:v>3.8126666666666669</c:v>
                </c:pt>
                <c:pt idx="3">
                  <c:v>3.8126666666666669</c:v>
                </c:pt>
                <c:pt idx="4">
                  <c:v>3.8126666666666669</c:v>
                </c:pt>
                <c:pt idx="5">
                  <c:v>3.8126666666666669</c:v>
                </c:pt>
                <c:pt idx="6">
                  <c:v>3.8126666666666669</c:v>
                </c:pt>
                <c:pt idx="7">
                  <c:v>3.8126666666666669</c:v>
                </c:pt>
                <c:pt idx="8">
                  <c:v>3.8126666666666669</c:v>
                </c:pt>
                <c:pt idx="9">
                  <c:v>3.8126666666666669</c:v>
                </c:pt>
                <c:pt idx="10">
                  <c:v>3.8126666666666669</c:v>
                </c:pt>
                <c:pt idx="11">
                  <c:v>3.8126666666666669</c:v>
                </c:pt>
                <c:pt idx="12">
                  <c:v>3.8126666666666669</c:v>
                </c:pt>
                <c:pt idx="13">
                  <c:v>3.8126666666666669</c:v>
                </c:pt>
                <c:pt idx="14">
                  <c:v>3.8126666666666669</c:v>
                </c:pt>
                <c:pt idx="15">
                  <c:v>3.8126666666666669</c:v>
                </c:pt>
                <c:pt idx="16">
                  <c:v>3.8126666666666669</c:v>
                </c:pt>
                <c:pt idx="17">
                  <c:v>3.8126666666666669</c:v>
                </c:pt>
                <c:pt idx="18">
                  <c:v>3.8126666666666669</c:v>
                </c:pt>
                <c:pt idx="19">
                  <c:v>3.8126666666666669</c:v>
                </c:pt>
                <c:pt idx="20">
                  <c:v>3.8126666666666669</c:v>
                </c:pt>
                <c:pt idx="21">
                  <c:v>3.8126666666666669</c:v>
                </c:pt>
                <c:pt idx="22">
                  <c:v>3.8126666666666669</c:v>
                </c:pt>
                <c:pt idx="23">
                  <c:v>3.8126666666666669</c:v>
                </c:pt>
                <c:pt idx="24">
                  <c:v>3.8126666666666669</c:v>
                </c:pt>
                <c:pt idx="25">
                  <c:v>3.8126666666666669</c:v>
                </c:pt>
                <c:pt idx="26">
                  <c:v>3.8126666666666669</c:v>
                </c:pt>
                <c:pt idx="27">
                  <c:v>3.8126666666666669</c:v>
                </c:pt>
                <c:pt idx="28">
                  <c:v>3.8126666666666669</c:v>
                </c:pt>
                <c:pt idx="29">
                  <c:v>3.8126666666666669</c:v>
                </c:pt>
              </c:numCache>
            </c:numRef>
          </c:val>
          <c:smooth val="0"/>
          <c:extLst xmlns:c16r2="http://schemas.microsoft.com/office/drawing/2015/06/chart">
            <c:ext xmlns:c16="http://schemas.microsoft.com/office/drawing/2014/chart" uri="{C3380CC4-5D6E-409C-BE32-E72D297353CC}">
              <c16:uniqueId val="{00000006-3E18-4D96-8DCE-575139D361DC}"/>
            </c:ext>
          </c:extLst>
        </c:ser>
        <c:dLbls>
          <c:showLegendKey val="0"/>
          <c:showVal val="0"/>
          <c:showCatName val="0"/>
          <c:showSerName val="0"/>
          <c:showPercent val="0"/>
          <c:showBubbleSize val="0"/>
        </c:dLbls>
        <c:marker val="1"/>
        <c:smooth val="0"/>
        <c:axId val="248526720"/>
        <c:axId val="248528256"/>
      </c:lineChart>
      <c:dateAx>
        <c:axId val="24852672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48528256"/>
        <c:crosses val="autoZero"/>
        <c:auto val="1"/>
        <c:lblOffset val="100"/>
        <c:baseTimeUnit val="months"/>
        <c:majorUnit val="3"/>
        <c:majorTimeUnit val="months"/>
        <c:minorUnit val="2"/>
        <c:minorTimeUnit val="months"/>
      </c:dateAx>
      <c:valAx>
        <c:axId val="248528256"/>
        <c:scaling>
          <c:orientation val="minMax"/>
          <c:max val="6"/>
          <c:min val="1"/>
        </c:scaling>
        <c:delete val="0"/>
        <c:axPos val="l"/>
        <c:majorGridlines>
          <c:spPr>
            <a:ln w="9525" cap="flat" cmpd="sng" algn="ctr">
              <a:solidFill>
                <a:schemeClr val="tx1">
                  <a:lumMod val="15000"/>
                  <a:lumOff val="8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48526720"/>
        <c:crosses val="autoZero"/>
        <c:crossBetween val="between"/>
        <c:majorUnit val="1"/>
      </c:valAx>
      <c:spPr>
        <a:noFill/>
        <a:ln w="25400">
          <a:noFill/>
        </a:ln>
      </c:spPr>
    </c:plotArea>
    <c:legend>
      <c:legendPos val="b"/>
      <c:layout>
        <c:manualLayout>
          <c:xMode val="edge"/>
          <c:yMode val="edge"/>
          <c:x val="4.9999951412959716E-2"/>
          <c:y val="0.90670182692908752"/>
          <c:w val="0.89999990282591946"/>
          <c:h val="9.329817307091244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b="1">
                <a:solidFill>
                  <a:sysClr val="windowText" lastClr="000000"/>
                </a:solidFill>
                <a:latin typeface="Times New Roman" panose="02020603050405020304" pitchFamily="18" charset="0"/>
                <a:cs typeface="Times New Roman" panose="02020603050405020304" pitchFamily="18" charset="0"/>
              </a:rPr>
              <a:t>Gráfica 15.  Tipo de Cambio de Referencia</a:t>
            </a:r>
          </a:p>
        </c:rich>
      </c:tx>
      <c:overlay val="0"/>
      <c:spPr>
        <a:noFill/>
        <a:ln>
          <a:noFill/>
        </a:ln>
        <a:effectLst/>
      </c:spPr>
    </c:title>
    <c:autoTitleDeleted val="0"/>
    <c:plotArea>
      <c:layout/>
      <c:lineChart>
        <c:grouping val="standard"/>
        <c:varyColors val="0"/>
        <c:ser>
          <c:idx val="0"/>
          <c:order val="0"/>
          <c:tx>
            <c:strRef>
              <c:f>'tipo de cambio diario a junio 2'!$B$4</c:f>
              <c:strCache>
                <c:ptCount val="1"/>
                <c:pt idx="0">
                  <c:v>TCR 1/</c:v>
                </c:pt>
              </c:strCache>
            </c:strRef>
          </c:tx>
          <c:spPr>
            <a:ln w="28575" cap="rnd">
              <a:solidFill>
                <a:schemeClr val="accent1"/>
              </a:solidFill>
              <a:round/>
            </a:ln>
            <a:effectLst>
              <a:outerShdw blurRad="50800" dist="38100" dir="2700000" algn="tl" rotWithShape="0">
                <a:prstClr val="black">
                  <a:alpha val="40000"/>
                </a:prstClr>
              </a:outerShdw>
            </a:effectLst>
          </c:spPr>
          <c:marker>
            <c:symbol val="none"/>
          </c:marker>
          <c:cat>
            <c:strRef>
              <c:f>'tipo de cambio diario a junio 2'!$A$5:$A$916</c:f>
              <c:strCache>
                <c:ptCount val="912"/>
                <c:pt idx="0">
                  <c:v>1/1/2019</c:v>
                </c:pt>
                <c:pt idx="1">
                  <c:v>2/1/2019</c:v>
                </c:pt>
                <c:pt idx="2">
                  <c:v>3/1/2019</c:v>
                </c:pt>
                <c:pt idx="3">
                  <c:v>4/1/2019</c:v>
                </c:pt>
                <c:pt idx="4">
                  <c:v>5/1/2019</c:v>
                </c:pt>
                <c:pt idx="5">
                  <c:v>6/1/2019</c:v>
                </c:pt>
                <c:pt idx="6">
                  <c:v>7/1/2019</c:v>
                </c:pt>
                <c:pt idx="7">
                  <c:v>8/1/2019</c:v>
                </c:pt>
                <c:pt idx="8">
                  <c:v>9/1/2019</c:v>
                </c:pt>
                <c:pt idx="9">
                  <c:v>10/1/2019</c:v>
                </c:pt>
                <c:pt idx="10">
                  <c:v>11/1/2019</c:v>
                </c:pt>
                <c:pt idx="11">
                  <c:v>12/1/2019</c:v>
                </c:pt>
                <c:pt idx="12">
                  <c:v>13/1/2019</c:v>
                </c:pt>
                <c:pt idx="13">
                  <c:v>14/1/2019</c:v>
                </c:pt>
                <c:pt idx="14">
                  <c:v>15/1/2019</c:v>
                </c:pt>
                <c:pt idx="15">
                  <c:v>16/1/2019</c:v>
                </c:pt>
                <c:pt idx="16">
                  <c:v>17/1/2019</c:v>
                </c:pt>
                <c:pt idx="17">
                  <c:v>18/1/2019</c:v>
                </c:pt>
                <c:pt idx="18">
                  <c:v>19/1/2019</c:v>
                </c:pt>
                <c:pt idx="19">
                  <c:v>20/1/2019</c:v>
                </c:pt>
                <c:pt idx="20">
                  <c:v>21/1/2019</c:v>
                </c:pt>
                <c:pt idx="21">
                  <c:v>22/1/2019</c:v>
                </c:pt>
                <c:pt idx="22">
                  <c:v>23/1/2019</c:v>
                </c:pt>
                <c:pt idx="23">
                  <c:v>24/1/2019</c:v>
                </c:pt>
                <c:pt idx="24">
                  <c:v>25/1/2019</c:v>
                </c:pt>
                <c:pt idx="25">
                  <c:v>26/1/2019</c:v>
                </c:pt>
                <c:pt idx="26">
                  <c:v>27/1/2019</c:v>
                </c:pt>
                <c:pt idx="27">
                  <c:v>28/1/2019</c:v>
                </c:pt>
                <c:pt idx="28">
                  <c:v>29/1/2019</c:v>
                </c:pt>
                <c:pt idx="29">
                  <c:v>30/1/2019</c:v>
                </c:pt>
                <c:pt idx="30">
                  <c:v>31/1/2019</c:v>
                </c:pt>
                <c:pt idx="31">
                  <c:v>1/2/2019</c:v>
                </c:pt>
                <c:pt idx="32">
                  <c:v>2/2/2019</c:v>
                </c:pt>
                <c:pt idx="33">
                  <c:v>3/2/2019</c:v>
                </c:pt>
                <c:pt idx="34">
                  <c:v>4/2/2019</c:v>
                </c:pt>
                <c:pt idx="35">
                  <c:v>5/2/2019</c:v>
                </c:pt>
                <c:pt idx="36">
                  <c:v>6/2/2019</c:v>
                </c:pt>
                <c:pt idx="37">
                  <c:v>7/2/2019</c:v>
                </c:pt>
                <c:pt idx="38">
                  <c:v>8/2/2019</c:v>
                </c:pt>
                <c:pt idx="39">
                  <c:v>9/2/2019</c:v>
                </c:pt>
                <c:pt idx="40">
                  <c:v>10/2/2019</c:v>
                </c:pt>
                <c:pt idx="41">
                  <c:v>11/2/2019</c:v>
                </c:pt>
                <c:pt idx="42">
                  <c:v>12/2/2019</c:v>
                </c:pt>
                <c:pt idx="43">
                  <c:v>13/2/2019</c:v>
                </c:pt>
                <c:pt idx="44">
                  <c:v>14/2/2019</c:v>
                </c:pt>
                <c:pt idx="45">
                  <c:v>15/2/2019</c:v>
                </c:pt>
                <c:pt idx="46">
                  <c:v>16/2/2019</c:v>
                </c:pt>
                <c:pt idx="47">
                  <c:v>17/2/2019</c:v>
                </c:pt>
                <c:pt idx="48">
                  <c:v>18/2/2019</c:v>
                </c:pt>
                <c:pt idx="49">
                  <c:v>19/2/2019</c:v>
                </c:pt>
                <c:pt idx="50">
                  <c:v>20/2/2019</c:v>
                </c:pt>
                <c:pt idx="51">
                  <c:v>21/2/2019</c:v>
                </c:pt>
                <c:pt idx="52">
                  <c:v>22/2/2019</c:v>
                </c:pt>
                <c:pt idx="53">
                  <c:v>23/2/2019</c:v>
                </c:pt>
                <c:pt idx="54">
                  <c:v>24/2/2019</c:v>
                </c:pt>
                <c:pt idx="55">
                  <c:v>25/2/2019</c:v>
                </c:pt>
                <c:pt idx="56">
                  <c:v>26/2/2019</c:v>
                </c:pt>
                <c:pt idx="57">
                  <c:v>27/2/2019</c:v>
                </c:pt>
                <c:pt idx="58">
                  <c:v>28/2/2019</c:v>
                </c:pt>
                <c:pt idx="59">
                  <c:v>1/3/2019</c:v>
                </c:pt>
                <c:pt idx="60">
                  <c:v>2/3/2019</c:v>
                </c:pt>
                <c:pt idx="61">
                  <c:v>3/3/2019</c:v>
                </c:pt>
                <c:pt idx="62">
                  <c:v>4/3/2019</c:v>
                </c:pt>
                <c:pt idx="63">
                  <c:v>5/3/2019</c:v>
                </c:pt>
                <c:pt idx="64">
                  <c:v>6/3/2019</c:v>
                </c:pt>
                <c:pt idx="65">
                  <c:v>7/3/2019</c:v>
                </c:pt>
                <c:pt idx="66">
                  <c:v>8/3/2019</c:v>
                </c:pt>
                <c:pt idx="67">
                  <c:v>9/3/2019</c:v>
                </c:pt>
                <c:pt idx="68">
                  <c:v>10/3/2019</c:v>
                </c:pt>
                <c:pt idx="69">
                  <c:v>11/3/2019</c:v>
                </c:pt>
                <c:pt idx="70">
                  <c:v>12/3/2019</c:v>
                </c:pt>
                <c:pt idx="71">
                  <c:v>13/3/2019</c:v>
                </c:pt>
                <c:pt idx="72">
                  <c:v>14/3/2019</c:v>
                </c:pt>
                <c:pt idx="73">
                  <c:v>15/3/2019</c:v>
                </c:pt>
                <c:pt idx="74">
                  <c:v>16/3/2019</c:v>
                </c:pt>
                <c:pt idx="75">
                  <c:v>17/3/2019</c:v>
                </c:pt>
                <c:pt idx="76">
                  <c:v>18/3/2019</c:v>
                </c:pt>
                <c:pt idx="77">
                  <c:v>19/3/2019</c:v>
                </c:pt>
                <c:pt idx="78">
                  <c:v>20/3/2019</c:v>
                </c:pt>
                <c:pt idx="79">
                  <c:v>21/3/2019</c:v>
                </c:pt>
                <c:pt idx="80">
                  <c:v>22/3/2019</c:v>
                </c:pt>
                <c:pt idx="81">
                  <c:v>23/3/2019</c:v>
                </c:pt>
                <c:pt idx="82">
                  <c:v>24/3/2019</c:v>
                </c:pt>
                <c:pt idx="83">
                  <c:v>25/3/2019</c:v>
                </c:pt>
                <c:pt idx="84">
                  <c:v>26/3/2019</c:v>
                </c:pt>
                <c:pt idx="85">
                  <c:v>27/3/2019</c:v>
                </c:pt>
                <c:pt idx="86">
                  <c:v>28/3/2019</c:v>
                </c:pt>
                <c:pt idx="87">
                  <c:v>29/3/2019</c:v>
                </c:pt>
                <c:pt idx="88">
                  <c:v>30/3/2019</c:v>
                </c:pt>
                <c:pt idx="89">
                  <c:v>31/3/2019</c:v>
                </c:pt>
                <c:pt idx="90">
                  <c:v>1/4/2019</c:v>
                </c:pt>
                <c:pt idx="91">
                  <c:v>2/4/2019</c:v>
                </c:pt>
                <c:pt idx="92">
                  <c:v>3/4/2019</c:v>
                </c:pt>
                <c:pt idx="93">
                  <c:v>4/4/2019</c:v>
                </c:pt>
                <c:pt idx="94">
                  <c:v>5/4/2019</c:v>
                </c:pt>
                <c:pt idx="95">
                  <c:v>6/4/2019</c:v>
                </c:pt>
                <c:pt idx="96">
                  <c:v>7/4/2019</c:v>
                </c:pt>
                <c:pt idx="97">
                  <c:v>8/4/2019</c:v>
                </c:pt>
                <c:pt idx="98">
                  <c:v>9/4/2019</c:v>
                </c:pt>
                <c:pt idx="99">
                  <c:v>10/4/2019</c:v>
                </c:pt>
                <c:pt idx="100">
                  <c:v>11/4/2019</c:v>
                </c:pt>
                <c:pt idx="101">
                  <c:v>12/4/2019</c:v>
                </c:pt>
                <c:pt idx="102">
                  <c:v>13/4/2019</c:v>
                </c:pt>
                <c:pt idx="103">
                  <c:v>14/4/2019</c:v>
                </c:pt>
                <c:pt idx="104">
                  <c:v>15/4/2019</c:v>
                </c:pt>
                <c:pt idx="105">
                  <c:v>16/4/2019</c:v>
                </c:pt>
                <c:pt idx="106">
                  <c:v>17/4/2019</c:v>
                </c:pt>
                <c:pt idx="107">
                  <c:v>18/4/2019</c:v>
                </c:pt>
                <c:pt idx="108">
                  <c:v>19/4/2019</c:v>
                </c:pt>
                <c:pt idx="109">
                  <c:v>20/4/2019</c:v>
                </c:pt>
                <c:pt idx="110">
                  <c:v>21/4/2019</c:v>
                </c:pt>
                <c:pt idx="111">
                  <c:v>22/4/2019</c:v>
                </c:pt>
                <c:pt idx="112">
                  <c:v>23/4/2019</c:v>
                </c:pt>
                <c:pt idx="113">
                  <c:v>24/4/2019</c:v>
                </c:pt>
                <c:pt idx="114">
                  <c:v>25/4/2019</c:v>
                </c:pt>
                <c:pt idx="115">
                  <c:v>26/4/2019</c:v>
                </c:pt>
                <c:pt idx="116">
                  <c:v>27/4/2019</c:v>
                </c:pt>
                <c:pt idx="117">
                  <c:v>28/4/2019</c:v>
                </c:pt>
                <c:pt idx="118">
                  <c:v>29/4/2019</c:v>
                </c:pt>
                <c:pt idx="119">
                  <c:v>30/4/2019</c:v>
                </c:pt>
                <c:pt idx="120">
                  <c:v>1/5/2019</c:v>
                </c:pt>
                <c:pt idx="121">
                  <c:v>2/5/2019</c:v>
                </c:pt>
                <c:pt idx="122">
                  <c:v>3/5/2019</c:v>
                </c:pt>
                <c:pt idx="123">
                  <c:v>4/5/2019</c:v>
                </c:pt>
                <c:pt idx="124">
                  <c:v>5/5/2019</c:v>
                </c:pt>
                <c:pt idx="125">
                  <c:v>6/5/2019</c:v>
                </c:pt>
                <c:pt idx="126">
                  <c:v>7/5/2019</c:v>
                </c:pt>
                <c:pt idx="127">
                  <c:v>8/5/2019</c:v>
                </c:pt>
                <c:pt idx="128">
                  <c:v>9/5/2019</c:v>
                </c:pt>
                <c:pt idx="129">
                  <c:v>10/5/2019</c:v>
                </c:pt>
                <c:pt idx="130">
                  <c:v>11/5/2019</c:v>
                </c:pt>
                <c:pt idx="131">
                  <c:v>12/5/2019</c:v>
                </c:pt>
                <c:pt idx="132">
                  <c:v>13/5/2019</c:v>
                </c:pt>
                <c:pt idx="133">
                  <c:v>14/5/2019</c:v>
                </c:pt>
                <c:pt idx="134">
                  <c:v>15/5/2019</c:v>
                </c:pt>
                <c:pt idx="135">
                  <c:v>16/5/2019</c:v>
                </c:pt>
                <c:pt idx="136">
                  <c:v>17/5/2019</c:v>
                </c:pt>
                <c:pt idx="137">
                  <c:v>18/5/2019</c:v>
                </c:pt>
                <c:pt idx="138">
                  <c:v>19/5/2019</c:v>
                </c:pt>
                <c:pt idx="139">
                  <c:v>20/5/2019</c:v>
                </c:pt>
                <c:pt idx="140">
                  <c:v>21/5/2019</c:v>
                </c:pt>
                <c:pt idx="141">
                  <c:v>22/5/2019</c:v>
                </c:pt>
                <c:pt idx="142">
                  <c:v>23/5/2019</c:v>
                </c:pt>
                <c:pt idx="143">
                  <c:v>24/5/2019</c:v>
                </c:pt>
                <c:pt idx="144">
                  <c:v>25/5/2019</c:v>
                </c:pt>
                <c:pt idx="145">
                  <c:v>26/5/2019</c:v>
                </c:pt>
                <c:pt idx="146">
                  <c:v>27/5/2019</c:v>
                </c:pt>
                <c:pt idx="147">
                  <c:v>28/5/2019</c:v>
                </c:pt>
                <c:pt idx="148">
                  <c:v>29/5/2019</c:v>
                </c:pt>
                <c:pt idx="149">
                  <c:v>30/5/2019</c:v>
                </c:pt>
                <c:pt idx="150">
                  <c:v>31/5/2019</c:v>
                </c:pt>
                <c:pt idx="151">
                  <c:v>1/6/2019</c:v>
                </c:pt>
                <c:pt idx="152">
                  <c:v>2/6/2019</c:v>
                </c:pt>
                <c:pt idx="153">
                  <c:v>3/6/2019</c:v>
                </c:pt>
                <c:pt idx="154">
                  <c:v>4/6/2019</c:v>
                </c:pt>
                <c:pt idx="155">
                  <c:v>5/6/2019</c:v>
                </c:pt>
                <c:pt idx="156">
                  <c:v>6/6/2019</c:v>
                </c:pt>
                <c:pt idx="157">
                  <c:v>7/6/2019</c:v>
                </c:pt>
                <c:pt idx="158">
                  <c:v>8/6/2019</c:v>
                </c:pt>
                <c:pt idx="159">
                  <c:v>9/6/2019</c:v>
                </c:pt>
                <c:pt idx="160">
                  <c:v>10/6/2019</c:v>
                </c:pt>
                <c:pt idx="161">
                  <c:v>11/6/2019</c:v>
                </c:pt>
                <c:pt idx="162">
                  <c:v>12/6/2019</c:v>
                </c:pt>
                <c:pt idx="163">
                  <c:v>13/6/2019</c:v>
                </c:pt>
                <c:pt idx="164">
                  <c:v>14/6/2019</c:v>
                </c:pt>
                <c:pt idx="165">
                  <c:v>15/6/2019</c:v>
                </c:pt>
                <c:pt idx="166">
                  <c:v>16/6/2019</c:v>
                </c:pt>
                <c:pt idx="167">
                  <c:v>17/6/2019</c:v>
                </c:pt>
                <c:pt idx="168">
                  <c:v>18/6/2019</c:v>
                </c:pt>
                <c:pt idx="169">
                  <c:v>19/6/2019</c:v>
                </c:pt>
                <c:pt idx="170">
                  <c:v>20/6/2019</c:v>
                </c:pt>
                <c:pt idx="171">
                  <c:v>21/6/2019</c:v>
                </c:pt>
                <c:pt idx="172">
                  <c:v>22/6/2019</c:v>
                </c:pt>
                <c:pt idx="173">
                  <c:v>23/6/2019</c:v>
                </c:pt>
                <c:pt idx="174">
                  <c:v>24/6/2019</c:v>
                </c:pt>
                <c:pt idx="175">
                  <c:v>25/6/2019</c:v>
                </c:pt>
                <c:pt idx="176">
                  <c:v>26/6/2019</c:v>
                </c:pt>
                <c:pt idx="177">
                  <c:v>27/6/2019</c:v>
                </c:pt>
                <c:pt idx="178">
                  <c:v>28/6/2019</c:v>
                </c:pt>
                <c:pt idx="179">
                  <c:v>29/6/2019</c:v>
                </c:pt>
                <c:pt idx="180">
                  <c:v>30/6/2019</c:v>
                </c:pt>
                <c:pt idx="181">
                  <c:v>1/7/2019</c:v>
                </c:pt>
                <c:pt idx="182">
                  <c:v>2/7/2019</c:v>
                </c:pt>
                <c:pt idx="183">
                  <c:v>3/7/2019</c:v>
                </c:pt>
                <c:pt idx="184">
                  <c:v>4/7/2019</c:v>
                </c:pt>
                <c:pt idx="185">
                  <c:v>5/7/2019</c:v>
                </c:pt>
                <c:pt idx="186">
                  <c:v>6/7/2019</c:v>
                </c:pt>
                <c:pt idx="187">
                  <c:v>7/7/2019</c:v>
                </c:pt>
                <c:pt idx="188">
                  <c:v>8/7/2019</c:v>
                </c:pt>
                <c:pt idx="189">
                  <c:v>9/7/2019</c:v>
                </c:pt>
                <c:pt idx="190">
                  <c:v>10/7/2019</c:v>
                </c:pt>
                <c:pt idx="191">
                  <c:v>11/7/2019</c:v>
                </c:pt>
                <c:pt idx="192">
                  <c:v>12/7/2019</c:v>
                </c:pt>
                <c:pt idx="193">
                  <c:v>13/7/2019</c:v>
                </c:pt>
                <c:pt idx="194">
                  <c:v>14/7/2019</c:v>
                </c:pt>
                <c:pt idx="195">
                  <c:v>15/7/2019</c:v>
                </c:pt>
                <c:pt idx="196">
                  <c:v>16/7/2019</c:v>
                </c:pt>
                <c:pt idx="197">
                  <c:v>17/7/2019</c:v>
                </c:pt>
                <c:pt idx="198">
                  <c:v>18/7/2019</c:v>
                </c:pt>
                <c:pt idx="199">
                  <c:v>19/7/2019</c:v>
                </c:pt>
                <c:pt idx="200">
                  <c:v>20/7/2019</c:v>
                </c:pt>
                <c:pt idx="201">
                  <c:v>21/7/2019</c:v>
                </c:pt>
                <c:pt idx="202">
                  <c:v>22/7/2019</c:v>
                </c:pt>
                <c:pt idx="203">
                  <c:v>23/7/2019</c:v>
                </c:pt>
                <c:pt idx="204">
                  <c:v>24/7/2019</c:v>
                </c:pt>
                <c:pt idx="205">
                  <c:v>25/7/2019</c:v>
                </c:pt>
                <c:pt idx="206">
                  <c:v>26/7/2019</c:v>
                </c:pt>
                <c:pt idx="207">
                  <c:v>27/7/2019</c:v>
                </c:pt>
                <c:pt idx="208">
                  <c:v>28/7/2019</c:v>
                </c:pt>
                <c:pt idx="209">
                  <c:v>29/7/2019</c:v>
                </c:pt>
                <c:pt idx="210">
                  <c:v>30/7/2019</c:v>
                </c:pt>
                <c:pt idx="211">
                  <c:v>31/7/2019</c:v>
                </c:pt>
                <c:pt idx="212">
                  <c:v>1/8/2019</c:v>
                </c:pt>
                <c:pt idx="213">
                  <c:v>2/8/2019</c:v>
                </c:pt>
                <c:pt idx="214">
                  <c:v>3/8/2019</c:v>
                </c:pt>
                <c:pt idx="215">
                  <c:v>4/8/2019</c:v>
                </c:pt>
                <c:pt idx="216">
                  <c:v>5/8/2019</c:v>
                </c:pt>
                <c:pt idx="217">
                  <c:v>6/8/2019</c:v>
                </c:pt>
                <c:pt idx="218">
                  <c:v>7/8/2019</c:v>
                </c:pt>
                <c:pt idx="219">
                  <c:v>8/8/2019</c:v>
                </c:pt>
                <c:pt idx="220">
                  <c:v>9/8/2019</c:v>
                </c:pt>
                <c:pt idx="221">
                  <c:v>10/8/2019</c:v>
                </c:pt>
                <c:pt idx="222">
                  <c:v>11/8/2019</c:v>
                </c:pt>
                <c:pt idx="223">
                  <c:v>12/8/2019</c:v>
                </c:pt>
                <c:pt idx="224">
                  <c:v>13/8/2019</c:v>
                </c:pt>
                <c:pt idx="225">
                  <c:v>14/8/2019</c:v>
                </c:pt>
                <c:pt idx="226">
                  <c:v>15/8/2019</c:v>
                </c:pt>
                <c:pt idx="227">
                  <c:v>16/8/2019</c:v>
                </c:pt>
                <c:pt idx="228">
                  <c:v>17/8/2019</c:v>
                </c:pt>
                <c:pt idx="229">
                  <c:v>18/8/2019</c:v>
                </c:pt>
                <c:pt idx="230">
                  <c:v>19/8/2019</c:v>
                </c:pt>
                <c:pt idx="231">
                  <c:v>20/8/2019</c:v>
                </c:pt>
                <c:pt idx="232">
                  <c:v>21/8/2019</c:v>
                </c:pt>
                <c:pt idx="233">
                  <c:v>22/8/2019</c:v>
                </c:pt>
                <c:pt idx="234">
                  <c:v>23/8/2019</c:v>
                </c:pt>
                <c:pt idx="235">
                  <c:v>24/8/2019</c:v>
                </c:pt>
                <c:pt idx="236">
                  <c:v>25/8/2019</c:v>
                </c:pt>
                <c:pt idx="237">
                  <c:v>26/8/2019</c:v>
                </c:pt>
                <c:pt idx="238">
                  <c:v>27/8/2019</c:v>
                </c:pt>
                <c:pt idx="239">
                  <c:v>28/8/2019</c:v>
                </c:pt>
                <c:pt idx="240">
                  <c:v>29/8/2019</c:v>
                </c:pt>
                <c:pt idx="241">
                  <c:v>30/8/2019</c:v>
                </c:pt>
                <c:pt idx="242">
                  <c:v>31/8/2019</c:v>
                </c:pt>
                <c:pt idx="243">
                  <c:v>1/9/2019</c:v>
                </c:pt>
                <c:pt idx="244">
                  <c:v>2/9/2019</c:v>
                </c:pt>
                <c:pt idx="245">
                  <c:v>3/9/2019</c:v>
                </c:pt>
                <c:pt idx="246">
                  <c:v>4/9/2019</c:v>
                </c:pt>
                <c:pt idx="247">
                  <c:v>5/9/2019</c:v>
                </c:pt>
                <c:pt idx="248">
                  <c:v>6/9/2019</c:v>
                </c:pt>
                <c:pt idx="249">
                  <c:v>7/9/2019</c:v>
                </c:pt>
                <c:pt idx="250">
                  <c:v>8/9/2019</c:v>
                </c:pt>
                <c:pt idx="251">
                  <c:v>9/9/2019</c:v>
                </c:pt>
                <c:pt idx="252">
                  <c:v>10/9/2019</c:v>
                </c:pt>
                <c:pt idx="253">
                  <c:v>11/9/2019</c:v>
                </c:pt>
                <c:pt idx="254">
                  <c:v>12/9/2019</c:v>
                </c:pt>
                <c:pt idx="255">
                  <c:v>13/9/2019</c:v>
                </c:pt>
                <c:pt idx="256">
                  <c:v>14/9/2019</c:v>
                </c:pt>
                <c:pt idx="257">
                  <c:v>15/9/2019</c:v>
                </c:pt>
                <c:pt idx="258">
                  <c:v>16/9/2019</c:v>
                </c:pt>
                <c:pt idx="259">
                  <c:v>17/9/2019</c:v>
                </c:pt>
                <c:pt idx="260">
                  <c:v>18/9/2019</c:v>
                </c:pt>
                <c:pt idx="261">
                  <c:v>19/9/2019</c:v>
                </c:pt>
                <c:pt idx="262">
                  <c:v>20/9/2019</c:v>
                </c:pt>
                <c:pt idx="263">
                  <c:v>21/9/2019</c:v>
                </c:pt>
                <c:pt idx="264">
                  <c:v>22/9/2019</c:v>
                </c:pt>
                <c:pt idx="265">
                  <c:v>23/9/2019</c:v>
                </c:pt>
                <c:pt idx="266">
                  <c:v>24/9/2019</c:v>
                </c:pt>
                <c:pt idx="267">
                  <c:v>25/9/2019</c:v>
                </c:pt>
                <c:pt idx="268">
                  <c:v>26/9/2019</c:v>
                </c:pt>
                <c:pt idx="269">
                  <c:v>27/9/2019</c:v>
                </c:pt>
                <c:pt idx="270">
                  <c:v>28/9/2019</c:v>
                </c:pt>
                <c:pt idx="271">
                  <c:v>29/9/2019</c:v>
                </c:pt>
                <c:pt idx="272">
                  <c:v>30/9/2019</c:v>
                </c:pt>
                <c:pt idx="273">
                  <c:v>1/10/2019</c:v>
                </c:pt>
                <c:pt idx="274">
                  <c:v>2/10/2019</c:v>
                </c:pt>
                <c:pt idx="275">
                  <c:v>3/10/2019</c:v>
                </c:pt>
                <c:pt idx="276">
                  <c:v>4/10/2019</c:v>
                </c:pt>
                <c:pt idx="277">
                  <c:v>5/10/2019</c:v>
                </c:pt>
                <c:pt idx="278">
                  <c:v>6/10/2019</c:v>
                </c:pt>
                <c:pt idx="279">
                  <c:v>7/10/2019</c:v>
                </c:pt>
                <c:pt idx="280">
                  <c:v>8/10/2019</c:v>
                </c:pt>
                <c:pt idx="281">
                  <c:v>9/10/2019</c:v>
                </c:pt>
                <c:pt idx="282">
                  <c:v>10/10/2019</c:v>
                </c:pt>
                <c:pt idx="283">
                  <c:v>11/10/2019</c:v>
                </c:pt>
                <c:pt idx="284">
                  <c:v>12/10/2019</c:v>
                </c:pt>
                <c:pt idx="285">
                  <c:v>13/10/2019</c:v>
                </c:pt>
                <c:pt idx="286">
                  <c:v>14/10/2019</c:v>
                </c:pt>
                <c:pt idx="287">
                  <c:v>15/10/2019</c:v>
                </c:pt>
                <c:pt idx="288">
                  <c:v>16/10/2019</c:v>
                </c:pt>
                <c:pt idx="289">
                  <c:v>17/10/2019</c:v>
                </c:pt>
                <c:pt idx="290">
                  <c:v>18/10/2019</c:v>
                </c:pt>
                <c:pt idx="291">
                  <c:v>19/10/2019</c:v>
                </c:pt>
                <c:pt idx="292">
                  <c:v>20/10/2019</c:v>
                </c:pt>
                <c:pt idx="293">
                  <c:v>21/10/2019</c:v>
                </c:pt>
                <c:pt idx="294">
                  <c:v>22/10/2019</c:v>
                </c:pt>
                <c:pt idx="295">
                  <c:v>23/10/2019</c:v>
                </c:pt>
                <c:pt idx="296">
                  <c:v>24/10/2019</c:v>
                </c:pt>
                <c:pt idx="297">
                  <c:v>25/10/2019</c:v>
                </c:pt>
                <c:pt idx="298">
                  <c:v>26/10/2019</c:v>
                </c:pt>
                <c:pt idx="299">
                  <c:v>27/10/2019</c:v>
                </c:pt>
                <c:pt idx="300">
                  <c:v>28/10/2019</c:v>
                </c:pt>
                <c:pt idx="301">
                  <c:v>29/10/2019</c:v>
                </c:pt>
                <c:pt idx="302">
                  <c:v>30/10/2019</c:v>
                </c:pt>
                <c:pt idx="303">
                  <c:v>31/10/2019</c:v>
                </c:pt>
                <c:pt idx="304">
                  <c:v>1/11/2019</c:v>
                </c:pt>
                <c:pt idx="305">
                  <c:v>2/11/2019</c:v>
                </c:pt>
                <c:pt idx="306">
                  <c:v>3/11/2019</c:v>
                </c:pt>
                <c:pt idx="307">
                  <c:v>4/11/2019</c:v>
                </c:pt>
                <c:pt idx="308">
                  <c:v>5/11/2019</c:v>
                </c:pt>
                <c:pt idx="309">
                  <c:v>6/11/2019</c:v>
                </c:pt>
                <c:pt idx="310">
                  <c:v>7/11/2019</c:v>
                </c:pt>
                <c:pt idx="311">
                  <c:v>8/11/2019</c:v>
                </c:pt>
                <c:pt idx="312">
                  <c:v>9/11/2019</c:v>
                </c:pt>
                <c:pt idx="313">
                  <c:v>10/11/2019</c:v>
                </c:pt>
                <c:pt idx="314">
                  <c:v>11/11/2019</c:v>
                </c:pt>
                <c:pt idx="315">
                  <c:v>12/11/2019</c:v>
                </c:pt>
                <c:pt idx="316">
                  <c:v>13/11/2019</c:v>
                </c:pt>
                <c:pt idx="317">
                  <c:v>14/11/2019</c:v>
                </c:pt>
                <c:pt idx="318">
                  <c:v>15/11/2019</c:v>
                </c:pt>
                <c:pt idx="319">
                  <c:v>16/11/2019</c:v>
                </c:pt>
                <c:pt idx="320">
                  <c:v>17/11/2019</c:v>
                </c:pt>
                <c:pt idx="321">
                  <c:v>18/11/2019</c:v>
                </c:pt>
                <c:pt idx="322">
                  <c:v>19/11/2019</c:v>
                </c:pt>
                <c:pt idx="323">
                  <c:v>20/11/2019</c:v>
                </c:pt>
                <c:pt idx="324">
                  <c:v>21/11/2019</c:v>
                </c:pt>
                <c:pt idx="325">
                  <c:v>22/11/2019</c:v>
                </c:pt>
                <c:pt idx="326">
                  <c:v>23/11/2019</c:v>
                </c:pt>
                <c:pt idx="327">
                  <c:v>24/11/2019</c:v>
                </c:pt>
                <c:pt idx="328">
                  <c:v>25/11/2019</c:v>
                </c:pt>
                <c:pt idx="329">
                  <c:v>26/11/2019</c:v>
                </c:pt>
                <c:pt idx="330">
                  <c:v>27/11/2019</c:v>
                </c:pt>
                <c:pt idx="331">
                  <c:v>28/11/2019</c:v>
                </c:pt>
                <c:pt idx="332">
                  <c:v>29/11/2019</c:v>
                </c:pt>
                <c:pt idx="333">
                  <c:v>30/11/2019</c:v>
                </c:pt>
                <c:pt idx="334">
                  <c:v>1/12/2019</c:v>
                </c:pt>
                <c:pt idx="335">
                  <c:v>2/12/2019</c:v>
                </c:pt>
                <c:pt idx="336">
                  <c:v>3/12/2019</c:v>
                </c:pt>
                <c:pt idx="337">
                  <c:v>4/12/2019</c:v>
                </c:pt>
                <c:pt idx="338">
                  <c:v>5/12/2019</c:v>
                </c:pt>
                <c:pt idx="339">
                  <c:v>6/12/2019</c:v>
                </c:pt>
                <c:pt idx="340">
                  <c:v>7/12/2019</c:v>
                </c:pt>
                <c:pt idx="341">
                  <c:v>8/12/2019</c:v>
                </c:pt>
                <c:pt idx="342">
                  <c:v>9/12/2019</c:v>
                </c:pt>
                <c:pt idx="343">
                  <c:v>10/12/2019</c:v>
                </c:pt>
                <c:pt idx="344">
                  <c:v>11/12/2019</c:v>
                </c:pt>
                <c:pt idx="345">
                  <c:v>12/12/2019</c:v>
                </c:pt>
                <c:pt idx="346">
                  <c:v>13/12/2019</c:v>
                </c:pt>
                <c:pt idx="347">
                  <c:v>14/12/2019</c:v>
                </c:pt>
                <c:pt idx="348">
                  <c:v>15/12/2019</c:v>
                </c:pt>
                <c:pt idx="349">
                  <c:v>16/12/2019</c:v>
                </c:pt>
                <c:pt idx="350">
                  <c:v>17/12/2019</c:v>
                </c:pt>
                <c:pt idx="351">
                  <c:v>18/12/2019</c:v>
                </c:pt>
                <c:pt idx="352">
                  <c:v>19/12/2019</c:v>
                </c:pt>
                <c:pt idx="353">
                  <c:v>20/12/2019</c:v>
                </c:pt>
                <c:pt idx="354">
                  <c:v>21/12/2019</c:v>
                </c:pt>
                <c:pt idx="355">
                  <c:v>22/12/2019</c:v>
                </c:pt>
                <c:pt idx="356">
                  <c:v>23/12/2019</c:v>
                </c:pt>
                <c:pt idx="357">
                  <c:v>24/12/2019</c:v>
                </c:pt>
                <c:pt idx="358">
                  <c:v>25/12/2019</c:v>
                </c:pt>
                <c:pt idx="359">
                  <c:v>26/12/2019</c:v>
                </c:pt>
                <c:pt idx="360">
                  <c:v>27/12/2019</c:v>
                </c:pt>
                <c:pt idx="361">
                  <c:v>28/12/2019</c:v>
                </c:pt>
                <c:pt idx="362">
                  <c:v>29/12/2019</c:v>
                </c:pt>
                <c:pt idx="363">
                  <c:v>30/12/2019</c:v>
                </c:pt>
                <c:pt idx="364">
                  <c:v>31/12/2019</c:v>
                </c:pt>
                <c:pt idx="365">
                  <c:v>1/1/2020</c:v>
                </c:pt>
                <c:pt idx="366">
                  <c:v>2/1/2020</c:v>
                </c:pt>
                <c:pt idx="367">
                  <c:v>3/1/2020</c:v>
                </c:pt>
                <c:pt idx="368">
                  <c:v>4/1/2020</c:v>
                </c:pt>
                <c:pt idx="369">
                  <c:v>5/1/2020</c:v>
                </c:pt>
                <c:pt idx="370">
                  <c:v>6/1/2020</c:v>
                </c:pt>
                <c:pt idx="371">
                  <c:v>7/1/2020</c:v>
                </c:pt>
                <c:pt idx="372">
                  <c:v>8/1/2020</c:v>
                </c:pt>
                <c:pt idx="373">
                  <c:v>9/1/2020</c:v>
                </c:pt>
                <c:pt idx="374">
                  <c:v>10/1/2020</c:v>
                </c:pt>
                <c:pt idx="375">
                  <c:v>11/1/2020</c:v>
                </c:pt>
                <c:pt idx="376">
                  <c:v>12/1/2020</c:v>
                </c:pt>
                <c:pt idx="377">
                  <c:v>13/1/2020</c:v>
                </c:pt>
                <c:pt idx="378">
                  <c:v>14/1/2020</c:v>
                </c:pt>
                <c:pt idx="379">
                  <c:v>15/1/2020</c:v>
                </c:pt>
                <c:pt idx="380">
                  <c:v>16/1/2020</c:v>
                </c:pt>
                <c:pt idx="381">
                  <c:v>17/1/2020</c:v>
                </c:pt>
                <c:pt idx="382">
                  <c:v>18/1/2020</c:v>
                </c:pt>
                <c:pt idx="383">
                  <c:v>19/1/2020</c:v>
                </c:pt>
                <c:pt idx="384">
                  <c:v>20/1/2020</c:v>
                </c:pt>
                <c:pt idx="385">
                  <c:v>21/1/2020</c:v>
                </c:pt>
                <c:pt idx="386">
                  <c:v>22/1/2020</c:v>
                </c:pt>
                <c:pt idx="387">
                  <c:v>23/1/2020</c:v>
                </c:pt>
                <c:pt idx="388">
                  <c:v>24/1/2020</c:v>
                </c:pt>
                <c:pt idx="389">
                  <c:v>25/1/2020</c:v>
                </c:pt>
                <c:pt idx="390">
                  <c:v>26/1/2020</c:v>
                </c:pt>
                <c:pt idx="391">
                  <c:v>27/1/2020</c:v>
                </c:pt>
                <c:pt idx="392">
                  <c:v>28/1/2020</c:v>
                </c:pt>
                <c:pt idx="393">
                  <c:v>29/1/2020</c:v>
                </c:pt>
                <c:pt idx="394">
                  <c:v>30/1/2020</c:v>
                </c:pt>
                <c:pt idx="395">
                  <c:v>31/1/2020</c:v>
                </c:pt>
                <c:pt idx="396">
                  <c:v>1/2/2020</c:v>
                </c:pt>
                <c:pt idx="397">
                  <c:v>2/2/2020</c:v>
                </c:pt>
                <c:pt idx="398">
                  <c:v>3/2/2020</c:v>
                </c:pt>
                <c:pt idx="399">
                  <c:v>4/2/2020</c:v>
                </c:pt>
                <c:pt idx="400">
                  <c:v>5/2/2020</c:v>
                </c:pt>
                <c:pt idx="401">
                  <c:v>6/2/2020</c:v>
                </c:pt>
                <c:pt idx="402">
                  <c:v>7/2/2020</c:v>
                </c:pt>
                <c:pt idx="403">
                  <c:v>8/2/2020</c:v>
                </c:pt>
                <c:pt idx="404">
                  <c:v>9/2/2020</c:v>
                </c:pt>
                <c:pt idx="405">
                  <c:v>10/2/2020</c:v>
                </c:pt>
                <c:pt idx="406">
                  <c:v>11/2/2020</c:v>
                </c:pt>
                <c:pt idx="407">
                  <c:v>12/2/2020</c:v>
                </c:pt>
                <c:pt idx="408">
                  <c:v>13/2/2020</c:v>
                </c:pt>
                <c:pt idx="409">
                  <c:v>14/2/2020</c:v>
                </c:pt>
                <c:pt idx="410">
                  <c:v>15/2/2020</c:v>
                </c:pt>
                <c:pt idx="411">
                  <c:v>16/2/2020</c:v>
                </c:pt>
                <c:pt idx="412">
                  <c:v>17/2/2020</c:v>
                </c:pt>
                <c:pt idx="413">
                  <c:v>18/2/2020</c:v>
                </c:pt>
                <c:pt idx="414">
                  <c:v>19/2/2020</c:v>
                </c:pt>
                <c:pt idx="415">
                  <c:v>20/2/2020</c:v>
                </c:pt>
                <c:pt idx="416">
                  <c:v>21/2/2020</c:v>
                </c:pt>
                <c:pt idx="417">
                  <c:v>22/2/2020</c:v>
                </c:pt>
                <c:pt idx="418">
                  <c:v>23/2/2020</c:v>
                </c:pt>
                <c:pt idx="419">
                  <c:v>24/2/2020</c:v>
                </c:pt>
                <c:pt idx="420">
                  <c:v>25/2/2020</c:v>
                </c:pt>
                <c:pt idx="421">
                  <c:v>26/2/2020</c:v>
                </c:pt>
                <c:pt idx="422">
                  <c:v>27/2/2020</c:v>
                </c:pt>
                <c:pt idx="423">
                  <c:v>28/2/2020</c:v>
                </c:pt>
                <c:pt idx="424">
                  <c:v>29/2/2020</c:v>
                </c:pt>
                <c:pt idx="425">
                  <c:v>1/3/2020</c:v>
                </c:pt>
                <c:pt idx="426">
                  <c:v>2/3/2020</c:v>
                </c:pt>
                <c:pt idx="427">
                  <c:v>3/3/2020</c:v>
                </c:pt>
                <c:pt idx="428">
                  <c:v>4/3/2020</c:v>
                </c:pt>
                <c:pt idx="429">
                  <c:v>5/3/2020</c:v>
                </c:pt>
                <c:pt idx="430">
                  <c:v>6/3/2020</c:v>
                </c:pt>
                <c:pt idx="431">
                  <c:v>7/3/2020</c:v>
                </c:pt>
                <c:pt idx="432">
                  <c:v>8/3/2020</c:v>
                </c:pt>
                <c:pt idx="433">
                  <c:v>9/3/2020</c:v>
                </c:pt>
                <c:pt idx="434">
                  <c:v>10/3/2020</c:v>
                </c:pt>
                <c:pt idx="435">
                  <c:v>11/3/2020</c:v>
                </c:pt>
                <c:pt idx="436">
                  <c:v>12/3/2020</c:v>
                </c:pt>
                <c:pt idx="437">
                  <c:v>13/3/2020</c:v>
                </c:pt>
                <c:pt idx="438">
                  <c:v>14/3/2020</c:v>
                </c:pt>
                <c:pt idx="439">
                  <c:v>15/3/2020</c:v>
                </c:pt>
                <c:pt idx="440">
                  <c:v>16/3/2020</c:v>
                </c:pt>
                <c:pt idx="441">
                  <c:v>17/3/2020</c:v>
                </c:pt>
                <c:pt idx="442">
                  <c:v>18/3/2020</c:v>
                </c:pt>
                <c:pt idx="443">
                  <c:v>19/3/2020</c:v>
                </c:pt>
                <c:pt idx="444">
                  <c:v>20/3/2020</c:v>
                </c:pt>
                <c:pt idx="445">
                  <c:v>21/3/2020</c:v>
                </c:pt>
                <c:pt idx="446">
                  <c:v>22/3/2020</c:v>
                </c:pt>
                <c:pt idx="447">
                  <c:v>23/3/2020</c:v>
                </c:pt>
                <c:pt idx="448">
                  <c:v>24/3/2020</c:v>
                </c:pt>
                <c:pt idx="449">
                  <c:v>25/3/2020</c:v>
                </c:pt>
                <c:pt idx="450">
                  <c:v>26/3/2020</c:v>
                </c:pt>
                <c:pt idx="451">
                  <c:v>27/3/2020</c:v>
                </c:pt>
                <c:pt idx="452">
                  <c:v>28/3/2020</c:v>
                </c:pt>
                <c:pt idx="453">
                  <c:v>29/3/2020</c:v>
                </c:pt>
                <c:pt idx="454">
                  <c:v>30/3/2020</c:v>
                </c:pt>
                <c:pt idx="455">
                  <c:v>31/3/2020</c:v>
                </c:pt>
                <c:pt idx="456">
                  <c:v>1/4/2020</c:v>
                </c:pt>
                <c:pt idx="457">
                  <c:v>2/4/2020</c:v>
                </c:pt>
                <c:pt idx="458">
                  <c:v>3/4/2020</c:v>
                </c:pt>
                <c:pt idx="459">
                  <c:v>4/4/2020</c:v>
                </c:pt>
                <c:pt idx="460">
                  <c:v>5/4/2020</c:v>
                </c:pt>
                <c:pt idx="461">
                  <c:v>6/4/2020</c:v>
                </c:pt>
                <c:pt idx="462">
                  <c:v>7/4/2020</c:v>
                </c:pt>
                <c:pt idx="463">
                  <c:v>8/4/2020</c:v>
                </c:pt>
                <c:pt idx="464">
                  <c:v>9/4/2020</c:v>
                </c:pt>
                <c:pt idx="465">
                  <c:v>10/4/2020</c:v>
                </c:pt>
                <c:pt idx="466">
                  <c:v>11/4/2020</c:v>
                </c:pt>
                <c:pt idx="467">
                  <c:v>12/4/2020</c:v>
                </c:pt>
                <c:pt idx="468">
                  <c:v>13/4/2020</c:v>
                </c:pt>
                <c:pt idx="469">
                  <c:v>14/4/2020</c:v>
                </c:pt>
                <c:pt idx="470">
                  <c:v>15/4/2020</c:v>
                </c:pt>
                <c:pt idx="471">
                  <c:v>16/4/2020</c:v>
                </c:pt>
                <c:pt idx="472">
                  <c:v>17/4/2020</c:v>
                </c:pt>
                <c:pt idx="473">
                  <c:v>18/4/2020</c:v>
                </c:pt>
                <c:pt idx="474">
                  <c:v>19/4/2020</c:v>
                </c:pt>
                <c:pt idx="475">
                  <c:v>20/4/2020</c:v>
                </c:pt>
                <c:pt idx="476">
                  <c:v>21/4/2020</c:v>
                </c:pt>
                <c:pt idx="477">
                  <c:v>22/4/2020</c:v>
                </c:pt>
                <c:pt idx="478">
                  <c:v>23/4/2020</c:v>
                </c:pt>
                <c:pt idx="479">
                  <c:v>24/4/2020</c:v>
                </c:pt>
                <c:pt idx="480">
                  <c:v>25/4/2020</c:v>
                </c:pt>
                <c:pt idx="481">
                  <c:v>26/4/2020</c:v>
                </c:pt>
                <c:pt idx="482">
                  <c:v>27/4/2020</c:v>
                </c:pt>
                <c:pt idx="483">
                  <c:v>28/4/2020</c:v>
                </c:pt>
                <c:pt idx="484">
                  <c:v>29/4/2020</c:v>
                </c:pt>
                <c:pt idx="485">
                  <c:v>30/4/2020</c:v>
                </c:pt>
                <c:pt idx="486">
                  <c:v>1/5/2020</c:v>
                </c:pt>
                <c:pt idx="487">
                  <c:v>2/5/2020</c:v>
                </c:pt>
                <c:pt idx="488">
                  <c:v>3/5/2020</c:v>
                </c:pt>
                <c:pt idx="489">
                  <c:v>4/5/2020</c:v>
                </c:pt>
                <c:pt idx="490">
                  <c:v>5/5/2020</c:v>
                </c:pt>
                <c:pt idx="491">
                  <c:v>6/5/2020</c:v>
                </c:pt>
                <c:pt idx="492">
                  <c:v>7/5/2020</c:v>
                </c:pt>
                <c:pt idx="493">
                  <c:v>8/5/2020</c:v>
                </c:pt>
                <c:pt idx="494">
                  <c:v>9/5/2020</c:v>
                </c:pt>
                <c:pt idx="495">
                  <c:v>10/5/2020</c:v>
                </c:pt>
                <c:pt idx="496">
                  <c:v>11/5/2020</c:v>
                </c:pt>
                <c:pt idx="497">
                  <c:v>12/5/2020</c:v>
                </c:pt>
                <c:pt idx="498">
                  <c:v>13/5/2020</c:v>
                </c:pt>
                <c:pt idx="499">
                  <c:v>14/5/2020</c:v>
                </c:pt>
                <c:pt idx="500">
                  <c:v>15/5/2020</c:v>
                </c:pt>
                <c:pt idx="501">
                  <c:v>16/5/2020</c:v>
                </c:pt>
                <c:pt idx="502">
                  <c:v>17/5/2020</c:v>
                </c:pt>
                <c:pt idx="503">
                  <c:v>18/5/2020</c:v>
                </c:pt>
                <c:pt idx="504">
                  <c:v>19/5/2020</c:v>
                </c:pt>
                <c:pt idx="505">
                  <c:v>20/5/2020</c:v>
                </c:pt>
                <c:pt idx="506">
                  <c:v>21/5/2020</c:v>
                </c:pt>
                <c:pt idx="507">
                  <c:v>22/5/2020</c:v>
                </c:pt>
                <c:pt idx="508">
                  <c:v>23/5/2020</c:v>
                </c:pt>
                <c:pt idx="509">
                  <c:v>24/5/2020</c:v>
                </c:pt>
                <c:pt idx="510">
                  <c:v>25/5/2020</c:v>
                </c:pt>
                <c:pt idx="511">
                  <c:v>26/5/2020</c:v>
                </c:pt>
                <c:pt idx="512">
                  <c:v>27/5/2020</c:v>
                </c:pt>
                <c:pt idx="513">
                  <c:v>28/5/2020</c:v>
                </c:pt>
                <c:pt idx="514">
                  <c:v>29/5/2020</c:v>
                </c:pt>
                <c:pt idx="515">
                  <c:v>30/5/2020</c:v>
                </c:pt>
                <c:pt idx="516">
                  <c:v>31/5/2020</c:v>
                </c:pt>
                <c:pt idx="517">
                  <c:v>1/6/2020</c:v>
                </c:pt>
                <c:pt idx="518">
                  <c:v>2/6/2020</c:v>
                </c:pt>
                <c:pt idx="519">
                  <c:v>3/6/2020</c:v>
                </c:pt>
                <c:pt idx="520">
                  <c:v>4/6/2020</c:v>
                </c:pt>
                <c:pt idx="521">
                  <c:v>5/6/2020</c:v>
                </c:pt>
                <c:pt idx="522">
                  <c:v>6/6/2020</c:v>
                </c:pt>
                <c:pt idx="523">
                  <c:v>7/6/2020</c:v>
                </c:pt>
                <c:pt idx="524">
                  <c:v>8/6/2020</c:v>
                </c:pt>
                <c:pt idx="525">
                  <c:v>9/6/2020</c:v>
                </c:pt>
                <c:pt idx="526">
                  <c:v>10/6/2020</c:v>
                </c:pt>
                <c:pt idx="527">
                  <c:v>11/6/2020</c:v>
                </c:pt>
                <c:pt idx="528">
                  <c:v>12/6/2020</c:v>
                </c:pt>
                <c:pt idx="529">
                  <c:v>13/6/2020</c:v>
                </c:pt>
                <c:pt idx="530">
                  <c:v>14/6/2020</c:v>
                </c:pt>
                <c:pt idx="531">
                  <c:v>15/6/2020</c:v>
                </c:pt>
                <c:pt idx="532">
                  <c:v>16/6/2020</c:v>
                </c:pt>
                <c:pt idx="533">
                  <c:v>17/6/2020</c:v>
                </c:pt>
                <c:pt idx="534">
                  <c:v>18/6/2020</c:v>
                </c:pt>
                <c:pt idx="535">
                  <c:v>19/6/2020</c:v>
                </c:pt>
                <c:pt idx="536">
                  <c:v>20/6/2020</c:v>
                </c:pt>
                <c:pt idx="537">
                  <c:v>21/6/2020</c:v>
                </c:pt>
                <c:pt idx="538">
                  <c:v>22/6/2020</c:v>
                </c:pt>
                <c:pt idx="539">
                  <c:v>23/6/2020</c:v>
                </c:pt>
                <c:pt idx="540">
                  <c:v>24/6/2020</c:v>
                </c:pt>
                <c:pt idx="541">
                  <c:v>25/6/2020</c:v>
                </c:pt>
                <c:pt idx="542">
                  <c:v>26/6/2020</c:v>
                </c:pt>
                <c:pt idx="543">
                  <c:v>27/6/2020</c:v>
                </c:pt>
                <c:pt idx="544">
                  <c:v>28/6/2020</c:v>
                </c:pt>
                <c:pt idx="545">
                  <c:v>29/6/2020</c:v>
                </c:pt>
                <c:pt idx="546">
                  <c:v>30/6/2020</c:v>
                </c:pt>
                <c:pt idx="547">
                  <c:v>1/7/2020</c:v>
                </c:pt>
                <c:pt idx="548">
                  <c:v>2/7/2020</c:v>
                </c:pt>
                <c:pt idx="549">
                  <c:v>3/7/2020</c:v>
                </c:pt>
                <c:pt idx="550">
                  <c:v>4/7/2020</c:v>
                </c:pt>
                <c:pt idx="551">
                  <c:v>5/7/2020</c:v>
                </c:pt>
                <c:pt idx="552">
                  <c:v>6/7/2020</c:v>
                </c:pt>
                <c:pt idx="553">
                  <c:v>7/7/2020</c:v>
                </c:pt>
                <c:pt idx="554">
                  <c:v>8/7/2020</c:v>
                </c:pt>
                <c:pt idx="555">
                  <c:v>9/7/2020</c:v>
                </c:pt>
                <c:pt idx="556">
                  <c:v>10/7/2020</c:v>
                </c:pt>
                <c:pt idx="557">
                  <c:v>11/7/2020</c:v>
                </c:pt>
                <c:pt idx="558">
                  <c:v>12/7/2020</c:v>
                </c:pt>
                <c:pt idx="559">
                  <c:v>13/7/2020</c:v>
                </c:pt>
                <c:pt idx="560">
                  <c:v>14/7/2020</c:v>
                </c:pt>
                <c:pt idx="561">
                  <c:v>15/7/2020</c:v>
                </c:pt>
                <c:pt idx="562">
                  <c:v>16/7/2020</c:v>
                </c:pt>
                <c:pt idx="563">
                  <c:v>17/7/2020</c:v>
                </c:pt>
                <c:pt idx="564">
                  <c:v>18/7/2020</c:v>
                </c:pt>
                <c:pt idx="565">
                  <c:v>19/7/2020</c:v>
                </c:pt>
                <c:pt idx="566">
                  <c:v>20/7/2020</c:v>
                </c:pt>
                <c:pt idx="567">
                  <c:v>21/7/2020</c:v>
                </c:pt>
                <c:pt idx="568">
                  <c:v>22/7/2020</c:v>
                </c:pt>
                <c:pt idx="569">
                  <c:v>23/7/2020</c:v>
                </c:pt>
                <c:pt idx="570">
                  <c:v>24/7/2020</c:v>
                </c:pt>
                <c:pt idx="571">
                  <c:v>25/7/2020</c:v>
                </c:pt>
                <c:pt idx="572">
                  <c:v>26/7/2020</c:v>
                </c:pt>
                <c:pt idx="573">
                  <c:v>27/7/2020</c:v>
                </c:pt>
                <c:pt idx="574">
                  <c:v>28/7/2020</c:v>
                </c:pt>
                <c:pt idx="575">
                  <c:v>29/7/2020</c:v>
                </c:pt>
                <c:pt idx="576">
                  <c:v>30/7/2020</c:v>
                </c:pt>
                <c:pt idx="577">
                  <c:v>31/7/2020</c:v>
                </c:pt>
                <c:pt idx="578">
                  <c:v>1/8/2020</c:v>
                </c:pt>
                <c:pt idx="579">
                  <c:v>2/8/2020</c:v>
                </c:pt>
                <c:pt idx="580">
                  <c:v>3/8/2020</c:v>
                </c:pt>
                <c:pt idx="581">
                  <c:v>4/8/2020</c:v>
                </c:pt>
                <c:pt idx="582">
                  <c:v>5/8/2020</c:v>
                </c:pt>
                <c:pt idx="583">
                  <c:v>6/8/2020</c:v>
                </c:pt>
                <c:pt idx="584">
                  <c:v>7/8/2020</c:v>
                </c:pt>
                <c:pt idx="585">
                  <c:v>8/8/2020</c:v>
                </c:pt>
                <c:pt idx="586">
                  <c:v>9/8/2020</c:v>
                </c:pt>
                <c:pt idx="587">
                  <c:v>10/8/2020</c:v>
                </c:pt>
                <c:pt idx="588">
                  <c:v>11/8/2020</c:v>
                </c:pt>
                <c:pt idx="589">
                  <c:v>12/8/2020</c:v>
                </c:pt>
                <c:pt idx="590">
                  <c:v>13/8/2020</c:v>
                </c:pt>
                <c:pt idx="591">
                  <c:v>14/8/2020</c:v>
                </c:pt>
                <c:pt idx="592">
                  <c:v>15/8/2020</c:v>
                </c:pt>
                <c:pt idx="593">
                  <c:v>16/8/2020</c:v>
                </c:pt>
                <c:pt idx="594">
                  <c:v>17/8/2020</c:v>
                </c:pt>
                <c:pt idx="595">
                  <c:v>18/8/2020</c:v>
                </c:pt>
                <c:pt idx="596">
                  <c:v>19/8/2020</c:v>
                </c:pt>
                <c:pt idx="597">
                  <c:v>20/8/2020</c:v>
                </c:pt>
                <c:pt idx="598">
                  <c:v>21/8/2020</c:v>
                </c:pt>
                <c:pt idx="599">
                  <c:v>22/8/2020</c:v>
                </c:pt>
                <c:pt idx="600">
                  <c:v>23/8/2020</c:v>
                </c:pt>
                <c:pt idx="601">
                  <c:v>24/8/2020</c:v>
                </c:pt>
                <c:pt idx="602">
                  <c:v>25/8/2020</c:v>
                </c:pt>
                <c:pt idx="603">
                  <c:v>26/8/2020</c:v>
                </c:pt>
                <c:pt idx="604">
                  <c:v>27/8/2020</c:v>
                </c:pt>
                <c:pt idx="605">
                  <c:v>28/8/2020</c:v>
                </c:pt>
                <c:pt idx="606">
                  <c:v>29/8/2020</c:v>
                </c:pt>
                <c:pt idx="607">
                  <c:v>30/8/2020</c:v>
                </c:pt>
                <c:pt idx="608">
                  <c:v>31/8/2020</c:v>
                </c:pt>
                <c:pt idx="609">
                  <c:v>1/9/2020</c:v>
                </c:pt>
                <c:pt idx="610">
                  <c:v>2/9/2020</c:v>
                </c:pt>
                <c:pt idx="611">
                  <c:v>3/9/2020</c:v>
                </c:pt>
                <c:pt idx="612">
                  <c:v>4/9/2020</c:v>
                </c:pt>
                <c:pt idx="613">
                  <c:v>5/9/2020</c:v>
                </c:pt>
                <c:pt idx="614">
                  <c:v>6/9/2020</c:v>
                </c:pt>
                <c:pt idx="615">
                  <c:v>7/9/2020</c:v>
                </c:pt>
                <c:pt idx="616">
                  <c:v>8/9/2020</c:v>
                </c:pt>
                <c:pt idx="617">
                  <c:v>9/9/2020</c:v>
                </c:pt>
                <c:pt idx="618">
                  <c:v>10/9/2020</c:v>
                </c:pt>
                <c:pt idx="619">
                  <c:v>11/9/2020</c:v>
                </c:pt>
                <c:pt idx="620">
                  <c:v>12/9/2020</c:v>
                </c:pt>
                <c:pt idx="621">
                  <c:v>13/9/2020</c:v>
                </c:pt>
                <c:pt idx="622">
                  <c:v>14/9/2020</c:v>
                </c:pt>
                <c:pt idx="623">
                  <c:v>15/9/2020</c:v>
                </c:pt>
                <c:pt idx="624">
                  <c:v>16/9/2020</c:v>
                </c:pt>
                <c:pt idx="625">
                  <c:v>17/9/2020</c:v>
                </c:pt>
                <c:pt idx="626">
                  <c:v>18/9/2020</c:v>
                </c:pt>
                <c:pt idx="627">
                  <c:v>19/9/2020</c:v>
                </c:pt>
                <c:pt idx="628">
                  <c:v>20/9/2020</c:v>
                </c:pt>
                <c:pt idx="629">
                  <c:v>21/9/2020</c:v>
                </c:pt>
                <c:pt idx="630">
                  <c:v>22/9/2020</c:v>
                </c:pt>
                <c:pt idx="631">
                  <c:v>23/9/2020</c:v>
                </c:pt>
                <c:pt idx="632">
                  <c:v>24/9/2020</c:v>
                </c:pt>
                <c:pt idx="633">
                  <c:v>25/9/2020</c:v>
                </c:pt>
                <c:pt idx="634">
                  <c:v>26/9/2020</c:v>
                </c:pt>
                <c:pt idx="635">
                  <c:v>27/9/2020</c:v>
                </c:pt>
                <c:pt idx="636">
                  <c:v>28/9/2020</c:v>
                </c:pt>
                <c:pt idx="637">
                  <c:v>29/9/2020</c:v>
                </c:pt>
                <c:pt idx="638">
                  <c:v>30/9/2020</c:v>
                </c:pt>
                <c:pt idx="639">
                  <c:v>1/10/2020</c:v>
                </c:pt>
                <c:pt idx="640">
                  <c:v>2/10/2020</c:v>
                </c:pt>
                <c:pt idx="641">
                  <c:v>3/10/2020</c:v>
                </c:pt>
                <c:pt idx="642">
                  <c:v>4/10/2020</c:v>
                </c:pt>
                <c:pt idx="643">
                  <c:v>5/10/2020</c:v>
                </c:pt>
                <c:pt idx="644">
                  <c:v>6/10/2020</c:v>
                </c:pt>
                <c:pt idx="645">
                  <c:v>7/10/2020</c:v>
                </c:pt>
                <c:pt idx="646">
                  <c:v>8/10/2020</c:v>
                </c:pt>
                <c:pt idx="647">
                  <c:v>9/10/2020</c:v>
                </c:pt>
                <c:pt idx="648">
                  <c:v>10/10/2020</c:v>
                </c:pt>
                <c:pt idx="649">
                  <c:v>11/10/2020</c:v>
                </c:pt>
                <c:pt idx="650">
                  <c:v>12/10/2020</c:v>
                </c:pt>
                <c:pt idx="651">
                  <c:v>13/10/2020</c:v>
                </c:pt>
                <c:pt idx="652">
                  <c:v>14/10/2020</c:v>
                </c:pt>
                <c:pt idx="653">
                  <c:v>15/10/2020</c:v>
                </c:pt>
                <c:pt idx="654">
                  <c:v>16/10/2020</c:v>
                </c:pt>
                <c:pt idx="655">
                  <c:v>17/10/2020</c:v>
                </c:pt>
                <c:pt idx="656">
                  <c:v>18/10/2020</c:v>
                </c:pt>
                <c:pt idx="657">
                  <c:v>19/10/2020</c:v>
                </c:pt>
                <c:pt idx="658">
                  <c:v>20/10/2020</c:v>
                </c:pt>
                <c:pt idx="659">
                  <c:v>21/10/2020</c:v>
                </c:pt>
                <c:pt idx="660">
                  <c:v>22/10/2020</c:v>
                </c:pt>
                <c:pt idx="661">
                  <c:v>23/10/2020</c:v>
                </c:pt>
                <c:pt idx="662">
                  <c:v>24/10/2020</c:v>
                </c:pt>
                <c:pt idx="663">
                  <c:v>25/10/2020</c:v>
                </c:pt>
                <c:pt idx="664">
                  <c:v>26/10/2020</c:v>
                </c:pt>
                <c:pt idx="665">
                  <c:v>27/10/2020</c:v>
                </c:pt>
                <c:pt idx="666">
                  <c:v>28/10/2020</c:v>
                </c:pt>
                <c:pt idx="667">
                  <c:v>29/10/2020</c:v>
                </c:pt>
                <c:pt idx="668">
                  <c:v>30/10/2020</c:v>
                </c:pt>
                <c:pt idx="669">
                  <c:v>31/10/2020</c:v>
                </c:pt>
                <c:pt idx="670">
                  <c:v>1/11/2020</c:v>
                </c:pt>
                <c:pt idx="671">
                  <c:v>2/11/2020</c:v>
                </c:pt>
                <c:pt idx="672">
                  <c:v>3/11/2020</c:v>
                </c:pt>
                <c:pt idx="673">
                  <c:v>4/11/2020</c:v>
                </c:pt>
                <c:pt idx="674">
                  <c:v>5/11/2020</c:v>
                </c:pt>
                <c:pt idx="675">
                  <c:v>6/11/2020</c:v>
                </c:pt>
                <c:pt idx="676">
                  <c:v>7/11/2020</c:v>
                </c:pt>
                <c:pt idx="677">
                  <c:v>8/11/2020</c:v>
                </c:pt>
                <c:pt idx="678">
                  <c:v>9/11/2020</c:v>
                </c:pt>
                <c:pt idx="679">
                  <c:v>10/11/2020</c:v>
                </c:pt>
                <c:pt idx="680">
                  <c:v>11/11/2020</c:v>
                </c:pt>
                <c:pt idx="681">
                  <c:v>12/11/2020</c:v>
                </c:pt>
                <c:pt idx="682">
                  <c:v>13/11/2020</c:v>
                </c:pt>
                <c:pt idx="683">
                  <c:v>14/11/2020</c:v>
                </c:pt>
                <c:pt idx="684">
                  <c:v>15/11/2020</c:v>
                </c:pt>
                <c:pt idx="685">
                  <c:v>16/11/2020</c:v>
                </c:pt>
                <c:pt idx="686">
                  <c:v>17/11/2020</c:v>
                </c:pt>
                <c:pt idx="687">
                  <c:v>18/11/2020</c:v>
                </c:pt>
                <c:pt idx="688">
                  <c:v>19/11/2020</c:v>
                </c:pt>
                <c:pt idx="689">
                  <c:v>20/11/2020</c:v>
                </c:pt>
                <c:pt idx="690">
                  <c:v>21/11/2020</c:v>
                </c:pt>
                <c:pt idx="691">
                  <c:v>22/11/2020</c:v>
                </c:pt>
                <c:pt idx="692">
                  <c:v>23/11/2020</c:v>
                </c:pt>
                <c:pt idx="693">
                  <c:v>24/11/2020</c:v>
                </c:pt>
                <c:pt idx="694">
                  <c:v>25/11/2020</c:v>
                </c:pt>
                <c:pt idx="695">
                  <c:v>26/11/2020</c:v>
                </c:pt>
                <c:pt idx="696">
                  <c:v>27/11/2020</c:v>
                </c:pt>
                <c:pt idx="697">
                  <c:v>28/11/2020</c:v>
                </c:pt>
                <c:pt idx="698">
                  <c:v>29/11/2020</c:v>
                </c:pt>
                <c:pt idx="699">
                  <c:v>30/11/2020</c:v>
                </c:pt>
                <c:pt idx="700">
                  <c:v>1/12/2020</c:v>
                </c:pt>
                <c:pt idx="701">
                  <c:v>2/12/2020</c:v>
                </c:pt>
                <c:pt idx="702">
                  <c:v>3/12/2020</c:v>
                </c:pt>
                <c:pt idx="703">
                  <c:v>4/12/2020</c:v>
                </c:pt>
                <c:pt idx="704">
                  <c:v>5/12/2020</c:v>
                </c:pt>
                <c:pt idx="705">
                  <c:v>6/12/2020</c:v>
                </c:pt>
                <c:pt idx="706">
                  <c:v>7/12/2020</c:v>
                </c:pt>
                <c:pt idx="707">
                  <c:v>8/12/2020</c:v>
                </c:pt>
                <c:pt idx="708">
                  <c:v>9/12/2020</c:v>
                </c:pt>
                <c:pt idx="709">
                  <c:v>10/12/2020</c:v>
                </c:pt>
                <c:pt idx="710">
                  <c:v>11/12/2020</c:v>
                </c:pt>
                <c:pt idx="711">
                  <c:v>12/12/2020</c:v>
                </c:pt>
                <c:pt idx="712">
                  <c:v>13/12/2020</c:v>
                </c:pt>
                <c:pt idx="713">
                  <c:v>14/12/2020</c:v>
                </c:pt>
                <c:pt idx="714">
                  <c:v>15/12/2020</c:v>
                </c:pt>
                <c:pt idx="715">
                  <c:v>16/12/2020</c:v>
                </c:pt>
                <c:pt idx="716">
                  <c:v>17/12/2020</c:v>
                </c:pt>
                <c:pt idx="717">
                  <c:v>18/12/2020</c:v>
                </c:pt>
                <c:pt idx="718">
                  <c:v>19/12/2020</c:v>
                </c:pt>
                <c:pt idx="719">
                  <c:v>20/12/2020</c:v>
                </c:pt>
                <c:pt idx="720">
                  <c:v>21/12/2020</c:v>
                </c:pt>
                <c:pt idx="721">
                  <c:v>22/12/2020</c:v>
                </c:pt>
                <c:pt idx="722">
                  <c:v>23/12/2020</c:v>
                </c:pt>
                <c:pt idx="723">
                  <c:v>24/12/2020</c:v>
                </c:pt>
                <c:pt idx="724">
                  <c:v>25/12/2020</c:v>
                </c:pt>
                <c:pt idx="725">
                  <c:v>26/12/2020</c:v>
                </c:pt>
                <c:pt idx="726">
                  <c:v>27/12/2020</c:v>
                </c:pt>
                <c:pt idx="727">
                  <c:v>28/12/2020</c:v>
                </c:pt>
                <c:pt idx="728">
                  <c:v>29/12/2020</c:v>
                </c:pt>
                <c:pt idx="729">
                  <c:v>30/12/2020</c:v>
                </c:pt>
                <c:pt idx="730">
                  <c:v>31/12/2020</c:v>
                </c:pt>
                <c:pt idx="731">
                  <c:v>1/1/2021</c:v>
                </c:pt>
                <c:pt idx="732">
                  <c:v>2/1/2021</c:v>
                </c:pt>
                <c:pt idx="733">
                  <c:v>3/1/2021</c:v>
                </c:pt>
                <c:pt idx="734">
                  <c:v>4/1/2021</c:v>
                </c:pt>
                <c:pt idx="735">
                  <c:v>5/1/2021</c:v>
                </c:pt>
                <c:pt idx="736">
                  <c:v>6/1/2021</c:v>
                </c:pt>
                <c:pt idx="737">
                  <c:v>7/1/2021</c:v>
                </c:pt>
                <c:pt idx="738">
                  <c:v>8/1/2021</c:v>
                </c:pt>
                <c:pt idx="739">
                  <c:v>9/1/2021</c:v>
                </c:pt>
                <c:pt idx="740">
                  <c:v>10/1/2021</c:v>
                </c:pt>
                <c:pt idx="741">
                  <c:v>11/1/2021</c:v>
                </c:pt>
                <c:pt idx="742">
                  <c:v>12/1/2021</c:v>
                </c:pt>
                <c:pt idx="743">
                  <c:v>13/1/2021</c:v>
                </c:pt>
                <c:pt idx="744">
                  <c:v>14/1/2021</c:v>
                </c:pt>
                <c:pt idx="745">
                  <c:v>15/1/2021</c:v>
                </c:pt>
                <c:pt idx="746">
                  <c:v>16/1/2021</c:v>
                </c:pt>
                <c:pt idx="747">
                  <c:v>17/1/2021</c:v>
                </c:pt>
                <c:pt idx="748">
                  <c:v>18/1/2021</c:v>
                </c:pt>
                <c:pt idx="749">
                  <c:v>19/1/2021</c:v>
                </c:pt>
                <c:pt idx="750">
                  <c:v>20/1/2021</c:v>
                </c:pt>
                <c:pt idx="751">
                  <c:v>21/1/2021</c:v>
                </c:pt>
                <c:pt idx="752">
                  <c:v>22/1/2021</c:v>
                </c:pt>
                <c:pt idx="753">
                  <c:v>23/1/2021</c:v>
                </c:pt>
                <c:pt idx="754">
                  <c:v>24/1/2021</c:v>
                </c:pt>
                <c:pt idx="755">
                  <c:v>25/1/2021</c:v>
                </c:pt>
                <c:pt idx="756">
                  <c:v>26/1/2021</c:v>
                </c:pt>
                <c:pt idx="757">
                  <c:v>27/1/2021</c:v>
                </c:pt>
                <c:pt idx="758">
                  <c:v>28/1/2021</c:v>
                </c:pt>
                <c:pt idx="759">
                  <c:v>29/1/2021</c:v>
                </c:pt>
                <c:pt idx="760">
                  <c:v>30/1/2021</c:v>
                </c:pt>
                <c:pt idx="761">
                  <c:v>31/1/2021</c:v>
                </c:pt>
                <c:pt idx="762">
                  <c:v>1/2/2021</c:v>
                </c:pt>
                <c:pt idx="763">
                  <c:v>2/2/2021</c:v>
                </c:pt>
                <c:pt idx="764">
                  <c:v>3/2/2021</c:v>
                </c:pt>
                <c:pt idx="765">
                  <c:v>4/2/2021</c:v>
                </c:pt>
                <c:pt idx="766">
                  <c:v>5/2/2021</c:v>
                </c:pt>
                <c:pt idx="767">
                  <c:v>6/2/2021</c:v>
                </c:pt>
                <c:pt idx="768">
                  <c:v>7/2/2021</c:v>
                </c:pt>
                <c:pt idx="769">
                  <c:v>8/2/2021</c:v>
                </c:pt>
                <c:pt idx="770">
                  <c:v>9/2/2021</c:v>
                </c:pt>
                <c:pt idx="771">
                  <c:v>10/2/2021</c:v>
                </c:pt>
                <c:pt idx="772">
                  <c:v>11/2/2021</c:v>
                </c:pt>
                <c:pt idx="773">
                  <c:v>12/2/2021</c:v>
                </c:pt>
                <c:pt idx="774">
                  <c:v>13/2/2021</c:v>
                </c:pt>
                <c:pt idx="775">
                  <c:v>14/2/2021</c:v>
                </c:pt>
                <c:pt idx="776">
                  <c:v>15/2/2021</c:v>
                </c:pt>
                <c:pt idx="777">
                  <c:v>16/2/2021</c:v>
                </c:pt>
                <c:pt idx="778">
                  <c:v>17/2/2021</c:v>
                </c:pt>
                <c:pt idx="779">
                  <c:v>18/2/2021</c:v>
                </c:pt>
                <c:pt idx="780">
                  <c:v>19/2/2021</c:v>
                </c:pt>
                <c:pt idx="781">
                  <c:v>20/2/2021</c:v>
                </c:pt>
                <c:pt idx="782">
                  <c:v>21/2/2021</c:v>
                </c:pt>
                <c:pt idx="783">
                  <c:v>22/2/2021</c:v>
                </c:pt>
                <c:pt idx="784">
                  <c:v>23/2/2021</c:v>
                </c:pt>
                <c:pt idx="785">
                  <c:v>24/2/2021</c:v>
                </c:pt>
                <c:pt idx="786">
                  <c:v>25/2/2021</c:v>
                </c:pt>
                <c:pt idx="787">
                  <c:v>26/2/2021</c:v>
                </c:pt>
                <c:pt idx="788">
                  <c:v>27/2/2021</c:v>
                </c:pt>
                <c:pt idx="789">
                  <c:v>28/2/2021</c:v>
                </c:pt>
                <c:pt idx="790">
                  <c:v>1/3/2021</c:v>
                </c:pt>
                <c:pt idx="791">
                  <c:v>2/3/2021</c:v>
                </c:pt>
                <c:pt idx="792">
                  <c:v>3/3/2021</c:v>
                </c:pt>
                <c:pt idx="793">
                  <c:v>4/3/2021</c:v>
                </c:pt>
                <c:pt idx="794">
                  <c:v>5/3/2021</c:v>
                </c:pt>
                <c:pt idx="795">
                  <c:v>6/3/2021</c:v>
                </c:pt>
                <c:pt idx="796">
                  <c:v>7/3/2021</c:v>
                </c:pt>
                <c:pt idx="797">
                  <c:v>8/3/2021</c:v>
                </c:pt>
                <c:pt idx="798">
                  <c:v>9/3/2021</c:v>
                </c:pt>
                <c:pt idx="799">
                  <c:v>10/3/2021</c:v>
                </c:pt>
                <c:pt idx="800">
                  <c:v>11/3/2021</c:v>
                </c:pt>
                <c:pt idx="801">
                  <c:v>12/3/2021</c:v>
                </c:pt>
                <c:pt idx="802">
                  <c:v>13/3/2021</c:v>
                </c:pt>
                <c:pt idx="803">
                  <c:v>14/3/2021</c:v>
                </c:pt>
                <c:pt idx="804">
                  <c:v>15/3/2021</c:v>
                </c:pt>
                <c:pt idx="805">
                  <c:v>16/3/2021</c:v>
                </c:pt>
                <c:pt idx="806">
                  <c:v>17/3/2021</c:v>
                </c:pt>
                <c:pt idx="807">
                  <c:v>18/3/2021</c:v>
                </c:pt>
                <c:pt idx="808">
                  <c:v>19/3/2021</c:v>
                </c:pt>
                <c:pt idx="809">
                  <c:v>20/3/2021</c:v>
                </c:pt>
                <c:pt idx="810">
                  <c:v>21/3/2021</c:v>
                </c:pt>
                <c:pt idx="811">
                  <c:v>22/3/2021</c:v>
                </c:pt>
                <c:pt idx="812">
                  <c:v>23/3/2021</c:v>
                </c:pt>
                <c:pt idx="813">
                  <c:v>24/3/2021</c:v>
                </c:pt>
                <c:pt idx="814">
                  <c:v>25/3/2021</c:v>
                </c:pt>
                <c:pt idx="815">
                  <c:v>26/3/2021</c:v>
                </c:pt>
                <c:pt idx="816">
                  <c:v>27/3/2021</c:v>
                </c:pt>
                <c:pt idx="817">
                  <c:v>28/3/2021</c:v>
                </c:pt>
                <c:pt idx="818">
                  <c:v>29/3/2021</c:v>
                </c:pt>
                <c:pt idx="819">
                  <c:v>30/3/2021</c:v>
                </c:pt>
                <c:pt idx="820">
                  <c:v>31/3/2021</c:v>
                </c:pt>
                <c:pt idx="821">
                  <c:v>1/4/2021</c:v>
                </c:pt>
                <c:pt idx="822">
                  <c:v>2/4/2021</c:v>
                </c:pt>
                <c:pt idx="823">
                  <c:v>3/4/2021</c:v>
                </c:pt>
                <c:pt idx="824">
                  <c:v>4/4/2021</c:v>
                </c:pt>
                <c:pt idx="825">
                  <c:v>5/4/2021</c:v>
                </c:pt>
                <c:pt idx="826">
                  <c:v>6/4/2021</c:v>
                </c:pt>
                <c:pt idx="827">
                  <c:v>7/4/2021</c:v>
                </c:pt>
                <c:pt idx="828">
                  <c:v>8/4/2021</c:v>
                </c:pt>
                <c:pt idx="829">
                  <c:v>9/4/2021</c:v>
                </c:pt>
                <c:pt idx="830">
                  <c:v>10/4/2021</c:v>
                </c:pt>
                <c:pt idx="831">
                  <c:v>11/4/2021</c:v>
                </c:pt>
                <c:pt idx="832">
                  <c:v>12/4/2021</c:v>
                </c:pt>
                <c:pt idx="833">
                  <c:v>13/4/2021</c:v>
                </c:pt>
                <c:pt idx="834">
                  <c:v>14/4/2021</c:v>
                </c:pt>
                <c:pt idx="835">
                  <c:v>15/4/2021</c:v>
                </c:pt>
                <c:pt idx="836">
                  <c:v>16/4/2021</c:v>
                </c:pt>
                <c:pt idx="837">
                  <c:v>17/4/2021</c:v>
                </c:pt>
                <c:pt idx="838">
                  <c:v>18/4/2021</c:v>
                </c:pt>
                <c:pt idx="839">
                  <c:v>19/4/2021</c:v>
                </c:pt>
                <c:pt idx="840">
                  <c:v>20/4/2021</c:v>
                </c:pt>
                <c:pt idx="841">
                  <c:v>21/4/2021</c:v>
                </c:pt>
                <c:pt idx="842">
                  <c:v>22/4/2021</c:v>
                </c:pt>
                <c:pt idx="843">
                  <c:v>23/4/2021</c:v>
                </c:pt>
                <c:pt idx="844">
                  <c:v>24/4/2021</c:v>
                </c:pt>
                <c:pt idx="845">
                  <c:v>25/4/2021</c:v>
                </c:pt>
                <c:pt idx="846">
                  <c:v>26/4/2021</c:v>
                </c:pt>
                <c:pt idx="847">
                  <c:v>27/4/2021</c:v>
                </c:pt>
                <c:pt idx="848">
                  <c:v>28/4/2021</c:v>
                </c:pt>
                <c:pt idx="849">
                  <c:v>29/4/2021</c:v>
                </c:pt>
                <c:pt idx="850">
                  <c:v>30/4/2021</c:v>
                </c:pt>
                <c:pt idx="851">
                  <c:v>1/5/2021</c:v>
                </c:pt>
                <c:pt idx="852">
                  <c:v>2/5/2021</c:v>
                </c:pt>
                <c:pt idx="853">
                  <c:v>3/5/2021</c:v>
                </c:pt>
                <c:pt idx="854">
                  <c:v>4/5/2021</c:v>
                </c:pt>
                <c:pt idx="855">
                  <c:v>5/5/2021</c:v>
                </c:pt>
                <c:pt idx="856">
                  <c:v>6/5/2021</c:v>
                </c:pt>
                <c:pt idx="857">
                  <c:v>7/5/2021</c:v>
                </c:pt>
                <c:pt idx="858">
                  <c:v>8/5/2021</c:v>
                </c:pt>
                <c:pt idx="859">
                  <c:v>9/5/2021</c:v>
                </c:pt>
                <c:pt idx="860">
                  <c:v>10/5/2021</c:v>
                </c:pt>
                <c:pt idx="861">
                  <c:v>11/5/2021</c:v>
                </c:pt>
                <c:pt idx="862">
                  <c:v>12/5/2021</c:v>
                </c:pt>
                <c:pt idx="863">
                  <c:v>13/5/2021</c:v>
                </c:pt>
                <c:pt idx="864">
                  <c:v>14/5/2021</c:v>
                </c:pt>
                <c:pt idx="865">
                  <c:v>15/5/2021</c:v>
                </c:pt>
                <c:pt idx="866">
                  <c:v>16/5/2021</c:v>
                </c:pt>
                <c:pt idx="867">
                  <c:v>17/5/2021</c:v>
                </c:pt>
                <c:pt idx="868">
                  <c:v>18/5/2021</c:v>
                </c:pt>
                <c:pt idx="869">
                  <c:v>19/5/2021</c:v>
                </c:pt>
                <c:pt idx="870">
                  <c:v>20/5/2021</c:v>
                </c:pt>
                <c:pt idx="871">
                  <c:v>21/5/2021</c:v>
                </c:pt>
                <c:pt idx="872">
                  <c:v>22/5/2021</c:v>
                </c:pt>
                <c:pt idx="873">
                  <c:v>23/5/2021</c:v>
                </c:pt>
                <c:pt idx="874">
                  <c:v>24/5/2021</c:v>
                </c:pt>
                <c:pt idx="875">
                  <c:v>25/5/2021</c:v>
                </c:pt>
                <c:pt idx="876">
                  <c:v>26/5/2021</c:v>
                </c:pt>
                <c:pt idx="877">
                  <c:v>27/5/2021</c:v>
                </c:pt>
                <c:pt idx="878">
                  <c:v>28/5/2021</c:v>
                </c:pt>
                <c:pt idx="879">
                  <c:v>29/5/2021</c:v>
                </c:pt>
                <c:pt idx="880">
                  <c:v>30/5/2021</c:v>
                </c:pt>
                <c:pt idx="881">
                  <c:v>31/5/2021</c:v>
                </c:pt>
                <c:pt idx="882">
                  <c:v>1/6/2021</c:v>
                </c:pt>
                <c:pt idx="883">
                  <c:v>2/6/2021</c:v>
                </c:pt>
                <c:pt idx="884">
                  <c:v>3/6/2021</c:v>
                </c:pt>
                <c:pt idx="885">
                  <c:v>4/6/2021</c:v>
                </c:pt>
                <c:pt idx="886">
                  <c:v>5/6/2021</c:v>
                </c:pt>
                <c:pt idx="887">
                  <c:v>6/6/2021</c:v>
                </c:pt>
                <c:pt idx="888">
                  <c:v>7/6/2021</c:v>
                </c:pt>
                <c:pt idx="889">
                  <c:v>8/6/2021</c:v>
                </c:pt>
                <c:pt idx="890">
                  <c:v>9/6/2021</c:v>
                </c:pt>
                <c:pt idx="891">
                  <c:v>10/6/2021</c:v>
                </c:pt>
                <c:pt idx="892">
                  <c:v>11/6/2021</c:v>
                </c:pt>
                <c:pt idx="893">
                  <c:v>12/6/2021</c:v>
                </c:pt>
                <c:pt idx="894">
                  <c:v>13/6/2021</c:v>
                </c:pt>
                <c:pt idx="895">
                  <c:v>14/6/2021</c:v>
                </c:pt>
                <c:pt idx="896">
                  <c:v>15/6/2021</c:v>
                </c:pt>
                <c:pt idx="897">
                  <c:v>16/6/2021</c:v>
                </c:pt>
                <c:pt idx="898">
                  <c:v>17/6/2021</c:v>
                </c:pt>
                <c:pt idx="899">
                  <c:v>18/6/2021</c:v>
                </c:pt>
                <c:pt idx="900">
                  <c:v>19/6/2021</c:v>
                </c:pt>
                <c:pt idx="901">
                  <c:v>20/6/2021</c:v>
                </c:pt>
                <c:pt idx="902">
                  <c:v>21/6/2021</c:v>
                </c:pt>
                <c:pt idx="903">
                  <c:v>22/6/2021</c:v>
                </c:pt>
                <c:pt idx="904">
                  <c:v>23/6/2021</c:v>
                </c:pt>
                <c:pt idx="905">
                  <c:v>24/6/2021</c:v>
                </c:pt>
                <c:pt idx="906">
                  <c:v>25/6/2021</c:v>
                </c:pt>
                <c:pt idx="907">
                  <c:v>26/6/2021</c:v>
                </c:pt>
                <c:pt idx="908">
                  <c:v>27/6/2021</c:v>
                </c:pt>
                <c:pt idx="909">
                  <c:v>28/6/2021</c:v>
                </c:pt>
                <c:pt idx="910">
                  <c:v>29/6/2021</c:v>
                </c:pt>
                <c:pt idx="911">
                  <c:v>30/6/2021</c:v>
                </c:pt>
              </c:strCache>
            </c:strRef>
          </c:cat>
          <c:val>
            <c:numRef>
              <c:f>'tipo de cambio diario a junio 2'!$B$5:$B$916</c:f>
              <c:numCache>
                <c:formatCode>General</c:formatCode>
                <c:ptCount val="912"/>
                <c:pt idx="0">
                  <c:v>7.7369500000000002</c:v>
                </c:pt>
                <c:pt idx="1">
                  <c:v>7.7324799999999998</c:v>
                </c:pt>
                <c:pt idx="2">
                  <c:v>7.7302</c:v>
                </c:pt>
                <c:pt idx="3">
                  <c:v>7.7282400000000004</c:v>
                </c:pt>
                <c:pt idx="4">
                  <c:v>7.7282400000000004</c:v>
                </c:pt>
                <c:pt idx="5">
                  <c:v>7.7282400000000004</c:v>
                </c:pt>
                <c:pt idx="6">
                  <c:v>7.7282500000000001</c:v>
                </c:pt>
                <c:pt idx="7">
                  <c:v>7.7267000000000001</c:v>
                </c:pt>
                <c:pt idx="8">
                  <c:v>7.7270700000000003</c:v>
                </c:pt>
                <c:pt idx="9">
                  <c:v>7.72621</c:v>
                </c:pt>
                <c:pt idx="10">
                  <c:v>7.7258199999999997</c:v>
                </c:pt>
                <c:pt idx="11">
                  <c:v>7.7258199999999997</c:v>
                </c:pt>
                <c:pt idx="12">
                  <c:v>7.7258199999999997</c:v>
                </c:pt>
                <c:pt idx="13">
                  <c:v>7.7284699999999997</c:v>
                </c:pt>
                <c:pt idx="14">
                  <c:v>7.7237900000000002</c:v>
                </c:pt>
                <c:pt idx="15">
                  <c:v>7.7262199999999996</c:v>
                </c:pt>
                <c:pt idx="16">
                  <c:v>7.7231100000000001</c:v>
                </c:pt>
                <c:pt idx="17">
                  <c:v>7.7222600000000003</c:v>
                </c:pt>
                <c:pt idx="18">
                  <c:v>7.7222600000000003</c:v>
                </c:pt>
                <c:pt idx="19">
                  <c:v>7.7222600000000003</c:v>
                </c:pt>
                <c:pt idx="20">
                  <c:v>7.7237600000000004</c:v>
                </c:pt>
                <c:pt idx="21">
                  <c:v>7.7236599999999997</c:v>
                </c:pt>
                <c:pt idx="22">
                  <c:v>7.7245900000000001</c:v>
                </c:pt>
                <c:pt idx="23">
                  <c:v>7.7276499999999997</c:v>
                </c:pt>
                <c:pt idx="24">
                  <c:v>7.7291699999999999</c:v>
                </c:pt>
                <c:pt idx="25">
                  <c:v>7.7291699999999999</c:v>
                </c:pt>
                <c:pt idx="26">
                  <c:v>7.7291699999999999</c:v>
                </c:pt>
                <c:pt idx="27">
                  <c:v>7.7319899999999997</c:v>
                </c:pt>
                <c:pt idx="28">
                  <c:v>7.7373799999999999</c:v>
                </c:pt>
                <c:pt idx="29">
                  <c:v>7.74444</c:v>
                </c:pt>
                <c:pt idx="30">
                  <c:v>7.7642499999999997</c:v>
                </c:pt>
                <c:pt idx="31">
                  <c:v>7.7623899999999999</c:v>
                </c:pt>
                <c:pt idx="32">
                  <c:v>7.7623899999999999</c:v>
                </c:pt>
                <c:pt idx="33">
                  <c:v>7.7623899999999999</c:v>
                </c:pt>
                <c:pt idx="34">
                  <c:v>7.7625999999999999</c:v>
                </c:pt>
                <c:pt idx="35">
                  <c:v>7.7593399999999999</c:v>
                </c:pt>
                <c:pt idx="36">
                  <c:v>7.7584900000000001</c:v>
                </c:pt>
                <c:pt idx="37">
                  <c:v>7.7536199999999997</c:v>
                </c:pt>
                <c:pt idx="38">
                  <c:v>7.75143</c:v>
                </c:pt>
                <c:pt idx="39">
                  <c:v>7.75143</c:v>
                </c:pt>
                <c:pt idx="40">
                  <c:v>7.75143</c:v>
                </c:pt>
                <c:pt idx="41">
                  <c:v>7.7448100000000002</c:v>
                </c:pt>
                <c:pt idx="42">
                  <c:v>7.7478600000000002</c:v>
                </c:pt>
                <c:pt idx="43">
                  <c:v>7.7427099999999998</c:v>
                </c:pt>
                <c:pt idx="44">
                  <c:v>7.74017</c:v>
                </c:pt>
                <c:pt idx="45">
                  <c:v>7.7377099999999999</c:v>
                </c:pt>
                <c:pt idx="46">
                  <c:v>7.7377099999999999</c:v>
                </c:pt>
                <c:pt idx="47">
                  <c:v>7.7377099999999999</c:v>
                </c:pt>
                <c:pt idx="48">
                  <c:v>7.7298299999999998</c:v>
                </c:pt>
                <c:pt idx="49">
                  <c:v>7.7222799999999996</c:v>
                </c:pt>
                <c:pt idx="50">
                  <c:v>7.7213399999999996</c:v>
                </c:pt>
                <c:pt idx="51">
                  <c:v>7.7210799999999997</c:v>
                </c:pt>
                <c:pt idx="52">
                  <c:v>7.7192400000000001</c:v>
                </c:pt>
                <c:pt idx="53">
                  <c:v>7.7192400000000001</c:v>
                </c:pt>
                <c:pt idx="54">
                  <c:v>7.7192400000000001</c:v>
                </c:pt>
                <c:pt idx="55">
                  <c:v>7.7136100000000001</c:v>
                </c:pt>
                <c:pt idx="56">
                  <c:v>7.7109100000000002</c:v>
                </c:pt>
                <c:pt idx="57">
                  <c:v>7.7104499999999998</c:v>
                </c:pt>
                <c:pt idx="58">
                  <c:v>7.7077799999999996</c:v>
                </c:pt>
                <c:pt idx="59">
                  <c:v>7.7044499999999996</c:v>
                </c:pt>
                <c:pt idx="60">
                  <c:v>7.7044499999999996</c:v>
                </c:pt>
                <c:pt idx="61">
                  <c:v>7.7044499999999996</c:v>
                </c:pt>
                <c:pt idx="62">
                  <c:v>7.7053700000000003</c:v>
                </c:pt>
                <c:pt idx="63">
                  <c:v>7.7024299999999997</c:v>
                </c:pt>
                <c:pt idx="64">
                  <c:v>7.6993999999999998</c:v>
                </c:pt>
                <c:pt idx="65">
                  <c:v>7.6982299999999997</c:v>
                </c:pt>
                <c:pt idx="66">
                  <c:v>7.6965300000000001</c:v>
                </c:pt>
                <c:pt idx="67">
                  <c:v>7.6965300000000001</c:v>
                </c:pt>
                <c:pt idx="68">
                  <c:v>7.6965300000000001</c:v>
                </c:pt>
                <c:pt idx="69">
                  <c:v>7.6933299999999996</c:v>
                </c:pt>
                <c:pt idx="70">
                  <c:v>7.6943799999999998</c:v>
                </c:pt>
                <c:pt idx="71">
                  <c:v>7.6943299999999999</c:v>
                </c:pt>
                <c:pt idx="72">
                  <c:v>7.6860299999999997</c:v>
                </c:pt>
                <c:pt idx="73">
                  <c:v>7.6921400000000002</c:v>
                </c:pt>
                <c:pt idx="74">
                  <c:v>7.6921400000000002</c:v>
                </c:pt>
                <c:pt idx="75">
                  <c:v>7.6921400000000002</c:v>
                </c:pt>
                <c:pt idx="76">
                  <c:v>7.6915399999999998</c:v>
                </c:pt>
                <c:pt idx="77">
                  <c:v>7.6903899999999998</c:v>
                </c:pt>
                <c:pt idx="78">
                  <c:v>7.6889799999999999</c:v>
                </c:pt>
                <c:pt idx="79">
                  <c:v>7.6849699999999999</c:v>
                </c:pt>
                <c:pt idx="80">
                  <c:v>7.6806700000000001</c:v>
                </c:pt>
                <c:pt idx="81">
                  <c:v>7.6806700000000001</c:v>
                </c:pt>
                <c:pt idx="82">
                  <c:v>7.6806700000000001</c:v>
                </c:pt>
                <c:pt idx="83">
                  <c:v>7.67577</c:v>
                </c:pt>
                <c:pt idx="84">
                  <c:v>7.6790900000000004</c:v>
                </c:pt>
                <c:pt idx="85">
                  <c:v>7.6768999999999998</c:v>
                </c:pt>
                <c:pt idx="86">
                  <c:v>7.6791999999999998</c:v>
                </c:pt>
                <c:pt idx="87">
                  <c:v>7.6810400000000003</c:v>
                </c:pt>
                <c:pt idx="88">
                  <c:v>7.6810400000000003</c:v>
                </c:pt>
                <c:pt idx="89">
                  <c:v>7.6810400000000003</c:v>
                </c:pt>
                <c:pt idx="90">
                  <c:v>7.6803100000000004</c:v>
                </c:pt>
                <c:pt idx="91">
                  <c:v>7.6745200000000002</c:v>
                </c:pt>
                <c:pt idx="92">
                  <c:v>7.6739899999999999</c:v>
                </c:pt>
                <c:pt idx="93">
                  <c:v>7.66934</c:v>
                </c:pt>
                <c:pt idx="94">
                  <c:v>7.6685499999999998</c:v>
                </c:pt>
                <c:pt idx="95">
                  <c:v>7.6685499999999998</c:v>
                </c:pt>
                <c:pt idx="96">
                  <c:v>7.6685499999999998</c:v>
                </c:pt>
                <c:pt idx="97">
                  <c:v>7.6580599999999999</c:v>
                </c:pt>
                <c:pt idx="98">
                  <c:v>7.6480899999999998</c:v>
                </c:pt>
                <c:pt idx="99">
                  <c:v>7.6436599999999997</c:v>
                </c:pt>
                <c:pt idx="100">
                  <c:v>7.6360299999999999</c:v>
                </c:pt>
                <c:pt idx="101">
                  <c:v>7.6344500000000002</c:v>
                </c:pt>
                <c:pt idx="102">
                  <c:v>7.6344500000000002</c:v>
                </c:pt>
                <c:pt idx="103">
                  <c:v>7.6344500000000002</c:v>
                </c:pt>
                <c:pt idx="104">
                  <c:v>7.63429</c:v>
                </c:pt>
                <c:pt idx="105">
                  <c:v>7.6310799999999999</c:v>
                </c:pt>
                <c:pt idx="106">
                  <c:v>7.6281699999999999</c:v>
                </c:pt>
                <c:pt idx="107">
                  <c:v>7.6281699999999999</c:v>
                </c:pt>
                <c:pt idx="108">
                  <c:v>7.6281699999999999</c:v>
                </c:pt>
                <c:pt idx="109">
                  <c:v>7.6281699999999999</c:v>
                </c:pt>
                <c:pt idx="110">
                  <c:v>7.6281699999999999</c:v>
                </c:pt>
                <c:pt idx="111">
                  <c:v>7.6240899999999998</c:v>
                </c:pt>
                <c:pt idx="112">
                  <c:v>7.6218700000000004</c:v>
                </c:pt>
                <c:pt idx="113">
                  <c:v>7.6223900000000002</c:v>
                </c:pt>
                <c:pt idx="114">
                  <c:v>7.6329700000000003</c:v>
                </c:pt>
                <c:pt idx="115">
                  <c:v>7.6441100000000004</c:v>
                </c:pt>
                <c:pt idx="116">
                  <c:v>7.6441100000000004</c:v>
                </c:pt>
                <c:pt idx="117">
                  <c:v>7.6441100000000004</c:v>
                </c:pt>
                <c:pt idx="118">
                  <c:v>7.6441100000000004</c:v>
                </c:pt>
                <c:pt idx="119">
                  <c:v>7.65219</c:v>
                </c:pt>
                <c:pt idx="120">
                  <c:v>7.6522800000000002</c:v>
                </c:pt>
                <c:pt idx="121">
                  <c:v>7.6568300000000002</c:v>
                </c:pt>
                <c:pt idx="122">
                  <c:v>7.6571800000000003</c:v>
                </c:pt>
                <c:pt idx="123">
                  <c:v>7.6571800000000003</c:v>
                </c:pt>
                <c:pt idx="124">
                  <c:v>7.6571800000000003</c:v>
                </c:pt>
                <c:pt idx="125">
                  <c:v>7.65604</c:v>
                </c:pt>
                <c:pt idx="126">
                  <c:v>7.6564399999999999</c:v>
                </c:pt>
                <c:pt idx="127">
                  <c:v>7.6561300000000001</c:v>
                </c:pt>
                <c:pt idx="128">
                  <c:v>7.6544299999999996</c:v>
                </c:pt>
                <c:pt idx="129">
                  <c:v>7.6561399999999997</c:v>
                </c:pt>
                <c:pt idx="130">
                  <c:v>7.6561399999999997</c:v>
                </c:pt>
                <c:pt idx="131">
                  <c:v>7.6561399999999997</c:v>
                </c:pt>
                <c:pt idx="132">
                  <c:v>7.6527399999999997</c:v>
                </c:pt>
                <c:pt idx="133">
                  <c:v>7.6535700000000002</c:v>
                </c:pt>
                <c:pt idx="134">
                  <c:v>7.6536999999999997</c:v>
                </c:pt>
                <c:pt idx="135">
                  <c:v>7.6571400000000001</c:v>
                </c:pt>
                <c:pt idx="136">
                  <c:v>7.6616200000000001</c:v>
                </c:pt>
                <c:pt idx="137">
                  <c:v>7.6616200000000001</c:v>
                </c:pt>
                <c:pt idx="138">
                  <c:v>7.6616200000000001</c:v>
                </c:pt>
                <c:pt idx="139">
                  <c:v>7.6582699999999999</c:v>
                </c:pt>
                <c:pt idx="140">
                  <c:v>7.6619200000000003</c:v>
                </c:pt>
                <c:pt idx="141">
                  <c:v>7.6657799999999998</c:v>
                </c:pt>
                <c:pt idx="142">
                  <c:v>7.6683000000000003</c:v>
                </c:pt>
                <c:pt idx="143">
                  <c:v>7.6807499999999997</c:v>
                </c:pt>
                <c:pt idx="144">
                  <c:v>7.6807499999999997</c:v>
                </c:pt>
                <c:pt idx="145">
                  <c:v>7.6807499999999997</c:v>
                </c:pt>
                <c:pt idx="146">
                  <c:v>7.6882599999999996</c:v>
                </c:pt>
                <c:pt idx="147">
                  <c:v>7.7005499999999998</c:v>
                </c:pt>
                <c:pt idx="148">
                  <c:v>7.7019099999999998</c:v>
                </c:pt>
                <c:pt idx="149">
                  <c:v>7.7124800000000002</c:v>
                </c:pt>
                <c:pt idx="150">
                  <c:v>7.7226999999999997</c:v>
                </c:pt>
                <c:pt idx="151">
                  <c:v>7.7226999999999997</c:v>
                </c:pt>
                <c:pt idx="152">
                  <c:v>7.7226999999999997</c:v>
                </c:pt>
                <c:pt idx="153">
                  <c:v>7.7167500000000002</c:v>
                </c:pt>
                <c:pt idx="154">
                  <c:v>7.7146499999999998</c:v>
                </c:pt>
                <c:pt idx="155">
                  <c:v>7.7115600000000004</c:v>
                </c:pt>
                <c:pt idx="156">
                  <c:v>7.7095000000000002</c:v>
                </c:pt>
                <c:pt idx="157">
                  <c:v>7.7057599999999997</c:v>
                </c:pt>
                <c:pt idx="158">
                  <c:v>7.7057599999999997</c:v>
                </c:pt>
                <c:pt idx="159">
                  <c:v>7.7057599999999997</c:v>
                </c:pt>
                <c:pt idx="160">
                  <c:v>7.7018300000000002</c:v>
                </c:pt>
                <c:pt idx="161">
                  <c:v>7.6966400000000004</c:v>
                </c:pt>
                <c:pt idx="162">
                  <c:v>7.6936499999999999</c:v>
                </c:pt>
                <c:pt idx="163">
                  <c:v>7.69442</c:v>
                </c:pt>
                <c:pt idx="164">
                  <c:v>7.6946199999999996</c:v>
                </c:pt>
                <c:pt idx="165">
                  <c:v>7.6946199999999996</c:v>
                </c:pt>
                <c:pt idx="166">
                  <c:v>7.6946199999999996</c:v>
                </c:pt>
                <c:pt idx="167">
                  <c:v>7.69217</c:v>
                </c:pt>
                <c:pt idx="168">
                  <c:v>7.6962599999999997</c:v>
                </c:pt>
                <c:pt idx="169">
                  <c:v>7.7002899999999999</c:v>
                </c:pt>
                <c:pt idx="170">
                  <c:v>7.7026599999999998</c:v>
                </c:pt>
                <c:pt idx="171">
                  <c:v>7.70228</c:v>
                </c:pt>
                <c:pt idx="172">
                  <c:v>7.70228</c:v>
                </c:pt>
                <c:pt idx="173">
                  <c:v>7.70228</c:v>
                </c:pt>
                <c:pt idx="174">
                  <c:v>7.7054299999999998</c:v>
                </c:pt>
                <c:pt idx="175">
                  <c:v>7.7090699999999996</c:v>
                </c:pt>
                <c:pt idx="176">
                  <c:v>7.7122700000000002</c:v>
                </c:pt>
                <c:pt idx="177">
                  <c:v>7.71455</c:v>
                </c:pt>
                <c:pt idx="178">
                  <c:v>7.7082300000000004</c:v>
                </c:pt>
                <c:pt idx="179">
                  <c:v>7.7082300000000004</c:v>
                </c:pt>
                <c:pt idx="180">
                  <c:v>7.7082300000000004</c:v>
                </c:pt>
                <c:pt idx="181">
                  <c:v>7.7082300000000004</c:v>
                </c:pt>
                <c:pt idx="182">
                  <c:v>7.7082300000000004</c:v>
                </c:pt>
                <c:pt idx="183">
                  <c:v>7.7016799999999996</c:v>
                </c:pt>
                <c:pt idx="184">
                  <c:v>7.6957100000000001</c:v>
                </c:pt>
                <c:pt idx="185">
                  <c:v>7.6947599999999996</c:v>
                </c:pt>
                <c:pt idx="186">
                  <c:v>7.6947599999999996</c:v>
                </c:pt>
                <c:pt idx="187">
                  <c:v>7.6947599999999996</c:v>
                </c:pt>
                <c:pt idx="188">
                  <c:v>7.68757</c:v>
                </c:pt>
                <c:pt idx="189">
                  <c:v>7.6801899999999996</c:v>
                </c:pt>
                <c:pt idx="190">
                  <c:v>7.6742299999999997</c:v>
                </c:pt>
                <c:pt idx="191">
                  <c:v>7.6755800000000001</c:v>
                </c:pt>
                <c:pt idx="192">
                  <c:v>7.6784999999999997</c:v>
                </c:pt>
                <c:pt idx="193">
                  <c:v>7.6784999999999997</c:v>
                </c:pt>
                <c:pt idx="194">
                  <c:v>7.6784999999999997</c:v>
                </c:pt>
                <c:pt idx="195">
                  <c:v>7.6708999999999996</c:v>
                </c:pt>
                <c:pt idx="196">
                  <c:v>7.6670600000000002</c:v>
                </c:pt>
                <c:pt idx="197">
                  <c:v>7.6677499999999998</c:v>
                </c:pt>
                <c:pt idx="198">
                  <c:v>7.6619799999999998</c:v>
                </c:pt>
                <c:pt idx="199">
                  <c:v>7.6575300000000004</c:v>
                </c:pt>
                <c:pt idx="200">
                  <c:v>7.6575300000000004</c:v>
                </c:pt>
                <c:pt idx="201">
                  <c:v>7.6575300000000004</c:v>
                </c:pt>
                <c:pt idx="202">
                  <c:v>7.6510699999999998</c:v>
                </c:pt>
                <c:pt idx="203">
                  <c:v>7.6483299999999996</c:v>
                </c:pt>
                <c:pt idx="204">
                  <c:v>7.6511300000000002</c:v>
                </c:pt>
                <c:pt idx="205">
                  <c:v>7.6625699999999997</c:v>
                </c:pt>
                <c:pt idx="206">
                  <c:v>7.6685100000000004</c:v>
                </c:pt>
                <c:pt idx="207">
                  <c:v>7.6685100000000004</c:v>
                </c:pt>
                <c:pt idx="208">
                  <c:v>7.6685100000000004</c:v>
                </c:pt>
                <c:pt idx="209">
                  <c:v>7.6795</c:v>
                </c:pt>
                <c:pt idx="210">
                  <c:v>7.6819699999999997</c:v>
                </c:pt>
                <c:pt idx="211">
                  <c:v>7.68161</c:v>
                </c:pt>
                <c:pt idx="212">
                  <c:v>7.6759700000000004</c:v>
                </c:pt>
                <c:pt idx="213">
                  <c:v>7.6720100000000002</c:v>
                </c:pt>
                <c:pt idx="214">
                  <c:v>7.6720100000000002</c:v>
                </c:pt>
                <c:pt idx="215">
                  <c:v>7.6720100000000002</c:v>
                </c:pt>
                <c:pt idx="216">
                  <c:v>7.6646999999999998</c:v>
                </c:pt>
                <c:pt idx="217">
                  <c:v>7.6625800000000002</c:v>
                </c:pt>
                <c:pt idx="218">
                  <c:v>7.6626000000000003</c:v>
                </c:pt>
                <c:pt idx="219">
                  <c:v>7.6648800000000001</c:v>
                </c:pt>
                <c:pt idx="220">
                  <c:v>7.6649900000000004</c:v>
                </c:pt>
                <c:pt idx="221">
                  <c:v>7.6649900000000004</c:v>
                </c:pt>
                <c:pt idx="222">
                  <c:v>7.6649900000000004</c:v>
                </c:pt>
                <c:pt idx="223">
                  <c:v>7.6686699999999997</c:v>
                </c:pt>
                <c:pt idx="224">
                  <c:v>7.6712499999999997</c:v>
                </c:pt>
                <c:pt idx="225">
                  <c:v>7.6732500000000003</c:v>
                </c:pt>
                <c:pt idx="226">
                  <c:v>7.6732500000000003</c:v>
                </c:pt>
                <c:pt idx="227">
                  <c:v>7.6722599999999996</c:v>
                </c:pt>
                <c:pt idx="228">
                  <c:v>7.6722599999999996</c:v>
                </c:pt>
                <c:pt idx="229">
                  <c:v>7.6722599999999996</c:v>
                </c:pt>
                <c:pt idx="230">
                  <c:v>7.6713500000000003</c:v>
                </c:pt>
                <c:pt idx="231">
                  <c:v>7.6725500000000002</c:v>
                </c:pt>
                <c:pt idx="232">
                  <c:v>7.6714599999999997</c:v>
                </c:pt>
                <c:pt idx="233">
                  <c:v>7.67178</c:v>
                </c:pt>
                <c:pt idx="234">
                  <c:v>7.6719299999999997</c:v>
                </c:pt>
                <c:pt idx="235">
                  <c:v>7.6719299999999997</c:v>
                </c:pt>
                <c:pt idx="236">
                  <c:v>7.6719299999999997</c:v>
                </c:pt>
                <c:pt idx="237">
                  <c:v>7.66866</c:v>
                </c:pt>
                <c:pt idx="238">
                  <c:v>7.6683700000000004</c:v>
                </c:pt>
                <c:pt idx="239">
                  <c:v>7.6742100000000004</c:v>
                </c:pt>
                <c:pt idx="240">
                  <c:v>7.6745400000000004</c:v>
                </c:pt>
                <c:pt idx="241">
                  <c:v>7.6809099999999999</c:v>
                </c:pt>
                <c:pt idx="242">
                  <c:v>7.6809099999999999</c:v>
                </c:pt>
                <c:pt idx="243">
                  <c:v>7.6809099999999999</c:v>
                </c:pt>
                <c:pt idx="244">
                  <c:v>7.6801899999999996</c:v>
                </c:pt>
                <c:pt idx="245">
                  <c:v>7.6804600000000001</c:v>
                </c:pt>
                <c:pt idx="246">
                  <c:v>7.6810700000000001</c:v>
                </c:pt>
                <c:pt idx="247">
                  <c:v>7.6820899999999996</c:v>
                </c:pt>
                <c:pt idx="248">
                  <c:v>7.6858399999999998</c:v>
                </c:pt>
                <c:pt idx="249">
                  <c:v>7.6858399999999998</c:v>
                </c:pt>
                <c:pt idx="250">
                  <c:v>7.6858399999999998</c:v>
                </c:pt>
                <c:pt idx="251">
                  <c:v>7.6997999999999998</c:v>
                </c:pt>
                <c:pt idx="252">
                  <c:v>7.7035799999999997</c:v>
                </c:pt>
                <c:pt idx="253">
                  <c:v>7.7090800000000002</c:v>
                </c:pt>
                <c:pt idx="254">
                  <c:v>7.7089400000000001</c:v>
                </c:pt>
                <c:pt idx="255">
                  <c:v>7.7073200000000002</c:v>
                </c:pt>
                <c:pt idx="256">
                  <c:v>7.7073200000000002</c:v>
                </c:pt>
                <c:pt idx="257">
                  <c:v>7.7073200000000002</c:v>
                </c:pt>
                <c:pt idx="258">
                  <c:v>7.7073200000000002</c:v>
                </c:pt>
                <c:pt idx="259">
                  <c:v>7.7032499999999997</c:v>
                </c:pt>
                <c:pt idx="260">
                  <c:v>7.7028299999999996</c:v>
                </c:pt>
                <c:pt idx="261">
                  <c:v>7.7052500000000004</c:v>
                </c:pt>
                <c:pt idx="262">
                  <c:v>7.7118599999999997</c:v>
                </c:pt>
                <c:pt idx="263">
                  <c:v>7.7118599999999997</c:v>
                </c:pt>
                <c:pt idx="264">
                  <c:v>7.7118599999999997</c:v>
                </c:pt>
                <c:pt idx="265">
                  <c:v>7.7149400000000004</c:v>
                </c:pt>
                <c:pt idx="266">
                  <c:v>7.7205899999999996</c:v>
                </c:pt>
                <c:pt idx="267">
                  <c:v>7.7226600000000003</c:v>
                </c:pt>
                <c:pt idx="268">
                  <c:v>7.7293399999999997</c:v>
                </c:pt>
                <c:pt idx="269">
                  <c:v>7.7317</c:v>
                </c:pt>
                <c:pt idx="270">
                  <c:v>7.7317</c:v>
                </c:pt>
                <c:pt idx="271">
                  <c:v>7.7317</c:v>
                </c:pt>
                <c:pt idx="272">
                  <c:v>7.7355099999999997</c:v>
                </c:pt>
                <c:pt idx="273">
                  <c:v>7.7397799999999997</c:v>
                </c:pt>
                <c:pt idx="274">
                  <c:v>7.7537799999999999</c:v>
                </c:pt>
                <c:pt idx="275">
                  <c:v>7.7578100000000001</c:v>
                </c:pt>
                <c:pt idx="276">
                  <c:v>7.7706099999999996</c:v>
                </c:pt>
                <c:pt idx="277">
                  <c:v>7.7706099999999996</c:v>
                </c:pt>
                <c:pt idx="278">
                  <c:v>7.7706099999999996</c:v>
                </c:pt>
                <c:pt idx="279">
                  <c:v>7.7745699999999998</c:v>
                </c:pt>
                <c:pt idx="280">
                  <c:v>7.7762799999999999</c:v>
                </c:pt>
                <c:pt idx="281">
                  <c:v>7.7789000000000001</c:v>
                </c:pt>
                <c:pt idx="282">
                  <c:v>7.7781500000000001</c:v>
                </c:pt>
                <c:pt idx="283">
                  <c:v>7.7781500000000001</c:v>
                </c:pt>
                <c:pt idx="284">
                  <c:v>7.7781500000000001</c:v>
                </c:pt>
                <c:pt idx="285">
                  <c:v>7.7781500000000001</c:v>
                </c:pt>
                <c:pt idx="286">
                  <c:v>7.7718600000000002</c:v>
                </c:pt>
                <c:pt idx="287">
                  <c:v>7.7705900000000003</c:v>
                </c:pt>
                <c:pt idx="288">
                  <c:v>7.7736799999999997</c:v>
                </c:pt>
                <c:pt idx="289">
                  <c:v>7.7731599999999998</c:v>
                </c:pt>
                <c:pt idx="290">
                  <c:v>7.77074</c:v>
                </c:pt>
                <c:pt idx="291">
                  <c:v>7.77074</c:v>
                </c:pt>
                <c:pt idx="292">
                  <c:v>7.77074</c:v>
                </c:pt>
                <c:pt idx="293">
                  <c:v>7.77074</c:v>
                </c:pt>
                <c:pt idx="294">
                  <c:v>7.7668999999999997</c:v>
                </c:pt>
                <c:pt idx="295">
                  <c:v>7.7655799999999999</c:v>
                </c:pt>
                <c:pt idx="296">
                  <c:v>7.7632700000000003</c:v>
                </c:pt>
                <c:pt idx="297">
                  <c:v>7.7553299999999998</c:v>
                </c:pt>
                <c:pt idx="298">
                  <c:v>7.7553299999999998</c:v>
                </c:pt>
                <c:pt idx="299">
                  <c:v>7.7553299999999998</c:v>
                </c:pt>
                <c:pt idx="300">
                  <c:v>7.7466100000000004</c:v>
                </c:pt>
                <c:pt idx="301">
                  <c:v>7.7350300000000001</c:v>
                </c:pt>
                <c:pt idx="302">
                  <c:v>7.7204600000000001</c:v>
                </c:pt>
                <c:pt idx="303">
                  <c:v>7.7100099999999996</c:v>
                </c:pt>
                <c:pt idx="304">
                  <c:v>7.7100099999999996</c:v>
                </c:pt>
                <c:pt idx="305">
                  <c:v>7.7100099999999996</c:v>
                </c:pt>
                <c:pt idx="306">
                  <c:v>7.7100099999999996</c:v>
                </c:pt>
                <c:pt idx="307">
                  <c:v>7.7084900000000003</c:v>
                </c:pt>
                <c:pt idx="308">
                  <c:v>7.69841</c:v>
                </c:pt>
                <c:pt idx="309">
                  <c:v>7.6949199999999998</c:v>
                </c:pt>
                <c:pt idx="310">
                  <c:v>7.6947299999999998</c:v>
                </c:pt>
                <c:pt idx="311">
                  <c:v>7.69679</c:v>
                </c:pt>
                <c:pt idx="312">
                  <c:v>7.69679</c:v>
                </c:pt>
                <c:pt idx="313">
                  <c:v>7.69679</c:v>
                </c:pt>
                <c:pt idx="314">
                  <c:v>7.7029100000000001</c:v>
                </c:pt>
                <c:pt idx="315">
                  <c:v>7.71584</c:v>
                </c:pt>
                <c:pt idx="316">
                  <c:v>7.7092700000000001</c:v>
                </c:pt>
                <c:pt idx="317">
                  <c:v>7.7119099999999996</c:v>
                </c:pt>
                <c:pt idx="318">
                  <c:v>7.7080799999999998</c:v>
                </c:pt>
                <c:pt idx="319">
                  <c:v>7.7080799999999998</c:v>
                </c:pt>
                <c:pt idx="320">
                  <c:v>7.7080799999999998</c:v>
                </c:pt>
                <c:pt idx="321">
                  <c:v>7.7038700000000002</c:v>
                </c:pt>
                <c:pt idx="322">
                  <c:v>7.7035</c:v>
                </c:pt>
                <c:pt idx="323">
                  <c:v>7.7027200000000002</c:v>
                </c:pt>
                <c:pt idx="324">
                  <c:v>7.7011200000000004</c:v>
                </c:pt>
                <c:pt idx="325">
                  <c:v>7.7074400000000001</c:v>
                </c:pt>
                <c:pt idx="326">
                  <c:v>7.7074400000000001</c:v>
                </c:pt>
                <c:pt idx="327">
                  <c:v>7.7074400000000001</c:v>
                </c:pt>
                <c:pt idx="328">
                  <c:v>7.7039600000000004</c:v>
                </c:pt>
                <c:pt idx="329">
                  <c:v>7.7034000000000002</c:v>
                </c:pt>
                <c:pt idx="330">
                  <c:v>7.7017100000000003</c:v>
                </c:pt>
                <c:pt idx="331">
                  <c:v>7.7019599999999997</c:v>
                </c:pt>
                <c:pt idx="332">
                  <c:v>7.7025399999999999</c:v>
                </c:pt>
                <c:pt idx="333">
                  <c:v>7.7025399999999999</c:v>
                </c:pt>
                <c:pt idx="334">
                  <c:v>7.7025399999999999</c:v>
                </c:pt>
                <c:pt idx="335">
                  <c:v>7.6999300000000002</c:v>
                </c:pt>
                <c:pt idx="336">
                  <c:v>7.6923700000000004</c:v>
                </c:pt>
                <c:pt idx="337">
                  <c:v>7.6873100000000001</c:v>
                </c:pt>
                <c:pt idx="338">
                  <c:v>7.6828099999999999</c:v>
                </c:pt>
                <c:pt idx="339">
                  <c:v>7.6795999999999998</c:v>
                </c:pt>
                <c:pt idx="340">
                  <c:v>7.6795999999999998</c:v>
                </c:pt>
                <c:pt idx="341">
                  <c:v>7.6795999999999998</c:v>
                </c:pt>
                <c:pt idx="342">
                  <c:v>7.6736899999999997</c:v>
                </c:pt>
                <c:pt idx="343">
                  <c:v>7.66967</c:v>
                </c:pt>
                <c:pt idx="344">
                  <c:v>7.6684799999999997</c:v>
                </c:pt>
                <c:pt idx="345">
                  <c:v>7.6712999999999996</c:v>
                </c:pt>
                <c:pt idx="346">
                  <c:v>7.6797899999999997</c:v>
                </c:pt>
                <c:pt idx="347">
                  <c:v>7.6797899999999997</c:v>
                </c:pt>
                <c:pt idx="348">
                  <c:v>7.6797899999999997</c:v>
                </c:pt>
                <c:pt idx="349">
                  <c:v>7.6802900000000003</c:v>
                </c:pt>
                <c:pt idx="350">
                  <c:v>7.6847700000000003</c:v>
                </c:pt>
                <c:pt idx="351">
                  <c:v>7.6832099999999999</c:v>
                </c:pt>
                <c:pt idx="352">
                  <c:v>7.6886299999999999</c:v>
                </c:pt>
                <c:pt idx="353">
                  <c:v>7.6944999999999997</c:v>
                </c:pt>
                <c:pt idx="354">
                  <c:v>7.6944999999999997</c:v>
                </c:pt>
                <c:pt idx="355">
                  <c:v>7.6944999999999997</c:v>
                </c:pt>
                <c:pt idx="356">
                  <c:v>7.7012400000000003</c:v>
                </c:pt>
                <c:pt idx="357">
                  <c:v>7.7030000000000003</c:v>
                </c:pt>
                <c:pt idx="358">
                  <c:v>7.7030000000000003</c:v>
                </c:pt>
                <c:pt idx="359">
                  <c:v>7.6993400000000003</c:v>
                </c:pt>
                <c:pt idx="360">
                  <c:v>7.69862</c:v>
                </c:pt>
                <c:pt idx="361">
                  <c:v>7.69862</c:v>
                </c:pt>
                <c:pt idx="362">
                  <c:v>7.69862</c:v>
                </c:pt>
                <c:pt idx="363">
                  <c:v>7.6988399999999997</c:v>
                </c:pt>
                <c:pt idx="364">
                  <c:v>7.6988399999999997</c:v>
                </c:pt>
                <c:pt idx="365">
                  <c:v>7.6988399999999997</c:v>
                </c:pt>
                <c:pt idx="366">
                  <c:v>7.6990999999999996</c:v>
                </c:pt>
                <c:pt idx="367">
                  <c:v>7.7071100000000001</c:v>
                </c:pt>
                <c:pt idx="368">
                  <c:v>7.7071100000000001</c:v>
                </c:pt>
                <c:pt idx="369">
                  <c:v>7.7071100000000001</c:v>
                </c:pt>
                <c:pt idx="370">
                  <c:v>7.7071500000000004</c:v>
                </c:pt>
                <c:pt idx="371">
                  <c:v>7.7070400000000001</c:v>
                </c:pt>
                <c:pt idx="372">
                  <c:v>7.7101699999999997</c:v>
                </c:pt>
                <c:pt idx="373">
                  <c:v>7.71434</c:v>
                </c:pt>
                <c:pt idx="374">
                  <c:v>7.7136199999999997</c:v>
                </c:pt>
                <c:pt idx="375">
                  <c:v>7.7136199999999997</c:v>
                </c:pt>
                <c:pt idx="376">
                  <c:v>7.7136199999999997</c:v>
                </c:pt>
                <c:pt idx="377">
                  <c:v>7.7104299999999997</c:v>
                </c:pt>
                <c:pt idx="378">
                  <c:v>7.7062900000000001</c:v>
                </c:pt>
                <c:pt idx="379">
                  <c:v>7.7018300000000002</c:v>
                </c:pt>
                <c:pt idx="380">
                  <c:v>7.6969500000000002</c:v>
                </c:pt>
                <c:pt idx="381">
                  <c:v>7.6944100000000004</c:v>
                </c:pt>
                <c:pt idx="382">
                  <c:v>7.6944100000000004</c:v>
                </c:pt>
                <c:pt idx="383">
                  <c:v>7.6944100000000004</c:v>
                </c:pt>
                <c:pt idx="384">
                  <c:v>7.69116</c:v>
                </c:pt>
                <c:pt idx="385">
                  <c:v>7.6906100000000004</c:v>
                </c:pt>
                <c:pt idx="386">
                  <c:v>7.6881700000000004</c:v>
                </c:pt>
                <c:pt idx="387">
                  <c:v>7.6866700000000003</c:v>
                </c:pt>
                <c:pt idx="388">
                  <c:v>7.6836200000000003</c:v>
                </c:pt>
                <c:pt idx="389">
                  <c:v>7.6836200000000003</c:v>
                </c:pt>
                <c:pt idx="390">
                  <c:v>7.6836200000000003</c:v>
                </c:pt>
                <c:pt idx="391">
                  <c:v>7.6756200000000003</c:v>
                </c:pt>
                <c:pt idx="392">
                  <c:v>7.6779000000000002</c:v>
                </c:pt>
                <c:pt idx="393">
                  <c:v>7.67272</c:v>
                </c:pt>
                <c:pt idx="394">
                  <c:v>7.6685999999999996</c:v>
                </c:pt>
                <c:pt idx="395">
                  <c:v>7.6640100000000002</c:v>
                </c:pt>
                <c:pt idx="396">
                  <c:v>7.6640100000000002</c:v>
                </c:pt>
                <c:pt idx="397">
                  <c:v>7.6640100000000002</c:v>
                </c:pt>
                <c:pt idx="398">
                  <c:v>7.6582699999999999</c:v>
                </c:pt>
                <c:pt idx="399">
                  <c:v>7.6522399999999999</c:v>
                </c:pt>
                <c:pt idx="400">
                  <c:v>7.6454899999999997</c:v>
                </c:pt>
                <c:pt idx="401">
                  <c:v>7.6462599999999998</c:v>
                </c:pt>
                <c:pt idx="402">
                  <c:v>7.6485099999999999</c:v>
                </c:pt>
                <c:pt idx="403">
                  <c:v>7.6485099999999999</c:v>
                </c:pt>
                <c:pt idx="404">
                  <c:v>7.6485099999999999</c:v>
                </c:pt>
                <c:pt idx="405">
                  <c:v>7.6465800000000002</c:v>
                </c:pt>
                <c:pt idx="406">
                  <c:v>7.64377</c:v>
                </c:pt>
                <c:pt idx="407">
                  <c:v>7.6412000000000004</c:v>
                </c:pt>
                <c:pt idx="408">
                  <c:v>7.6381100000000002</c:v>
                </c:pt>
                <c:pt idx="409">
                  <c:v>7.6363599999999998</c:v>
                </c:pt>
                <c:pt idx="410">
                  <c:v>7.6363599999999998</c:v>
                </c:pt>
                <c:pt idx="411">
                  <c:v>7.6363599999999998</c:v>
                </c:pt>
                <c:pt idx="412">
                  <c:v>7.6339499999999996</c:v>
                </c:pt>
                <c:pt idx="413">
                  <c:v>7.6391</c:v>
                </c:pt>
                <c:pt idx="414">
                  <c:v>7.6388299999999996</c:v>
                </c:pt>
                <c:pt idx="415">
                  <c:v>7.6421799999999998</c:v>
                </c:pt>
                <c:pt idx="416">
                  <c:v>7.6439300000000001</c:v>
                </c:pt>
                <c:pt idx="417">
                  <c:v>7.6439300000000001</c:v>
                </c:pt>
                <c:pt idx="418">
                  <c:v>7.6439300000000001</c:v>
                </c:pt>
                <c:pt idx="419">
                  <c:v>7.6431899999999997</c:v>
                </c:pt>
                <c:pt idx="420">
                  <c:v>7.6461600000000001</c:v>
                </c:pt>
                <c:pt idx="421">
                  <c:v>7.6520200000000003</c:v>
                </c:pt>
                <c:pt idx="422">
                  <c:v>7.6692799999999997</c:v>
                </c:pt>
                <c:pt idx="423">
                  <c:v>7.6788400000000001</c:v>
                </c:pt>
                <c:pt idx="424">
                  <c:v>7.6788400000000001</c:v>
                </c:pt>
                <c:pt idx="425">
                  <c:v>7.6788400000000001</c:v>
                </c:pt>
                <c:pt idx="426">
                  <c:v>7.68058</c:v>
                </c:pt>
                <c:pt idx="427">
                  <c:v>7.6745400000000004</c:v>
                </c:pt>
                <c:pt idx="428">
                  <c:v>7.67279</c:v>
                </c:pt>
                <c:pt idx="429">
                  <c:v>7.6758100000000002</c:v>
                </c:pt>
                <c:pt idx="430">
                  <c:v>7.6702399999999997</c:v>
                </c:pt>
                <c:pt idx="431">
                  <c:v>7.6702399999999997</c:v>
                </c:pt>
                <c:pt idx="432">
                  <c:v>7.6702399999999997</c:v>
                </c:pt>
                <c:pt idx="433">
                  <c:v>7.6727800000000004</c:v>
                </c:pt>
                <c:pt idx="434">
                  <c:v>7.6655499999999996</c:v>
                </c:pt>
                <c:pt idx="435">
                  <c:v>7.6602100000000002</c:v>
                </c:pt>
                <c:pt idx="436">
                  <c:v>7.6538500000000003</c:v>
                </c:pt>
                <c:pt idx="437">
                  <c:v>7.6504000000000003</c:v>
                </c:pt>
                <c:pt idx="438">
                  <c:v>7.6504000000000003</c:v>
                </c:pt>
                <c:pt idx="439">
                  <c:v>7.6504000000000003</c:v>
                </c:pt>
                <c:pt idx="440">
                  <c:v>7.6467799999999997</c:v>
                </c:pt>
                <c:pt idx="441">
                  <c:v>7.6435500000000003</c:v>
                </c:pt>
                <c:pt idx="442">
                  <c:v>7.6407600000000002</c:v>
                </c:pt>
                <c:pt idx="443">
                  <c:v>7.6364299999999998</c:v>
                </c:pt>
                <c:pt idx="444">
                  <c:v>7.6430100000000003</c:v>
                </c:pt>
                <c:pt idx="445">
                  <c:v>7.6430100000000003</c:v>
                </c:pt>
                <c:pt idx="446">
                  <c:v>7.6430100000000003</c:v>
                </c:pt>
                <c:pt idx="447">
                  <c:v>7.6747399999999999</c:v>
                </c:pt>
                <c:pt idx="448">
                  <c:v>7.7521300000000002</c:v>
                </c:pt>
                <c:pt idx="449">
                  <c:v>7.9279299999999999</c:v>
                </c:pt>
                <c:pt idx="450">
                  <c:v>7.79488</c:v>
                </c:pt>
                <c:pt idx="451">
                  <c:v>7.7459100000000003</c:v>
                </c:pt>
                <c:pt idx="452">
                  <c:v>7.7459100000000003</c:v>
                </c:pt>
                <c:pt idx="453">
                  <c:v>7.7459100000000003</c:v>
                </c:pt>
                <c:pt idx="454">
                  <c:v>7.71441</c:v>
                </c:pt>
                <c:pt idx="455">
                  <c:v>7.6846699999999997</c:v>
                </c:pt>
                <c:pt idx="456">
                  <c:v>7.6977399999999996</c:v>
                </c:pt>
                <c:pt idx="457">
                  <c:v>7.7015900000000004</c:v>
                </c:pt>
                <c:pt idx="458">
                  <c:v>7.6988099999999999</c:v>
                </c:pt>
                <c:pt idx="459">
                  <c:v>7.6988099999999999</c:v>
                </c:pt>
                <c:pt idx="460">
                  <c:v>7.6988099999999999</c:v>
                </c:pt>
                <c:pt idx="461">
                  <c:v>7.7162899999999999</c:v>
                </c:pt>
                <c:pt idx="462">
                  <c:v>7.7077900000000001</c:v>
                </c:pt>
                <c:pt idx="463">
                  <c:v>7.7058499999999999</c:v>
                </c:pt>
                <c:pt idx="464">
                  <c:v>7.7058499999999999</c:v>
                </c:pt>
                <c:pt idx="465">
                  <c:v>7.7058499999999999</c:v>
                </c:pt>
                <c:pt idx="466">
                  <c:v>7.7058499999999999</c:v>
                </c:pt>
                <c:pt idx="467">
                  <c:v>7.7058499999999999</c:v>
                </c:pt>
                <c:pt idx="468">
                  <c:v>7.7065900000000003</c:v>
                </c:pt>
                <c:pt idx="469">
                  <c:v>7.7063699999999997</c:v>
                </c:pt>
                <c:pt idx="470">
                  <c:v>7.7074800000000003</c:v>
                </c:pt>
                <c:pt idx="471">
                  <c:v>7.7085600000000003</c:v>
                </c:pt>
                <c:pt idx="472">
                  <c:v>7.7103099999999998</c:v>
                </c:pt>
                <c:pt idx="473">
                  <c:v>7.7103099999999998</c:v>
                </c:pt>
                <c:pt idx="474">
                  <c:v>7.7103099999999998</c:v>
                </c:pt>
                <c:pt idx="475">
                  <c:v>7.7070699999999999</c:v>
                </c:pt>
                <c:pt idx="476">
                  <c:v>7.7104699999999999</c:v>
                </c:pt>
                <c:pt idx="477">
                  <c:v>7.7109899999999998</c:v>
                </c:pt>
                <c:pt idx="478">
                  <c:v>7.7087599999999998</c:v>
                </c:pt>
                <c:pt idx="479">
                  <c:v>7.7121000000000004</c:v>
                </c:pt>
                <c:pt idx="480">
                  <c:v>7.7121000000000004</c:v>
                </c:pt>
                <c:pt idx="481">
                  <c:v>7.7121000000000004</c:v>
                </c:pt>
                <c:pt idx="482">
                  <c:v>7.7043499999999998</c:v>
                </c:pt>
                <c:pt idx="483">
                  <c:v>7.7067699999999997</c:v>
                </c:pt>
                <c:pt idx="484">
                  <c:v>7.7140199999999997</c:v>
                </c:pt>
                <c:pt idx="485">
                  <c:v>7.71244</c:v>
                </c:pt>
                <c:pt idx="486">
                  <c:v>7.71244</c:v>
                </c:pt>
                <c:pt idx="487">
                  <c:v>7.71244</c:v>
                </c:pt>
                <c:pt idx="488">
                  <c:v>7.71244</c:v>
                </c:pt>
                <c:pt idx="489">
                  <c:v>7.7098899999999997</c:v>
                </c:pt>
                <c:pt idx="490">
                  <c:v>7.7069400000000003</c:v>
                </c:pt>
                <c:pt idx="491">
                  <c:v>7.7055199999999999</c:v>
                </c:pt>
                <c:pt idx="492">
                  <c:v>7.7041199999999996</c:v>
                </c:pt>
                <c:pt idx="493">
                  <c:v>7.7031900000000002</c:v>
                </c:pt>
                <c:pt idx="494">
                  <c:v>7.7031900000000002</c:v>
                </c:pt>
                <c:pt idx="495">
                  <c:v>7.7031900000000002</c:v>
                </c:pt>
                <c:pt idx="496">
                  <c:v>7.7027900000000002</c:v>
                </c:pt>
                <c:pt idx="497">
                  <c:v>7.6960100000000002</c:v>
                </c:pt>
                <c:pt idx="498">
                  <c:v>7.6979100000000003</c:v>
                </c:pt>
                <c:pt idx="499">
                  <c:v>7.6970999999999998</c:v>
                </c:pt>
                <c:pt idx="500">
                  <c:v>7.6993200000000002</c:v>
                </c:pt>
                <c:pt idx="501">
                  <c:v>7.6993200000000002</c:v>
                </c:pt>
                <c:pt idx="502">
                  <c:v>7.6993200000000002</c:v>
                </c:pt>
                <c:pt idx="503">
                  <c:v>7.6993200000000002</c:v>
                </c:pt>
                <c:pt idx="504">
                  <c:v>7.6944100000000004</c:v>
                </c:pt>
                <c:pt idx="505">
                  <c:v>7.6955099999999996</c:v>
                </c:pt>
                <c:pt idx="506">
                  <c:v>7.6928700000000001</c:v>
                </c:pt>
                <c:pt idx="507">
                  <c:v>7.6920299999999999</c:v>
                </c:pt>
                <c:pt idx="508">
                  <c:v>7.6920299999999999</c:v>
                </c:pt>
                <c:pt idx="509">
                  <c:v>7.6920299999999999</c:v>
                </c:pt>
                <c:pt idx="510">
                  <c:v>7.6934699999999996</c:v>
                </c:pt>
                <c:pt idx="511">
                  <c:v>7.6890999999999998</c:v>
                </c:pt>
                <c:pt idx="512">
                  <c:v>7.6921600000000003</c:v>
                </c:pt>
                <c:pt idx="513">
                  <c:v>7.6915300000000002</c:v>
                </c:pt>
                <c:pt idx="514">
                  <c:v>7.6894900000000002</c:v>
                </c:pt>
                <c:pt idx="515">
                  <c:v>7.6894900000000002</c:v>
                </c:pt>
                <c:pt idx="516">
                  <c:v>7.6894900000000002</c:v>
                </c:pt>
                <c:pt idx="517">
                  <c:v>7.6896199999999997</c:v>
                </c:pt>
                <c:pt idx="518">
                  <c:v>7.6859599999999997</c:v>
                </c:pt>
                <c:pt idx="519">
                  <c:v>7.6857100000000003</c:v>
                </c:pt>
                <c:pt idx="520">
                  <c:v>7.6835000000000004</c:v>
                </c:pt>
                <c:pt idx="521">
                  <c:v>7.6854100000000001</c:v>
                </c:pt>
                <c:pt idx="522">
                  <c:v>7.6854100000000001</c:v>
                </c:pt>
                <c:pt idx="523">
                  <c:v>7.6854100000000001</c:v>
                </c:pt>
                <c:pt idx="524">
                  <c:v>7.6882900000000003</c:v>
                </c:pt>
                <c:pt idx="525">
                  <c:v>7.6892300000000002</c:v>
                </c:pt>
                <c:pt idx="526">
                  <c:v>7.6928799999999997</c:v>
                </c:pt>
                <c:pt idx="527">
                  <c:v>7.6956300000000004</c:v>
                </c:pt>
                <c:pt idx="528">
                  <c:v>7.7004099999999998</c:v>
                </c:pt>
                <c:pt idx="529">
                  <c:v>7.7004099999999998</c:v>
                </c:pt>
                <c:pt idx="530">
                  <c:v>7.7004099999999998</c:v>
                </c:pt>
                <c:pt idx="531">
                  <c:v>7.7026199999999996</c:v>
                </c:pt>
                <c:pt idx="532">
                  <c:v>7.7079199999999997</c:v>
                </c:pt>
                <c:pt idx="533">
                  <c:v>7.7046400000000004</c:v>
                </c:pt>
                <c:pt idx="534">
                  <c:v>7.7064599999999999</c:v>
                </c:pt>
                <c:pt idx="535">
                  <c:v>7.7086699999999997</c:v>
                </c:pt>
                <c:pt idx="536">
                  <c:v>7.7086699999999997</c:v>
                </c:pt>
                <c:pt idx="537">
                  <c:v>7.7086699999999997</c:v>
                </c:pt>
                <c:pt idx="538">
                  <c:v>7.7035900000000002</c:v>
                </c:pt>
                <c:pt idx="539">
                  <c:v>7.6988899999999996</c:v>
                </c:pt>
                <c:pt idx="540">
                  <c:v>7.7027999999999999</c:v>
                </c:pt>
                <c:pt idx="541">
                  <c:v>7.7002800000000002</c:v>
                </c:pt>
                <c:pt idx="542">
                  <c:v>7.7002600000000001</c:v>
                </c:pt>
                <c:pt idx="543">
                  <c:v>7.7002600000000001</c:v>
                </c:pt>
                <c:pt idx="544">
                  <c:v>7.7002600000000001</c:v>
                </c:pt>
                <c:pt idx="545">
                  <c:v>7.7002600000000001</c:v>
                </c:pt>
                <c:pt idx="546">
                  <c:v>7.7002600000000001</c:v>
                </c:pt>
                <c:pt idx="547">
                  <c:v>7.7042099999999998</c:v>
                </c:pt>
                <c:pt idx="548">
                  <c:v>7.6991100000000001</c:v>
                </c:pt>
                <c:pt idx="549">
                  <c:v>7.7036499999999997</c:v>
                </c:pt>
                <c:pt idx="550">
                  <c:v>7.7036499999999997</c:v>
                </c:pt>
                <c:pt idx="551">
                  <c:v>7.7036499999999997</c:v>
                </c:pt>
                <c:pt idx="552">
                  <c:v>7.7041599999999999</c:v>
                </c:pt>
                <c:pt idx="553">
                  <c:v>7.7040100000000002</c:v>
                </c:pt>
                <c:pt idx="554">
                  <c:v>7.6993900000000002</c:v>
                </c:pt>
                <c:pt idx="555">
                  <c:v>7.6955099999999996</c:v>
                </c:pt>
                <c:pt idx="556">
                  <c:v>7.6977099999999998</c:v>
                </c:pt>
                <c:pt idx="557">
                  <c:v>7.6977099999999998</c:v>
                </c:pt>
                <c:pt idx="558">
                  <c:v>7.6977099999999998</c:v>
                </c:pt>
                <c:pt idx="559">
                  <c:v>7.6929600000000002</c:v>
                </c:pt>
                <c:pt idx="560">
                  <c:v>7.6919300000000002</c:v>
                </c:pt>
                <c:pt idx="561">
                  <c:v>7.6916799999999999</c:v>
                </c:pt>
                <c:pt idx="562">
                  <c:v>7.6905099999999997</c:v>
                </c:pt>
                <c:pt idx="563">
                  <c:v>7.6899199999999999</c:v>
                </c:pt>
                <c:pt idx="564">
                  <c:v>7.6899199999999999</c:v>
                </c:pt>
                <c:pt idx="565">
                  <c:v>7.6899199999999999</c:v>
                </c:pt>
                <c:pt idx="566">
                  <c:v>7.6914499999999997</c:v>
                </c:pt>
                <c:pt idx="567">
                  <c:v>7.6888500000000004</c:v>
                </c:pt>
                <c:pt idx="568">
                  <c:v>7.6917600000000004</c:v>
                </c:pt>
                <c:pt idx="569">
                  <c:v>7.69095</c:v>
                </c:pt>
                <c:pt idx="570">
                  <c:v>7.6886299999999999</c:v>
                </c:pt>
                <c:pt idx="571">
                  <c:v>7.6886299999999999</c:v>
                </c:pt>
                <c:pt idx="572">
                  <c:v>7.6886299999999999</c:v>
                </c:pt>
                <c:pt idx="573">
                  <c:v>7.6942700000000004</c:v>
                </c:pt>
                <c:pt idx="574">
                  <c:v>7.6956300000000004</c:v>
                </c:pt>
                <c:pt idx="575">
                  <c:v>7.6988000000000003</c:v>
                </c:pt>
                <c:pt idx="576">
                  <c:v>7.7013299999999996</c:v>
                </c:pt>
                <c:pt idx="577">
                  <c:v>7.70871</c:v>
                </c:pt>
                <c:pt idx="578">
                  <c:v>7.70871</c:v>
                </c:pt>
                <c:pt idx="579">
                  <c:v>7.70871</c:v>
                </c:pt>
                <c:pt idx="580">
                  <c:v>7.7088799999999997</c:v>
                </c:pt>
                <c:pt idx="581">
                  <c:v>7.7069799999999997</c:v>
                </c:pt>
                <c:pt idx="582">
                  <c:v>7.7055499999999997</c:v>
                </c:pt>
                <c:pt idx="583">
                  <c:v>7.7008599999999996</c:v>
                </c:pt>
                <c:pt idx="584">
                  <c:v>7.7007000000000003</c:v>
                </c:pt>
                <c:pt idx="585">
                  <c:v>7.7007000000000003</c:v>
                </c:pt>
                <c:pt idx="586">
                  <c:v>7.7007000000000003</c:v>
                </c:pt>
                <c:pt idx="587">
                  <c:v>7.7002499999999996</c:v>
                </c:pt>
                <c:pt idx="588">
                  <c:v>7.6997200000000001</c:v>
                </c:pt>
                <c:pt idx="589">
                  <c:v>7.70296</c:v>
                </c:pt>
                <c:pt idx="590">
                  <c:v>7.7010500000000004</c:v>
                </c:pt>
                <c:pt idx="591">
                  <c:v>7.7010500000000004</c:v>
                </c:pt>
                <c:pt idx="592">
                  <c:v>7.7010500000000004</c:v>
                </c:pt>
                <c:pt idx="593">
                  <c:v>7.7010500000000004</c:v>
                </c:pt>
                <c:pt idx="594">
                  <c:v>7.70024</c:v>
                </c:pt>
                <c:pt idx="595">
                  <c:v>7.6964800000000002</c:v>
                </c:pt>
                <c:pt idx="596">
                  <c:v>7.6989400000000003</c:v>
                </c:pt>
                <c:pt idx="597">
                  <c:v>7.69998</c:v>
                </c:pt>
                <c:pt idx="598">
                  <c:v>7.7013199999999999</c:v>
                </c:pt>
                <c:pt idx="599">
                  <c:v>7.7013199999999999</c:v>
                </c:pt>
                <c:pt idx="600">
                  <c:v>7.7013199999999999</c:v>
                </c:pt>
                <c:pt idx="601">
                  <c:v>7.6959499999999998</c:v>
                </c:pt>
                <c:pt idx="602">
                  <c:v>7.6982299999999997</c:v>
                </c:pt>
                <c:pt idx="603">
                  <c:v>7.7026199999999996</c:v>
                </c:pt>
                <c:pt idx="604">
                  <c:v>7.7102899999999996</c:v>
                </c:pt>
                <c:pt idx="605">
                  <c:v>7.7250800000000002</c:v>
                </c:pt>
                <c:pt idx="606">
                  <c:v>7.7250800000000002</c:v>
                </c:pt>
                <c:pt idx="607">
                  <c:v>7.7250800000000002</c:v>
                </c:pt>
                <c:pt idx="608">
                  <c:v>7.7299100000000003</c:v>
                </c:pt>
                <c:pt idx="609">
                  <c:v>7.7296100000000001</c:v>
                </c:pt>
                <c:pt idx="610">
                  <c:v>7.7267200000000003</c:v>
                </c:pt>
                <c:pt idx="611">
                  <c:v>7.7293799999999999</c:v>
                </c:pt>
                <c:pt idx="612">
                  <c:v>7.7348999999999997</c:v>
                </c:pt>
                <c:pt idx="613">
                  <c:v>7.7348999999999997</c:v>
                </c:pt>
                <c:pt idx="614">
                  <c:v>7.7348999999999997</c:v>
                </c:pt>
                <c:pt idx="615">
                  <c:v>7.7318199999999999</c:v>
                </c:pt>
                <c:pt idx="616">
                  <c:v>7.7393200000000002</c:v>
                </c:pt>
                <c:pt idx="617">
                  <c:v>7.7413100000000004</c:v>
                </c:pt>
                <c:pt idx="618">
                  <c:v>7.7532800000000002</c:v>
                </c:pt>
                <c:pt idx="619">
                  <c:v>7.7585800000000003</c:v>
                </c:pt>
                <c:pt idx="620">
                  <c:v>7.7585800000000003</c:v>
                </c:pt>
                <c:pt idx="621">
                  <c:v>7.7585800000000003</c:v>
                </c:pt>
                <c:pt idx="622">
                  <c:v>7.7592699999999999</c:v>
                </c:pt>
                <c:pt idx="623">
                  <c:v>7.7592699999999999</c:v>
                </c:pt>
                <c:pt idx="624">
                  <c:v>7.7530299999999999</c:v>
                </c:pt>
                <c:pt idx="625">
                  <c:v>7.7565</c:v>
                </c:pt>
                <c:pt idx="626">
                  <c:v>7.7568700000000002</c:v>
                </c:pt>
                <c:pt idx="627">
                  <c:v>7.7568700000000002</c:v>
                </c:pt>
                <c:pt idx="628">
                  <c:v>7.7568700000000002</c:v>
                </c:pt>
                <c:pt idx="629">
                  <c:v>7.7660999999999998</c:v>
                </c:pt>
                <c:pt idx="630">
                  <c:v>7.7588800000000004</c:v>
                </c:pt>
                <c:pt idx="631">
                  <c:v>7.7667700000000002</c:v>
                </c:pt>
                <c:pt idx="632">
                  <c:v>7.7862999999999998</c:v>
                </c:pt>
                <c:pt idx="633">
                  <c:v>7.7845899999999997</c:v>
                </c:pt>
                <c:pt idx="634">
                  <c:v>7.7845899999999997</c:v>
                </c:pt>
                <c:pt idx="635">
                  <c:v>7.7845899999999997</c:v>
                </c:pt>
                <c:pt idx="636">
                  <c:v>7.7823000000000002</c:v>
                </c:pt>
                <c:pt idx="637">
                  <c:v>7.7854299999999999</c:v>
                </c:pt>
                <c:pt idx="638">
                  <c:v>7.7860199999999997</c:v>
                </c:pt>
                <c:pt idx="639">
                  <c:v>7.7837500000000004</c:v>
                </c:pt>
                <c:pt idx="640">
                  <c:v>7.7822199999999997</c:v>
                </c:pt>
                <c:pt idx="641">
                  <c:v>7.7822199999999997</c:v>
                </c:pt>
                <c:pt idx="642">
                  <c:v>7.7822199999999997</c:v>
                </c:pt>
                <c:pt idx="643">
                  <c:v>7.7771800000000004</c:v>
                </c:pt>
                <c:pt idx="644">
                  <c:v>7.7784800000000001</c:v>
                </c:pt>
                <c:pt idx="645">
                  <c:v>7.7768600000000001</c:v>
                </c:pt>
                <c:pt idx="646">
                  <c:v>7.7770299999999999</c:v>
                </c:pt>
                <c:pt idx="647">
                  <c:v>7.7751400000000004</c:v>
                </c:pt>
                <c:pt idx="648">
                  <c:v>7.7751400000000004</c:v>
                </c:pt>
                <c:pt idx="649">
                  <c:v>7.7751400000000004</c:v>
                </c:pt>
                <c:pt idx="650">
                  <c:v>7.7751400000000004</c:v>
                </c:pt>
                <c:pt idx="651">
                  <c:v>7.78165</c:v>
                </c:pt>
                <c:pt idx="652">
                  <c:v>7.7769599999999999</c:v>
                </c:pt>
                <c:pt idx="653">
                  <c:v>7.7794999999999996</c:v>
                </c:pt>
                <c:pt idx="654">
                  <c:v>7.7823099999999998</c:v>
                </c:pt>
                <c:pt idx="655">
                  <c:v>7.7823099999999998</c:v>
                </c:pt>
                <c:pt idx="656">
                  <c:v>7.7823099999999998</c:v>
                </c:pt>
                <c:pt idx="657">
                  <c:v>7.78355</c:v>
                </c:pt>
                <c:pt idx="658">
                  <c:v>7.78355</c:v>
                </c:pt>
                <c:pt idx="659">
                  <c:v>7.7778999999999998</c:v>
                </c:pt>
                <c:pt idx="660">
                  <c:v>7.7804599999999997</c:v>
                </c:pt>
                <c:pt idx="661">
                  <c:v>7.7803500000000003</c:v>
                </c:pt>
                <c:pt idx="662">
                  <c:v>7.7803500000000003</c:v>
                </c:pt>
                <c:pt idx="663">
                  <c:v>7.7803500000000003</c:v>
                </c:pt>
                <c:pt idx="664">
                  <c:v>7.7798299999999996</c:v>
                </c:pt>
                <c:pt idx="665">
                  <c:v>7.7804200000000003</c:v>
                </c:pt>
                <c:pt idx="666">
                  <c:v>7.7861900000000004</c:v>
                </c:pt>
                <c:pt idx="667">
                  <c:v>7.7916499999999997</c:v>
                </c:pt>
                <c:pt idx="668">
                  <c:v>7.7959500000000004</c:v>
                </c:pt>
                <c:pt idx="669">
                  <c:v>7.7959500000000004</c:v>
                </c:pt>
                <c:pt idx="670">
                  <c:v>7.7959500000000004</c:v>
                </c:pt>
                <c:pt idx="671">
                  <c:v>7.7959500000000004</c:v>
                </c:pt>
                <c:pt idx="672">
                  <c:v>7.7885799999999996</c:v>
                </c:pt>
                <c:pt idx="673">
                  <c:v>7.7860199999999997</c:v>
                </c:pt>
                <c:pt idx="674">
                  <c:v>7.7831799999999998</c:v>
                </c:pt>
                <c:pt idx="675">
                  <c:v>7.7821400000000001</c:v>
                </c:pt>
                <c:pt idx="676">
                  <c:v>7.7821400000000001</c:v>
                </c:pt>
                <c:pt idx="677">
                  <c:v>7.7821400000000001</c:v>
                </c:pt>
                <c:pt idx="678">
                  <c:v>7.7795699999999997</c:v>
                </c:pt>
                <c:pt idx="679">
                  <c:v>7.7753699999999997</c:v>
                </c:pt>
                <c:pt idx="680">
                  <c:v>7.7756699999999999</c:v>
                </c:pt>
                <c:pt idx="681">
                  <c:v>7.7830899999999996</c:v>
                </c:pt>
                <c:pt idx="682">
                  <c:v>7.77684</c:v>
                </c:pt>
                <c:pt idx="683">
                  <c:v>7.77684</c:v>
                </c:pt>
                <c:pt idx="684">
                  <c:v>7.77684</c:v>
                </c:pt>
                <c:pt idx="685">
                  <c:v>7.7772699999999997</c:v>
                </c:pt>
                <c:pt idx="686">
                  <c:v>7.77956</c:v>
                </c:pt>
                <c:pt idx="687">
                  <c:v>7.78</c:v>
                </c:pt>
                <c:pt idx="688">
                  <c:v>7.7784199999999997</c:v>
                </c:pt>
                <c:pt idx="689">
                  <c:v>7.78348</c:v>
                </c:pt>
                <c:pt idx="690">
                  <c:v>7.78348</c:v>
                </c:pt>
                <c:pt idx="691">
                  <c:v>7.78348</c:v>
                </c:pt>
                <c:pt idx="692">
                  <c:v>7.7858599999999996</c:v>
                </c:pt>
                <c:pt idx="693">
                  <c:v>7.7921199999999997</c:v>
                </c:pt>
                <c:pt idx="694">
                  <c:v>7.8005300000000002</c:v>
                </c:pt>
                <c:pt idx="695">
                  <c:v>7.8082000000000003</c:v>
                </c:pt>
                <c:pt idx="696">
                  <c:v>7.8198499999999997</c:v>
                </c:pt>
                <c:pt idx="697">
                  <c:v>7.8198499999999997</c:v>
                </c:pt>
                <c:pt idx="698">
                  <c:v>7.8198499999999997</c:v>
                </c:pt>
                <c:pt idx="699">
                  <c:v>7.8140499999999999</c:v>
                </c:pt>
                <c:pt idx="700">
                  <c:v>7.8114800000000004</c:v>
                </c:pt>
                <c:pt idx="701">
                  <c:v>7.8132099999999998</c:v>
                </c:pt>
                <c:pt idx="702">
                  <c:v>7.8177300000000001</c:v>
                </c:pt>
                <c:pt idx="703">
                  <c:v>7.8168100000000003</c:v>
                </c:pt>
                <c:pt idx="704">
                  <c:v>7.8168100000000003</c:v>
                </c:pt>
                <c:pt idx="705">
                  <c:v>7.8168100000000003</c:v>
                </c:pt>
                <c:pt idx="706">
                  <c:v>7.8109900000000003</c:v>
                </c:pt>
                <c:pt idx="707">
                  <c:v>7.8103499999999997</c:v>
                </c:pt>
                <c:pt idx="708">
                  <c:v>7.8073600000000001</c:v>
                </c:pt>
                <c:pt idx="709">
                  <c:v>7.8032700000000004</c:v>
                </c:pt>
                <c:pt idx="710">
                  <c:v>7.8053699999999999</c:v>
                </c:pt>
                <c:pt idx="711">
                  <c:v>7.8053699999999999</c:v>
                </c:pt>
                <c:pt idx="712">
                  <c:v>7.8053699999999999</c:v>
                </c:pt>
                <c:pt idx="713">
                  <c:v>7.8023300000000004</c:v>
                </c:pt>
                <c:pt idx="714">
                  <c:v>7.79678</c:v>
                </c:pt>
                <c:pt idx="715">
                  <c:v>7.7962100000000003</c:v>
                </c:pt>
                <c:pt idx="716">
                  <c:v>7.79413</c:v>
                </c:pt>
                <c:pt idx="717">
                  <c:v>7.7946099999999996</c:v>
                </c:pt>
                <c:pt idx="718">
                  <c:v>7.7946099999999996</c:v>
                </c:pt>
                <c:pt idx="719">
                  <c:v>7.7946099999999996</c:v>
                </c:pt>
                <c:pt idx="720">
                  <c:v>7.7945500000000001</c:v>
                </c:pt>
                <c:pt idx="721">
                  <c:v>7.7934000000000001</c:v>
                </c:pt>
                <c:pt idx="722">
                  <c:v>7.7949599999999997</c:v>
                </c:pt>
                <c:pt idx="723">
                  <c:v>7.7924100000000003</c:v>
                </c:pt>
                <c:pt idx="724">
                  <c:v>7.7924100000000003</c:v>
                </c:pt>
                <c:pt idx="725">
                  <c:v>7.7924100000000003</c:v>
                </c:pt>
                <c:pt idx="726">
                  <c:v>7.7924100000000003</c:v>
                </c:pt>
                <c:pt idx="727">
                  <c:v>7.7900499999999999</c:v>
                </c:pt>
                <c:pt idx="728">
                  <c:v>7.7933300000000001</c:v>
                </c:pt>
                <c:pt idx="729">
                  <c:v>7.7938200000000002</c:v>
                </c:pt>
                <c:pt idx="730">
                  <c:v>7.7938200000000002</c:v>
                </c:pt>
                <c:pt idx="731">
                  <c:v>7.7938200000000002</c:v>
                </c:pt>
                <c:pt idx="732">
                  <c:v>7.7938200000000002</c:v>
                </c:pt>
                <c:pt idx="733">
                  <c:v>7.7938200000000002</c:v>
                </c:pt>
                <c:pt idx="734">
                  <c:v>7.7941700000000003</c:v>
                </c:pt>
                <c:pt idx="735">
                  <c:v>7.7936899999999998</c:v>
                </c:pt>
                <c:pt idx="736">
                  <c:v>7.7973499999999998</c:v>
                </c:pt>
                <c:pt idx="737">
                  <c:v>7.7949299999999999</c:v>
                </c:pt>
                <c:pt idx="738">
                  <c:v>7.8008899999999999</c:v>
                </c:pt>
                <c:pt idx="739">
                  <c:v>7.8008899999999999</c:v>
                </c:pt>
                <c:pt idx="740">
                  <c:v>7.8008899999999999</c:v>
                </c:pt>
                <c:pt idx="741">
                  <c:v>7.7958100000000004</c:v>
                </c:pt>
                <c:pt idx="742">
                  <c:v>7.7961999999999998</c:v>
                </c:pt>
                <c:pt idx="743">
                  <c:v>7.7968599999999997</c:v>
                </c:pt>
                <c:pt idx="744">
                  <c:v>7.7912400000000002</c:v>
                </c:pt>
                <c:pt idx="745">
                  <c:v>7.7890300000000003</c:v>
                </c:pt>
                <c:pt idx="746">
                  <c:v>7.7890300000000003</c:v>
                </c:pt>
                <c:pt idx="747">
                  <c:v>7.7890300000000003</c:v>
                </c:pt>
                <c:pt idx="748">
                  <c:v>7.7855999999999996</c:v>
                </c:pt>
                <c:pt idx="749">
                  <c:v>7.79345</c:v>
                </c:pt>
                <c:pt idx="750">
                  <c:v>7.7872500000000002</c:v>
                </c:pt>
                <c:pt idx="751">
                  <c:v>7.7820900000000002</c:v>
                </c:pt>
                <c:pt idx="752">
                  <c:v>7.7816200000000002</c:v>
                </c:pt>
                <c:pt idx="753">
                  <c:v>7.7816200000000002</c:v>
                </c:pt>
                <c:pt idx="754">
                  <c:v>7.7816200000000002</c:v>
                </c:pt>
                <c:pt idx="755">
                  <c:v>7.7812400000000004</c:v>
                </c:pt>
                <c:pt idx="756">
                  <c:v>7.7795800000000002</c:v>
                </c:pt>
                <c:pt idx="757">
                  <c:v>7.7848300000000004</c:v>
                </c:pt>
                <c:pt idx="758">
                  <c:v>7.7826199999999996</c:v>
                </c:pt>
                <c:pt idx="759">
                  <c:v>7.7863800000000003</c:v>
                </c:pt>
                <c:pt idx="760">
                  <c:v>7.7863800000000003</c:v>
                </c:pt>
                <c:pt idx="761">
                  <c:v>7.7863800000000003</c:v>
                </c:pt>
                <c:pt idx="762">
                  <c:v>7.78003</c:v>
                </c:pt>
                <c:pt idx="763">
                  <c:v>7.7783600000000002</c:v>
                </c:pt>
                <c:pt idx="764">
                  <c:v>7.7785700000000002</c:v>
                </c:pt>
                <c:pt idx="765">
                  <c:v>7.7765199999999997</c:v>
                </c:pt>
                <c:pt idx="766">
                  <c:v>7.7662699999999996</c:v>
                </c:pt>
                <c:pt idx="767">
                  <c:v>7.7662699999999996</c:v>
                </c:pt>
                <c:pt idx="768">
                  <c:v>7.7662699999999996</c:v>
                </c:pt>
                <c:pt idx="769">
                  <c:v>7.7661100000000003</c:v>
                </c:pt>
                <c:pt idx="770">
                  <c:v>7.7629099999999998</c:v>
                </c:pt>
                <c:pt idx="771">
                  <c:v>7.7587299999999999</c:v>
                </c:pt>
                <c:pt idx="772">
                  <c:v>7.7551899999999998</c:v>
                </c:pt>
                <c:pt idx="773">
                  <c:v>7.7500200000000001</c:v>
                </c:pt>
                <c:pt idx="774">
                  <c:v>7.7500200000000001</c:v>
                </c:pt>
                <c:pt idx="775">
                  <c:v>7.7500200000000001</c:v>
                </c:pt>
                <c:pt idx="776">
                  <c:v>7.7466699999999999</c:v>
                </c:pt>
                <c:pt idx="777">
                  <c:v>7.7464000000000004</c:v>
                </c:pt>
                <c:pt idx="778">
                  <c:v>7.7418500000000003</c:v>
                </c:pt>
                <c:pt idx="779">
                  <c:v>7.73698</c:v>
                </c:pt>
                <c:pt idx="780">
                  <c:v>7.7319699999999996</c:v>
                </c:pt>
                <c:pt idx="781">
                  <c:v>7.7319699999999996</c:v>
                </c:pt>
                <c:pt idx="782">
                  <c:v>7.7319699999999996</c:v>
                </c:pt>
                <c:pt idx="783">
                  <c:v>7.71868</c:v>
                </c:pt>
                <c:pt idx="784">
                  <c:v>7.7202099999999998</c:v>
                </c:pt>
                <c:pt idx="785">
                  <c:v>7.7156799999999999</c:v>
                </c:pt>
                <c:pt idx="786">
                  <c:v>7.7148000000000003</c:v>
                </c:pt>
                <c:pt idx="787">
                  <c:v>7.7092200000000002</c:v>
                </c:pt>
                <c:pt idx="788">
                  <c:v>7.7092200000000002</c:v>
                </c:pt>
                <c:pt idx="789">
                  <c:v>7.7092200000000002</c:v>
                </c:pt>
                <c:pt idx="790">
                  <c:v>7.7060599999999999</c:v>
                </c:pt>
                <c:pt idx="791">
                  <c:v>7.7027099999999997</c:v>
                </c:pt>
                <c:pt idx="792">
                  <c:v>7.70784</c:v>
                </c:pt>
                <c:pt idx="793">
                  <c:v>7.71007</c:v>
                </c:pt>
                <c:pt idx="794">
                  <c:v>7.7155300000000002</c:v>
                </c:pt>
                <c:pt idx="795">
                  <c:v>7.7155300000000002</c:v>
                </c:pt>
                <c:pt idx="796">
                  <c:v>7.7155300000000002</c:v>
                </c:pt>
                <c:pt idx="797">
                  <c:v>7.7127600000000003</c:v>
                </c:pt>
                <c:pt idx="798">
                  <c:v>7.7169800000000004</c:v>
                </c:pt>
                <c:pt idx="799">
                  <c:v>7.7302099999999996</c:v>
                </c:pt>
                <c:pt idx="800">
                  <c:v>7.7237799999999996</c:v>
                </c:pt>
                <c:pt idx="801">
                  <c:v>7.7305700000000002</c:v>
                </c:pt>
                <c:pt idx="802">
                  <c:v>7.7305700000000002</c:v>
                </c:pt>
                <c:pt idx="803">
                  <c:v>7.7305700000000002</c:v>
                </c:pt>
                <c:pt idx="804">
                  <c:v>7.7242899999999999</c:v>
                </c:pt>
                <c:pt idx="805">
                  <c:v>7.7208399999999999</c:v>
                </c:pt>
                <c:pt idx="806">
                  <c:v>7.7246199999999998</c:v>
                </c:pt>
                <c:pt idx="807">
                  <c:v>7.7205899999999996</c:v>
                </c:pt>
                <c:pt idx="808">
                  <c:v>7.7215600000000002</c:v>
                </c:pt>
                <c:pt idx="809">
                  <c:v>7.7215600000000002</c:v>
                </c:pt>
                <c:pt idx="810">
                  <c:v>7.7215600000000002</c:v>
                </c:pt>
                <c:pt idx="811">
                  <c:v>7.7227399999999999</c:v>
                </c:pt>
                <c:pt idx="812">
                  <c:v>7.7200199999999999</c:v>
                </c:pt>
                <c:pt idx="813">
                  <c:v>7.7275799999999997</c:v>
                </c:pt>
                <c:pt idx="814">
                  <c:v>7.7271900000000002</c:v>
                </c:pt>
                <c:pt idx="815">
                  <c:v>7.7237900000000002</c:v>
                </c:pt>
                <c:pt idx="816">
                  <c:v>7.7237900000000002</c:v>
                </c:pt>
                <c:pt idx="817">
                  <c:v>7.7237900000000002</c:v>
                </c:pt>
                <c:pt idx="818">
                  <c:v>7.7226699999999999</c:v>
                </c:pt>
                <c:pt idx="819">
                  <c:v>7.7199</c:v>
                </c:pt>
                <c:pt idx="820">
                  <c:v>7.7149799999999997</c:v>
                </c:pt>
                <c:pt idx="821">
                  <c:v>7.7149799999999997</c:v>
                </c:pt>
                <c:pt idx="822">
                  <c:v>7.7149799999999997</c:v>
                </c:pt>
                <c:pt idx="823">
                  <c:v>7.7149799999999997</c:v>
                </c:pt>
                <c:pt idx="824">
                  <c:v>7.7149799999999997</c:v>
                </c:pt>
                <c:pt idx="825">
                  <c:v>7.7179000000000002</c:v>
                </c:pt>
                <c:pt idx="826">
                  <c:v>7.7227699999999997</c:v>
                </c:pt>
                <c:pt idx="827">
                  <c:v>7.7181499999999996</c:v>
                </c:pt>
                <c:pt idx="828">
                  <c:v>7.7172499999999999</c:v>
                </c:pt>
                <c:pt idx="829">
                  <c:v>7.7220899999999997</c:v>
                </c:pt>
                <c:pt idx="830">
                  <c:v>7.7220899999999997</c:v>
                </c:pt>
                <c:pt idx="831">
                  <c:v>7.7220899999999997</c:v>
                </c:pt>
                <c:pt idx="832">
                  <c:v>7.7174800000000001</c:v>
                </c:pt>
                <c:pt idx="833">
                  <c:v>7.7145400000000004</c:v>
                </c:pt>
                <c:pt idx="834">
                  <c:v>7.7179099999999998</c:v>
                </c:pt>
                <c:pt idx="835">
                  <c:v>7.7187700000000001</c:v>
                </c:pt>
                <c:pt idx="836">
                  <c:v>7.7183200000000003</c:v>
                </c:pt>
                <c:pt idx="837">
                  <c:v>7.7183200000000003</c:v>
                </c:pt>
                <c:pt idx="838">
                  <c:v>7.7183200000000003</c:v>
                </c:pt>
                <c:pt idx="839">
                  <c:v>7.7121599999999999</c:v>
                </c:pt>
                <c:pt idx="840">
                  <c:v>7.7110300000000001</c:v>
                </c:pt>
                <c:pt idx="841">
                  <c:v>7.7120600000000001</c:v>
                </c:pt>
                <c:pt idx="842">
                  <c:v>7.7143199999999998</c:v>
                </c:pt>
                <c:pt idx="843">
                  <c:v>7.7146299999999997</c:v>
                </c:pt>
                <c:pt idx="844">
                  <c:v>7.7146299999999997</c:v>
                </c:pt>
                <c:pt idx="845">
                  <c:v>7.7146299999999997</c:v>
                </c:pt>
                <c:pt idx="846">
                  <c:v>7.7123799999999996</c:v>
                </c:pt>
                <c:pt idx="847">
                  <c:v>7.7116699999999998</c:v>
                </c:pt>
                <c:pt idx="848">
                  <c:v>7.7193399999999999</c:v>
                </c:pt>
                <c:pt idx="849">
                  <c:v>7.7164900000000003</c:v>
                </c:pt>
                <c:pt idx="850">
                  <c:v>7.7181199999999999</c:v>
                </c:pt>
                <c:pt idx="851">
                  <c:v>7.7181199999999999</c:v>
                </c:pt>
                <c:pt idx="852">
                  <c:v>7.7181199999999999</c:v>
                </c:pt>
                <c:pt idx="853">
                  <c:v>7.7181199999999999</c:v>
                </c:pt>
                <c:pt idx="854">
                  <c:v>7.7133599999999998</c:v>
                </c:pt>
                <c:pt idx="855">
                  <c:v>7.7128800000000002</c:v>
                </c:pt>
                <c:pt idx="856">
                  <c:v>7.7117000000000004</c:v>
                </c:pt>
                <c:pt idx="857">
                  <c:v>7.7113300000000002</c:v>
                </c:pt>
                <c:pt idx="858">
                  <c:v>7.7113300000000002</c:v>
                </c:pt>
                <c:pt idx="859">
                  <c:v>7.7113300000000002</c:v>
                </c:pt>
                <c:pt idx="860">
                  <c:v>7.7104799999999996</c:v>
                </c:pt>
                <c:pt idx="861">
                  <c:v>7.7086100000000002</c:v>
                </c:pt>
                <c:pt idx="862">
                  <c:v>7.7103400000000004</c:v>
                </c:pt>
                <c:pt idx="863">
                  <c:v>7.7089800000000004</c:v>
                </c:pt>
                <c:pt idx="864">
                  <c:v>7.7102000000000004</c:v>
                </c:pt>
                <c:pt idx="865">
                  <c:v>7.7102000000000004</c:v>
                </c:pt>
                <c:pt idx="866">
                  <c:v>7.7102000000000004</c:v>
                </c:pt>
                <c:pt idx="867">
                  <c:v>7.7092299999999998</c:v>
                </c:pt>
                <c:pt idx="868">
                  <c:v>7.7092000000000001</c:v>
                </c:pt>
                <c:pt idx="869">
                  <c:v>7.7124600000000001</c:v>
                </c:pt>
                <c:pt idx="870">
                  <c:v>7.7120300000000004</c:v>
                </c:pt>
                <c:pt idx="871">
                  <c:v>7.7182199999999996</c:v>
                </c:pt>
                <c:pt idx="872">
                  <c:v>7.7182199999999996</c:v>
                </c:pt>
                <c:pt idx="873">
                  <c:v>7.7182199999999996</c:v>
                </c:pt>
                <c:pt idx="874">
                  <c:v>7.7154400000000001</c:v>
                </c:pt>
                <c:pt idx="875">
                  <c:v>7.7179099999999998</c:v>
                </c:pt>
                <c:pt idx="876">
                  <c:v>7.7194200000000004</c:v>
                </c:pt>
                <c:pt idx="877">
                  <c:v>7.7218999999999998</c:v>
                </c:pt>
                <c:pt idx="878">
                  <c:v>7.7245900000000001</c:v>
                </c:pt>
                <c:pt idx="879">
                  <c:v>7.7245900000000001</c:v>
                </c:pt>
                <c:pt idx="880">
                  <c:v>7.7245900000000001</c:v>
                </c:pt>
                <c:pt idx="881">
                  <c:v>7.7211699999999999</c:v>
                </c:pt>
                <c:pt idx="882">
                  <c:v>7.7293500000000002</c:v>
                </c:pt>
                <c:pt idx="883">
                  <c:v>7.7217900000000004</c:v>
                </c:pt>
                <c:pt idx="884">
                  <c:v>7.7253299999999996</c:v>
                </c:pt>
                <c:pt idx="885">
                  <c:v>7.72994</c:v>
                </c:pt>
                <c:pt idx="886">
                  <c:v>7.72994</c:v>
                </c:pt>
                <c:pt idx="887">
                  <c:v>7.72994</c:v>
                </c:pt>
                <c:pt idx="888">
                  <c:v>7.7239300000000002</c:v>
                </c:pt>
                <c:pt idx="889">
                  <c:v>7.7248099999999997</c:v>
                </c:pt>
                <c:pt idx="890">
                  <c:v>7.7318600000000002</c:v>
                </c:pt>
                <c:pt idx="891">
                  <c:v>7.7380199999999997</c:v>
                </c:pt>
                <c:pt idx="892">
                  <c:v>7.7407199999999996</c:v>
                </c:pt>
                <c:pt idx="893">
                  <c:v>7.7407199999999996</c:v>
                </c:pt>
                <c:pt idx="894">
                  <c:v>7.7407199999999996</c:v>
                </c:pt>
                <c:pt idx="895">
                  <c:v>7.7370000000000001</c:v>
                </c:pt>
                <c:pt idx="896">
                  <c:v>7.7358200000000004</c:v>
                </c:pt>
                <c:pt idx="897">
                  <c:v>7.7411099999999999</c:v>
                </c:pt>
                <c:pt idx="898">
                  <c:v>7.74153</c:v>
                </c:pt>
                <c:pt idx="899">
                  <c:v>7.7444300000000004</c:v>
                </c:pt>
                <c:pt idx="900">
                  <c:v>7.7444300000000004</c:v>
                </c:pt>
                <c:pt idx="901">
                  <c:v>7.7444300000000004</c:v>
                </c:pt>
                <c:pt idx="902">
                  <c:v>7.7375699999999998</c:v>
                </c:pt>
                <c:pt idx="903">
                  <c:v>7.7380000000000004</c:v>
                </c:pt>
                <c:pt idx="904">
                  <c:v>7.7441199999999997</c:v>
                </c:pt>
                <c:pt idx="905">
                  <c:v>7.7442799999999998</c:v>
                </c:pt>
                <c:pt idx="906">
                  <c:v>7.7503299999999999</c:v>
                </c:pt>
                <c:pt idx="907">
                  <c:v>7.7503299999999999</c:v>
                </c:pt>
                <c:pt idx="908">
                  <c:v>7.7503299999999999</c:v>
                </c:pt>
                <c:pt idx="909">
                  <c:v>7.7503299999999999</c:v>
                </c:pt>
                <c:pt idx="910">
                  <c:v>7.7503299999999999</c:v>
                </c:pt>
                <c:pt idx="911">
                  <c:v>7.74404</c:v>
                </c:pt>
              </c:numCache>
            </c:numRef>
          </c:val>
          <c:smooth val="0"/>
          <c:extLst xmlns:c16r2="http://schemas.microsoft.com/office/drawing/2015/06/chart">
            <c:ext xmlns:c16="http://schemas.microsoft.com/office/drawing/2014/chart" uri="{C3380CC4-5D6E-409C-BE32-E72D297353CC}">
              <c16:uniqueId val="{00000000-7350-43C5-A7F0-2D4FE37D08D9}"/>
            </c:ext>
          </c:extLst>
        </c:ser>
        <c:dLbls>
          <c:showLegendKey val="0"/>
          <c:showVal val="0"/>
          <c:showCatName val="0"/>
          <c:showSerName val="0"/>
          <c:showPercent val="0"/>
          <c:showBubbleSize val="0"/>
        </c:dLbls>
        <c:marker val="1"/>
        <c:smooth val="0"/>
        <c:axId val="248603008"/>
        <c:axId val="248604544"/>
      </c:lineChart>
      <c:catAx>
        <c:axId val="2486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604544"/>
        <c:crosses val="autoZero"/>
        <c:auto val="1"/>
        <c:lblAlgn val="ctr"/>
        <c:lblOffset val="100"/>
        <c:noMultiLvlLbl val="0"/>
      </c:catAx>
      <c:valAx>
        <c:axId val="248604544"/>
        <c:scaling>
          <c:orientation val="minMax"/>
          <c:min val="7.6"/>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603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1">
                <a:solidFill>
                  <a:sysClr val="windowText" lastClr="000000"/>
                </a:solidFill>
                <a:latin typeface="Times New Roman" panose="02020603050405020304" pitchFamily="18" charset="0"/>
                <a:cs typeface="Times New Roman" panose="02020603050405020304" pitchFamily="18" charset="0"/>
              </a:rPr>
              <a:t>Gráfica 16.</a:t>
            </a:r>
            <a:r>
              <a:rPr lang="en-US" sz="1050" b="1" baseline="0">
                <a:solidFill>
                  <a:sysClr val="windowText" lastClr="000000"/>
                </a:solidFill>
                <a:latin typeface="Times New Roman" panose="02020603050405020304" pitchFamily="18" charset="0"/>
                <a:cs typeface="Times New Roman" panose="02020603050405020304" pitchFamily="18" charset="0"/>
              </a:rPr>
              <a:t>  </a:t>
            </a:r>
            <a:r>
              <a:rPr lang="en-US" sz="1050" b="1">
                <a:solidFill>
                  <a:sysClr val="windowText" lastClr="000000"/>
                </a:solidFill>
                <a:latin typeface="Times New Roman" panose="02020603050405020304" pitchFamily="18" charset="0"/>
                <a:cs typeface="Times New Roman" panose="02020603050405020304" pitchFamily="18" charset="0"/>
              </a:rPr>
              <a:t>Tasa de interés activa, pasiva y spread</a:t>
            </a:r>
          </a:p>
        </c:rich>
      </c:tx>
      <c:overlay val="0"/>
      <c:spPr>
        <a:noFill/>
        <a:ln>
          <a:noFill/>
        </a:ln>
        <a:effectLst/>
      </c:spPr>
    </c:title>
    <c:autoTitleDeleted val="0"/>
    <c:plotArea>
      <c:layout>
        <c:manualLayout>
          <c:layoutTarget val="inner"/>
          <c:xMode val="edge"/>
          <c:yMode val="edge"/>
          <c:x val="0.12779862027604366"/>
          <c:y val="0.23337856173677068"/>
          <c:w val="0.75905017522527196"/>
          <c:h val="0.53477579888674021"/>
        </c:manualLayout>
      </c:layout>
      <c:areaChart>
        <c:grouping val="standard"/>
        <c:varyColors val="0"/>
        <c:ser>
          <c:idx val="0"/>
          <c:order val="0"/>
          <c:tx>
            <c:strRef>
              <c:f>'imm04'!$W$5</c:f>
              <c:strCache>
                <c:ptCount val="1"/>
                <c:pt idx="0">
                  <c:v>Tasa de interes activa</c:v>
                </c:pt>
              </c:strCache>
            </c:strRef>
          </c:tx>
          <c:spPr>
            <a:solidFill>
              <a:schemeClr val="accent1"/>
            </a:solidFill>
            <a:ln>
              <a:noFill/>
            </a:ln>
            <a:effectLst/>
          </c:spPr>
          <c:cat>
            <c:numRef>
              <c:f>'imm04'!$V$54:$V$83</c:f>
              <c:numCache>
                <c:formatCode>mmm\-yy</c:formatCode>
                <c:ptCount val="3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numCache>
            </c:numRef>
          </c:cat>
          <c:val>
            <c:numRef>
              <c:f>'imm04'!$W$54:$W$83</c:f>
              <c:numCache>
                <c:formatCode>0.00%</c:formatCode>
                <c:ptCount val="30"/>
                <c:pt idx="0">
                  <c:v>0.12740000000000001</c:v>
                </c:pt>
                <c:pt idx="1">
                  <c:v>0.12770000000000001</c:v>
                </c:pt>
                <c:pt idx="2">
                  <c:v>0.12790000000000001</c:v>
                </c:pt>
                <c:pt idx="3">
                  <c:v>0.1275</c:v>
                </c:pt>
                <c:pt idx="4">
                  <c:v>0.12740000000000001</c:v>
                </c:pt>
                <c:pt idx="5">
                  <c:v>0.1275</c:v>
                </c:pt>
                <c:pt idx="6">
                  <c:v>0.12770000000000001</c:v>
                </c:pt>
                <c:pt idx="7">
                  <c:v>0.12790000000000001</c:v>
                </c:pt>
                <c:pt idx="8">
                  <c:v>0.1278</c:v>
                </c:pt>
                <c:pt idx="9">
                  <c:v>0.127</c:v>
                </c:pt>
                <c:pt idx="10">
                  <c:v>0.12670000000000001</c:v>
                </c:pt>
                <c:pt idx="11">
                  <c:v>0.12640000000000001</c:v>
                </c:pt>
                <c:pt idx="12">
                  <c:v>0.1265</c:v>
                </c:pt>
                <c:pt idx="13">
                  <c:v>0.1268</c:v>
                </c:pt>
                <c:pt idx="14">
                  <c:v>0.12640000000000001</c:v>
                </c:pt>
                <c:pt idx="15">
                  <c:v>0.12620000000000001</c:v>
                </c:pt>
                <c:pt idx="16">
                  <c:v>0.12659999999999999</c:v>
                </c:pt>
                <c:pt idx="17">
                  <c:v>0.1265</c:v>
                </c:pt>
                <c:pt idx="18">
                  <c:v>0.1246</c:v>
                </c:pt>
                <c:pt idx="19">
                  <c:v>0.12479999999999999</c:v>
                </c:pt>
                <c:pt idx="20">
                  <c:v>0.12479999999999999</c:v>
                </c:pt>
                <c:pt idx="21">
                  <c:v>0.12330000000000001</c:v>
                </c:pt>
                <c:pt idx="22">
                  <c:v>0.1232</c:v>
                </c:pt>
                <c:pt idx="23">
                  <c:v>0.12330000000000001</c:v>
                </c:pt>
                <c:pt idx="24">
                  <c:v>0.1234</c:v>
                </c:pt>
                <c:pt idx="25">
                  <c:v>0.1232</c:v>
                </c:pt>
                <c:pt idx="26">
                  <c:v>0.1232</c:v>
                </c:pt>
                <c:pt idx="27">
                  <c:v>0.12280000000000001</c:v>
                </c:pt>
                <c:pt idx="28">
                  <c:v>0.1225</c:v>
                </c:pt>
                <c:pt idx="29">
                  <c:v>0.12239999999999999</c:v>
                </c:pt>
              </c:numCache>
            </c:numRef>
          </c:val>
          <c:extLst xmlns:c16r2="http://schemas.microsoft.com/office/drawing/2015/06/chart">
            <c:ext xmlns:c16="http://schemas.microsoft.com/office/drawing/2014/chart" uri="{C3380CC4-5D6E-409C-BE32-E72D297353CC}">
              <c16:uniqueId val="{00000000-4845-47F3-A365-D5D70A554DAA}"/>
            </c:ext>
          </c:extLst>
        </c:ser>
        <c:ser>
          <c:idx val="1"/>
          <c:order val="1"/>
          <c:tx>
            <c:strRef>
              <c:f>'imm04'!$X$5</c:f>
              <c:strCache>
                <c:ptCount val="1"/>
                <c:pt idx="0">
                  <c:v>Tasa de interes pasiva</c:v>
                </c:pt>
              </c:strCache>
            </c:strRef>
          </c:tx>
          <c:spPr>
            <a:solidFill>
              <a:schemeClr val="accent2"/>
            </a:solidFill>
            <a:ln>
              <a:noFill/>
            </a:ln>
            <a:effectLst/>
          </c:spPr>
          <c:cat>
            <c:numRef>
              <c:f>'imm04'!$V$54:$V$83</c:f>
              <c:numCache>
                <c:formatCode>mmm\-yy</c:formatCode>
                <c:ptCount val="3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numCache>
            </c:numRef>
          </c:cat>
          <c:val>
            <c:numRef>
              <c:f>'imm04'!$X$54:$X$83</c:f>
              <c:numCache>
                <c:formatCode>0.00%</c:formatCode>
                <c:ptCount val="30"/>
                <c:pt idx="0">
                  <c:v>5.0500000000000003E-2</c:v>
                </c:pt>
                <c:pt idx="1">
                  <c:v>5.0299999999999997E-2</c:v>
                </c:pt>
                <c:pt idx="2">
                  <c:v>5.0200000000000002E-2</c:v>
                </c:pt>
                <c:pt idx="3">
                  <c:v>5.0099999999999999E-2</c:v>
                </c:pt>
                <c:pt idx="4">
                  <c:v>5.0999999999999997E-2</c:v>
                </c:pt>
                <c:pt idx="5">
                  <c:v>5.0799999999999998E-2</c:v>
                </c:pt>
                <c:pt idx="6">
                  <c:v>5.0299999999999997E-2</c:v>
                </c:pt>
                <c:pt idx="7">
                  <c:v>0.05</c:v>
                </c:pt>
                <c:pt idx="8">
                  <c:v>4.99E-2</c:v>
                </c:pt>
                <c:pt idx="9">
                  <c:v>4.9599999999999998E-2</c:v>
                </c:pt>
                <c:pt idx="10">
                  <c:v>4.9500000000000002E-2</c:v>
                </c:pt>
                <c:pt idx="11">
                  <c:v>4.9099999999999998E-2</c:v>
                </c:pt>
                <c:pt idx="12">
                  <c:v>4.87E-2</c:v>
                </c:pt>
                <c:pt idx="13">
                  <c:v>4.8399999999999999E-2</c:v>
                </c:pt>
                <c:pt idx="14">
                  <c:v>4.82E-2</c:v>
                </c:pt>
                <c:pt idx="15">
                  <c:v>4.7399999999999998E-2</c:v>
                </c:pt>
                <c:pt idx="16">
                  <c:v>4.7300000000000002E-2</c:v>
                </c:pt>
                <c:pt idx="17">
                  <c:v>4.6800000000000001E-2</c:v>
                </c:pt>
                <c:pt idx="18">
                  <c:v>4.5999999999999999E-2</c:v>
                </c:pt>
                <c:pt idx="19">
                  <c:v>4.5600000000000002E-2</c:v>
                </c:pt>
                <c:pt idx="20">
                  <c:v>4.5100000000000001E-2</c:v>
                </c:pt>
                <c:pt idx="21">
                  <c:v>4.4600000000000001E-2</c:v>
                </c:pt>
                <c:pt idx="22">
                  <c:v>4.4200000000000003E-2</c:v>
                </c:pt>
                <c:pt idx="23">
                  <c:v>4.3499999999999997E-2</c:v>
                </c:pt>
                <c:pt idx="24">
                  <c:v>4.3200000000000002E-2</c:v>
                </c:pt>
                <c:pt idx="25">
                  <c:v>4.2900000000000001E-2</c:v>
                </c:pt>
                <c:pt idx="26">
                  <c:v>4.2500000000000003E-2</c:v>
                </c:pt>
                <c:pt idx="27">
                  <c:v>4.2200000000000001E-2</c:v>
                </c:pt>
                <c:pt idx="28">
                  <c:v>4.19E-2</c:v>
                </c:pt>
                <c:pt idx="29">
                  <c:v>4.1500000000000002E-2</c:v>
                </c:pt>
              </c:numCache>
            </c:numRef>
          </c:val>
          <c:extLst xmlns:c16r2="http://schemas.microsoft.com/office/drawing/2015/06/chart">
            <c:ext xmlns:c16="http://schemas.microsoft.com/office/drawing/2014/chart" uri="{C3380CC4-5D6E-409C-BE32-E72D297353CC}">
              <c16:uniqueId val="{00000001-4845-47F3-A365-D5D70A554DAA}"/>
            </c:ext>
          </c:extLst>
        </c:ser>
        <c:dLbls>
          <c:showLegendKey val="0"/>
          <c:showVal val="0"/>
          <c:showCatName val="0"/>
          <c:showSerName val="0"/>
          <c:showPercent val="0"/>
          <c:showBubbleSize val="0"/>
        </c:dLbls>
        <c:axId val="248318976"/>
        <c:axId val="248324864"/>
      </c:areaChart>
      <c:lineChart>
        <c:grouping val="standard"/>
        <c:varyColors val="0"/>
        <c:ser>
          <c:idx val="2"/>
          <c:order val="2"/>
          <c:tx>
            <c:strRef>
              <c:f>'imm04'!$Y$5</c:f>
              <c:strCache>
                <c:ptCount val="1"/>
                <c:pt idx="0">
                  <c:v>Spread</c:v>
                </c:pt>
              </c:strCache>
            </c:strRef>
          </c:tx>
          <c:spPr>
            <a:ln w="28575" cap="rnd">
              <a:solidFill>
                <a:schemeClr val="accent3"/>
              </a:solidFill>
              <a:round/>
            </a:ln>
            <a:effectLst>
              <a:outerShdw blurRad="50800" dist="38100" dir="2700000" algn="tl" rotWithShape="0">
                <a:prstClr val="black">
                  <a:alpha val="40000"/>
                </a:prstClr>
              </a:outerShdw>
            </a:effectLst>
          </c:spPr>
          <c:marker>
            <c:symbol val="none"/>
          </c:marker>
          <c:dLbls>
            <c:dLbl>
              <c:idx val="29"/>
              <c:layout>
                <c:manualLayout>
                  <c:x val="-0.19623054984064064"/>
                  <c:y val="-1.285061787205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0115835520559931"/>
                      <c:h val="7.8634441528142307E-2"/>
                    </c:manualLayout>
                  </c15:layout>
                </c:ext>
                <c:ext xmlns:c16="http://schemas.microsoft.com/office/drawing/2014/chart" uri="{C3380CC4-5D6E-409C-BE32-E72D297353CC}">
                  <c16:uniqueId val="{00000002-4845-47F3-A365-D5D70A554DAA}"/>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'imm04'!$V$54:$V$83</c:f>
              <c:numCache>
                <c:formatCode>mmm\-yy</c:formatCode>
                <c:ptCount val="3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numCache>
            </c:numRef>
          </c:cat>
          <c:val>
            <c:numRef>
              <c:f>'imm04'!$Y$54:$Y$83</c:f>
              <c:numCache>
                <c:formatCode>0.00%</c:formatCode>
                <c:ptCount val="30"/>
                <c:pt idx="0">
                  <c:v>7.690000000000001E-2</c:v>
                </c:pt>
                <c:pt idx="1">
                  <c:v>7.740000000000001E-2</c:v>
                </c:pt>
                <c:pt idx="2">
                  <c:v>7.7700000000000019E-2</c:v>
                </c:pt>
                <c:pt idx="3">
                  <c:v>7.7399999999999997E-2</c:v>
                </c:pt>
                <c:pt idx="4">
                  <c:v>7.6400000000000023E-2</c:v>
                </c:pt>
                <c:pt idx="5">
                  <c:v>7.6700000000000004E-2</c:v>
                </c:pt>
                <c:pt idx="6">
                  <c:v>7.740000000000001E-2</c:v>
                </c:pt>
                <c:pt idx="7">
                  <c:v>7.7900000000000011E-2</c:v>
                </c:pt>
                <c:pt idx="8">
                  <c:v>7.7899999999999997E-2</c:v>
                </c:pt>
                <c:pt idx="9">
                  <c:v>7.7399999999999997E-2</c:v>
                </c:pt>
                <c:pt idx="10">
                  <c:v>7.7200000000000005E-2</c:v>
                </c:pt>
                <c:pt idx="11">
                  <c:v>7.7300000000000008E-2</c:v>
                </c:pt>
                <c:pt idx="12">
                  <c:v>7.7800000000000008E-2</c:v>
                </c:pt>
                <c:pt idx="13">
                  <c:v>7.8399999999999997E-2</c:v>
                </c:pt>
                <c:pt idx="14">
                  <c:v>7.8200000000000019E-2</c:v>
                </c:pt>
                <c:pt idx="15">
                  <c:v>7.8800000000000009E-2</c:v>
                </c:pt>
                <c:pt idx="16">
                  <c:v>7.9299999999999982E-2</c:v>
                </c:pt>
                <c:pt idx="17">
                  <c:v>7.9699999999999993E-2</c:v>
                </c:pt>
                <c:pt idx="18">
                  <c:v>7.8600000000000003E-2</c:v>
                </c:pt>
                <c:pt idx="19">
                  <c:v>7.9199999999999993E-2</c:v>
                </c:pt>
                <c:pt idx="20">
                  <c:v>7.9699999999999993E-2</c:v>
                </c:pt>
                <c:pt idx="21">
                  <c:v>7.8700000000000006E-2</c:v>
                </c:pt>
                <c:pt idx="22">
                  <c:v>7.9000000000000001E-2</c:v>
                </c:pt>
                <c:pt idx="23">
                  <c:v>7.980000000000001E-2</c:v>
                </c:pt>
                <c:pt idx="24">
                  <c:v>8.0199999999999994E-2</c:v>
                </c:pt>
                <c:pt idx="25">
                  <c:v>8.030000000000001E-2</c:v>
                </c:pt>
                <c:pt idx="26">
                  <c:v>8.0699999999999994E-2</c:v>
                </c:pt>
                <c:pt idx="27">
                  <c:v>8.0600000000000005E-2</c:v>
                </c:pt>
                <c:pt idx="28">
                  <c:v>8.0600000000000005E-2</c:v>
                </c:pt>
                <c:pt idx="29">
                  <c:v>8.09E-2</c:v>
                </c:pt>
              </c:numCache>
            </c:numRef>
          </c:val>
          <c:smooth val="0"/>
          <c:extLst xmlns:c16r2="http://schemas.microsoft.com/office/drawing/2015/06/chart">
            <c:ext xmlns:c16="http://schemas.microsoft.com/office/drawing/2014/chart" uri="{C3380CC4-5D6E-409C-BE32-E72D297353CC}">
              <c16:uniqueId val="{00000003-4845-47F3-A365-D5D70A554DAA}"/>
            </c:ext>
          </c:extLst>
        </c:ser>
        <c:dLbls>
          <c:showLegendKey val="0"/>
          <c:showVal val="0"/>
          <c:showCatName val="0"/>
          <c:showSerName val="0"/>
          <c:showPercent val="0"/>
          <c:showBubbleSize val="0"/>
        </c:dLbls>
        <c:marker val="1"/>
        <c:smooth val="0"/>
        <c:axId val="248336384"/>
        <c:axId val="248326400"/>
      </c:lineChart>
      <c:dateAx>
        <c:axId val="2483189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324864"/>
        <c:crosses val="autoZero"/>
        <c:auto val="1"/>
        <c:lblOffset val="100"/>
        <c:baseTimeUnit val="months"/>
      </c:dateAx>
      <c:valAx>
        <c:axId val="248324864"/>
        <c:scaling>
          <c:orientation val="minMax"/>
          <c:max val="0.13"/>
          <c:min val="4.0000000000000008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318976"/>
        <c:crosses val="autoZero"/>
        <c:crossBetween val="between"/>
      </c:valAx>
      <c:valAx>
        <c:axId val="248326400"/>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336384"/>
        <c:crosses val="max"/>
        <c:crossBetween val="between"/>
      </c:valAx>
      <c:dateAx>
        <c:axId val="248336384"/>
        <c:scaling>
          <c:orientation val="minMax"/>
        </c:scaling>
        <c:delete val="1"/>
        <c:axPos val="b"/>
        <c:numFmt formatCode="mmm\-yy" sourceLinked="1"/>
        <c:majorTickMark val="out"/>
        <c:minorTickMark val="none"/>
        <c:tickLblPos val="nextTo"/>
        <c:crossAx val="248326400"/>
        <c:crosses val="autoZero"/>
        <c:auto val="1"/>
        <c:lblOffset val="100"/>
        <c:baseTimeUnit val="months"/>
        <c:majorUnit val="1"/>
        <c:minorUnit val="1"/>
      </c:dateAx>
      <c:spPr>
        <a:noFill/>
        <a:ln>
          <a:noFill/>
        </a:ln>
        <a:effectLst/>
      </c:spPr>
    </c:plotArea>
    <c:legend>
      <c:legendPos val="b"/>
      <c:layout>
        <c:manualLayout>
          <c:xMode val="edge"/>
          <c:yMode val="edge"/>
          <c:x val="4.9999917618583932E-2"/>
          <c:y val="0.92576672827701145"/>
          <c:w val="0.89999983523716787"/>
          <c:h val="7.423327172298849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pPr>
      <a:endParaRPr lang="es-G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'Presup.Vig (2)'!$N$39:$N$42</c:f>
              <c:strCache>
                <c:ptCount val="4"/>
                <c:pt idx="0">
                  <c:v>Ingresos totales</c:v>
                </c:pt>
                <c:pt idx="1">
                  <c:v>Ingresos tributarios</c:v>
                </c:pt>
                <c:pt idx="2">
                  <c:v>Gasto total</c:v>
                </c:pt>
                <c:pt idx="3">
                  <c:v>Déficit</c:v>
                </c:pt>
              </c:strCache>
            </c:strRef>
          </c:cat>
          <c:val>
            <c:numRef>
              <c:f>'Presup.Vig (2)'!$O$39:$O$42</c:f>
            </c:numRef>
          </c:val>
          <c:extLst xmlns:c16r2="http://schemas.microsoft.com/office/drawing/2015/06/chart">
            <c:ext xmlns:c16="http://schemas.microsoft.com/office/drawing/2014/chart" uri="{C3380CC4-5D6E-409C-BE32-E72D297353CC}">
              <c16:uniqueId val="{00000000-261E-4F97-BCD3-E77D173FD393}"/>
            </c:ext>
          </c:extLst>
        </c:ser>
        <c:ser>
          <c:idx val="1"/>
          <c:order val="1"/>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'Presup.Vig (2)'!$N$39:$N$42</c:f>
              <c:strCache>
                <c:ptCount val="4"/>
                <c:pt idx="0">
                  <c:v>Ingresos totales</c:v>
                </c:pt>
                <c:pt idx="1">
                  <c:v>Ingresos tributarios</c:v>
                </c:pt>
                <c:pt idx="2">
                  <c:v>Gasto total</c:v>
                </c:pt>
                <c:pt idx="3">
                  <c:v>Déficit</c:v>
                </c:pt>
              </c:strCache>
            </c:strRef>
          </c:cat>
          <c:val>
            <c:numRef>
              <c:f>'Presup.Vig (2)'!$P$39:$P$42</c:f>
              <c:numCache>
                <c:formatCode>#,##0.0</c:formatCode>
                <c:ptCount val="4"/>
                <c:pt idx="0">
                  <c:v>-1.6377089551415414E-2</c:v>
                </c:pt>
                <c:pt idx="1">
                  <c:v>0.15274074814643868</c:v>
                </c:pt>
                <c:pt idx="2">
                  <c:v>-0.56505017914772726</c:v>
                </c:pt>
                <c:pt idx="3">
                  <c:v>-0.54867308959631189</c:v>
                </c:pt>
              </c:numCache>
            </c:numRef>
          </c:val>
          <c:extLst xmlns:c16r2="http://schemas.microsoft.com/office/drawing/2015/06/chart">
            <c:ext xmlns:c16="http://schemas.microsoft.com/office/drawing/2014/chart" uri="{C3380CC4-5D6E-409C-BE32-E72D297353CC}">
              <c16:uniqueId val="{00000001-261E-4F97-BCD3-E77D173FD393}"/>
            </c:ext>
          </c:extLst>
        </c:ser>
        <c:dLbls>
          <c:showLegendKey val="0"/>
          <c:showVal val="0"/>
          <c:showCatName val="0"/>
          <c:showSerName val="0"/>
          <c:showPercent val="0"/>
          <c:showBubbleSize val="0"/>
        </c:dLbls>
        <c:gapWidth val="150"/>
        <c:axId val="248359168"/>
        <c:axId val="248360960"/>
      </c:barChart>
      <c:catAx>
        <c:axId val="248359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360960"/>
        <c:crosses val="autoZero"/>
        <c:auto val="1"/>
        <c:lblAlgn val="ctr"/>
        <c:lblOffset val="100"/>
        <c:noMultiLvlLbl val="0"/>
      </c:catAx>
      <c:valAx>
        <c:axId val="248360960"/>
        <c:scaling>
          <c:orientation val="minMax"/>
        </c:scaling>
        <c:delete val="1"/>
        <c:axPos val="l"/>
        <c:numFmt formatCode="#,##0.0" sourceLinked="1"/>
        <c:majorTickMark val="none"/>
        <c:minorTickMark val="none"/>
        <c:tickLblPos val="nextTo"/>
        <c:crossAx val="248359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'Presup.Vig (2)'!$N$39:$N$42</c:f>
              <c:strCache>
                <c:ptCount val="4"/>
                <c:pt idx="0">
                  <c:v>Ingresos totales</c:v>
                </c:pt>
                <c:pt idx="1">
                  <c:v>Ingresos tributarios</c:v>
                </c:pt>
                <c:pt idx="2">
                  <c:v>Gasto total</c:v>
                </c:pt>
                <c:pt idx="3">
                  <c:v>Déficit</c:v>
                </c:pt>
              </c:strCache>
            </c:strRef>
          </c:cat>
          <c:val>
            <c:numRef>
              <c:f>'Presup.Vig (2)'!$O$39:$O$42</c:f>
            </c:numRef>
          </c:val>
          <c:extLst xmlns:c16r2="http://schemas.microsoft.com/office/drawing/2015/06/chart">
            <c:ext xmlns:c16="http://schemas.microsoft.com/office/drawing/2014/chart" uri="{C3380CC4-5D6E-409C-BE32-E72D297353CC}">
              <c16:uniqueId val="{00000000-BC5B-4677-8AE9-A0DF2A08D037}"/>
            </c:ext>
          </c:extLst>
        </c:ser>
        <c:ser>
          <c:idx val="1"/>
          <c:order val="1"/>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'Presup.Vig (2)'!$N$39:$N$42</c:f>
              <c:strCache>
                <c:ptCount val="4"/>
                <c:pt idx="0">
                  <c:v>Ingresos totales</c:v>
                </c:pt>
                <c:pt idx="1">
                  <c:v>Ingresos tributarios</c:v>
                </c:pt>
                <c:pt idx="2">
                  <c:v>Gasto total</c:v>
                </c:pt>
                <c:pt idx="3">
                  <c:v>Déficit</c:v>
                </c:pt>
              </c:strCache>
            </c:strRef>
          </c:cat>
          <c:val>
            <c:numRef>
              <c:f>'Presup.Vig (2)'!$Q$39:$Q$42</c:f>
              <c:numCache>
                <c:formatCode>#,##0.0</c:formatCode>
                <c:ptCount val="4"/>
                <c:pt idx="0">
                  <c:v>-0.35549872072606692</c:v>
                </c:pt>
                <c:pt idx="1">
                  <c:v>-0.2419268319740524</c:v>
                </c:pt>
                <c:pt idx="2">
                  <c:v>-0.86353527114252393</c:v>
                </c:pt>
                <c:pt idx="3">
                  <c:v>-0.5080365504164569</c:v>
                </c:pt>
              </c:numCache>
            </c:numRef>
          </c:val>
          <c:extLst xmlns:c16r2="http://schemas.microsoft.com/office/drawing/2015/06/chart">
            <c:ext xmlns:c16="http://schemas.microsoft.com/office/drawing/2014/chart" uri="{C3380CC4-5D6E-409C-BE32-E72D297353CC}">
              <c16:uniqueId val="{00000001-BC5B-4677-8AE9-A0DF2A08D037}"/>
            </c:ext>
          </c:extLst>
        </c:ser>
        <c:dLbls>
          <c:showLegendKey val="0"/>
          <c:showVal val="0"/>
          <c:showCatName val="0"/>
          <c:showSerName val="0"/>
          <c:showPercent val="0"/>
          <c:showBubbleSize val="0"/>
        </c:dLbls>
        <c:gapWidth val="150"/>
        <c:axId val="248714752"/>
        <c:axId val="248716288"/>
      </c:barChart>
      <c:catAx>
        <c:axId val="24871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716288"/>
        <c:crosses val="autoZero"/>
        <c:auto val="1"/>
        <c:lblAlgn val="ctr"/>
        <c:lblOffset val="100"/>
        <c:noMultiLvlLbl val="0"/>
      </c:catAx>
      <c:valAx>
        <c:axId val="248716288"/>
        <c:scaling>
          <c:orientation val="minMax"/>
        </c:scaling>
        <c:delete val="1"/>
        <c:axPos val="l"/>
        <c:numFmt formatCode="#,##0.0" sourceLinked="1"/>
        <c:majorTickMark val="none"/>
        <c:minorTickMark val="none"/>
        <c:tickLblPos val="nextTo"/>
        <c:crossAx val="248714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81544472535049E-2"/>
          <c:y val="0"/>
          <c:w val="0.94943691105492989"/>
          <c:h val="0.85545552606596065"/>
        </c:manualLayout>
      </c:layout>
      <c:barChart>
        <c:barDir val="col"/>
        <c:grouping val="clustered"/>
        <c:varyColors val="0"/>
        <c:ser>
          <c:idx val="0"/>
          <c:order val="0"/>
          <c:spPr>
            <a:solidFill>
              <a:schemeClr val="accent1"/>
            </a:solidFill>
            <a:ln>
              <a:noFill/>
            </a:ln>
            <a:effectLst/>
          </c:spPr>
          <c:invertIfNegative val="0"/>
          <c:cat>
            <c:strRef>
              <c:f>'Presup.Vig (2)'!$N$39:$N$42</c:f>
              <c:strCache>
                <c:ptCount val="4"/>
                <c:pt idx="0">
                  <c:v>Ingresos totales</c:v>
                </c:pt>
                <c:pt idx="1">
                  <c:v>Ingresos tributarios</c:v>
                </c:pt>
                <c:pt idx="2">
                  <c:v>Gasto total</c:v>
                </c:pt>
                <c:pt idx="3">
                  <c:v>Déficit</c:v>
                </c:pt>
              </c:strCache>
            </c:strRef>
          </c:cat>
          <c:val>
            <c:numRef>
              <c:f>'Presup.Vig (2)'!$O$39:$O$42</c:f>
            </c:numRef>
          </c:val>
          <c:extLst xmlns:c16r2="http://schemas.microsoft.com/office/drawing/2015/06/chart">
            <c:ext xmlns:c16="http://schemas.microsoft.com/office/drawing/2014/chart" uri="{C3380CC4-5D6E-409C-BE32-E72D297353CC}">
              <c16:uniqueId val="{00000000-6E65-4C73-8986-31A9DF6AFC15}"/>
            </c:ext>
          </c:extLst>
        </c:ser>
        <c:ser>
          <c:idx val="1"/>
          <c:order val="1"/>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'Presup.Vig (2)'!$N$39:$N$42</c:f>
              <c:strCache>
                <c:ptCount val="4"/>
                <c:pt idx="0">
                  <c:v>Ingresos totales</c:v>
                </c:pt>
                <c:pt idx="1">
                  <c:v>Ingresos tributarios</c:v>
                </c:pt>
                <c:pt idx="2">
                  <c:v>Gasto total</c:v>
                </c:pt>
                <c:pt idx="3">
                  <c:v>Déficit</c:v>
                </c:pt>
              </c:strCache>
            </c:strRef>
          </c:cat>
          <c:val>
            <c:numRef>
              <c:f>'Presup.Vig (2)'!$R$39:$R$42</c:f>
              <c:numCache>
                <c:formatCode>#,##0.0</c:formatCode>
                <c:ptCount val="4"/>
                <c:pt idx="0">
                  <c:v>-0.75480353644141962</c:v>
                </c:pt>
                <c:pt idx="1">
                  <c:v>-0.62551400439235139</c:v>
                </c:pt>
                <c:pt idx="2">
                  <c:v>-1.7742745931769381</c:v>
                </c:pt>
                <c:pt idx="3">
                  <c:v>-1.0194710567355185</c:v>
                </c:pt>
              </c:numCache>
            </c:numRef>
          </c:val>
          <c:extLst xmlns:c16r2="http://schemas.microsoft.com/office/drawing/2015/06/chart">
            <c:ext xmlns:c16="http://schemas.microsoft.com/office/drawing/2014/chart" uri="{C3380CC4-5D6E-409C-BE32-E72D297353CC}">
              <c16:uniqueId val="{00000001-6E65-4C73-8986-31A9DF6AFC15}"/>
            </c:ext>
          </c:extLst>
        </c:ser>
        <c:dLbls>
          <c:showLegendKey val="0"/>
          <c:showVal val="0"/>
          <c:showCatName val="0"/>
          <c:showSerName val="0"/>
          <c:showPercent val="0"/>
          <c:showBubbleSize val="0"/>
        </c:dLbls>
        <c:gapWidth val="150"/>
        <c:axId val="248758656"/>
        <c:axId val="248760192"/>
      </c:barChart>
      <c:catAx>
        <c:axId val="2487586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760192"/>
        <c:crosses val="autoZero"/>
        <c:auto val="1"/>
        <c:lblAlgn val="ctr"/>
        <c:lblOffset val="100"/>
        <c:noMultiLvlLbl val="0"/>
      </c:catAx>
      <c:valAx>
        <c:axId val="248760192"/>
        <c:scaling>
          <c:orientation val="minMax"/>
        </c:scaling>
        <c:delete val="1"/>
        <c:axPos val="l"/>
        <c:numFmt formatCode="#,##0.0" sourceLinked="1"/>
        <c:majorTickMark val="none"/>
        <c:minorTickMark val="none"/>
        <c:tickLblPos val="nextTo"/>
        <c:crossAx val="248758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895441404995269E-2"/>
          <c:y val="2.9925043153389608E-2"/>
          <c:w val="0.95410455859500476"/>
          <c:h val="0.81494502376392153"/>
        </c:manualLayout>
      </c:layout>
      <c:barChart>
        <c:barDir val="col"/>
        <c:grouping val="clustered"/>
        <c:varyColors val="0"/>
        <c:ser>
          <c:idx val="0"/>
          <c:order val="0"/>
          <c:spPr>
            <a:solidFill>
              <a:schemeClr val="accent5"/>
            </a:solidFill>
            <a:ln>
              <a:noFill/>
            </a:ln>
            <a:effectLst/>
          </c:spPr>
          <c:invertIfNegative val="0"/>
          <c:cat>
            <c:numRef>
              <c:f>Hoja3!$R$56:$R$62</c:f>
              <c:numCache>
                <c:formatCode>General</c:formatCode>
                <c:ptCount val="7"/>
                <c:pt idx="0">
                  <c:v>2015</c:v>
                </c:pt>
                <c:pt idx="1">
                  <c:v>2016</c:v>
                </c:pt>
                <c:pt idx="2">
                  <c:v>2017</c:v>
                </c:pt>
                <c:pt idx="3">
                  <c:v>2018</c:v>
                </c:pt>
                <c:pt idx="4">
                  <c:v>2019</c:v>
                </c:pt>
                <c:pt idx="5">
                  <c:v>2020</c:v>
                </c:pt>
                <c:pt idx="6">
                  <c:v>2021</c:v>
                </c:pt>
              </c:numCache>
            </c:numRef>
          </c:cat>
          <c:val>
            <c:numRef>
              <c:f>Hoja3!$S$56:$S$62</c:f>
              <c:numCache>
                <c:formatCode>General</c:formatCode>
                <c:ptCount val="7"/>
                <c:pt idx="0">
                  <c:v>3.1</c:v>
                </c:pt>
                <c:pt idx="1">
                  <c:v>3.2</c:v>
                </c:pt>
                <c:pt idx="2">
                  <c:v>3.7</c:v>
                </c:pt>
                <c:pt idx="3">
                  <c:v>3.6</c:v>
                </c:pt>
                <c:pt idx="4">
                  <c:v>2.8</c:v>
                </c:pt>
                <c:pt idx="5">
                  <c:v>-3.3</c:v>
                </c:pt>
                <c:pt idx="6">
                  <c:v>6</c:v>
                </c:pt>
              </c:numCache>
            </c:numRef>
          </c:val>
          <c:extLst xmlns:c16r2="http://schemas.microsoft.com/office/drawing/2015/06/chart">
            <c:ext xmlns:c16="http://schemas.microsoft.com/office/drawing/2014/chart" uri="{C3380CC4-5D6E-409C-BE32-E72D297353CC}">
              <c16:uniqueId val="{00000000-FBBD-421D-85DD-7D6FBC2EC6EB}"/>
            </c:ext>
          </c:extLst>
        </c:ser>
        <c:dLbls>
          <c:showLegendKey val="0"/>
          <c:showVal val="0"/>
          <c:showCatName val="0"/>
          <c:showSerName val="0"/>
          <c:showPercent val="0"/>
          <c:showBubbleSize val="0"/>
        </c:dLbls>
        <c:gapWidth val="70"/>
        <c:overlap val="-27"/>
        <c:axId val="192856832"/>
        <c:axId val="192858368"/>
      </c:barChart>
      <c:lineChart>
        <c:grouping val="standard"/>
        <c:varyColors val="0"/>
        <c:ser>
          <c:idx val="1"/>
          <c:order val="1"/>
          <c:spPr>
            <a:ln w="0" cap="rnd">
              <a:solidFill>
                <a:srgbClr val="FF0000"/>
              </a:solidFill>
              <a:round/>
            </a:ln>
            <a:effectLst/>
          </c:spPr>
          <c:marker>
            <c:symbol val="circle"/>
            <c:size val="6"/>
            <c:spPr>
              <a:solidFill>
                <a:srgbClr val="FF0000"/>
              </a:solidFill>
              <a:ln w="9525">
                <a:solidFill>
                  <a:srgbClr val="FF0000"/>
                </a:solidFill>
              </a:ln>
              <a:effectLst/>
            </c:spPr>
          </c:marker>
          <c:dLbls>
            <c:dLbl>
              <c:idx val="5"/>
              <c:layout>
                <c:manualLayout>
                  <c:x val="-5.1973712767712198E-2"/>
                  <c:y val="-0.30250310496764465"/>
                </c:manualLayout>
              </c:layout>
              <c:tx>
                <c:rich>
                  <a:bodyPr/>
                  <a:lstStyle/>
                  <a:p>
                    <a:r>
                      <a:rPr lang="en-US"/>
                      <a:t>-3.2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BD-421D-85DD-7D6FBC2EC6E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Hoja3!$R$56:$R$62</c:f>
              <c:numCache>
                <c:formatCode>General</c:formatCode>
                <c:ptCount val="7"/>
                <c:pt idx="0">
                  <c:v>2015</c:v>
                </c:pt>
                <c:pt idx="1">
                  <c:v>2016</c:v>
                </c:pt>
                <c:pt idx="2">
                  <c:v>2017</c:v>
                </c:pt>
                <c:pt idx="3">
                  <c:v>2018</c:v>
                </c:pt>
                <c:pt idx="4">
                  <c:v>2019</c:v>
                </c:pt>
                <c:pt idx="5">
                  <c:v>2020</c:v>
                </c:pt>
                <c:pt idx="6">
                  <c:v>2021</c:v>
                </c:pt>
              </c:numCache>
            </c:numRef>
          </c:cat>
          <c:val>
            <c:numRef>
              <c:f>Hoja3!$T$56:$T$62</c:f>
              <c:numCache>
                <c:formatCode>General</c:formatCode>
                <c:ptCount val="7"/>
                <c:pt idx="0">
                  <c:v>3.1</c:v>
                </c:pt>
                <c:pt idx="1">
                  <c:v>3.2</c:v>
                </c:pt>
                <c:pt idx="2">
                  <c:v>3.7</c:v>
                </c:pt>
                <c:pt idx="3">
                  <c:v>3.6</c:v>
                </c:pt>
                <c:pt idx="4">
                  <c:v>2.8</c:v>
                </c:pt>
                <c:pt idx="5">
                  <c:v>-3.3</c:v>
                </c:pt>
                <c:pt idx="6">
                  <c:v>6</c:v>
                </c:pt>
              </c:numCache>
            </c:numRef>
          </c:val>
          <c:smooth val="1"/>
          <c:extLst xmlns:c16r2="http://schemas.microsoft.com/office/drawing/2015/06/chart">
            <c:ext xmlns:c16="http://schemas.microsoft.com/office/drawing/2014/chart" uri="{C3380CC4-5D6E-409C-BE32-E72D297353CC}">
              <c16:uniqueId val="{00000002-FBBD-421D-85DD-7D6FBC2EC6EB}"/>
            </c:ext>
          </c:extLst>
        </c:ser>
        <c:dLbls>
          <c:showLegendKey val="0"/>
          <c:showVal val="0"/>
          <c:showCatName val="0"/>
          <c:showSerName val="0"/>
          <c:showPercent val="0"/>
          <c:showBubbleSize val="0"/>
        </c:dLbls>
        <c:marker val="1"/>
        <c:smooth val="0"/>
        <c:axId val="192861696"/>
        <c:axId val="192860160"/>
      </c:lineChart>
      <c:catAx>
        <c:axId val="192856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858368"/>
        <c:crosses val="autoZero"/>
        <c:auto val="1"/>
        <c:lblAlgn val="ctr"/>
        <c:lblOffset val="100"/>
        <c:noMultiLvlLbl val="0"/>
      </c:catAx>
      <c:valAx>
        <c:axId val="192858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856832"/>
        <c:crosses val="autoZero"/>
        <c:crossBetween val="between"/>
      </c:valAx>
      <c:valAx>
        <c:axId val="192860160"/>
        <c:scaling>
          <c:orientation val="minMax"/>
        </c:scaling>
        <c:delete val="1"/>
        <c:axPos val="r"/>
        <c:numFmt formatCode="General" sourceLinked="1"/>
        <c:majorTickMark val="out"/>
        <c:minorTickMark val="none"/>
        <c:tickLblPos val="nextTo"/>
        <c:crossAx val="192861696"/>
        <c:crosses val="max"/>
        <c:crossBetween val="between"/>
      </c:valAx>
      <c:catAx>
        <c:axId val="192861696"/>
        <c:scaling>
          <c:orientation val="minMax"/>
        </c:scaling>
        <c:delete val="1"/>
        <c:axPos val="b"/>
        <c:numFmt formatCode="General" sourceLinked="1"/>
        <c:majorTickMark val="out"/>
        <c:minorTickMark val="none"/>
        <c:tickLblPos val="nextTo"/>
        <c:crossAx val="1928601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729658792651E-2"/>
          <c:y val="3.6676626316079278E-2"/>
          <c:w val="0.89887270341207348"/>
          <c:h val="0.72039075162008459"/>
        </c:manualLayout>
      </c:layout>
      <c:barChart>
        <c:barDir val="col"/>
        <c:grouping val="clustered"/>
        <c:varyColors val="0"/>
        <c:ser>
          <c:idx val="3"/>
          <c:order val="3"/>
          <c:tx>
            <c:strRef>
              <c:f>Hoja1!$AA$11</c:f>
              <c:strCache>
                <c:ptCount val="1"/>
                <c:pt idx="0">
                  <c:v>déficit fiscal</c:v>
                </c:pt>
              </c:strCache>
            </c:strRef>
          </c:tx>
          <c:spPr>
            <a:solidFill>
              <a:schemeClr val="accent4"/>
            </a:solidFill>
            <a:ln>
              <a:noFill/>
            </a:ln>
            <a:effectLst>
              <a:outerShdw blurRad="50800" dist="38100" dir="18900000" algn="bl" rotWithShape="0">
                <a:prstClr val="black">
                  <a:alpha val="40000"/>
                </a:prstClr>
              </a:outerShdw>
            </a:effectLst>
          </c:spPr>
          <c:invertIfNegative val="0"/>
          <c:cat>
            <c:numRef>
              <c:f>Hoja1!$Q$12:$Q$16</c:f>
              <c:numCache>
                <c:formatCode>General</c:formatCode>
                <c:ptCount val="5"/>
                <c:pt idx="0">
                  <c:v>2016</c:v>
                </c:pt>
                <c:pt idx="1">
                  <c:v>2017</c:v>
                </c:pt>
                <c:pt idx="2">
                  <c:v>2018</c:v>
                </c:pt>
                <c:pt idx="3">
                  <c:v>2019</c:v>
                </c:pt>
                <c:pt idx="4">
                  <c:v>2020</c:v>
                </c:pt>
              </c:numCache>
            </c:numRef>
          </c:cat>
          <c:val>
            <c:numRef>
              <c:f>Hoja1!$AA$12:$AA$16</c:f>
              <c:numCache>
                <c:formatCode>0.0</c:formatCode>
                <c:ptCount val="5"/>
                <c:pt idx="0">
                  <c:v>0.98558871623989353</c:v>
                </c:pt>
                <c:pt idx="1">
                  <c:v>0.68386999913357727</c:v>
                </c:pt>
                <c:pt idx="2">
                  <c:v>0.5</c:v>
                </c:pt>
                <c:pt idx="3">
                  <c:v>0.5</c:v>
                </c:pt>
                <c:pt idx="4">
                  <c:v>1</c:v>
                </c:pt>
              </c:numCache>
            </c:numRef>
          </c:val>
          <c:extLst xmlns:c16r2="http://schemas.microsoft.com/office/drawing/2015/06/chart">
            <c:ext xmlns:c16="http://schemas.microsoft.com/office/drawing/2014/chart" uri="{C3380CC4-5D6E-409C-BE32-E72D297353CC}">
              <c16:uniqueId val="{00000000-8BD0-4B57-AE2D-831B46871FFE}"/>
            </c:ext>
          </c:extLst>
        </c:ser>
        <c:dLbls>
          <c:showLegendKey val="0"/>
          <c:showVal val="0"/>
          <c:showCatName val="0"/>
          <c:showSerName val="0"/>
          <c:showPercent val="0"/>
          <c:showBubbleSize val="0"/>
        </c:dLbls>
        <c:gapWidth val="80"/>
        <c:overlap val="-27"/>
        <c:axId val="248792960"/>
        <c:axId val="248794496"/>
      </c:barChart>
      <c:lineChart>
        <c:grouping val="standard"/>
        <c:varyColors val="0"/>
        <c:ser>
          <c:idx val="0"/>
          <c:order val="0"/>
          <c:tx>
            <c:strRef>
              <c:f>Hoja1!$X$11</c:f>
              <c:strCache>
                <c:ptCount val="1"/>
                <c:pt idx="0">
                  <c:v>Ingreso Total </c:v>
                </c:pt>
              </c:strCache>
            </c:strRef>
          </c:tx>
          <c:spPr>
            <a:ln w="28575" cap="rnd">
              <a:solidFill>
                <a:schemeClr val="accent1"/>
              </a:solidFill>
              <a:prstDash val="sysDot"/>
              <a:round/>
            </a:ln>
            <a:effectLst>
              <a:outerShdw blurRad="50800" dist="38100" dir="18900000" algn="bl" rotWithShape="0">
                <a:prstClr val="black">
                  <a:alpha val="40000"/>
                </a:prstClr>
              </a:outerShdw>
            </a:effectLst>
          </c:spPr>
          <c:marker>
            <c:symbol val="none"/>
          </c:marker>
          <c:cat>
            <c:numRef>
              <c:f>Hoja1!$Q$12:$Q$16</c:f>
              <c:numCache>
                <c:formatCode>General</c:formatCode>
                <c:ptCount val="5"/>
                <c:pt idx="0">
                  <c:v>2016</c:v>
                </c:pt>
                <c:pt idx="1">
                  <c:v>2017</c:v>
                </c:pt>
                <c:pt idx="2">
                  <c:v>2018</c:v>
                </c:pt>
                <c:pt idx="3">
                  <c:v>2019</c:v>
                </c:pt>
                <c:pt idx="4">
                  <c:v>2020</c:v>
                </c:pt>
              </c:numCache>
            </c:numRef>
          </c:cat>
          <c:val>
            <c:numRef>
              <c:f>Hoja1!$X$12:$X$16</c:f>
              <c:numCache>
                <c:formatCode>0.0</c:formatCode>
                <c:ptCount val="5"/>
                <c:pt idx="0">
                  <c:v>0.13680330301809107</c:v>
                </c:pt>
                <c:pt idx="1">
                  <c:v>0.50074369767215465</c:v>
                </c:pt>
                <c:pt idx="2">
                  <c:v>0</c:v>
                </c:pt>
                <c:pt idx="3">
                  <c:v>0.4</c:v>
                </c:pt>
                <c:pt idx="4">
                  <c:v>0.8</c:v>
                </c:pt>
              </c:numCache>
            </c:numRef>
          </c:val>
          <c:smooth val="0"/>
          <c:extLst xmlns:c16r2="http://schemas.microsoft.com/office/drawing/2015/06/chart">
            <c:ext xmlns:c16="http://schemas.microsoft.com/office/drawing/2014/chart" uri="{C3380CC4-5D6E-409C-BE32-E72D297353CC}">
              <c16:uniqueId val="{00000001-8BD0-4B57-AE2D-831B46871FFE}"/>
            </c:ext>
          </c:extLst>
        </c:ser>
        <c:ser>
          <c:idx val="1"/>
          <c:order val="1"/>
          <c:tx>
            <c:strRef>
              <c:f>Hoja1!$Y$11</c:f>
              <c:strCache>
                <c:ptCount val="1"/>
                <c:pt idx="0">
                  <c:v>Tributarios</c:v>
                </c:pt>
              </c:strCache>
            </c:strRef>
          </c:tx>
          <c:spPr>
            <a:ln w="28575" cap="rnd">
              <a:solidFill>
                <a:schemeClr val="accent2"/>
              </a:solidFill>
              <a:prstDash val="dash"/>
              <a:round/>
            </a:ln>
            <a:effectLst>
              <a:outerShdw blurRad="50800" dist="38100" dir="18900000" algn="bl" rotWithShape="0">
                <a:prstClr val="black">
                  <a:alpha val="40000"/>
                </a:prstClr>
              </a:outerShdw>
            </a:effectLst>
          </c:spPr>
          <c:marker>
            <c:symbol val="none"/>
          </c:marker>
          <c:cat>
            <c:numRef>
              <c:f>Hoja1!$Q$12:$Q$16</c:f>
              <c:numCache>
                <c:formatCode>General</c:formatCode>
                <c:ptCount val="5"/>
                <c:pt idx="0">
                  <c:v>2016</c:v>
                </c:pt>
                <c:pt idx="1">
                  <c:v>2017</c:v>
                </c:pt>
                <c:pt idx="2">
                  <c:v>2018</c:v>
                </c:pt>
                <c:pt idx="3">
                  <c:v>2019</c:v>
                </c:pt>
                <c:pt idx="4">
                  <c:v>2020</c:v>
                </c:pt>
              </c:numCache>
            </c:numRef>
          </c:cat>
          <c:val>
            <c:numRef>
              <c:f>Hoja1!$Y$12:$Y$16</c:f>
              <c:numCache>
                <c:formatCode>0.0</c:formatCode>
                <c:ptCount val="5"/>
                <c:pt idx="0">
                  <c:v>8.8900615659062154E-2</c:v>
                </c:pt>
                <c:pt idx="1">
                  <c:v>0.29048714853899149</c:v>
                </c:pt>
                <c:pt idx="2">
                  <c:v>0.2</c:v>
                </c:pt>
                <c:pt idx="3">
                  <c:v>0.2</c:v>
                </c:pt>
                <c:pt idx="4">
                  <c:v>0.6</c:v>
                </c:pt>
              </c:numCache>
            </c:numRef>
          </c:val>
          <c:smooth val="0"/>
          <c:extLst xmlns:c16r2="http://schemas.microsoft.com/office/drawing/2015/06/chart">
            <c:ext xmlns:c16="http://schemas.microsoft.com/office/drawing/2014/chart" uri="{C3380CC4-5D6E-409C-BE32-E72D297353CC}">
              <c16:uniqueId val="{00000002-8BD0-4B57-AE2D-831B46871FFE}"/>
            </c:ext>
          </c:extLst>
        </c:ser>
        <c:ser>
          <c:idx val="2"/>
          <c:order val="2"/>
          <c:tx>
            <c:strRef>
              <c:f>Hoja1!$Z$11</c:f>
              <c:strCache>
                <c:ptCount val="1"/>
                <c:pt idx="0">
                  <c:v>gasto</c:v>
                </c:pt>
              </c:strCache>
            </c:strRef>
          </c:tx>
          <c:spPr>
            <a:ln w="28575" cap="rnd">
              <a:solidFill>
                <a:schemeClr val="accent3"/>
              </a:solidFill>
              <a:round/>
            </a:ln>
            <a:effectLst>
              <a:outerShdw blurRad="50800" dist="38100" dir="18900000" algn="bl" rotWithShape="0">
                <a:prstClr val="black">
                  <a:alpha val="40000"/>
                </a:prstClr>
              </a:outerShdw>
            </a:effectLst>
          </c:spPr>
          <c:marker>
            <c:symbol val="none"/>
          </c:marker>
          <c:cat>
            <c:numRef>
              <c:f>Hoja1!$Q$12:$Q$16</c:f>
              <c:numCache>
                <c:formatCode>General</c:formatCode>
                <c:ptCount val="5"/>
                <c:pt idx="0">
                  <c:v>2016</c:v>
                </c:pt>
                <c:pt idx="1">
                  <c:v>2017</c:v>
                </c:pt>
                <c:pt idx="2">
                  <c:v>2018</c:v>
                </c:pt>
                <c:pt idx="3">
                  <c:v>2019</c:v>
                </c:pt>
                <c:pt idx="4">
                  <c:v>2020</c:v>
                </c:pt>
              </c:numCache>
            </c:numRef>
          </c:cat>
          <c:val>
            <c:numRef>
              <c:f>Hoja1!$Z$12:$Z$16</c:f>
              <c:numCache>
                <c:formatCode>0.0</c:formatCode>
                <c:ptCount val="5"/>
                <c:pt idx="0">
                  <c:v>1.1223920192579833</c:v>
                </c:pt>
                <c:pt idx="1">
                  <c:v>1.1846136968057337</c:v>
                </c:pt>
                <c:pt idx="2">
                  <c:v>0.6</c:v>
                </c:pt>
                <c:pt idx="3">
                  <c:v>0.9</c:v>
                </c:pt>
                <c:pt idx="4">
                  <c:v>1.8</c:v>
                </c:pt>
              </c:numCache>
            </c:numRef>
          </c:val>
          <c:smooth val="0"/>
          <c:extLst xmlns:c16r2="http://schemas.microsoft.com/office/drawing/2015/06/chart">
            <c:ext xmlns:c16="http://schemas.microsoft.com/office/drawing/2014/chart" uri="{C3380CC4-5D6E-409C-BE32-E72D297353CC}">
              <c16:uniqueId val="{00000003-8BD0-4B57-AE2D-831B46871FFE}"/>
            </c:ext>
          </c:extLst>
        </c:ser>
        <c:dLbls>
          <c:showLegendKey val="0"/>
          <c:showVal val="0"/>
          <c:showCatName val="0"/>
          <c:showSerName val="0"/>
          <c:showPercent val="0"/>
          <c:showBubbleSize val="0"/>
        </c:dLbls>
        <c:marker val="1"/>
        <c:smooth val="0"/>
        <c:axId val="248792960"/>
        <c:axId val="248794496"/>
      </c:lineChart>
      <c:catAx>
        <c:axId val="248792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794496"/>
        <c:crosses val="autoZero"/>
        <c:auto val="1"/>
        <c:lblAlgn val="ctr"/>
        <c:lblOffset val="100"/>
        <c:noMultiLvlLbl val="0"/>
      </c:catAx>
      <c:valAx>
        <c:axId val="24879449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792960"/>
        <c:crosses val="autoZero"/>
        <c:crossBetween val="between"/>
      </c:valAx>
      <c:spPr>
        <a:noFill/>
        <a:ln>
          <a:noFill/>
        </a:ln>
        <a:effectLst/>
      </c:spPr>
    </c:plotArea>
    <c:legend>
      <c:legendPos val="b"/>
      <c:layout>
        <c:manualLayout>
          <c:xMode val="edge"/>
          <c:yMode val="edge"/>
          <c:x val="8.7661795485264787E-2"/>
          <c:y val="0.88321417496717958"/>
          <c:w val="0.82943152077459648"/>
          <c:h val="0.1167858250328204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59083159192454E-2"/>
          <c:y val="0.18659994934996063"/>
          <c:w val="0.89727225433020608"/>
          <c:h val="0.59836901009225862"/>
        </c:manualLayout>
      </c:layout>
      <c:scatterChart>
        <c:scatterStyle val="lineMarker"/>
        <c:varyColors val="0"/>
        <c:ser>
          <c:idx val="0"/>
          <c:order val="0"/>
          <c:spPr>
            <a:ln w="19050" cap="rnd">
              <a:noFill/>
              <a:round/>
            </a:ln>
            <a:effectLst/>
          </c:spPr>
          <c:marker>
            <c:symbol val="plus"/>
            <c:size val="10"/>
            <c:spPr>
              <a:noFill/>
              <a:ln w="9525">
                <a:solidFill>
                  <a:schemeClr val="accent1"/>
                </a:solidFill>
              </a:ln>
              <a:effectLst/>
            </c:spPr>
          </c:marker>
          <c:dPt>
            <c:idx val="2"/>
            <c:marker>
              <c:spPr>
                <a:noFill/>
                <a:ln w="9525">
                  <a:solidFill>
                    <a:srgbClr val="C00000"/>
                  </a:solidFill>
                </a:ln>
                <a:effectLst/>
              </c:spPr>
            </c:marker>
            <c:bubble3D val="0"/>
            <c:extLst xmlns:c16r2="http://schemas.microsoft.com/office/drawing/2015/06/chart">
              <c:ext xmlns:c16="http://schemas.microsoft.com/office/drawing/2014/chart" uri="{C3380CC4-5D6E-409C-BE32-E72D297353CC}">
                <c16:uniqueId val="{00000000-BDE1-4A73-B0D3-4821CBE7271E}"/>
              </c:ext>
            </c:extLst>
          </c:dPt>
          <c:dLbls>
            <c:dLbl>
              <c:idx val="0"/>
              <c:tx>
                <c:rich>
                  <a:bodyPr/>
                  <a:lstStyle/>
                  <a:p>
                    <a:fld id="{C4FDB952-16F1-4BEB-8377-7FFFBE1E3DA7}"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BDE1-4A73-B0D3-4821CBE7271E}"/>
                </c:ext>
              </c:extLst>
            </c:dLbl>
            <c:dLbl>
              <c:idx val="1"/>
              <c:tx>
                <c:rich>
                  <a:bodyPr/>
                  <a:lstStyle/>
                  <a:p>
                    <a:fld id="{0EAE9A4F-01C0-40D4-A9C9-4CE939C095C1}" type="CELLRANGE">
                      <a:rPr lang="es-GT"/>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DE1-4A73-B0D3-4821CBE7271E}"/>
                </c:ext>
              </c:extLst>
            </c:dLbl>
            <c:dLbl>
              <c:idx val="2"/>
              <c:tx>
                <c:rich>
                  <a:bodyPr/>
                  <a:lstStyle/>
                  <a:p>
                    <a:fld id="{37406C19-6B85-4117-8E05-8A91BBE586A2}" type="CELLRANGE">
                      <a:rPr lang="es-GT"/>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DE1-4A73-B0D3-4821CBE7271E}"/>
                </c:ext>
              </c:extLst>
            </c:dLbl>
            <c:dLbl>
              <c:idx val="3"/>
              <c:tx>
                <c:rich>
                  <a:bodyPr/>
                  <a:lstStyle/>
                  <a:p>
                    <a:fld id="{034B031B-13CE-4B4E-873D-EAED0E73AE8D}" type="CELLRANGE">
                      <a:rPr lang="es-GT"/>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DE1-4A73-B0D3-4821CBE7271E}"/>
                </c:ext>
              </c:extLst>
            </c:dLbl>
            <c:dLbl>
              <c:idx val="4"/>
              <c:tx>
                <c:rich>
                  <a:bodyPr/>
                  <a:lstStyle/>
                  <a:p>
                    <a:fld id="{428FE8CB-9E26-43E5-BA6E-6EE53C8E97F1}" type="CELLRANGE">
                      <a:rPr lang="es-GT"/>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DE1-4A73-B0D3-4821CBE7271E}"/>
                </c:ext>
              </c:extLst>
            </c:dLbl>
            <c:dLbl>
              <c:idx val="5"/>
              <c:tx>
                <c:rich>
                  <a:bodyPr/>
                  <a:lstStyle/>
                  <a:p>
                    <a:fld id="{14C8DFA3-7520-4903-8B1F-BB952AF23F31}" type="CELLRANGE">
                      <a:rPr lang="es-GT"/>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DE1-4A73-B0D3-4821CBE7271E}"/>
                </c:ext>
              </c:extLst>
            </c:dLbl>
            <c:dLbl>
              <c:idx val="6"/>
              <c:tx>
                <c:rich>
                  <a:bodyPr/>
                  <a:lstStyle/>
                  <a:p>
                    <a:fld id="{DB768B88-C0C1-4D59-9F1A-6BD99627B00E}"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BDE1-4A73-B0D3-4821CBE7271E}"/>
                </c:ext>
              </c:extLst>
            </c:dLbl>
            <c:dLbl>
              <c:idx val="7"/>
              <c:tx>
                <c:rich>
                  <a:bodyPr/>
                  <a:lstStyle/>
                  <a:p>
                    <a:fld id="{71B8EFDB-C2DF-49D7-806A-4617AD4EF289}" type="CELLRANGE">
                      <a:rPr lang="es-GT"/>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DE1-4A73-B0D3-4821CBE7271E}"/>
                </c:ext>
              </c:extLst>
            </c:dLbl>
            <c:dLbl>
              <c:idx val="8"/>
              <c:tx>
                <c:rich>
                  <a:bodyPr/>
                  <a:lstStyle/>
                  <a:p>
                    <a:fld id="{C254F642-C4D6-45E0-908B-E25C76404B72}"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8-BDE1-4A73-B0D3-4821CBE7271E}"/>
                </c:ext>
              </c:extLst>
            </c:dLbl>
            <c:dLbl>
              <c:idx val="9"/>
              <c:tx>
                <c:rich>
                  <a:bodyPr/>
                  <a:lstStyle/>
                  <a:p>
                    <a:fld id="{8D3C03E5-5709-499B-9871-7B147C5C47B8}"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9-BDE1-4A73-B0D3-4821CBE7271E}"/>
                </c:ext>
              </c:extLst>
            </c:dLbl>
            <c:dLbl>
              <c:idx val="10"/>
              <c:tx>
                <c:rich>
                  <a:bodyPr/>
                  <a:lstStyle/>
                  <a:p>
                    <a:fld id="{278DD594-5FD8-49FF-A168-3AEC21F05619}"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A-BDE1-4A73-B0D3-4821CBE7271E}"/>
                </c:ext>
              </c:extLst>
            </c:dLbl>
            <c:dLbl>
              <c:idx val="11"/>
              <c:tx>
                <c:rich>
                  <a:bodyPr/>
                  <a:lstStyle/>
                  <a:p>
                    <a:fld id="{4FB737C0-97E3-4EB3-A115-F8574236DBB8}"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BDE1-4A73-B0D3-4821CBE7271E}"/>
                </c:ext>
              </c:extLst>
            </c:dLbl>
            <c:dLbl>
              <c:idx val="12"/>
              <c:tx>
                <c:rich>
                  <a:bodyPr/>
                  <a:lstStyle/>
                  <a:p>
                    <a:fld id="{F5337A5F-B395-4BFF-97FF-0AD1FCEC69DE}"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BDE1-4A73-B0D3-4821CBE7271E}"/>
                </c:ext>
              </c:extLst>
            </c:dLbl>
            <c:dLbl>
              <c:idx val="13"/>
              <c:tx>
                <c:rich>
                  <a:bodyPr/>
                  <a:lstStyle/>
                  <a:p>
                    <a:fld id="{0B065207-85F6-408D-B106-B9A25CAE1A87}" type="CELLRANGE">
                      <a:rPr lang="es-GT"/>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DE1-4A73-B0D3-4821CBE7271E}"/>
                </c:ext>
              </c:extLst>
            </c:dLbl>
            <c:dLbl>
              <c:idx val="14"/>
              <c:tx>
                <c:rich>
                  <a:bodyPr/>
                  <a:lstStyle/>
                  <a:p>
                    <a:fld id="{55B0F58E-F89B-4845-84BC-DCF61E381D2B}" type="CELLRANGE">
                      <a:rPr lang="es-GT"/>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DE1-4A73-B0D3-4821CBE7271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'Resumen de escenarios'!$BA$4:$BA$18</c:f>
              <c:numCache>
                <c:formatCode>_-* #,##0_-;\-* #,##0_-;_-* "-"??_-;_-@_-</c:formatCode>
                <c:ptCount val="15"/>
                <c:pt idx="0">
                  <c:v>1850</c:v>
                </c:pt>
                <c:pt idx="1">
                  <c:v>3200</c:v>
                </c:pt>
                <c:pt idx="2">
                  <c:v>4490</c:v>
                </c:pt>
                <c:pt idx="3">
                  <c:v>6010</c:v>
                </c:pt>
                <c:pt idx="4">
                  <c:v>7850</c:v>
                </c:pt>
                <c:pt idx="5">
                  <c:v>8930</c:v>
                </c:pt>
                <c:pt idx="6">
                  <c:v>11880</c:v>
                </c:pt>
                <c:pt idx="7">
                  <c:v>15830</c:v>
                </c:pt>
                <c:pt idx="8">
                  <c:v>2200</c:v>
                </c:pt>
                <c:pt idx="9">
                  <c:v>3650</c:v>
                </c:pt>
                <c:pt idx="10">
                  <c:v>5780</c:v>
                </c:pt>
                <c:pt idx="11">
                  <c:v>7260</c:v>
                </c:pt>
                <c:pt idx="12">
                  <c:v>8480</c:v>
                </c:pt>
                <c:pt idx="13">
                  <c:v>11460</c:v>
                </c:pt>
                <c:pt idx="14">
                  <c:v>13470</c:v>
                </c:pt>
              </c:numCache>
            </c:numRef>
          </c:xVal>
          <c:yVal>
            <c:numRef>
              <c:f>'Resumen de escenarios'!$BB$4:$BB$18</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yVal>
          <c:smooth val="0"/>
          <c:extLst xmlns:c16r2="http://schemas.microsoft.com/office/drawing/2015/06/chart">
            <c:ext xmlns:c15="http://schemas.microsoft.com/office/drawing/2012/chart" uri="{02D57815-91ED-43cb-92C2-25804820EDAC}">
              <c15:datalabelsRange>
                <c15:f>'Resumen de escenarios'!$AZ$4:$AZ$18</c15:f>
                <c15:dlblRangeCache>
                  <c:ptCount val="15"/>
                  <c:pt idx="0">
                    <c:v>NIC</c:v>
                  </c:pt>
                  <c:pt idx="1">
                    <c:v>BOL</c:v>
                  </c:pt>
                  <c:pt idx="2">
                    <c:v>GTM</c:v>
                  </c:pt>
                  <c:pt idx="3">
                    <c:v>PER</c:v>
                  </c:pt>
                  <c:pt idx="4">
                    <c:v>BRA</c:v>
                  </c:pt>
                  <c:pt idx="5">
                    <c:v>ARG</c:v>
                  </c:pt>
                  <c:pt idx="6">
                    <c:v>PAN</c:v>
                  </c:pt>
                  <c:pt idx="7">
                    <c:v>URY</c:v>
                  </c:pt>
                  <c:pt idx="8">
                    <c:v>HND</c:v>
                  </c:pt>
                  <c:pt idx="9">
                    <c:v>SLV</c:v>
                  </c:pt>
                  <c:pt idx="10">
                    <c:v>COL</c:v>
                  </c:pt>
                  <c:pt idx="11">
                    <c:v>DOM</c:v>
                  </c:pt>
                  <c:pt idx="12">
                    <c:v>MEX</c:v>
                  </c:pt>
                  <c:pt idx="13">
                    <c:v>CRI</c:v>
                  </c:pt>
                  <c:pt idx="14">
                    <c:v>CHL</c:v>
                  </c:pt>
                </c15:dlblRangeCache>
              </c15:datalabelsRange>
            </c:ext>
            <c:ext xmlns:c16="http://schemas.microsoft.com/office/drawing/2014/chart" uri="{C3380CC4-5D6E-409C-BE32-E72D297353CC}">
              <c16:uniqueId val="{0000000F-BDE1-4A73-B0D3-4821CBE7271E}"/>
            </c:ext>
          </c:extLst>
        </c:ser>
        <c:dLbls>
          <c:showLegendKey val="0"/>
          <c:showVal val="0"/>
          <c:showCatName val="0"/>
          <c:showSerName val="0"/>
          <c:showPercent val="0"/>
          <c:showBubbleSize val="0"/>
        </c:dLbls>
        <c:axId val="248928512"/>
        <c:axId val="248951168"/>
      </c:scatterChart>
      <c:valAx>
        <c:axId val="248928512"/>
        <c:scaling>
          <c:orientation val="minMax"/>
          <c:max val="18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0" i="0" baseline="0">
                    <a:effectLst/>
                    <a:latin typeface="Times New Roman" panose="02020603050405020304" pitchFamily="18" charset="0"/>
                    <a:cs typeface="Times New Roman" panose="02020603050405020304" pitchFamily="18" charset="0"/>
                  </a:rPr>
                  <a:t>INB per cápita en USD </a:t>
                </a:r>
              </a:p>
            </c:rich>
          </c:tx>
          <c:layout>
            <c:manualLayout>
              <c:xMode val="edge"/>
              <c:yMode val="edge"/>
              <c:x val="0.34965594425160224"/>
              <c:y val="0.88690362890230878"/>
            </c:manualLayout>
          </c:layout>
          <c:overlay val="0"/>
          <c:spPr>
            <a:noFill/>
            <a:ln>
              <a:noFill/>
            </a:ln>
            <a:effectLst/>
          </c:spPr>
        </c:title>
        <c:numFmt formatCode="_-* #,##0_-;\-* #,##0_-;_-* &quot;-&quot;??_-;_-@_-"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951168"/>
        <c:crosses val="autoZero"/>
        <c:crossBetween val="midCat"/>
        <c:majorUnit val="4000"/>
      </c:valAx>
      <c:valAx>
        <c:axId val="248951168"/>
        <c:scaling>
          <c:orientation val="minMax"/>
          <c:max val="0.2"/>
          <c:min val="-0.2"/>
        </c:scaling>
        <c:delete val="1"/>
        <c:axPos val="l"/>
        <c:numFmt formatCode="General" sourceLinked="1"/>
        <c:majorTickMark val="none"/>
        <c:minorTickMark val="none"/>
        <c:tickLblPos val="nextTo"/>
        <c:crossAx val="24892851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73299499581015E-2"/>
          <c:y val="5.5388197120130933E-2"/>
          <c:w val="0.84451436012101222"/>
          <c:h val="0.63850014959907841"/>
        </c:manualLayout>
      </c:layout>
      <c:lineChart>
        <c:grouping val="standard"/>
        <c:varyColors val="0"/>
        <c:ser>
          <c:idx val="0"/>
          <c:order val="0"/>
          <c:tx>
            <c:strRef>
              <c:f>'Indicadores de deuda'!$A$11</c:f>
              <c:strCache>
                <c:ptCount val="1"/>
                <c:pt idx="0">
                  <c:v>Servicio de deuda/ ingresos fiscales SITFIN</c:v>
                </c:pt>
              </c:strCache>
            </c:strRef>
          </c:tx>
          <c:spPr>
            <a:ln w="28575" cap="rnd">
              <a:solidFill>
                <a:schemeClr val="accent1">
                  <a:lumMod val="75000"/>
                </a:schemeClr>
              </a:solidFill>
              <a:round/>
            </a:ln>
            <a:effectLst/>
          </c:spPr>
          <c:marker>
            <c:symbol val="none"/>
          </c:marker>
          <c:dPt>
            <c:idx val="5"/>
            <c:bubble3D val="0"/>
            <c:extLst xmlns:c16r2="http://schemas.microsoft.com/office/drawing/2015/06/chart">
              <c:ext xmlns:c16="http://schemas.microsoft.com/office/drawing/2014/chart" uri="{C3380CC4-5D6E-409C-BE32-E72D297353CC}">
                <c16:uniqueId val="{00000000-3754-4320-AFCC-03EC9EAE117A}"/>
              </c:ext>
            </c:extLst>
          </c:dPt>
          <c:dPt>
            <c:idx val="7"/>
            <c:bubble3D val="0"/>
            <c:extLst xmlns:c16r2="http://schemas.microsoft.com/office/drawing/2015/06/chart">
              <c:ext xmlns:c16="http://schemas.microsoft.com/office/drawing/2014/chart" uri="{C3380CC4-5D6E-409C-BE32-E72D297353CC}">
                <c16:uniqueId val="{00000001-3754-4320-AFCC-03EC9EAE117A}"/>
              </c:ext>
            </c:extLst>
          </c:dPt>
          <c:dPt>
            <c:idx val="11"/>
            <c:marker>
              <c:symbol val="circle"/>
              <c:size val="5"/>
              <c:spPr>
                <a:solidFill>
                  <a:schemeClr val="accent1">
                    <a:lumMod val="50000"/>
                  </a:schemeClr>
                </a:solidFill>
                <a:ln w="9525">
                  <a:noFill/>
                </a:ln>
                <a:effectLst/>
              </c:spPr>
            </c:marker>
            <c:bubble3D val="0"/>
            <c:extLst xmlns:c16r2="http://schemas.microsoft.com/office/drawing/2015/06/chart">
              <c:ext xmlns:c16="http://schemas.microsoft.com/office/drawing/2014/chart" uri="{C3380CC4-5D6E-409C-BE32-E72D297353CC}">
                <c16:uniqueId val="{00000002-3754-4320-AFCC-03EC9EAE117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54-4320-AFCC-03EC9EAE117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754-4320-AFCC-03EC9EAE117A}"/>
                </c:ext>
              </c:extLst>
            </c:dLbl>
            <c:dLbl>
              <c:idx val="3"/>
              <c:layout>
                <c:manualLayout>
                  <c:x val="-0.11559934415925194"/>
                  <c:y val="7.7681297917558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54-4320-AFCC-03EC9EAE117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754-4320-AFCC-03EC9EAE117A}"/>
                </c:ext>
              </c:extLst>
            </c:dLbl>
            <c:dLbl>
              <c:idx val="6"/>
              <c:layout>
                <c:manualLayout>
                  <c:x val="-4.9703952537528504E-2"/>
                  <c:y val="-8.34386582721028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54-4320-AFCC-03EC9EAE117A}"/>
                </c:ext>
              </c:extLst>
            </c:dLbl>
            <c:dLbl>
              <c:idx val="7"/>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54-4320-AFCC-03EC9EAE117A}"/>
                </c:ext>
              </c:extLst>
            </c:dLbl>
            <c:dLbl>
              <c:idx val="8"/>
              <c:layout>
                <c:manualLayout>
                  <c:x val="-0.1155993441592519"/>
                  <c:y val="-7.19239375630136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754-4320-AFCC-03EC9EAE117A}"/>
                </c:ext>
              </c:extLst>
            </c:dLbl>
            <c:dLbl>
              <c:idx val="11"/>
              <c:layout>
                <c:manualLayout>
                  <c:x val="-1.4654868253690759E-2"/>
                  <c:y val="6.62527109460567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754-4320-AFCC-03EC9EAE11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'Indicadores de deuda'!$E$3:$P$3</c:f>
              <c:numCache>
                <c:formatCode>General</c:formatCode>
                <c:ptCount val="12"/>
                <c:pt idx="0">
                  <c:v>2015</c:v>
                </c:pt>
                <c:pt idx="1">
                  <c:v>2016</c:v>
                </c:pt>
                <c:pt idx="2">
                  <c:v>2017</c:v>
                </c:pt>
                <c:pt idx="3">
                  <c:v>2018</c:v>
                </c:pt>
                <c:pt idx="4">
                  <c:v>2019</c:v>
                </c:pt>
                <c:pt idx="5">
                  <c:v>2020</c:v>
                </c:pt>
                <c:pt idx="6">
                  <c:v>2021</c:v>
                </c:pt>
                <c:pt idx="7">
                  <c:v>2022</c:v>
                </c:pt>
                <c:pt idx="8">
                  <c:v>2023</c:v>
                </c:pt>
                <c:pt idx="9">
                  <c:v>2024</c:v>
                </c:pt>
                <c:pt idx="10">
                  <c:v>2025</c:v>
                </c:pt>
                <c:pt idx="11">
                  <c:v>2026</c:v>
                </c:pt>
              </c:numCache>
            </c:numRef>
          </c:cat>
          <c:val>
            <c:numRef>
              <c:f>'Indicadores de deuda'!$E$11:$P$11</c:f>
              <c:numCache>
                <c:formatCode>_-* #,##0.0_-;\-* #,##0.0_-;_-* "-"??_-;_-@_-</c:formatCode>
                <c:ptCount val="12"/>
                <c:pt idx="0">
                  <c:v>27.189025039477567</c:v>
                </c:pt>
                <c:pt idx="1">
                  <c:v>27.586753853807028</c:v>
                </c:pt>
                <c:pt idx="2">
                  <c:v>22.536372572325764</c:v>
                </c:pt>
                <c:pt idx="3">
                  <c:v>22.271901847896043</c:v>
                </c:pt>
                <c:pt idx="4">
                  <c:v>25.363298752896263</c:v>
                </c:pt>
                <c:pt idx="5">
                  <c:v>29.789427743985129</c:v>
                </c:pt>
                <c:pt idx="6">
                  <c:v>27.19574126236574</c:v>
                </c:pt>
                <c:pt idx="7">
                  <c:v>22.6634107610775</c:v>
                </c:pt>
                <c:pt idx="8">
                  <c:v>25.642478962129882</c:v>
                </c:pt>
                <c:pt idx="9">
                  <c:v>28.592164228682464</c:v>
                </c:pt>
                <c:pt idx="10">
                  <c:v>27.64951893909533</c:v>
                </c:pt>
                <c:pt idx="11">
                  <c:v>27.49923090772532</c:v>
                </c:pt>
              </c:numCache>
            </c:numRef>
          </c:val>
          <c:smooth val="1"/>
          <c:extLst xmlns:c16r2="http://schemas.microsoft.com/office/drawing/2015/06/chart">
            <c:ext xmlns:c16="http://schemas.microsoft.com/office/drawing/2014/chart" uri="{C3380CC4-5D6E-409C-BE32-E72D297353CC}">
              <c16:uniqueId val="{00000009-3754-4320-AFCC-03EC9EAE117A}"/>
            </c:ext>
          </c:extLst>
        </c:ser>
        <c:ser>
          <c:idx val="1"/>
          <c:order val="1"/>
          <c:tx>
            <c:strRef>
              <c:f>'Indicadores de deuda'!$A$19</c:f>
              <c:strCache>
                <c:ptCount val="1"/>
                <c:pt idx="0">
                  <c:v>Promedio 2015-2019</c:v>
                </c:pt>
              </c:strCache>
            </c:strRef>
          </c:tx>
          <c:spPr>
            <a:ln w="22225" cap="rnd">
              <a:solidFill>
                <a:schemeClr val="accent2"/>
              </a:solidFill>
              <a:prstDash val="dash"/>
              <a:round/>
            </a:ln>
            <a:effectLst/>
          </c:spPr>
          <c:marker>
            <c:symbol val="none"/>
          </c:marker>
          <c:dLbls>
            <c:dLbl>
              <c:idx val="2"/>
              <c:layout>
                <c:manualLayout>
                  <c:x val="0.1634873015873016"/>
                  <c:y val="5.79940476190475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754-4320-AFCC-03EC9EAE11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s-GT"/>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'Indicadores de deuda'!$E$3:$P$3</c:f>
              <c:numCache>
                <c:formatCode>General</c:formatCode>
                <c:ptCount val="12"/>
                <c:pt idx="0">
                  <c:v>2015</c:v>
                </c:pt>
                <c:pt idx="1">
                  <c:v>2016</c:v>
                </c:pt>
                <c:pt idx="2">
                  <c:v>2017</c:v>
                </c:pt>
                <c:pt idx="3">
                  <c:v>2018</c:v>
                </c:pt>
                <c:pt idx="4">
                  <c:v>2019</c:v>
                </c:pt>
                <c:pt idx="5">
                  <c:v>2020</c:v>
                </c:pt>
                <c:pt idx="6">
                  <c:v>2021</c:v>
                </c:pt>
                <c:pt idx="7">
                  <c:v>2022</c:v>
                </c:pt>
                <c:pt idx="8">
                  <c:v>2023</c:v>
                </c:pt>
                <c:pt idx="9">
                  <c:v>2024</c:v>
                </c:pt>
                <c:pt idx="10">
                  <c:v>2025</c:v>
                </c:pt>
                <c:pt idx="11">
                  <c:v>2026</c:v>
                </c:pt>
              </c:numCache>
            </c:numRef>
          </c:cat>
          <c:val>
            <c:numRef>
              <c:f>'Indicadores de deuda'!$E$19:$K$19</c:f>
              <c:numCache>
                <c:formatCode>_-* #,##0.0_-;\-* #,##0.0_-;_-* "-"??_-;_-@_-</c:formatCode>
                <c:ptCount val="7"/>
                <c:pt idx="0">
                  <c:v>24.989470413280532</c:v>
                </c:pt>
                <c:pt idx="1">
                  <c:v>24.989470413280532</c:v>
                </c:pt>
                <c:pt idx="2">
                  <c:v>24.989470413280532</c:v>
                </c:pt>
                <c:pt idx="3">
                  <c:v>24.989470413280532</c:v>
                </c:pt>
                <c:pt idx="4">
                  <c:v>24.989470413280532</c:v>
                </c:pt>
                <c:pt idx="5">
                  <c:v>24.989470413280532</c:v>
                </c:pt>
                <c:pt idx="6">
                  <c:v>24.989470413280532</c:v>
                </c:pt>
              </c:numCache>
            </c:numRef>
          </c:val>
          <c:smooth val="0"/>
          <c:extLst xmlns:c16r2="http://schemas.microsoft.com/office/drawing/2015/06/chart">
            <c:ext xmlns:c16="http://schemas.microsoft.com/office/drawing/2014/chart" uri="{C3380CC4-5D6E-409C-BE32-E72D297353CC}">
              <c16:uniqueId val="{0000000B-3754-4320-AFCC-03EC9EAE117A}"/>
            </c:ext>
          </c:extLst>
        </c:ser>
        <c:dLbls>
          <c:showLegendKey val="0"/>
          <c:showVal val="0"/>
          <c:showCatName val="0"/>
          <c:showSerName val="0"/>
          <c:showPercent val="0"/>
          <c:showBubbleSize val="0"/>
        </c:dLbls>
        <c:marker val="1"/>
        <c:smooth val="0"/>
        <c:axId val="249080064"/>
        <c:axId val="247795712"/>
      </c:lineChart>
      <c:catAx>
        <c:axId val="24908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7795712"/>
        <c:crosses val="autoZero"/>
        <c:auto val="1"/>
        <c:lblAlgn val="ctr"/>
        <c:lblOffset val="100"/>
        <c:noMultiLvlLbl val="0"/>
      </c:catAx>
      <c:valAx>
        <c:axId val="247795712"/>
        <c:scaling>
          <c:orientation val="minMax"/>
          <c:min val="18"/>
        </c:scaling>
        <c:delete val="1"/>
        <c:axPos val="l"/>
        <c:numFmt formatCode="_-* #,##0.0_-;\-* #,##0.0_-;_-* &quot;-&quot;??_-;_-@_-" sourceLinked="1"/>
        <c:majorTickMark val="out"/>
        <c:minorTickMark val="none"/>
        <c:tickLblPos val="nextTo"/>
        <c:crossAx val="249080064"/>
        <c:crosses val="autoZero"/>
        <c:crossBetween val="midCat"/>
      </c:valAx>
      <c:spPr>
        <a:noFill/>
        <a:ln>
          <a:noFill/>
        </a:ln>
        <a:effectLst/>
      </c:spPr>
    </c:plotArea>
    <c:legend>
      <c:legendPos val="b"/>
      <c:layout>
        <c:manualLayout>
          <c:xMode val="edge"/>
          <c:yMode val="edge"/>
          <c:x val="7.0270064606083621E-2"/>
          <c:y val="0.83137829969072485"/>
          <c:w val="0.83932580751659547"/>
          <c:h val="0.143915480606006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'Indicadores de deuda'!$A$20</c:f>
              <c:strCache>
                <c:ptCount val="1"/>
                <c:pt idx="0">
                  <c:v>Servicios de deuda externa / exportaciones SITFIN</c:v>
                </c:pt>
              </c:strCache>
            </c:strRef>
          </c:tx>
          <c:spPr>
            <a:ln w="28575" cap="rnd">
              <a:solidFill>
                <a:schemeClr val="accent6">
                  <a:lumMod val="75000"/>
                </a:schemeClr>
              </a:solidFill>
              <a:round/>
            </a:ln>
            <a:effectLst/>
          </c:spPr>
          <c:marker>
            <c:symbol val="none"/>
          </c:marker>
          <c:dPt>
            <c:idx val="5"/>
            <c:bubble3D val="0"/>
            <c:extLst xmlns:c16r2="http://schemas.microsoft.com/office/drawing/2015/06/chart">
              <c:ext xmlns:c16="http://schemas.microsoft.com/office/drawing/2014/chart" uri="{C3380CC4-5D6E-409C-BE32-E72D297353CC}">
                <c16:uniqueId val="{00000000-1255-422C-814E-A163D12D1186}"/>
              </c:ext>
            </c:extLst>
          </c:dPt>
          <c:dPt>
            <c:idx val="11"/>
            <c:marker>
              <c:symbol val="circle"/>
              <c:size val="5"/>
              <c:spPr>
                <a:solidFill>
                  <a:schemeClr val="accent6">
                    <a:lumMod val="75000"/>
                  </a:schemeClr>
                </a:solidFill>
                <a:ln w="9525">
                  <a:noFill/>
                </a:ln>
                <a:effectLst/>
              </c:spPr>
            </c:marker>
            <c:bubble3D val="0"/>
            <c:extLst xmlns:c16r2="http://schemas.microsoft.com/office/drawing/2015/06/chart">
              <c:ext xmlns:c16="http://schemas.microsoft.com/office/drawing/2014/chart" uri="{C3380CC4-5D6E-409C-BE32-E72D297353CC}">
                <c16:uniqueId val="{00000001-1255-422C-814E-A163D12D1186}"/>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255-422C-814E-A163D12D1186}"/>
                </c:ext>
              </c:extLst>
            </c:dLbl>
            <c:dLbl>
              <c:idx val="3"/>
              <c:layout>
                <c:manualLayout>
                  <c:x val="-7.1602624179943772E-2"/>
                  <c:y val="3.29386487858433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55-422C-814E-A163D12D118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55-422C-814E-A163D12D1186}"/>
                </c:ext>
              </c:extLst>
            </c:dLbl>
            <c:dLbl>
              <c:idx val="6"/>
              <c:layout>
                <c:manualLayout>
                  <c:x val="-7.1872592592592599E-2"/>
                  <c:y val="5.00208333333332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55-422C-814E-A163D12D11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deuda'!$E$3:$P$3</c:f>
              <c:numCache>
                <c:formatCode>General</c:formatCode>
                <c:ptCount val="12"/>
                <c:pt idx="0">
                  <c:v>2015</c:v>
                </c:pt>
                <c:pt idx="1">
                  <c:v>2016</c:v>
                </c:pt>
                <c:pt idx="2">
                  <c:v>2017</c:v>
                </c:pt>
                <c:pt idx="3">
                  <c:v>2018</c:v>
                </c:pt>
                <c:pt idx="4">
                  <c:v>2019</c:v>
                </c:pt>
                <c:pt idx="5">
                  <c:v>2020</c:v>
                </c:pt>
                <c:pt idx="6">
                  <c:v>2021</c:v>
                </c:pt>
                <c:pt idx="7">
                  <c:v>2022</c:v>
                </c:pt>
                <c:pt idx="8">
                  <c:v>2023</c:v>
                </c:pt>
                <c:pt idx="9">
                  <c:v>2024</c:v>
                </c:pt>
                <c:pt idx="10">
                  <c:v>2025</c:v>
                </c:pt>
                <c:pt idx="11">
                  <c:v>2026</c:v>
                </c:pt>
              </c:numCache>
            </c:numRef>
          </c:cat>
          <c:val>
            <c:numRef>
              <c:f>'Indicadores de deuda'!$E$20:$P$20</c:f>
              <c:numCache>
                <c:formatCode>_-* #,##0.0_-;\-* #,##0.0_-;_-* "-"??_-;_-@_-</c:formatCode>
                <c:ptCount val="12"/>
                <c:pt idx="0">
                  <c:v>5.5064914423409741</c:v>
                </c:pt>
                <c:pt idx="1">
                  <c:v>5.5554284955141329</c:v>
                </c:pt>
                <c:pt idx="2">
                  <c:v>6.1327603365775252</c:v>
                </c:pt>
                <c:pt idx="3">
                  <c:v>5.2340595563764216</c:v>
                </c:pt>
                <c:pt idx="4">
                  <c:v>5.8781049018743223</c:v>
                </c:pt>
                <c:pt idx="5">
                  <c:v>6.5825721527793464</c:v>
                </c:pt>
                <c:pt idx="6">
                  <c:v>6.098676924954483</c:v>
                </c:pt>
                <c:pt idx="7">
                  <c:v>7.3715766679657788</c:v>
                </c:pt>
                <c:pt idx="8">
                  <c:v>6.926386188112696</c:v>
                </c:pt>
                <c:pt idx="9">
                  <c:v>6.7255269684088876</c:v>
                </c:pt>
                <c:pt idx="10">
                  <c:v>6.4562469953121262</c:v>
                </c:pt>
                <c:pt idx="11">
                  <c:v>6.3641600584103646</c:v>
                </c:pt>
              </c:numCache>
            </c:numRef>
          </c:val>
          <c:smooth val="1"/>
          <c:extLst xmlns:c16r2="http://schemas.microsoft.com/office/drawing/2015/06/chart">
            <c:ext xmlns:c16="http://schemas.microsoft.com/office/drawing/2014/chart" uri="{C3380CC4-5D6E-409C-BE32-E72D297353CC}">
              <c16:uniqueId val="{00000006-1255-422C-814E-A163D12D1186}"/>
            </c:ext>
          </c:extLst>
        </c:ser>
        <c:ser>
          <c:idx val="1"/>
          <c:order val="1"/>
          <c:tx>
            <c:strRef>
              <c:f>'Indicadores de deuda'!$A$19</c:f>
              <c:strCache>
                <c:ptCount val="1"/>
                <c:pt idx="0">
                  <c:v>Promedio 2015-2019</c:v>
                </c:pt>
              </c:strCache>
            </c:strRef>
          </c:tx>
          <c:spPr>
            <a:ln w="22225" cap="rnd">
              <a:solidFill>
                <a:srgbClr val="FFC000"/>
              </a:solidFill>
              <a:prstDash val="dash"/>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255-422C-814E-A163D12D11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es-GT"/>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deuda'!$E$3:$P$3</c:f>
              <c:numCache>
                <c:formatCode>General</c:formatCode>
                <c:ptCount val="12"/>
                <c:pt idx="0">
                  <c:v>2015</c:v>
                </c:pt>
                <c:pt idx="1">
                  <c:v>2016</c:v>
                </c:pt>
                <c:pt idx="2">
                  <c:v>2017</c:v>
                </c:pt>
                <c:pt idx="3">
                  <c:v>2018</c:v>
                </c:pt>
                <c:pt idx="4">
                  <c:v>2019</c:v>
                </c:pt>
                <c:pt idx="5">
                  <c:v>2020</c:v>
                </c:pt>
                <c:pt idx="6">
                  <c:v>2021</c:v>
                </c:pt>
                <c:pt idx="7">
                  <c:v>2022</c:v>
                </c:pt>
                <c:pt idx="8">
                  <c:v>2023</c:v>
                </c:pt>
                <c:pt idx="9">
                  <c:v>2024</c:v>
                </c:pt>
                <c:pt idx="10">
                  <c:v>2025</c:v>
                </c:pt>
                <c:pt idx="11">
                  <c:v>2026</c:v>
                </c:pt>
              </c:numCache>
            </c:numRef>
          </c:cat>
          <c:val>
            <c:numRef>
              <c:f>'Indicadores de deuda'!$E$22:$J$22</c:f>
              <c:numCache>
                <c:formatCode>_-* #,##0.0_-;\-* #,##0.0_-;_-* "-"??_-;_-@_-</c:formatCode>
                <c:ptCount val="6"/>
                <c:pt idx="0">
                  <c:v>5.6613689465366752</c:v>
                </c:pt>
                <c:pt idx="1">
                  <c:v>5.6613689465366752</c:v>
                </c:pt>
                <c:pt idx="2">
                  <c:v>5.6613689465366752</c:v>
                </c:pt>
                <c:pt idx="3">
                  <c:v>5.6613689465366752</c:v>
                </c:pt>
                <c:pt idx="4">
                  <c:v>5.6613689465366752</c:v>
                </c:pt>
                <c:pt idx="5">
                  <c:v>5.6613689465366752</c:v>
                </c:pt>
              </c:numCache>
            </c:numRef>
          </c:val>
          <c:smooth val="0"/>
          <c:extLst xmlns:c16r2="http://schemas.microsoft.com/office/drawing/2015/06/chart">
            <c:ext xmlns:c16="http://schemas.microsoft.com/office/drawing/2014/chart" uri="{C3380CC4-5D6E-409C-BE32-E72D297353CC}">
              <c16:uniqueId val="{00000008-1255-422C-814E-A163D12D1186}"/>
            </c:ext>
          </c:extLst>
        </c:ser>
        <c:dLbls>
          <c:showLegendKey val="0"/>
          <c:showVal val="0"/>
          <c:showCatName val="0"/>
          <c:showSerName val="0"/>
          <c:showPercent val="0"/>
          <c:showBubbleSize val="0"/>
        </c:dLbls>
        <c:marker val="1"/>
        <c:smooth val="0"/>
        <c:axId val="247822592"/>
        <c:axId val="247832576"/>
      </c:lineChart>
      <c:catAx>
        <c:axId val="2478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7832576"/>
        <c:crosses val="autoZero"/>
        <c:auto val="1"/>
        <c:lblAlgn val="ctr"/>
        <c:lblOffset val="100"/>
        <c:noMultiLvlLbl val="0"/>
      </c:catAx>
      <c:valAx>
        <c:axId val="247832576"/>
        <c:scaling>
          <c:orientation val="minMax"/>
          <c:min val="5"/>
        </c:scaling>
        <c:delete val="1"/>
        <c:axPos val="l"/>
        <c:numFmt formatCode="_-* #,##0.0_-;\-* #,##0.0_-;_-* &quot;-&quot;??_-;_-@_-" sourceLinked="1"/>
        <c:majorTickMark val="none"/>
        <c:minorTickMark val="none"/>
        <c:tickLblPos val="nextTo"/>
        <c:crossAx val="247822592"/>
        <c:crosses val="autoZero"/>
        <c:crossBetween val="midCat"/>
      </c:valAx>
      <c:spPr>
        <a:noFill/>
        <a:ln>
          <a:noFill/>
        </a:ln>
        <a:effectLst/>
      </c:spPr>
    </c:plotArea>
    <c:legend>
      <c:legendPos val="b"/>
      <c:legendEntry>
        <c:idx val="0"/>
        <c:delete val="1"/>
      </c:legendEntry>
      <c:layout>
        <c:manualLayout>
          <c:xMode val="edge"/>
          <c:yMode val="edge"/>
          <c:x val="0.22086171398209709"/>
          <c:y val="0.91741373407784299"/>
          <c:w val="0.55827620305662351"/>
          <c:h val="8.258626592215702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deuda'!$A$6</c:f>
              <c:strCache>
                <c:ptCount val="1"/>
                <c:pt idx="0">
                  <c:v>Intereses /PIB ASD</c:v>
                </c:pt>
              </c:strCache>
            </c:strRef>
          </c:tx>
          <c:spPr>
            <a:solidFill>
              <a:schemeClr val="accent5">
                <a:lumMod val="50000"/>
              </a:schemeClr>
            </a:solidFill>
            <a:ln>
              <a:noFill/>
            </a:ln>
            <a:effectLst>
              <a:outerShdw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deuda'!$I$3:$P$3</c:f>
              <c:numCache>
                <c:formatCode>General</c:formatCode>
                <c:ptCount val="8"/>
                <c:pt idx="0">
                  <c:v>2019</c:v>
                </c:pt>
                <c:pt idx="1">
                  <c:v>2020</c:v>
                </c:pt>
                <c:pt idx="2">
                  <c:v>2021</c:v>
                </c:pt>
                <c:pt idx="3">
                  <c:v>2022</c:v>
                </c:pt>
                <c:pt idx="4">
                  <c:v>2023</c:v>
                </c:pt>
                <c:pt idx="5">
                  <c:v>2024</c:v>
                </c:pt>
                <c:pt idx="6">
                  <c:v>2025</c:v>
                </c:pt>
                <c:pt idx="7">
                  <c:v>2026</c:v>
                </c:pt>
              </c:numCache>
            </c:numRef>
          </c:cat>
          <c:val>
            <c:numRef>
              <c:f>'Indicadores de deuda'!$I$6:$P$6</c:f>
              <c:numCache>
                <c:formatCode>_-* #,##0.0_-;\-* #,##0.0_-;_-* "-"??_-;_-@_-</c:formatCode>
                <c:ptCount val="8"/>
                <c:pt idx="0">
                  <c:v>1.6345582863800723</c:v>
                </c:pt>
                <c:pt idx="1">
                  <c:v>1.7240886140113927</c:v>
                </c:pt>
                <c:pt idx="2">
                  <c:v>1.8603950991181541</c:v>
                </c:pt>
                <c:pt idx="3">
                  <c:v>1.8778187801217372</c:v>
                </c:pt>
                <c:pt idx="4">
                  <c:v>1.9251582315803146</c:v>
                </c:pt>
                <c:pt idx="5">
                  <c:v>1.9693239385901444</c:v>
                </c:pt>
                <c:pt idx="6">
                  <c:v>1.979323375270122</c:v>
                </c:pt>
                <c:pt idx="7">
                  <c:v>1.9727265077292384</c:v>
                </c:pt>
              </c:numCache>
            </c:numRef>
          </c:val>
          <c:extLst xmlns:c16r2="http://schemas.microsoft.com/office/drawing/2015/06/chart">
            <c:ext xmlns:c16="http://schemas.microsoft.com/office/drawing/2014/chart" uri="{C3380CC4-5D6E-409C-BE32-E72D297353CC}">
              <c16:uniqueId val="{00000000-87B7-41D3-AB7A-2FD27E86BCAC}"/>
            </c:ext>
          </c:extLst>
        </c:ser>
        <c:dLbls>
          <c:showLegendKey val="0"/>
          <c:showVal val="0"/>
          <c:showCatName val="0"/>
          <c:showSerName val="0"/>
          <c:showPercent val="0"/>
          <c:showBubbleSize val="0"/>
        </c:dLbls>
        <c:gapWidth val="60"/>
        <c:overlap val="-27"/>
        <c:axId val="146433152"/>
        <c:axId val="146434688"/>
      </c:barChart>
      <c:catAx>
        <c:axId val="146433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6434688"/>
        <c:crosses val="autoZero"/>
        <c:auto val="1"/>
        <c:lblAlgn val="ctr"/>
        <c:lblOffset val="100"/>
        <c:noMultiLvlLbl val="0"/>
      </c:catAx>
      <c:valAx>
        <c:axId val="146434688"/>
        <c:scaling>
          <c:orientation val="minMax"/>
          <c:min val="0.70000000000000007"/>
        </c:scaling>
        <c:delete val="1"/>
        <c:axPos val="l"/>
        <c:numFmt formatCode="_-* #,##0.0_-;\-* #,##0.0_-;_-* &quot;-&quot;??_-;_-@_-" sourceLinked="1"/>
        <c:majorTickMark val="out"/>
        <c:minorTickMark val="none"/>
        <c:tickLblPos val="nextTo"/>
        <c:crossAx val="146433152"/>
        <c:crosses val="autoZero"/>
        <c:crossBetween val="between"/>
      </c:valAx>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33172368881042E-2"/>
          <c:y val="5.5773806672096325E-2"/>
          <c:w val="0.90290702078846152"/>
          <c:h val="0.78919160565859914"/>
        </c:manualLayout>
      </c:layout>
      <c:barChart>
        <c:barDir val="col"/>
        <c:grouping val="clustered"/>
        <c:varyColors val="0"/>
        <c:ser>
          <c:idx val="0"/>
          <c:order val="0"/>
          <c:tx>
            <c:strRef>
              <c:f>'Indicadores de deuda'!$A$5</c:f>
              <c:strCache>
                <c:ptCount val="1"/>
                <c:pt idx="0">
                  <c:v>Intereses/Ingresos SIT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deuda'!$I$3:$P$3</c:f>
              <c:numCache>
                <c:formatCode>General</c:formatCode>
                <c:ptCount val="8"/>
                <c:pt idx="0">
                  <c:v>2019</c:v>
                </c:pt>
                <c:pt idx="1">
                  <c:v>2020</c:v>
                </c:pt>
                <c:pt idx="2">
                  <c:v>2021</c:v>
                </c:pt>
                <c:pt idx="3">
                  <c:v>2022</c:v>
                </c:pt>
                <c:pt idx="4">
                  <c:v>2023</c:v>
                </c:pt>
                <c:pt idx="5">
                  <c:v>2024</c:v>
                </c:pt>
                <c:pt idx="6">
                  <c:v>2025</c:v>
                </c:pt>
                <c:pt idx="7">
                  <c:v>2026</c:v>
                </c:pt>
              </c:numCache>
            </c:numRef>
          </c:cat>
          <c:val>
            <c:numRef>
              <c:f>'Indicadores de deuda'!$I$5:$P$5</c:f>
              <c:numCache>
                <c:formatCode>_-* #,##0.0_-;\-* #,##0.0_-;_-* "-"??_-;_-@_-</c:formatCode>
                <c:ptCount val="8"/>
                <c:pt idx="0">
                  <c:v>14.558926177791994</c:v>
                </c:pt>
                <c:pt idx="1">
                  <c:v>16.12620486145082</c:v>
                </c:pt>
                <c:pt idx="2">
                  <c:v>16.014528339117255</c:v>
                </c:pt>
                <c:pt idx="3">
                  <c:v>16.291677314069357</c:v>
                </c:pt>
                <c:pt idx="4">
                  <c:v>16.724887459011164</c:v>
                </c:pt>
                <c:pt idx="5">
                  <c:v>17.098771711836747</c:v>
                </c:pt>
                <c:pt idx="6">
                  <c:v>17.168895742084405</c:v>
                </c:pt>
                <c:pt idx="7">
                  <c:v>17.457447391775339</c:v>
                </c:pt>
              </c:numCache>
            </c:numRef>
          </c:val>
          <c:extLst xmlns:c16r2="http://schemas.microsoft.com/office/drawing/2015/06/chart">
            <c:ext xmlns:c16="http://schemas.microsoft.com/office/drawing/2014/chart" uri="{C3380CC4-5D6E-409C-BE32-E72D297353CC}">
              <c16:uniqueId val="{00000000-DC8D-4E36-8886-3E645279C0E9}"/>
            </c:ext>
          </c:extLst>
        </c:ser>
        <c:dLbls>
          <c:showLegendKey val="0"/>
          <c:showVal val="0"/>
          <c:showCatName val="0"/>
          <c:showSerName val="0"/>
          <c:showPercent val="0"/>
          <c:showBubbleSize val="0"/>
        </c:dLbls>
        <c:gapWidth val="50"/>
        <c:overlap val="-27"/>
        <c:axId val="247852032"/>
        <c:axId val="248853248"/>
      </c:barChart>
      <c:catAx>
        <c:axId val="24785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853248"/>
        <c:crosses val="autoZero"/>
        <c:auto val="1"/>
        <c:lblAlgn val="ctr"/>
        <c:lblOffset val="100"/>
        <c:noMultiLvlLbl val="0"/>
      </c:catAx>
      <c:valAx>
        <c:axId val="248853248"/>
        <c:scaling>
          <c:orientation val="minMax"/>
          <c:min val="10"/>
        </c:scaling>
        <c:delete val="1"/>
        <c:axPos val="l"/>
        <c:numFmt formatCode="_-* #,##0.0_-;\-* #,##0.0_-;_-* &quot;-&quot;??_-;_-@_-" sourceLinked="1"/>
        <c:majorTickMark val="out"/>
        <c:minorTickMark val="none"/>
        <c:tickLblPos val="nextTo"/>
        <c:crossAx val="247852032"/>
        <c:crosses val="autoZero"/>
        <c:crossBetween val="between"/>
      </c:valAx>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48672166409536E-2"/>
          <c:y val="6.9193343636664115E-2"/>
          <c:w val="0.8441026556671809"/>
          <c:h val="0.76737778019962033"/>
        </c:manualLayout>
      </c:layout>
      <c:barChart>
        <c:barDir val="col"/>
        <c:grouping val="clustered"/>
        <c:varyColors val="0"/>
        <c:ser>
          <c:idx val="0"/>
          <c:order val="0"/>
          <c:tx>
            <c:strRef>
              <c:f>'Indicadores de deuda'!$A$6</c:f>
              <c:strCache>
                <c:ptCount val="1"/>
                <c:pt idx="0">
                  <c:v>Intereses /PIB ASD</c:v>
                </c:pt>
              </c:strCache>
            </c:strRef>
          </c:tx>
          <c:spPr>
            <a:solidFill>
              <a:schemeClr val="accent6">
                <a:lumMod val="75000"/>
              </a:schemeClr>
            </a:solidFill>
            <a:ln>
              <a:noFill/>
            </a:ln>
            <a:effectLst>
              <a:outerShdw dist="38100" dir="5400000" algn="t" rotWithShape="0">
                <a:prstClr val="black">
                  <a:alpha val="40000"/>
                </a:prstClr>
              </a:outerShdw>
            </a:effectLst>
          </c:spPr>
          <c:invertIfNegative val="0"/>
          <c:dLbls>
            <c:dLbl>
              <c:idx val="0"/>
              <c:layout>
                <c:manualLayout>
                  <c:x val="-1.4174344436569808E-2"/>
                  <c:y val="1.15340253748558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18-4263-B49A-6E91CD2C096B}"/>
                </c:ext>
              </c:extLst>
            </c:dLbl>
            <c:dLbl>
              <c:idx val="3"/>
              <c:layout>
                <c:manualLayout>
                  <c:x val="0"/>
                  <c:y val="1.15340253748557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18-4263-B49A-6E91CD2C096B}"/>
                </c:ext>
              </c:extLst>
            </c:dLbl>
            <c:dLbl>
              <c:idx val="5"/>
              <c:layout>
                <c:manualLayout>
                  <c:x val="-1.2992998970622812E-16"/>
                  <c:y val="-1.15340253748558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18-4263-B49A-6E91CD2C096B}"/>
                </c:ext>
              </c:extLst>
            </c:dLbl>
            <c:dLbl>
              <c:idx val="6"/>
              <c:layout>
                <c:manualLayout>
                  <c:x val="0"/>
                  <c:y val="-1.73010380622837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18-4263-B49A-6E91CD2C096B}"/>
                </c:ext>
              </c:extLst>
            </c:dLbl>
            <c:spPr>
              <a:noFill/>
              <a:ln>
                <a:noFill/>
              </a:ln>
              <a:effectLst/>
            </c:spPr>
            <c:txPr>
              <a:bodyPr rot="0" vert="horz"/>
              <a:lstStyle/>
              <a:p>
                <a:pPr>
                  <a:defRPr sz="800" b="1">
                    <a:solidFill>
                      <a:schemeClr val="accent6">
                        <a:lumMod val="75000"/>
                      </a:schemeClr>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'Indicadores de deuda'!$D$3:$J$3</c:f>
              <c:numCache>
                <c:formatCode>General</c:formatCode>
                <c:ptCount val="7"/>
                <c:pt idx="0">
                  <c:v>2014</c:v>
                </c:pt>
                <c:pt idx="1">
                  <c:v>2015</c:v>
                </c:pt>
                <c:pt idx="2">
                  <c:v>2016</c:v>
                </c:pt>
                <c:pt idx="3">
                  <c:v>2017</c:v>
                </c:pt>
                <c:pt idx="4">
                  <c:v>2018</c:v>
                </c:pt>
                <c:pt idx="5">
                  <c:v>2019</c:v>
                </c:pt>
                <c:pt idx="6">
                  <c:v>2020</c:v>
                </c:pt>
              </c:numCache>
            </c:numRef>
          </c:cat>
          <c:val>
            <c:numRef>
              <c:f>'Indicadores de deuda'!$D$10:$J$10</c:f>
              <c:numCache>
                <c:formatCode>_-* #,##0.0_-;\-* #,##0.0_-;_-* "-"??_-;_-@_-</c:formatCode>
                <c:ptCount val="7"/>
                <c:pt idx="0">
                  <c:v>104.17873645101552</c:v>
                </c:pt>
                <c:pt idx="1">
                  <c:v>103.48804289259095</c:v>
                </c:pt>
                <c:pt idx="2">
                  <c:v>114.28337724741256</c:v>
                </c:pt>
                <c:pt idx="3">
                  <c:v>143.82436216371178</c:v>
                </c:pt>
                <c:pt idx="4">
                  <c:v>155.08977355653192</c:v>
                </c:pt>
                <c:pt idx="5">
                  <c:v>162.41274701767884</c:v>
                </c:pt>
                <c:pt idx="6">
                  <c:v>176.73292014969022</c:v>
                </c:pt>
              </c:numCache>
            </c:numRef>
          </c:val>
          <c:extLst xmlns:c16r2="http://schemas.microsoft.com/office/drawing/2015/06/chart">
            <c:ext xmlns:c16="http://schemas.microsoft.com/office/drawing/2014/chart" uri="{C3380CC4-5D6E-409C-BE32-E72D297353CC}">
              <c16:uniqueId val="{00000000-2618-4263-B49A-6E91CD2C096B}"/>
            </c:ext>
          </c:extLst>
        </c:ser>
        <c:dLbls>
          <c:showLegendKey val="0"/>
          <c:showVal val="0"/>
          <c:showCatName val="0"/>
          <c:showSerName val="0"/>
          <c:showPercent val="0"/>
          <c:showBubbleSize val="0"/>
        </c:dLbls>
        <c:gapWidth val="60"/>
        <c:overlap val="-27"/>
        <c:axId val="248883840"/>
        <c:axId val="248885632"/>
      </c:barChart>
      <c:catAx>
        <c:axId val="248883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vert="horz"/>
          <a:lstStyle/>
          <a:p>
            <a:pPr>
              <a:defRPr sz="800">
                <a:solidFill>
                  <a:schemeClr val="tx1">
                    <a:lumMod val="65000"/>
                    <a:lumOff val="35000"/>
                  </a:schemeClr>
                </a:solidFill>
                <a:latin typeface="Times New Roman" panose="02020603050405020304" pitchFamily="18" charset="0"/>
                <a:cs typeface="Times New Roman" panose="02020603050405020304" pitchFamily="18" charset="0"/>
              </a:defRPr>
            </a:pPr>
            <a:endParaRPr lang="es-GT"/>
          </a:p>
        </c:txPr>
        <c:crossAx val="248885632"/>
        <c:crosses val="autoZero"/>
        <c:auto val="1"/>
        <c:lblAlgn val="ctr"/>
        <c:lblOffset val="100"/>
        <c:noMultiLvlLbl val="0"/>
      </c:catAx>
      <c:valAx>
        <c:axId val="248885632"/>
        <c:scaling>
          <c:orientation val="minMax"/>
          <c:min val="0.70000000000000007"/>
        </c:scaling>
        <c:delete val="1"/>
        <c:axPos val="l"/>
        <c:numFmt formatCode="_-* #,##0.0_-;\-* #,##0.0_-;_-* &quot;-&quot;??_-;_-@_-" sourceLinked="1"/>
        <c:majorTickMark val="out"/>
        <c:minorTickMark val="none"/>
        <c:tickLblPos val="nextTo"/>
        <c:crossAx val="248883840"/>
        <c:crosses val="autoZero"/>
        <c:crossBetween val="between"/>
      </c:valAx>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900"/>
      </a:pPr>
      <a:endParaRPr lang="es-G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91312094647566E-2"/>
          <c:y val="4.7849020413755307E-2"/>
          <c:w val="0.95926876202694056"/>
          <c:h val="0.73020961775585702"/>
        </c:manualLayout>
      </c:layout>
      <c:barChart>
        <c:barDir val="col"/>
        <c:grouping val="clustered"/>
        <c:varyColors val="0"/>
        <c:ser>
          <c:idx val="0"/>
          <c:order val="0"/>
          <c:tx>
            <c:strRef>
              <c:f>'Deuda otros'!$H$3</c:f>
              <c:strCache>
                <c:ptCount val="1"/>
                <c:pt idx="0">
                  <c:v>2019</c:v>
                </c:pt>
              </c:strCache>
            </c:strRef>
          </c:tx>
          <c:spPr>
            <a:gradFill>
              <a:gsLst>
                <a:gs pos="0">
                  <a:schemeClr val="bg1">
                    <a:lumMod val="50000"/>
                  </a:schemeClr>
                </a:gs>
                <a:gs pos="0">
                  <a:schemeClr val="bg1">
                    <a:lumMod val="50000"/>
                  </a:schemeClr>
                </a:gs>
                <a:gs pos="100000">
                  <a:schemeClr val="bg1">
                    <a:lumMod val="65000"/>
                  </a:schemeClr>
                </a:gs>
                <a:gs pos="100000">
                  <a:schemeClr val="bg2">
                    <a:lumMod val="90000"/>
                  </a:schemeClr>
                </a:gs>
              </a:gsLst>
              <a:lin ang="5400000" scaled="0"/>
            </a:gradFill>
            <a:ln>
              <a:noFill/>
            </a:ln>
            <a:effectLst>
              <a:outerShdw blurRad="50800" dist="38100" dir="5400000" algn="t" rotWithShape="0">
                <a:prstClr val="black">
                  <a:alpha val="40000"/>
                </a:prstClr>
              </a:outerShdw>
            </a:effectLst>
          </c:spPr>
          <c:invertIfNegative val="0"/>
          <c:dLbls>
            <c:dLbl>
              <c:idx val="0"/>
              <c:layout>
                <c:manualLayout>
                  <c:x val="-6.8022220865811339E-3"/>
                  <c:y val="4.39574768415188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5A2-416D-A5D6-19C0DB3E6917}"/>
                </c:ext>
              </c:extLst>
            </c:dLbl>
            <c:dLbl>
              <c:idx val="1"/>
              <c:layout>
                <c:manualLayout>
                  <c:x val="-2.2666339700254819E-3"/>
                  <c:y val="4.3809146659914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5A2-416D-A5D6-19C0DB3E6917}"/>
                </c:ext>
              </c:extLst>
            </c:dLbl>
            <c:dLbl>
              <c:idx val="2"/>
              <c:layout>
                <c:manualLayout>
                  <c:x val="-6.8070235619493158E-3"/>
                  <c:y val="8.79160436395857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5A2-416D-A5D6-19C0DB3E6917}"/>
                </c:ext>
              </c:extLst>
            </c:dLbl>
            <c:dLbl>
              <c:idx val="4"/>
              <c:layout>
                <c:manualLayout>
                  <c:x val="-8.3195993558829699E-17"/>
                  <c:y val="1.3187406545937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5A2-416D-A5D6-19C0DB3E6917}"/>
                </c:ext>
              </c:extLst>
            </c:dLbl>
            <c:dLbl>
              <c:idx val="5"/>
              <c:layout>
                <c:manualLayout>
                  <c:x val="0"/>
                  <c:y val="8.79160436395857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5A2-416D-A5D6-19C0DB3E6917}"/>
                </c:ext>
              </c:extLst>
            </c:dLbl>
            <c:dLbl>
              <c:idx val="6"/>
              <c:layout>
                <c:manualLayout>
                  <c:x val="-8.3195993558829699E-17"/>
                  <c:y val="8.7916043639584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5A2-416D-A5D6-19C0DB3E6917}"/>
                </c:ext>
              </c:extLst>
            </c:dLbl>
            <c:dLbl>
              <c:idx val="7"/>
              <c:layout>
                <c:manualLayout>
                  <c:x val="0"/>
                  <c:y val="1.3187406545937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5A2-416D-A5D6-19C0DB3E69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'Deuda otros'!$G$4:$G$11</c:f>
              <c:strCache>
                <c:ptCount val="8"/>
                <c:pt idx="0">
                  <c:v>Economias avanzadas</c:v>
                </c:pt>
                <c:pt idx="1">
                  <c:v>Latinoamérica y el Caribe</c:v>
                </c:pt>
                <c:pt idx="2">
                  <c:v>E.E.U.U</c:v>
                </c:pt>
                <c:pt idx="3">
                  <c:v>Brasil</c:v>
                </c:pt>
                <c:pt idx="4">
                  <c:v>México</c:v>
                </c:pt>
                <c:pt idx="5">
                  <c:v>Perú</c:v>
                </c:pt>
                <c:pt idx="6">
                  <c:v>Chile</c:v>
                </c:pt>
                <c:pt idx="7">
                  <c:v>Guatemala</c:v>
                </c:pt>
              </c:strCache>
            </c:strRef>
          </c:cat>
          <c:val>
            <c:numRef>
              <c:f>'Deuda otros'!$H$4:$H$11</c:f>
              <c:numCache>
                <c:formatCode>_-* #,##0.0_-;\-* #,##0.0_-;_-* "-"??_-;_-@_-</c:formatCode>
                <c:ptCount val="8"/>
                <c:pt idx="0">
                  <c:v>103.78</c:v>
                </c:pt>
                <c:pt idx="1">
                  <c:v>68.08</c:v>
                </c:pt>
                <c:pt idx="2">
                  <c:v>108.19</c:v>
                </c:pt>
                <c:pt idx="3">
                  <c:v>87.658000000000001</c:v>
                </c:pt>
                <c:pt idx="4">
                  <c:v>53.301000000000002</c:v>
                </c:pt>
                <c:pt idx="5">
                  <c:v>27.094000000000001</c:v>
                </c:pt>
                <c:pt idx="6">
                  <c:v>28.204999999999998</c:v>
                </c:pt>
                <c:pt idx="7">
                  <c:v>26.539456130715767</c:v>
                </c:pt>
              </c:numCache>
            </c:numRef>
          </c:val>
          <c:extLst xmlns:c16r2="http://schemas.microsoft.com/office/drawing/2015/06/chart">
            <c:ext xmlns:c16="http://schemas.microsoft.com/office/drawing/2014/chart" uri="{C3380CC4-5D6E-409C-BE32-E72D297353CC}">
              <c16:uniqueId val="{00000007-35A2-416D-A5D6-19C0DB3E6917}"/>
            </c:ext>
          </c:extLst>
        </c:ser>
        <c:ser>
          <c:idx val="1"/>
          <c:order val="1"/>
          <c:tx>
            <c:strRef>
              <c:f>'Deuda otros'!$I$3</c:f>
              <c:strCache>
                <c:ptCount val="1"/>
                <c:pt idx="0">
                  <c:v>2020 e/</c:v>
                </c:pt>
              </c:strCache>
            </c:strRef>
          </c:tx>
          <c:spPr>
            <a:gradFill>
              <a:gsLst>
                <a:gs pos="0">
                  <a:schemeClr val="accent4"/>
                </a:gs>
                <a:gs pos="0">
                  <a:schemeClr val="accent5">
                    <a:lumMod val="50000"/>
                  </a:schemeClr>
                </a:gs>
                <a:gs pos="97000">
                  <a:schemeClr val="accent5">
                    <a:lumMod val="75000"/>
                  </a:schemeClr>
                </a:gs>
                <a:gs pos="100000">
                  <a:schemeClr val="accent5">
                    <a:lumMod val="60000"/>
                    <a:lumOff val="40000"/>
                  </a:schemeClr>
                </a:gs>
              </a:gsLst>
              <a:lin ang="5400000" scaled="0"/>
            </a:gradFill>
            <a:ln>
              <a:noFill/>
            </a:ln>
            <a:effectLst>
              <a:outerShdw blurRad="50800" dist="38100" dir="5400000" algn="t" rotWithShape="0">
                <a:prstClr val="black">
                  <a:alpha val="40000"/>
                </a:prstClr>
              </a:outerShdw>
            </a:effectLst>
          </c:spPr>
          <c:invertIfNegative val="0"/>
          <c:dLbls>
            <c:dLbl>
              <c:idx val="0"/>
              <c:layout>
                <c:manualLayout>
                  <c:x val="-9.05897960303877E-3"/>
                  <c:y val="8.79152892951456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5A2-416D-A5D6-19C0DB3E6917}"/>
                </c:ext>
              </c:extLst>
            </c:dLbl>
            <c:dLbl>
              <c:idx val="1"/>
              <c:layout>
                <c:manualLayout>
                  <c:x val="-2.2690078539830704E-3"/>
                  <c:y val="8.79160436395857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5A2-416D-A5D6-19C0DB3E6917}"/>
                </c:ext>
              </c:extLst>
            </c:dLbl>
            <c:dLbl>
              <c:idx val="2"/>
              <c:layout>
                <c:manualLayout>
                  <c:x val="-2.2690078539831329E-3"/>
                  <c:y val="1.3187406545937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5A2-416D-A5D6-19C0DB3E6917}"/>
                </c:ext>
              </c:extLst>
            </c:dLbl>
            <c:dLbl>
              <c:idx val="4"/>
              <c:layout>
                <c:manualLayout>
                  <c:x val="-2.2690078539830912E-3"/>
                  <c:y val="1.3187406545937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5A2-416D-A5D6-19C0DB3E6917}"/>
                </c:ext>
              </c:extLst>
            </c:dLbl>
            <c:dLbl>
              <c:idx val="5"/>
              <c:layout>
                <c:manualLayout>
                  <c:x val="0"/>
                  <c:y val="1.7583208727917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5A2-416D-A5D6-19C0DB3E6917}"/>
                </c:ext>
              </c:extLst>
            </c:dLbl>
            <c:dLbl>
              <c:idx val="6"/>
              <c:layout>
                <c:manualLayout>
                  <c:x val="-2.2666339700254611E-3"/>
                  <c:y val="4.39574768415184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5A2-416D-A5D6-19C0DB3E69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otros'!$G$4:$G$11</c:f>
              <c:strCache>
                <c:ptCount val="8"/>
                <c:pt idx="0">
                  <c:v>Economias avanzadas</c:v>
                </c:pt>
                <c:pt idx="1">
                  <c:v>Latinoamérica y el Caribe</c:v>
                </c:pt>
                <c:pt idx="2">
                  <c:v>E.E.U.U</c:v>
                </c:pt>
                <c:pt idx="3">
                  <c:v>Brasil</c:v>
                </c:pt>
                <c:pt idx="4">
                  <c:v>México</c:v>
                </c:pt>
                <c:pt idx="5">
                  <c:v>Perú</c:v>
                </c:pt>
                <c:pt idx="6">
                  <c:v>Chile</c:v>
                </c:pt>
                <c:pt idx="7">
                  <c:v>Guatemala</c:v>
                </c:pt>
              </c:strCache>
            </c:strRef>
          </c:cat>
          <c:val>
            <c:numRef>
              <c:f>'Deuda otros'!$I$4:$I$11</c:f>
              <c:numCache>
                <c:formatCode>_-* #,##0.0_-;\-* #,##0.0_-;_-* "-"??_-;_-@_-</c:formatCode>
                <c:ptCount val="8"/>
                <c:pt idx="0">
                  <c:v>120.122</c:v>
                </c:pt>
                <c:pt idx="1">
                  <c:v>77.231999999999999</c:v>
                </c:pt>
                <c:pt idx="2">
                  <c:v>127.113</c:v>
                </c:pt>
                <c:pt idx="3">
                  <c:v>98.942999999999998</c:v>
                </c:pt>
                <c:pt idx="4">
                  <c:v>60.588999999999999</c:v>
                </c:pt>
                <c:pt idx="5">
                  <c:v>35.363999999999997</c:v>
                </c:pt>
                <c:pt idx="6">
                  <c:v>32.542000000000002</c:v>
                </c:pt>
                <c:pt idx="7">
                  <c:v>31.571482495894877</c:v>
                </c:pt>
              </c:numCache>
            </c:numRef>
          </c:val>
          <c:extLst xmlns:c16r2="http://schemas.microsoft.com/office/drawing/2015/06/chart">
            <c:ext xmlns:c16="http://schemas.microsoft.com/office/drawing/2014/chart" uri="{C3380CC4-5D6E-409C-BE32-E72D297353CC}">
              <c16:uniqueId val="{0000000E-35A2-416D-A5D6-19C0DB3E6917}"/>
            </c:ext>
          </c:extLst>
        </c:ser>
        <c:ser>
          <c:idx val="2"/>
          <c:order val="2"/>
          <c:tx>
            <c:strRef>
              <c:f>'Deuda otros'!$J$3</c:f>
              <c:strCache>
                <c:ptCount val="1"/>
                <c:pt idx="0">
                  <c:v>2021 py/</c:v>
                </c:pt>
              </c:strCache>
            </c:strRef>
          </c:tx>
          <c:spPr>
            <a:gradFill>
              <a:gsLst>
                <a:gs pos="0">
                  <a:schemeClr val="accent4"/>
                </a:gs>
                <a:gs pos="100000">
                  <a:schemeClr val="accent4">
                    <a:lumMod val="60000"/>
                    <a:lumOff val="40000"/>
                  </a:schemeClr>
                </a:gs>
                <a:gs pos="100000">
                  <a:schemeClr val="accent4">
                    <a:lumMod val="60000"/>
                    <a:lumOff val="40000"/>
                  </a:schemeClr>
                </a:gs>
              </a:gsLst>
              <a:lin ang="5400000" scaled="0"/>
            </a:gradFill>
            <a:ln>
              <a:noFill/>
            </a:ln>
            <a:effectLst>
              <a:outerShdw blurRad="50800" dist="38100" dir="18900000" algn="bl" rotWithShape="0">
                <a:prstClr val="black">
                  <a:alpha val="40000"/>
                </a:prstClr>
              </a:outerShdw>
            </a:effectLst>
          </c:spPr>
          <c:invertIfNegative val="0"/>
          <c:dLbls>
            <c:dLbl>
              <c:idx val="1"/>
              <c:layout>
                <c:manualLayout>
                  <c:x val="4.5332679400509222E-3"/>
                  <c:y val="1.003948013263260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5A2-416D-A5D6-19C0DB3E6917}"/>
                </c:ext>
              </c:extLst>
            </c:dLbl>
            <c:dLbl>
              <c:idx val="3"/>
              <c:layout>
                <c:manualLayout>
                  <c:x val="6.799901910076300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5A2-416D-A5D6-19C0DB3E6917}"/>
                </c:ext>
              </c:extLst>
            </c:dLbl>
            <c:dLbl>
              <c:idx val="7"/>
              <c:layout>
                <c:manualLayout>
                  <c:x val="4.533267940050922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5A2-416D-A5D6-19C0DB3E69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otros'!$G$4:$G$11</c:f>
              <c:strCache>
                <c:ptCount val="8"/>
                <c:pt idx="0">
                  <c:v>Economias avanzadas</c:v>
                </c:pt>
                <c:pt idx="1">
                  <c:v>Latinoamérica y el Caribe</c:v>
                </c:pt>
                <c:pt idx="2">
                  <c:v>E.E.U.U</c:v>
                </c:pt>
                <c:pt idx="3">
                  <c:v>Brasil</c:v>
                </c:pt>
                <c:pt idx="4">
                  <c:v>México</c:v>
                </c:pt>
                <c:pt idx="5">
                  <c:v>Perú</c:v>
                </c:pt>
                <c:pt idx="6">
                  <c:v>Chile</c:v>
                </c:pt>
                <c:pt idx="7">
                  <c:v>Guatemala</c:v>
                </c:pt>
              </c:strCache>
            </c:strRef>
          </c:cat>
          <c:val>
            <c:numRef>
              <c:f>'Deuda otros'!$J$4:$J$11</c:f>
              <c:numCache>
                <c:formatCode>_-* #,##0.0_-;\-* #,##0.0_-;_-* "-"??_-;_-@_-</c:formatCode>
                <c:ptCount val="8"/>
                <c:pt idx="0">
                  <c:v>122.514</c:v>
                </c:pt>
                <c:pt idx="1">
                  <c:v>75.474000000000004</c:v>
                </c:pt>
                <c:pt idx="2">
                  <c:v>132.839</c:v>
                </c:pt>
                <c:pt idx="3">
                  <c:v>98.406999999999996</c:v>
                </c:pt>
                <c:pt idx="4">
                  <c:v>60.536999999999999</c:v>
                </c:pt>
                <c:pt idx="5">
                  <c:v>35.363999999999997</c:v>
                </c:pt>
                <c:pt idx="6">
                  <c:v>33.634999999999998</c:v>
                </c:pt>
                <c:pt idx="7">
                  <c:v>31.90229027537395</c:v>
                </c:pt>
              </c:numCache>
            </c:numRef>
          </c:val>
          <c:extLst xmlns:c16r2="http://schemas.microsoft.com/office/drawing/2015/06/chart">
            <c:ext xmlns:c16="http://schemas.microsoft.com/office/drawing/2014/chart" uri="{C3380CC4-5D6E-409C-BE32-E72D297353CC}">
              <c16:uniqueId val="{00000012-35A2-416D-A5D6-19C0DB3E6917}"/>
            </c:ext>
          </c:extLst>
        </c:ser>
        <c:dLbls>
          <c:showLegendKey val="0"/>
          <c:showVal val="0"/>
          <c:showCatName val="0"/>
          <c:showSerName val="0"/>
          <c:showPercent val="0"/>
          <c:showBubbleSize val="0"/>
        </c:dLbls>
        <c:gapWidth val="70"/>
        <c:overlap val="-30"/>
        <c:axId val="249141120"/>
        <c:axId val="249142656"/>
      </c:barChart>
      <c:catAx>
        <c:axId val="2491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142656"/>
        <c:crosses val="autoZero"/>
        <c:auto val="1"/>
        <c:lblAlgn val="ctr"/>
        <c:lblOffset val="100"/>
        <c:noMultiLvlLbl val="0"/>
      </c:catAx>
      <c:valAx>
        <c:axId val="249142656"/>
        <c:scaling>
          <c:orientation val="minMax"/>
          <c:min val="20"/>
        </c:scaling>
        <c:delete val="1"/>
        <c:axPos val="l"/>
        <c:numFmt formatCode="_-* #,##0.0_-;\-* #,##0.0_-;_-* &quot;-&quot;??_-;_-@_-" sourceLinked="1"/>
        <c:majorTickMark val="out"/>
        <c:minorTickMark val="none"/>
        <c:tickLblPos val="nextTo"/>
        <c:crossAx val="249141120"/>
        <c:crosses val="autoZero"/>
        <c:crossBetween val="between"/>
      </c:valAx>
    </c:plotArea>
    <c:legend>
      <c:legendPos val="b"/>
      <c:layout>
        <c:manualLayout>
          <c:xMode val="edge"/>
          <c:yMode val="edge"/>
          <c:x val="0.11163263487990878"/>
          <c:y val="0.90049527332511303"/>
          <c:w val="0.81520294348228917"/>
          <c:h val="7.3405260994656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05629373657318"/>
          <c:y val="5.579991596061333E-2"/>
          <c:w val="0.77318349215093607"/>
          <c:h val="0.80011807054515371"/>
        </c:manualLayout>
      </c:layout>
      <c:scatterChart>
        <c:scatterStyle val="lineMarker"/>
        <c:varyColors val="0"/>
        <c:ser>
          <c:idx val="0"/>
          <c:order val="0"/>
          <c:tx>
            <c:strRef>
              <c:f>'graf_2 esce'!$C$1</c:f>
              <c:strCache>
                <c:ptCount val="1"/>
                <c:pt idx="0">
                  <c:v>Ingresos PIB</c:v>
                </c:pt>
              </c:strCache>
            </c:strRef>
          </c:tx>
          <c:spPr>
            <a:ln w="28575" cap="rnd">
              <a:noFill/>
              <a:round/>
            </a:ln>
            <a:effectLst/>
          </c:spPr>
          <c:marker>
            <c:symbol val="diamond"/>
            <c:size val="6"/>
            <c:spPr>
              <a:solidFill>
                <a:schemeClr val="tx1"/>
              </a:solidFill>
              <a:ln w="9525">
                <a:noFill/>
              </a:ln>
              <a:effectLst/>
            </c:spPr>
          </c:marker>
          <c:dPt>
            <c:idx val="9"/>
            <c:marker>
              <c:spPr>
                <a:solidFill>
                  <a:srgbClr val="C00000"/>
                </a:solidFill>
                <a:ln w="9525">
                  <a:noFill/>
                </a:ln>
                <a:effectLst/>
              </c:spPr>
            </c:marker>
            <c:bubble3D val="0"/>
            <c:extLst xmlns:c16r2="http://schemas.microsoft.com/office/drawing/2015/06/chart">
              <c:ext xmlns:c16="http://schemas.microsoft.com/office/drawing/2014/chart" uri="{C3380CC4-5D6E-409C-BE32-E72D297353CC}">
                <c16:uniqueId val="{00000000-4DC4-4C4B-BF48-6AADFD94A47E}"/>
              </c:ext>
            </c:extLst>
          </c:dPt>
          <c:dPt>
            <c:idx val="15"/>
            <c:bubble3D val="0"/>
            <c:extLst xmlns:c16r2="http://schemas.microsoft.com/office/drawing/2015/06/chart">
              <c:ext xmlns:c16="http://schemas.microsoft.com/office/drawing/2014/chart" uri="{C3380CC4-5D6E-409C-BE32-E72D297353CC}">
                <c16:uniqueId val="{00000001-4DC4-4C4B-BF48-6AADFD94A47E}"/>
              </c:ext>
            </c:extLst>
          </c:dPt>
          <c:dLbls>
            <c:dLbl>
              <c:idx val="0"/>
              <c:tx>
                <c:rich>
                  <a:bodyPr/>
                  <a:lstStyle/>
                  <a:p>
                    <a:fld id="{B68566C6-E033-46C0-942B-DCCF415D3779}"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4DC4-4C4B-BF48-6AADFD94A47E}"/>
                </c:ext>
              </c:extLst>
            </c:dLbl>
            <c:dLbl>
              <c:idx val="1"/>
              <c:layout>
                <c:manualLayout>
                  <c:x val="-8.8206511585265483E-3"/>
                  <c:y val="-1.0872049672426E-2"/>
                </c:manualLayout>
              </c:layout>
              <c:tx>
                <c:rich>
                  <a:bodyPr/>
                  <a:lstStyle/>
                  <a:p>
                    <a:fld id="{BE2CB7BF-7E04-4C65-B3F0-E00E8590D5C8}"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4DC4-4C4B-BF48-6AADFD94A47E}"/>
                </c:ext>
              </c:extLst>
            </c:dLbl>
            <c:dLbl>
              <c:idx val="2"/>
              <c:tx>
                <c:rich>
                  <a:bodyPr/>
                  <a:lstStyle/>
                  <a:p>
                    <a:fld id="{CD8678F9-F886-45D5-AC27-5F8868DAC48E}"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DC4-4C4B-BF48-6AADFD94A47E}"/>
                </c:ext>
              </c:extLst>
            </c:dLbl>
            <c:dLbl>
              <c:idx val="3"/>
              <c:layout>
                <c:manualLayout>
                  <c:x val="-9.821795065019312E-2"/>
                  <c:y val="-4.4765450509488221E-2"/>
                </c:manualLayout>
              </c:layout>
              <c:tx>
                <c:rich>
                  <a:bodyPr/>
                  <a:lstStyle/>
                  <a:p>
                    <a:fld id="{74268CC4-800E-4C94-87AB-2DB8B3CC2652}"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4DC4-4C4B-BF48-6AADFD94A47E}"/>
                </c:ext>
              </c:extLst>
            </c:dLbl>
            <c:dLbl>
              <c:idx val="4"/>
              <c:layout>
                <c:manualLayout>
                  <c:x val="-8.9397299491666568E-2"/>
                  <c:y val="5.0201903379152889E-2"/>
                </c:manualLayout>
              </c:layout>
              <c:tx>
                <c:rich>
                  <a:bodyPr/>
                  <a:lstStyle/>
                  <a:p>
                    <a:fld id="{9F504B7C-DFED-4BC4-84DB-EDFCD1F47F4C}"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4DC4-4C4B-BF48-6AADFD94A47E}"/>
                </c:ext>
              </c:extLst>
            </c:dLbl>
            <c:dLbl>
              <c:idx val="5"/>
              <c:layout>
                <c:manualLayout>
                  <c:x val="-2.6501481057179553E-2"/>
                  <c:y val="-3.0436317796698177E-2"/>
                </c:manualLayout>
              </c:layout>
              <c:tx>
                <c:rich>
                  <a:bodyPr/>
                  <a:lstStyle/>
                  <a:p>
                    <a:fld id="{B95384D3-19BA-4908-9C47-0D8649926991}"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4DC4-4C4B-BF48-6AADFD94A47E}"/>
                </c:ext>
              </c:extLst>
            </c:dLbl>
            <c:dLbl>
              <c:idx val="6"/>
              <c:tx>
                <c:rich>
                  <a:bodyPr/>
                  <a:lstStyle/>
                  <a:p>
                    <a:fld id="{42F17BDD-3795-4D87-A198-7476131E3EBF}"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DC4-4C4B-BF48-6AADFD94A47E}"/>
                </c:ext>
              </c:extLst>
            </c:dLbl>
            <c:dLbl>
              <c:idx val="7"/>
              <c:layout>
                <c:manualLayout>
                  <c:x val="-8.7830499031235229E-2"/>
                  <c:y val="-4.6478893492060198E-2"/>
                </c:manualLayout>
              </c:layout>
              <c:tx>
                <c:rich>
                  <a:bodyPr/>
                  <a:lstStyle/>
                  <a:p>
                    <a:fld id="{BC2C6FE2-E04C-480E-8E9A-242D4F0C611A}"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9-4DC4-4C4B-BF48-6AADFD94A47E}"/>
                </c:ext>
              </c:extLst>
            </c:dLbl>
            <c:dLbl>
              <c:idx val="8"/>
              <c:tx>
                <c:rich>
                  <a:bodyPr/>
                  <a:lstStyle/>
                  <a:p>
                    <a:fld id="{BD26E6F6-2A89-4AD3-B094-0E93F8E19BA7}"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A-4DC4-4C4B-BF48-6AADFD94A47E}"/>
                </c:ext>
              </c:extLst>
            </c:dLbl>
            <c:dLbl>
              <c:idx val="9"/>
              <c:layout>
                <c:manualLayout>
                  <c:x val="-7.0532218643800576E-2"/>
                  <c:y val="-6.1073525018127316E-2"/>
                </c:manualLayout>
              </c:layout>
              <c:tx>
                <c:rich>
                  <a:bodyPr/>
                  <a:lstStyle/>
                  <a:p>
                    <a:fld id="{C04D1D75-1EC3-4249-8983-0E4EE4D5D54D}"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4DC4-4C4B-BF48-6AADFD94A47E}"/>
                </c:ext>
              </c:extLst>
            </c:dLbl>
            <c:dLbl>
              <c:idx val="10"/>
              <c:layout>
                <c:manualLayout>
                  <c:x val="-0.1703489991339093"/>
                  <c:y val="2.7180124181065E-2"/>
                </c:manualLayout>
              </c:layout>
              <c:tx>
                <c:rich>
                  <a:bodyPr/>
                  <a:lstStyle/>
                  <a:p>
                    <a:fld id="{94DE1C3A-774C-4367-A555-A310DBEEFFBF}"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4DC4-4C4B-BF48-6AADFD94A47E}"/>
                </c:ext>
              </c:extLst>
            </c:dLbl>
            <c:dLbl>
              <c:idx val="11"/>
              <c:tx>
                <c:rich>
                  <a:bodyPr/>
                  <a:lstStyle/>
                  <a:p>
                    <a:fld id="{C7A34429-AA01-4040-A507-E70A8E824F3F}"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4DC4-4C4B-BF48-6AADFD94A47E}"/>
                </c:ext>
              </c:extLst>
            </c:dLbl>
            <c:dLbl>
              <c:idx val="12"/>
              <c:layout>
                <c:manualLayout>
                  <c:x val="-0.10140449769864354"/>
                  <c:y val="5.0201903379152889E-2"/>
                </c:manualLayout>
              </c:layout>
              <c:tx>
                <c:rich>
                  <a:bodyPr/>
                  <a:lstStyle/>
                  <a:p>
                    <a:fld id="{B64A2CAB-9483-4BCD-922A-AEC9C2BDDBB2}"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4DC4-4C4B-BF48-6AADFD94A47E}"/>
                </c:ext>
              </c:extLst>
            </c:dLbl>
            <c:dLbl>
              <c:idx val="13"/>
              <c:tx>
                <c:rich>
                  <a:bodyPr/>
                  <a:lstStyle/>
                  <a:p>
                    <a:fld id="{2EB22588-5E48-4A34-BC67-23E84198BC29}"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E-4DC4-4C4B-BF48-6AADFD94A47E}"/>
                </c:ext>
              </c:extLst>
            </c:dLbl>
            <c:dLbl>
              <c:idx val="14"/>
              <c:layout>
                <c:manualLayout>
                  <c:x val="-3.091839456670948E-2"/>
                  <c:y val="-5.0727196327830298E-3"/>
                </c:manualLayout>
              </c:layout>
              <c:tx>
                <c:rich>
                  <a:bodyPr/>
                  <a:lstStyle/>
                  <a:p>
                    <a:fld id="{121C0D33-8DD1-4E6B-A872-9749839A7284}"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F-4DC4-4C4B-BF48-6AADFD94A47E}"/>
                </c:ext>
              </c:extLst>
            </c:dLbl>
            <c:dLbl>
              <c:idx val="15"/>
              <c:tx>
                <c:rich>
                  <a:bodyPr/>
                  <a:lstStyle/>
                  <a:p>
                    <a:fld id="{C6E723B3-4C62-4197-A9F5-F02AE4EE1819}"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DC4-4C4B-BF48-6AADFD94A47E}"/>
                </c:ext>
              </c:extLst>
            </c:dLbl>
            <c:dLbl>
              <c:idx val="16"/>
              <c:layout>
                <c:manualLayout>
                  <c:x val="-9.6498778740804037E-2"/>
                  <c:y val="-4.7036892651666377E-2"/>
                </c:manualLayout>
              </c:layout>
              <c:tx>
                <c:rich>
                  <a:bodyPr/>
                  <a:lstStyle/>
                  <a:p>
                    <a:fld id="{650600EE-034B-4390-A15C-E6EF67AE387B}"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0-4DC4-4C4B-BF48-6AADFD94A47E}"/>
                </c:ext>
              </c:extLst>
            </c:dLbl>
            <c:dLbl>
              <c:idx val="17"/>
              <c:layout>
                <c:manualLayout>
                  <c:x val="-9.9816780490108711E-2"/>
                  <c:y val="-5.0201475345701241E-2"/>
                </c:manualLayout>
              </c:layout>
              <c:tx>
                <c:rich>
                  <a:bodyPr/>
                  <a:lstStyle/>
                  <a:p>
                    <a:fld id="{86A13418-9A70-4F1C-8AE3-2D3B14DFF8C5}"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1-4DC4-4C4B-BF48-6AADFD94A47E}"/>
                </c:ext>
              </c:extLst>
            </c:dLbl>
            <c:dLbl>
              <c:idx val="18"/>
              <c:layout>
                <c:manualLayout>
                  <c:x val="1.7667654038119662E-2"/>
                  <c:y val="0"/>
                </c:manualLayout>
              </c:layout>
              <c:tx>
                <c:rich>
                  <a:bodyPr/>
                  <a:lstStyle/>
                  <a:p>
                    <a:fld id="{31ACB837-D4CE-4A17-A911-233FE284F9FC}"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2-4DC4-4C4B-BF48-6AADFD94A47E}"/>
                </c:ext>
              </c:extLst>
            </c:dLbl>
            <c:dLbl>
              <c:idx val="19"/>
              <c:tx>
                <c:rich>
                  <a:bodyPr/>
                  <a:lstStyle/>
                  <a:p>
                    <a:fld id="{99082F5E-5E45-403C-8FD9-63AF199C84E6}"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3-4DC4-4C4B-BF48-6AADFD94A47E}"/>
                </c:ext>
              </c:extLst>
            </c:dLbl>
            <c:dLbl>
              <c:idx val="20"/>
              <c:layout>
                <c:manualLayout>
                  <c:x val="-1.7667654038119703E-2"/>
                  <c:y val="5.0727196327830298E-3"/>
                </c:manualLayout>
              </c:layout>
              <c:tx>
                <c:rich>
                  <a:bodyPr/>
                  <a:lstStyle/>
                  <a:p>
                    <a:fld id="{750FAC44-BA0C-4382-9EEF-705696DC031F}"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4-4DC4-4C4B-BF48-6AADFD94A47E}"/>
                </c:ext>
              </c:extLst>
            </c:dLbl>
            <c:dLbl>
              <c:idx val="21"/>
              <c:layout>
                <c:manualLayout>
                  <c:x val="-8.5898186317932224E-2"/>
                  <c:y val="-4.140617385927714E-2"/>
                </c:manualLayout>
              </c:layout>
              <c:tx>
                <c:rich>
                  <a:bodyPr/>
                  <a:lstStyle/>
                  <a:p>
                    <a:fld id="{F79CC769-8885-4337-A5CB-D9BE44FDF6C0}"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5-4DC4-4C4B-BF48-6AADFD94A47E}"/>
                </c:ext>
              </c:extLst>
            </c:dLbl>
            <c:dLbl>
              <c:idx val="23"/>
              <c:layout>
                <c:manualLayout>
                  <c:x val="-1.7667654038119703E-2"/>
                  <c:y val="-5.0727196327830298E-3"/>
                </c:manualLayout>
              </c:layout>
              <c:tx>
                <c:rich>
                  <a:bodyPr/>
                  <a:lstStyle/>
                  <a:p>
                    <a:fld id="{8B3F572B-9E57-4CEA-AAB5-12891DE8AA2B}"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6-4DC4-4C4B-BF48-6AADFD94A47E}"/>
                </c:ext>
              </c:extLst>
            </c:dLbl>
            <c:dLbl>
              <c:idx val="24"/>
              <c:tx>
                <c:rich>
                  <a:bodyPr/>
                  <a:lstStyle/>
                  <a:p>
                    <a:fld id="{87F4713C-BFE9-45B9-8181-406BD38754E5}"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7-4DC4-4C4B-BF48-6AADFD94A47E}"/>
                </c:ext>
              </c:extLst>
            </c:dLbl>
            <c:dLbl>
              <c:idx val="25"/>
              <c:layout>
                <c:manualLayout>
                  <c:x val="-9.0038955786000199E-2"/>
                  <c:y val="-4.6478893492060198E-2"/>
                </c:manualLayout>
              </c:layout>
              <c:tx>
                <c:rich>
                  <a:bodyPr/>
                  <a:lstStyle/>
                  <a:p>
                    <a:fld id="{CA85BA71-B050-4F7B-853D-99D78D0ED108}"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8-4DC4-4C4B-BF48-6AADFD94A47E}"/>
                </c:ext>
              </c:extLst>
            </c:dLbl>
            <c:dLbl>
              <c:idx val="28"/>
              <c:tx>
                <c:rich>
                  <a:bodyPr/>
                  <a:lstStyle/>
                  <a:p>
                    <a:fld id="{0C5792FD-E88A-425C-88AD-F498031F76A2}"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9-4DC4-4C4B-BF48-6AADFD94A47E}"/>
                </c:ext>
              </c:extLst>
            </c:dLbl>
            <c:dLbl>
              <c:idx val="29"/>
              <c:layout>
                <c:manualLayout>
                  <c:x val="-0.18036483705588721"/>
                  <c:y val="1.5218158898349043E-2"/>
                </c:manualLayout>
              </c:layout>
              <c:tx>
                <c:rich>
                  <a:bodyPr/>
                  <a:lstStyle/>
                  <a:p>
                    <a:fld id="{EF99A42A-9391-40D6-9C54-DBA733FCFC12}"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A-4DC4-4C4B-BF48-6AADFD94A47E}"/>
                </c:ext>
              </c:extLst>
            </c:dLbl>
            <c:dLbl>
              <c:idx val="30"/>
              <c:layout>
                <c:manualLayout>
                  <c:x val="-8.9100274718108718E-2"/>
                  <c:y val="-5.1551613124843222E-2"/>
                </c:manualLayout>
              </c:layout>
              <c:tx>
                <c:rich>
                  <a:bodyPr/>
                  <a:lstStyle/>
                  <a:p>
                    <a:fld id="{004139C4-367D-4351-8CDE-A7917DAA62C9}"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B-4DC4-4C4B-BF48-6AADFD94A47E}"/>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xVal>
            <c:numRef>
              <c:f>'graf_2 esce'!$B$2:$B$19</c:f>
              <c:numCache>
                <c:formatCode>_-* #,##0.0_-;\-* #,##0.0_-;_-* "-"??_-;_-@_-</c:formatCode>
                <c:ptCount val="18"/>
                <c:pt idx="0">
                  <c:v>134.57900000000001</c:v>
                </c:pt>
                <c:pt idx="1">
                  <c:v>68.986000000000004</c:v>
                </c:pt>
                <c:pt idx="2">
                  <c:v>98.406999999999996</c:v>
                </c:pt>
                <c:pt idx="3">
                  <c:v>33.634999999999998</c:v>
                </c:pt>
                <c:pt idx="4">
                  <c:v>64.168999999999997</c:v>
                </c:pt>
                <c:pt idx="5">
                  <c:v>72.483999999999995</c:v>
                </c:pt>
                <c:pt idx="6">
                  <c:v>66.599000000000004</c:v>
                </c:pt>
                <c:pt idx="7">
                  <c:v>65.103999999999999</c:v>
                </c:pt>
                <c:pt idx="8">
                  <c:v>88.224000000000004</c:v>
                </c:pt>
                <c:pt idx="9">
                  <c:v>31.90229027537395</c:v>
                </c:pt>
                <c:pt idx="10">
                  <c:v>53.933999999999997</c:v>
                </c:pt>
                <c:pt idx="11">
                  <c:v>96.5</c:v>
                </c:pt>
                <c:pt idx="12">
                  <c:v>60.536999999999999</c:v>
                </c:pt>
                <c:pt idx="13">
                  <c:v>47.642000000000003</c:v>
                </c:pt>
                <c:pt idx="14">
                  <c:v>61.357999999999997</c:v>
                </c:pt>
                <c:pt idx="15">
                  <c:v>35.692999999999998</c:v>
                </c:pt>
                <c:pt idx="16">
                  <c:v>35.363999999999997</c:v>
                </c:pt>
                <c:pt idx="17">
                  <c:v>67.995999999999995</c:v>
                </c:pt>
              </c:numCache>
            </c:numRef>
          </c:xVal>
          <c:yVal>
            <c:numRef>
              <c:f>'graf_2 esce'!$C$2:$C$19</c:f>
              <c:numCache>
                <c:formatCode>_-* #,##0.0_-;\-* #,##0.0_-;_-* "-"??_-;_-@_-</c:formatCode>
                <c:ptCount val="18"/>
                <c:pt idx="0">
                  <c:v>28.527999999999999</c:v>
                </c:pt>
                <c:pt idx="1">
                  <c:v>27.126999999999999</c:v>
                </c:pt>
                <c:pt idx="2">
                  <c:v>28.603999999999999</c:v>
                </c:pt>
                <c:pt idx="3">
                  <c:v>24.856999999999999</c:v>
                </c:pt>
                <c:pt idx="4">
                  <c:v>26.984999999999999</c:v>
                </c:pt>
                <c:pt idx="5">
                  <c:v>14.673</c:v>
                </c:pt>
                <c:pt idx="6">
                  <c:v>14.239000000000001</c:v>
                </c:pt>
                <c:pt idx="7">
                  <c:v>32.880000000000003</c:v>
                </c:pt>
                <c:pt idx="8">
                  <c:v>25.678000000000001</c:v>
                </c:pt>
                <c:pt idx="9">
                  <c:v>11.57685278007261</c:v>
                </c:pt>
                <c:pt idx="10">
                  <c:v>24.614000000000001</c:v>
                </c:pt>
                <c:pt idx="11">
                  <c:v>28.184999999999999</c:v>
                </c:pt>
                <c:pt idx="12">
                  <c:v>23.338999999999999</c:v>
                </c:pt>
                <c:pt idx="13">
                  <c:v>26.774000000000001</c:v>
                </c:pt>
                <c:pt idx="14">
                  <c:v>19.599</c:v>
                </c:pt>
                <c:pt idx="15">
                  <c:v>18.039000000000001</c:v>
                </c:pt>
                <c:pt idx="16">
                  <c:v>18.349</c:v>
                </c:pt>
                <c:pt idx="17">
                  <c:v>28.222999999999999</c:v>
                </c:pt>
              </c:numCache>
            </c:numRef>
          </c:yVal>
          <c:smooth val="0"/>
          <c:extLst xmlns:c16r2="http://schemas.microsoft.com/office/drawing/2015/06/chart">
            <c:ext xmlns:c15="http://schemas.microsoft.com/office/drawing/2012/chart" uri="{02D57815-91ED-43cb-92C2-25804820EDAC}">
              <c15:datalabelsRange>
                <c15:f>'graf_2 esce'!$E$2:$E$19</c15:f>
                <c15:dlblRangeCache>
                  <c:ptCount val="18"/>
                  <c:pt idx="0">
                    <c:v> BLZ-472 </c:v>
                  </c:pt>
                  <c:pt idx="1">
                    <c:v> BOL-254 </c:v>
                  </c:pt>
                  <c:pt idx="2">
                    <c:v> BRA-344 </c:v>
                  </c:pt>
                  <c:pt idx="3">
                    <c:v> CHL-135 </c:v>
                  </c:pt>
                  <c:pt idx="4">
                    <c:v> COL-238 </c:v>
                  </c:pt>
                  <c:pt idx="5">
                    <c:v> CRI-494 </c:v>
                  </c:pt>
                  <c:pt idx="6">
                    <c:v> DOM-468 </c:v>
                  </c:pt>
                  <c:pt idx="7">
                    <c:v> ECU-198 </c:v>
                  </c:pt>
                  <c:pt idx="8">
                    <c:v> SLV-344 </c:v>
                  </c:pt>
                  <c:pt idx="9">
                    <c:v> GTM-276 </c:v>
                  </c:pt>
                  <c:pt idx="10">
                    <c:v> HND-219 </c:v>
                  </c:pt>
                  <c:pt idx="11">
                    <c:v> JAM-342 </c:v>
                  </c:pt>
                  <c:pt idx="12">
                    <c:v> MEX-259 </c:v>
                  </c:pt>
                  <c:pt idx="13">
                    <c:v> NIC-178 </c:v>
                  </c:pt>
                  <c:pt idx="14">
                    <c:v> PAN-313 </c:v>
                  </c:pt>
                  <c:pt idx="15">
                    <c:v> PRY-198 </c:v>
                  </c:pt>
                  <c:pt idx="16">
                    <c:v> PER-193 </c:v>
                  </c:pt>
                  <c:pt idx="17">
                    <c:v> URY-241 </c:v>
                  </c:pt>
                </c15:dlblRangeCache>
              </c15:datalabelsRange>
            </c:ext>
            <c:ext xmlns:c16="http://schemas.microsoft.com/office/drawing/2014/chart" uri="{C3380CC4-5D6E-409C-BE32-E72D297353CC}">
              <c16:uniqueId val="{0000001C-4DC4-4C4B-BF48-6AADFD94A47E}"/>
            </c:ext>
          </c:extLst>
        </c:ser>
        <c:dLbls>
          <c:showLegendKey val="0"/>
          <c:showVal val="0"/>
          <c:showCatName val="0"/>
          <c:showSerName val="0"/>
          <c:showPercent val="0"/>
          <c:showBubbleSize val="0"/>
        </c:dLbls>
        <c:axId val="249248768"/>
        <c:axId val="249255040"/>
      </c:scatterChart>
      <c:valAx>
        <c:axId val="249248768"/>
        <c:scaling>
          <c:orientation val="minMax"/>
          <c:max val="160"/>
          <c:min val="2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Deuda/PIB (%)</a:t>
                </a:r>
              </a:p>
            </c:rich>
          </c:tx>
          <c:layout>
            <c:manualLayout>
              <c:xMode val="edge"/>
              <c:yMode val="edge"/>
              <c:x val="0.38683711083774946"/>
              <c:y val="0.92794181790294572"/>
            </c:manualLayout>
          </c:layout>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249255040"/>
        <c:crosses val="autoZero"/>
        <c:crossBetween val="midCat"/>
        <c:majorUnit val="25"/>
      </c:valAx>
      <c:valAx>
        <c:axId val="249255040"/>
        <c:scaling>
          <c:orientation val="minMax"/>
          <c:min val="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Ingresos Fiscales/PIB</a:t>
                </a:r>
                <a:r>
                  <a:rPr lang="es-GT" sz="800" baseline="0">
                    <a:latin typeface="Times New Roman" panose="02020603050405020304" pitchFamily="18" charset="0"/>
                    <a:cs typeface="Times New Roman" panose="02020603050405020304" pitchFamily="18" charset="0"/>
                  </a:rPr>
                  <a:t> (%)</a:t>
                </a:r>
                <a:endParaRPr lang="es-GT" sz="800">
                  <a:latin typeface="Times New Roman" panose="02020603050405020304" pitchFamily="18" charset="0"/>
                  <a:cs typeface="Times New Roman" panose="02020603050405020304" pitchFamily="18" charset="0"/>
                </a:endParaRPr>
              </a:p>
            </c:rich>
          </c:tx>
          <c:layout>
            <c:manualLayout>
              <c:xMode val="edge"/>
              <c:yMode val="edge"/>
              <c:x val="1.3250740528589777E-2"/>
              <c:y val="0.2054315646184596"/>
            </c:manualLayout>
          </c:layout>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24876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05634883779132"/>
          <c:y val="6.0884283750339288E-2"/>
          <c:w val="0.77318349215093607"/>
          <c:h val="0.80011807054515371"/>
        </c:manualLayout>
      </c:layout>
      <c:scatterChart>
        <c:scatterStyle val="lineMarker"/>
        <c:varyColors val="0"/>
        <c:ser>
          <c:idx val="0"/>
          <c:order val="0"/>
          <c:tx>
            <c:strRef>
              <c:f>'graf_2 esce'!$D$1</c:f>
              <c:strCache>
                <c:ptCount val="1"/>
                <c:pt idx="0">
                  <c:v>Deuda/Ingresos fiscales</c:v>
                </c:pt>
              </c:strCache>
            </c:strRef>
          </c:tx>
          <c:spPr>
            <a:ln w="28575" cap="rnd">
              <a:noFill/>
              <a:round/>
            </a:ln>
            <a:effectLst/>
          </c:spPr>
          <c:marker>
            <c:symbol val="diamond"/>
            <c:size val="6"/>
            <c:spPr>
              <a:solidFill>
                <a:srgbClr val="002060"/>
              </a:solidFill>
              <a:ln w="9525">
                <a:noFill/>
              </a:ln>
              <a:effectLst/>
            </c:spPr>
          </c:marker>
          <c:dPt>
            <c:idx val="9"/>
            <c:marker>
              <c:spPr>
                <a:solidFill>
                  <a:srgbClr val="C00000"/>
                </a:solidFill>
                <a:ln w="9525">
                  <a:noFill/>
                </a:ln>
                <a:effectLst/>
              </c:spPr>
            </c:marker>
            <c:bubble3D val="0"/>
            <c:extLst xmlns:c16r2="http://schemas.microsoft.com/office/drawing/2015/06/chart">
              <c:ext xmlns:c16="http://schemas.microsoft.com/office/drawing/2014/chart" uri="{C3380CC4-5D6E-409C-BE32-E72D297353CC}">
                <c16:uniqueId val="{00000000-AF85-4B8D-A44E-E3853B0D5A99}"/>
              </c:ext>
            </c:extLst>
          </c:dPt>
          <c:dPt>
            <c:idx val="15"/>
            <c:bubble3D val="0"/>
            <c:extLst xmlns:c16r2="http://schemas.microsoft.com/office/drawing/2015/06/chart">
              <c:ext xmlns:c16="http://schemas.microsoft.com/office/drawing/2014/chart" uri="{C3380CC4-5D6E-409C-BE32-E72D297353CC}">
                <c16:uniqueId val="{00000001-AF85-4B8D-A44E-E3853B0D5A99}"/>
              </c:ext>
            </c:extLst>
          </c:dPt>
          <c:dLbls>
            <c:dLbl>
              <c:idx val="0"/>
              <c:tx>
                <c:rich>
                  <a:bodyPr/>
                  <a:lstStyle/>
                  <a:p>
                    <a:fld id="{1A65E153-ED45-428B-A2B1-E8D13CAC26E8}"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AF85-4B8D-A44E-E3853B0D5A99}"/>
                </c:ext>
              </c:extLst>
            </c:dLbl>
            <c:dLbl>
              <c:idx val="1"/>
              <c:tx>
                <c:rich>
                  <a:bodyPr/>
                  <a:lstStyle/>
                  <a:p>
                    <a:fld id="{FE14E436-6CDE-4588-9528-CC657599506C}"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F85-4B8D-A44E-E3853B0D5A99}"/>
                </c:ext>
              </c:extLst>
            </c:dLbl>
            <c:dLbl>
              <c:idx val="2"/>
              <c:tx>
                <c:rich>
                  <a:bodyPr/>
                  <a:lstStyle/>
                  <a:p>
                    <a:fld id="{996AB2E3-6018-461E-B3E9-338BBC8D9FAC}"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F85-4B8D-A44E-E3853B0D5A99}"/>
                </c:ext>
              </c:extLst>
            </c:dLbl>
            <c:dLbl>
              <c:idx val="3"/>
              <c:tx>
                <c:rich>
                  <a:bodyPr/>
                  <a:lstStyle/>
                  <a:p>
                    <a:fld id="{E2D44EC5-0EEB-4B40-BB6D-72882FA6999F}"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AF85-4B8D-A44E-E3853B0D5A99}"/>
                </c:ext>
              </c:extLst>
            </c:dLbl>
            <c:dLbl>
              <c:idx val="4"/>
              <c:layout>
                <c:manualLayout>
                  <c:x val="-6.3957961055627663E-2"/>
                  <c:y val="3.9288333222874658E-2"/>
                </c:manualLayout>
              </c:layout>
              <c:tx>
                <c:rich>
                  <a:bodyPr/>
                  <a:lstStyle/>
                  <a:p>
                    <a:fld id="{E25F59DB-81B1-42B0-8904-75311582AB7F}"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AF85-4B8D-A44E-E3853B0D5A99}"/>
                </c:ext>
              </c:extLst>
            </c:dLbl>
            <c:dLbl>
              <c:idx val="5"/>
              <c:layout>
                <c:manualLayout>
                  <c:x val="-1.324325601959871E-2"/>
                  <c:y val="0"/>
                </c:manualLayout>
              </c:layout>
              <c:tx>
                <c:rich>
                  <a:bodyPr/>
                  <a:lstStyle/>
                  <a:p>
                    <a:fld id="{FB767626-4EC2-4974-8732-D04E3EE4BBE4}"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AF85-4B8D-A44E-E3853B0D5A99}"/>
                </c:ext>
              </c:extLst>
            </c:dLbl>
            <c:dLbl>
              <c:idx val="6"/>
              <c:tx>
                <c:rich>
                  <a:bodyPr/>
                  <a:lstStyle/>
                  <a:p>
                    <a:fld id="{C7E9C1F0-1AB9-4A83-ADDD-B822BAC54E76}"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8-AF85-4B8D-A44E-E3853B0D5A99}"/>
                </c:ext>
              </c:extLst>
            </c:dLbl>
            <c:dLbl>
              <c:idx val="7"/>
              <c:layout>
                <c:manualLayout>
                  <c:x val="-6.0609968383029761E-2"/>
                  <c:y val="3.641639370251494E-2"/>
                </c:manualLayout>
              </c:layout>
              <c:tx>
                <c:rich>
                  <a:bodyPr/>
                  <a:lstStyle/>
                  <a:p>
                    <a:fld id="{4898559F-D11B-4DE7-8E78-702E1309C4D0}"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9-AF85-4B8D-A44E-E3853B0D5A99}"/>
                </c:ext>
              </c:extLst>
            </c:dLbl>
            <c:dLbl>
              <c:idx val="8"/>
              <c:tx>
                <c:rich>
                  <a:bodyPr/>
                  <a:lstStyle/>
                  <a:p>
                    <a:fld id="{F07DBDC4-C169-431F-833C-92061540B61E}"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A-AF85-4B8D-A44E-E3853B0D5A99}"/>
                </c:ext>
              </c:extLst>
            </c:dLbl>
            <c:dLbl>
              <c:idx val="9"/>
              <c:tx>
                <c:rich>
                  <a:bodyPr/>
                  <a:lstStyle/>
                  <a:p>
                    <a:fld id="{D77384BE-3877-4D47-B4E2-12E62E42F5FB}"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AF85-4B8D-A44E-E3853B0D5A99}"/>
                </c:ext>
              </c:extLst>
            </c:dLbl>
            <c:dLbl>
              <c:idx val="10"/>
              <c:layout>
                <c:manualLayout>
                  <c:x val="-7.0761851672406034E-2"/>
                  <c:y val="-3.3857619610601554E-2"/>
                </c:manualLayout>
              </c:layout>
              <c:tx>
                <c:rich>
                  <a:bodyPr/>
                  <a:lstStyle/>
                  <a:p>
                    <a:fld id="{166BADB7-3DA2-4CE4-AAF9-B7B992A84B84}"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AF85-4B8D-A44E-E3853B0D5A99}"/>
                </c:ext>
              </c:extLst>
            </c:dLbl>
            <c:dLbl>
              <c:idx val="11"/>
              <c:layout>
                <c:manualLayout>
                  <c:x val="-6.8379968984817144E-2"/>
                  <c:y val="5.0148905284266923E-2"/>
                </c:manualLayout>
              </c:layout>
              <c:tx>
                <c:rich>
                  <a:bodyPr/>
                  <a:lstStyle/>
                  <a:p>
                    <a:fld id="{2ABC259A-CB69-4B29-BF47-386F06061A05}"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AF85-4B8D-A44E-E3853B0D5A99}"/>
                </c:ext>
              </c:extLst>
            </c:dLbl>
            <c:dLbl>
              <c:idx val="12"/>
              <c:layout>
                <c:manualLayout>
                  <c:x val="-0.12987859622434431"/>
                  <c:y val="-1.0860572061392163E-2"/>
                </c:manualLayout>
              </c:layout>
              <c:tx>
                <c:rich>
                  <a:bodyPr/>
                  <a:lstStyle/>
                  <a:p>
                    <a:fld id="{4CF52C35-7158-453F-9297-01CDB6C289D5}"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AF85-4B8D-A44E-E3853B0D5A99}"/>
                </c:ext>
              </c:extLst>
            </c:dLbl>
            <c:dLbl>
              <c:idx val="13"/>
              <c:layout>
                <c:manualLayout>
                  <c:x val="-6.4388283693411652E-2"/>
                  <c:y val="-4.4718191671993618E-2"/>
                </c:manualLayout>
              </c:layout>
              <c:tx>
                <c:rich>
                  <a:bodyPr/>
                  <a:lstStyle/>
                  <a:p>
                    <a:fld id="{3F2340AF-42BC-43E4-890B-D8F13CCBDDF5}"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E-AF85-4B8D-A44E-E3853B0D5A99}"/>
                </c:ext>
              </c:extLst>
            </c:dLbl>
            <c:dLbl>
              <c:idx val="14"/>
              <c:layout>
                <c:manualLayout>
                  <c:x val="-1.7675054293873761E-2"/>
                  <c:y val="-1.0156988749686829E-2"/>
                </c:manualLayout>
              </c:layout>
              <c:tx>
                <c:rich>
                  <a:bodyPr/>
                  <a:lstStyle/>
                  <a:p>
                    <a:fld id="{ACE9D22D-05F3-4389-B70A-12564A4D7915}"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F-AF85-4B8D-A44E-E3853B0D5A99}"/>
                </c:ext>
              </c:extLst>
            </c:dLbl>
            <c:dLbl>
              <c:idx val="15"/>
              <c:layout>
                <c:manualLayout>
                  <c:x val="-0.11311719953390396"/>
                  <c:y val="-3.258171618417649E-2"/>
                </c:manualLayout>
              </c:layout>
              <c:tx>
                <c:rich>
                  <a:bodyPr/>
                  <a:lstStyle/>
                  <a:p>
                    <a:fld id="{CE364861-1BF2-4BC0-8CAB-86EA92929EB3}"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AF85-4B8D-A44E-E3853B0D5A99}"/>
                </c:ext>
              </c:extLst>
            </c:dLbl>
            <c:dLbl>
              <c:idx val="16"/>
              <c:layout>
                <c:manualLayout>
                  <c:x val="-0.10109768740655067"/>
                  <c:y val="2.1721144122784225E-2"/>
                </c:manualLayout>
              </c:layout>
              <c:tx>
                <c:rich>
                  <a:bodyPr/>
                  <a:lstStyle/>
                  <a:p>
                    <a:fld id="{EB9304B0-4315-4BE3-908D-39F604F2BB67}"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0-AF85-4B8D-A44E-E3853B0D5A99}"/>
                </c:ext>
              </c:extLst>
            </c:dLbl>
            <c:dLbl>
              <c:idx val="17"/>
              <c:tx>
                <c:rich>
                  <a:bodyPr/>
                  <a:lstStyle/>
                  <a:p>
                    <a:fld id="{DDD41EE8-FD11-4571-A804-DF5C8B15964A}"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1-AF85-4B8D-A44E-E3853B0D5A99}"/>
                </c:ext>
              </c:extLst>
            </c:dLbl>
            <c:dLbl>
              <c:idx val="18"/>
              <c:layout>
                <c:manualLayout>
                  <c:x val="-6.4682356507061722E-2"/>
                  <c:y val="4.1500692985988949E-2"/>
                </c:manualLayout>
              </c:layout>
              <c:tx>
                <c:rich>
                  <a:bodyPr/>
                  <a:lstStyle/>
                  <a:p>
                    <a:fld id="{69AAA769-90CD-4160-B86F-50D39F4E8EFC}"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2-AF85-4B8D-A44E-E3853B0D5A99}"/>
                </c:ext>
              </c:extLst>
            </c:dLbl>
            <c:dLbl>
              <c:idx val="19"/>
              <c:layout>
                <c:manualLayout>
                  <c:x val="-6.1801861424793603E-2"/>
                  <c:y val="3.7484096552044412E-2"/>
                </c:manualLayout>
              </c:layout>
              <c:tx>
                <c:rich>
                  <a:bodyPr/>
                  <a:lstStyle/>
                  <a:p>
                    <a:fld id="{677D4A7B-6E77-4D0A-B851-29B7A5390044}"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3-AF85-4B8D-A44E-E3853B0D5A99}"/>
                </c:ext>
              </c:extLst>
            </c:dLbl>
            <c:dLbl>
              <c:idx val="20"/>
              <c:layout>
                <c:manualLayout>
                  <c:x val="-7.7495293604028764E-2"/>
                  <c:y val="-4.7652695118992623E-2"/>
                </c:manualLayout>
              </c:layout>
              <c:tx>
                <c:rich>
                  <a:bodyPr/>
                  <a:lstStyle/>
                  <a:p>
                    <a:fld id="{3CC0814A-1DD3-4C88-9EB7-751399BF40BB}"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4-AF85-4B8D-A44E-E3853B0D5A99}"/>
                </c:ext>
              </c:extLst>
            </c:dLbl>
            <c:dLbl>
              <c:idx val="21"/>
              <c:tx>
                <c:rich>
                  <a:bodyPr/>
                  <a:lstStyle/>
                  <a:p>
                    <a:fld id="{CFFFAE15-435B-44F9-922D-168B337B67D2}"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5-AF85-4B8D-A44E-E3853B0D5A99}"/>
                </c:ext>
              </c:extLst>
            </c:dLbl>
            <c:dLbl>
              <c:idx val="22"/>
              <c:layout>
                <c:manualLayout>
                  <c:x val="-6.1801861424793637E-2"/>
                  <c:y val="-4.7652695118992623E-2"/>
                </c:manualLayout>
              </c:layout>
              <c:tx>
                <c:rich>
                  <a:bodyPr/>
                  <a:lstStyle/>
                  <a:p>
                    <a:fld id="{68667BEC-1A34-4ADF-B2BB-52351803CBC5}"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6-AF85-4B8D-A44E-E3853B0D5A99}"/>
                </c:ext>
              </c:extLst>
            </c:dLbl>
            <c:dLbl>
              <c:idx val="23"/>
              <c:layout>
                <c:manualLayout>
                  <c:x val="-6.0223793647130139E-2"/>
                  <c:y val="-3.641639370251494E-2"/>
                </c:manualLayout>
              </c:layout>
              <c:tx>
                <c:rich>
                  <a:bodyPr/>
                  <a:lstStyle/>
                  <a:p>
                    <a:fld id="{067B347A-E0A6-4B6A-BBD7-DAF56E400CED}"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7-AF85-4B8D-A44E-E3853B0D5A99}"/>
                </c:ext>
              </c:extLst>
            </c:dLbl>
            <c:dLbl>
              <c:idx val="24"/>
              <c:layout>
                <c:manualLayout>
                  <c:x val="-6.0234916591818517E-2"/>
                  <c:y val="4.6584992269462965E-2"/>
                </c:manualLayout>
              </c:layout>
              <c:tx>
                <c:rich>
                  <a:bodyPr/>
                  <a:lstStyle/>
                  <a:p>
                    <a:fld id="{AAB2257C-BCB0-4586-8725-CCA27734B589}"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8-AF85-4B8D-A44E-E3853B0D5A99}"/>
                </c:ext>
              </c:extLst>
            </c:dLbl>
            <c:dLbl>
              <c:idx val="25"/>
              <c:tx>
                <c:rich>
                  <a:bodyPr/>
                  <a:lstStyle/>
                  <a:p>
                    <a:fld id="{6964BD14-6951-4B6B-A277-902363FB8EE9}"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9-AF85-4B8D-A44E-E3853B0D5A99}"/>
                </c:ext>
              </c:extLst>
            </c:dLbl>
            <c:dLbl>
              <c:idx val="28"/>
              <c:tx>
                <c:rich>
                  <a:bodyPr/>
                  <a:lstStyle/>
                  <a:p>
                    <a:fld id="{910B28B9-DB26-4F1B-9B20-0C9091CEA6D0}"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A-AF85-4B8D-A44E-E3853B0D5A99}"/>
                </c:ext>
              </c:extLst>
            </c:dLbl>
            <c:dLbl>
              <c:idx val="29"/>
              <c:layout>
                <c:manualLayout>
                  <c:x val="-0.11841695470458845"/>
                  <c:y val="-1.0168598566948305E-2"/>
                </c:manualLayout>
              </c:layout>
              <c:tx>
                <c:rich>
                  <a:bodyPr/>
                  <a:lstStyle/>
                  <a:p>
                    <a:fld id="{B4C1EFC6-0EB1-4B58-8105-02E4676282BF}"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B-AF85-4B8D-A44E-E3853B0D5A99}"/>
                </c:ext>
              </c:extLst>
            </c:dLbl>
            <c:dLbl>
              <c:idx val="30"/>
              <c:layout>
                <c:manualLayout>
                  <c:x val="-7.1855613055000184E-2"/>
                  <c:y val="-4.7652695118992623E-2"/>
                </c:manualLayout>
              </c:layout>
              <c:tx>
                <c:rich>
                  <a:bodyPr/>
                  <a:lstStyle/>
                  <a:p>
                    <a:fld id="{69A7B184-99E5-4358-92F1-B59FFC31FD7E}"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C-AF85-4B8D-A44E-E3853B0D5A99}"/>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xVal>
            <c:numRef>
              <c:f>'graf_2 esce'!$B$2:$B$19</c:f>
              <c:numCache>
                <c:formatCode>_-* #,##0.0_-;\-* #,##0.0_-;_-* "-"??_-;_-@_-</c:formatCode>
                <c:ptCount val="18"/>
                <c:pt idx="0">
                  <c:v>134.57900000000001</c:v>
                </c:pt>
                <c:pt idx="1">
                  <c:v>68.986000000000004</c:v>
                </c:pt>
                <c:pt idx="2">
                  <c:v>98.406999999999996</c:v>
                </c:pt>
                <c:pt idx="3">
                  <c:v>33.634999999999998</c:v>
                </c:pt>
                <c:pt idx="4">
                  <c:v>64.168999999999997</c:v>
                </c:pt>
                <c:pt idx="5">
                  <c:v>72.483999999999995</c:v>
                </c:pt>
                <c:pt idx="6">
                  <c:v>66.599000000000004</c:v>
                </c:pt>
                <c:pt idx="7">
                  <c:v>65.103999999999999</c:v>
                </c:pt>
                <c:pt idx="8">
                  <c:v>88.224000000000004</c:v>
                </c:pt>
                <c:pt idx="9">
                  <c:v>31.90229027537395</c:v>
                </c:pt>
                <c:pt idx="10">
                  <c:v>53.933999999999997</c:v>
                </c:pt>
                <c:pt idx="11">
                  <c:v>96.5</c:v>
                </c:pt>
                <c:pt idx="12">
                  <c:v>60.536999999999999</c:v>
                </c:pt>
                <c:pt idx="13">
                  <c:v>47.642000000000003</c:v>
                </c:pt>
                <c:pt idx="14">
                  <c:v>61.357999999999997</c:v>
                </c:pt>
                <c:pt idx="15">
                  <c:v>35.692999999999998</c:v>
                </c:pt>
                <c:pt idx="16">
                  <c:v>35.363999999999997</c:v>
                </c:pt>
                <c:pt idx="17">
                  <c:v>67.995999999999995</c:v>
                </c:pt>
              </c:numCache>
            </c:numRef>
          </c:xVal>
          <c:yVal>
            <c:numRef>
              <c:f>'graf_2 esce'!$D$2:$D$19</c:f>
              <c:numCache>
                <c:formatCode>_-* #,##0.0_-;\-* #,##0.0_-;_-* "-"??_-;_-@_-</c:formatCode>
                <c:ptCount val="18"/>
                <c:pt idx="0">
                  <c:v>471.74355019629843</c:v>
                </c:pt>
                <c:pt idx="1">
                  <c:v>254.30751649647956</c:v>
                </c:pt>
                <c:pt idx="2">
                  <c:v>344.03230317438118</c:v>
                </c:pt>
                <c:pt idx="3">
                  <c:v>135.31399605744861</c:v>
                </c:pt>
                <c:pt idx="4">
                  <c:v>237.79507133592736</c:v>
                </c:pt>
                <c:pt idx="5">
                  <c:v>493.99577455189802</c:v>
                </c:pt>
                <c:pt idx="6">
                  <c:v>467.72245241941147</c:v>
                </c:pt>
                <c:pt idx="7">
                  <c:v>198.00486618004865</c:v>
                </c:pt>
                <c:pt idx="8">
                  <c:v>343.57816029285766</c:v>
                </c:pt>
                <c:pt idx="9">
                  <c:v>275.56962916802212</c:v>
                </c:pt>
                <c:pt idx="10">
                  <c:v>219.11920045502558</c:v>
                </c:pt>
                <c:pt idx="11">
                  <c:v>342.38069895334399</c:v>
                </c:pt>
                <c:pt idx="12">
                  <c:v>259.38129311452934</c:v>
                </c:pt>
                <c:pt idx="13">
                  <c:v>177.94128632255172</c:v>
                </c:pt>
                <c:pt idx="14">
                  <c:v>313.0669932139395</c:v>
                </c:pt>
                <c:pt idx="15">
                  <c:v>197.86573535118353</c:v>
                </c:pt>
                <c:pt idx="16">
                  <c:v>192.7298490380947</c:v>
                </c:pt>
                <c:pt idx="17">
                  <c:v>240.92406902171984</c:v>
                </c:pt>
              </c:numCache>
            </c:numRef>
          </c:yVal>
          <c:smooth val="0"/>
          <c:extLst xmlns:c16r2="http://schemas.microsoft.com/office/drawing/2015/06/chart">
            <c:ext xmlns:c15="http://schemas.microsoft.com/office/drawing/2012/chart" uri="{02D57815-91ED-43cb-92C2-25804820EDAC}">
              <c15:datalabelsRange>
                <c15:f>'graf_2 esce'!$A$2:$A$19</c15:f>
                <c15:dlblRangeCache>
                  <c:ptCount val="18"/>
                  <c:pt idx="0">
                    <c:v>BLZ</c:v>
                  </c:pt>
                  <c:pt idx="1">
                    <c:v>BOL</c:v>
                  </c:pt>
                  <c:pt idx="2">
                    <c:v>BRA</c:v>
                  </c:pt>
                  <c:pt idx="3">
                    <c:v>CHL</c:v>
                  </c:pt>
                  <c:pt idx="4">
                    <c:v>COL</c:v>
                  </c:pt>
                  <c:pt idx="5">
                    <c:v>CRI</c:v>
                  </c:pt>
                  <c:pt idx="6">
                    <c:v>DOM</c:v>
                  </c:pt>
                  <c:pt idx="7">
                    <c:v>ECU</c:v>
                  </c:pt>
                  <c:pt idx="8">
                    <c:v>SLV</c:v>
                  </c:pt>
                  <c:pt idx="9">
                    <c:v>GTM</c:v>
                  </c:pt>
                  <c:pt idx="10">
                    <c:v>HND</c:v>
                  </c:pt>
                  <c:pt idx="11">
                    <c:v>JAM</c:v>
                  </c:pt>
                  <c:pt idx="12">
                    <c:v>MEX</c:v>
                  </c:pt>
                  <c:pt idx="13">
                    <c:v>NIC</c:v>
                  </c:pt>
                  <c:pt idx="14">
                    <c:v>PAN</c:v>
                  </c:pt>
                  <c:pt idx="15">
                    <c:v>PRY</c:v>
                  </c:pt>
                  <c:pt idx="16">
                    <c:v>PER</c:v>
                  </c:pt>
                  <c:pt idx="17">
                    <c:v>URY</c:v>
                  </c:pt>
                </c15:dlblRangeCache>
              </c15:datalabelsRange>
            </c:ext>
            <c:ext xmlns:c16="http://schemas.microsoft.com/office/drawing/2014/chart" uri="{C3380CC4-5D6E-409C-BE32-E72D297353CC}">
              <c16:uniqueId val="{0000001D-AF85-4B8D-A44E-E3853B0D5A99}"/>
            </c:ext>
          </c:extLst>
        </c:ser>
        <c:dLbls>
          <c:showLegendKey val="0"/>
          <c:showVal val="0"/>
          <c:showCatName val="0"/>
          <c:showSerName val="0"/>
          <c:showPercent val="0"/>
          <c:showBubbleSize val="0"/>
        </c:dLbls>
        <c:axId val="249370496"/>
        <c:axId val="249503744"/>
      </c:scatterChart>
      <c:valAx>
        <c:axId val="249370496"/>
        <c:scaling>
          <c:orientation val="minMax"/>
          <c:max val="150"/>
          <c:min val="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Deuda/PIB (%)</a:t>
                </a:r>
              </a:p>
            </c:rich>
          </c:tx>
          <c:layout>
            <c:manualLayout>
              <c:xMode val="edge"/>
              <c:yMode val="edge"/>
              <c:x val="0.38683711083774946"/>
              <c:y val="0.92794181790294572"/>
            </c:manualLayout>
          </c:layout>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249503744"/>
        <c:crosses val="autoZero"/>
        <c:crossBetween val="midCat"/>
        <c:majorUnit val="20"/>
      </c:valAx>
      <c:valAx>
        <c:axId val="249503744"/>
        <c:scaling>
          <c:orientation val="minMax"/>
          <c:min val="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Deuda/Ingresos</a:t>
                </a:r>
                <a:r>
                  <a:rPr lang="es-GT" sz="800" baseline="0">
                    <a:latin typeface="Times New Roman" panose="02020603050405020304" pitchFamily="18" charset="0"/>
                    <a:cs typeface="Times New Roman" panose="02020603050405020304" pitchFamily="18" charset="0"/>
                  </a:rPr>
                  <a:t> fiscales (%)</a:t>
                </a:r>
                <a:endParaRPr lang="es-GT" sz="800">
                  <a:latin typeface="Times New Roman" panose="02020603050405020304" pitchFamily="18" charset="0"/>
                  <a:cs typeface="Times New Roman" panose="02020603050405020304" pitchFamily="18" charset="0"/>
                </a:endParaRPr>
              </a:p>
            </c:rich>
          </c:tx>
          <c:layout>
            <c:manualLayout>
              <c:xMode val="edge"/>
              <c:yMode val="edge"/>
              <c:x val="4.4287622597628321E-3"/>
              <c:y val="0.20543141910121634"/>
            </c:manualLayout>
          </c:layout>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37049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7005412103582"/>
          <c:y val="2.601837955634136E-2"/>
          <c:w val="0.86996918506604082"/>
          <c:h val="0.66286154068426706"/>
        </c:manualLayout>
      </c:layout>
      <c:lineChart>
        <c:grouping val="standard"/>
        <c:varyColors val="0"/>
        <c:ser>
          <c:idx val="0"/>
          <c:order val="0"/>
          <c:tx>
            <c:strRef>
              <c:f>'[CMO-Historical-Data-Monthly (1).xlsx]Monthly Indices'!$B$6</c:f>
              <c:strCache>
                <c:ptCount val="1"/>
                <c:pt idx="0">
                  <c:v>Energía</c:v>
                </c:pt>
              </c:strCache>
            </c:strRef>
          </c:tx>
          <c:spPr>
            <a:ln w="28575" cap="rnd">
              <a:solidFill>
                <a:schemeClr val="accent1"/>
              </a:solidFill>
              <a:round/>
            </a:ln>
            <a:effectLst/>
          </c:spPr>
          <c:marker>
            <c:symbol val="none"/>
          </c:marker>
          <c:cat>
            <c:strRef>
              <c:f>'[CMO-Historical-Data-Monthly (1).xlsx]Monthly Indices'!$A$671:$A$748</c:f>
              <c:strCache>
                <c:ptCount val="78"/>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pt idx="28">
                  <c:v>2017M05</c:v>
                </c:pt>
                <c:pt idx="29">
                  <c:v>2017M06</c:v>
                </c:pt>
                <c:pt idx="30">
                  <c:v>2017M07</c:v>
                </c:pt>
                <c:pt idx="31">
                  <c:v>2017M08</c:v>
                </c:pt>
                <c:pt idx="32">
                  <c:v>2017M09</c:v>
                </c:pt>
                <c:pt idx="33">
                  <c:v>2017M10</c:v>
                </c:pt>
                <c:pt idx="34">
                  <c:v>2017M11</c:v>
                </c:pt>
                <c:pt idx="35">
                  <c:v>2017M12</c:v>
                </c:pt>
                <c:pt idx="36">
                  <c:v>2018M01</c:v>
                </c:pt>
                <c:pt idx="37">
                  <c:v>2018M02</c:v>
                </c:pt>
                <c:pt idx="38">
                  <c:v>2018M03</c:v>
                </c:pt>
                <c:pt idx="39">
                  <c:v>2018M04</c:v>
                </c:pt>
                <c:pt idx="40">
                  <c:v>2018M05</c:v>
                </c:pt>
                <c:pt idx="41">
                  <c:v>2018M06</c:v>
                </c:pt>
                <c:pt idx="42">
                  <c:v>2018M07</c:v>
                </c:pt>
                <c:pt idx="43">
                  <c:v>2018M08</c:v>
                </c:pt>
                <c:pt idx="44">
                  <c:v>2018M09</c:v>
                </c:pt>
                <c:pt idx="45">
                  <c:v>2018M10</c:v>
                </c:pt>
                <c:pt idx="46">
                  <c:v>2018M11</c:v>
                </c:pt>
                <c:pt idx="47">
                  <c:v>2018M12</c:v>
                </c:pt>
                <c:pt idx="48">
                  <c:v>2019M01</c:v>
                </c:pt>
                <c:pt idx="49">
                  <c:v>2019M02</c:v>
                </c:pt>
                <c:pt idx="50">
                  <c:v>2019M03</c:v>
                </c:pt>
                <c:pt idx="51">
                  <c:v>2019M04</c:v>
                </c:pt>
                <c:pt idx="52">
                  <c:v>2019M05</c:v>
                </c:pt>
                <c:pt idx="53">
                  <c:v>2019M06</c:v>
                </c:pt>
                <c:pt idx="54">
                  <c:v>2019M07</c:v>
                </c:pt>
                <c:pt idx="55">
                  <c:v>2019M08</c:v>
                </c:pt>
                <c:pt idx="56">
                  <c:v>2019M09</c:v>
                </c:pt>
                <c:pt idx="57">
                  <c:v>2019M10</c:v>
                </c:pt>
                <c:pt idx="58">
                  <c:v>2019M11</c:v>
                </c:pt>
                <c:pt idx="59">
                  <c:v>2019M12</c:v>
                </c:pt>
                <c:pt idx="60">
                  <c:v>2020M01</c:v>
                </c:pt>
                <c:pt idx="61">
                  <c:v>2020M02</c:v>
                </c:pt>
                <c:pt idx="62">
                  <c:v>2020M03</c:v>
                </c:pt>
                <c:pt idx="63">
                  <c:v>2020M04</c:v>
                </c:pt>
                <c:pt idx="64">
                  <c:v>2020M05</c:v>
                </c:pt>
                <c:pt idx="65">
                  <c:v>2020M06</c:v>
                </c:pt>
                <c:pt idx="66">
                  <c:v>2020M07</c:v>
                </c:pt>
                <c:pt idx="67">
                  <c:v>2020M08</c:v>
                </c:pt>
                <c:pt idx="68">
                  <c:v>2020M09</c:v>
                </c:pt>
                <c:pt idx="69">
                  <c:v>2020M10</c:v>
                </c:pt>
                <c:pt idx="70">
                  <c:v>2020M11</c:v>
                </c:pt>
                <c:pt idx="71">
                  <c:v>2020M12</c:v>
                </c:pt>
                <c:pt idx="72">
                  <c:v>2021M01</c:v>
                </c:pt>
                <c:pt idx="73">
                  <c:v>2021M02</c:v>
                </c:pt>
                <c:pt idx="74">
                  <c:v>2021M03</c:v>
                </c:pt>
                <c:pt idx="75">
                  <c:v>2021M04</c:v>
                </c:pt>
                <c:pt idx="76">
                  <c:v>2021M05</c:v>
                </c:pt>
                <c:pt idx="77">
                  <c:v>2021M06</c:v>
                </c:pt>
              </c:strCache>
            </c:strRef>
          </c:cat>
          <c:val>
            <c:numRef>
              <c:f>'[CMO-Historical-Data-Monthly (1).xlsx]Monthly Indices'!$B$671:$B$748</c:f>
              <c:numCache>
                <c:formatCode>0.00</c:formatCode>
                <c:ptCount val="78"/>
                <c:pt idx="0">
                  <c:v>63.1025415179041</c:v>
                </c:pt>
                <c:pt idx="1">
                  <c:v>70.869503591382895</c:v>
                </c:pt>
                <c:pt idx="2">
                  <c:v>68.420337521178297</c:v>
                </c:pt>
                <c:pt idx="3">
                  <c:v>71.857650688850796</c:v>
                </c:pt>
                <c:pt idx="4">
                  <c:v>77.576390826996601</c:v>
                </c:pt>
                <c:pt idx="5">
                  <c:v>76.077472241024395</c:v>
                </c:pt>
                <c:pt idx="6">
                  <c:v>68.783466265011697</c:v>
                </c:pt>
                <c:pt idx="7">
                  <c:v>59.249915236342197</c:v>
                </c:pt>
                <c:pt idx="8">
                  <c:v>59.659672402367498</c:v>
                </c:pt>
                <c:pt idx="9">
                  <c:v>59.647837375446997</c:v>
                </c:pt>
                <c:pt idx="10">
                  <c:v>54.827831323796403</c:v>
                </c:pt>
                <c:pt idx="11">
                  <c:v>47.374929642216998</c:v>
                </c:pt>
                <c:pt idx="12">
                  <c:v>40.010936767440803</c:v>
                </c:pt>
                <c:pt idx="13">
                  <c:v>40.783849330439502</c:v>
                </c:pt>
                <c:pt idx="14">
                  <c:v>47.202395162599203</c:v>
                </c:pt>
                <c:pt idx="15">
                  <c:v>51.009113059250801</c:v>
                </c:pt>
                <c:pt idx="16">
                  <c:v>56.753786533924803</c:v>
                </c:pt>
                <c:pt idx="17">
                  <c:v>59.769988582205599</c:v>
                </c:pt>
                <c:pt idx="18">
                  <c:v>56.629686950121702</c:v>
                </c:pt>
                <c:pt idx="19">
                  <c:v>57.432671901961001</c:v>
                </c:pt>
                <c:pt idx="20">
                  <c:v>58.2289698034227</c:v>
                </c:pt>
                <c:pt idx="21">
                  <c:v>64.324362204447894</c:v>
                </c:pt>
                <c:pt idx="22">
                  <c:v>60.034896922901702</c:v>
                </c:pt>
                <c:pt idx="23">
                  <c:v>68.466464173233106</c:v>
                </c:pt>
                <c:pt idx="24">
                  <c:v>69.278450303281105</c:v>
                </c:pt>
                <c:pt idx="25">
                  <c:v>69.326134130806395</c:v>
                </c:pt>
                <c:pt idx="26">
                  <c:v>65.211678155212894</c:v>
                </c:pt>
                <c:pt idx="27">
                  <c:v>66.986511634830805</c:v>
                </c:pt>
                <c:pt idx="28">
                  <c:v>64.227993084893399</c:v>
                </c:pt>
                <c:pt idx="29">
                  <c:v>60.210532716770302</c:v>
                </c:pt>
                <c:pt idx="30">
                  <c:v>62.190878161267797</c:v>
                </c:pt>
                <c:pt idx="31">
                  <c:v>65.293542267034496</c:v>
                </c:pt>
                <c:pt idx="32">
                  <c:v>68.817175750203901</c:v>
                </c:pt>
                <c:pt idx="33">
                  <c:v>70.852651562959096</c:v>
                </c:pt>
                <c:pt idx="34">
                  <c:v>76.633905764392395</c:v>
                </c:pt>
                <c:pt idx="35">
                  <c:v>78.106568426918003</c:v>
                </c:pt>
                <c:pt idx="36">
                  <c:v>85.039025029591002</c:v>
                </c:pt>
                <c:pt idx="37">
                  <c:v>80.538932837860102</c:v>
                </c:pt>
                <c:pt idx="38">
                  <c:v>80.893429179394801</c:v>
                </c:pt>
                <c:pt idx="39">
                  <c:v>85.911920968843006</c:v>
                </c:pt>
                <c:pt idx="40">
                  <c:v>91.746851044715996</c:v>
                </c:pt>
                <c:pt idx="41">
                  <c:v>90.814055236763906</c:v>
                </c:pt>
                <c:pt idx="42">
                  <c:v>91.690570436698593</c:v>
                </c:pt>
                <c:pt idx="43">
                  <c:v>90.383231476558507</c:v>
                </c:pt>
                <c:pt idx="44">
                  <c:v>95.630211031799107</c:v>
                </c:pt>
                <c:pt idx="45">
                  <c:v>96.865705469011004</c:v>
                </c:pt>
                <c:pt idx="46">
                  <c:v>81.912159856784001</c:v>
                </c:pt>
                <c:pt idx="47">
                  <c:v>72.638066055331805</c:v>
                </c:pt>
                <c:pt idx="48">
                  <c:v>73.803840198367496</c:v>
                </c:pt>
                <c:pt idx="49">
                  <c:v>77.392262388603697</c:v>
                </c:pt>
                <c:pt idx="50">
                  <c:v>79.947100154247195</c:v>
                </c:pt>
                <c:pt idx="51">
                  <c:v>84.188914716835697</c:v>
                </c:pt>
                <c:pt idx="52">
                  <c:v>81.784171837186406</c:v>
                </c:pt>
                <c:pt idx="53">
                  <c:v>73.057513662042297</c:v>
                </c:pt>
                <c:pt idx="54">
                  <c:v>74.850055748924603</c:v>
                </c:pt>
                <c:pt idx="55">
                  <c:v>70.374637404222696</c:v>
                </c:pt>
                <c:pt idx="56">
                  <c:v>73.612687271352598</c:v>
                </c:pt>
                <c:pt idx="57">
                  <c:v>70.904820893079602</c:v>
                </c:pt>
                <c:pt idx="58">
                  <c:v>74.618936544472902</c:v>
                </c:pt>
                <c:pt idx="59">
                  <c:v>76.933615718288493</c:v>
                </c:pt>
                <c:pt idx="60">
                  <c:v>74.454745772112105</c:v>
                </c:pt>
                <c:pt idx="61">
                  <c:v>64.979312862958693</c:v>
                </c:pt>
                <c:pt idx="62">
                  <c:v>42.079830182088202</c:v>
                </c:pt>
                <c:pt idx="63">
                  <c:v>29.361499888194299</c:v>
                </c:pt>
                <c:pt idx="64">
                  <c:v>38.810021681923601</c:v>
                </c:pt>
                <c:pt idx="65">
                  <c:v>48.335844814114097</c:v>
                </c:pt>
                <c:pt idx="66">
                  <c:v>51.196558371503599</c:v>
                </c:pt>
                <c:pt idx="67">
                  <c:v>53.7816830269511</c:v>
                </c:pt>
                <c:pt idx="68">
                  <c:v>50.969374887481003</c:v>
                </c:pt>
                <c:pt idx="69">
                  <c:v>51.3343646836422</c:v>
                </c:pt>
                <c:pt idx="70">
                  <c:v>54.655825450704</c:v>
                </c:pt>
                <c:pt idx="71">
                  <c:v>62.921937517745</c:v>
                </c:pt>
                <c:pt idx="72">
                  <c:v>69.305649922517603</c:v>
                </c:pt>
                <c:pt idx="73">
                  <c:v>79.275770176649004</c:v>
                </c:pt>
                <c:pt idx="74">
                  <c:v>79.831107284556495</c:v>
                </c:pt>
                <c:pt idx="75">
                  <c:v>79.372047692765406</c:v>
                </c:pt>
                <c:pt idx="76">
                  <c:v>85.073656720359693</c:v>
                </c:pt>
                <c:pt idx="77">
                  <c:v>93.106557643798396</c:v>
                </c:pt>
              </c:numCache>
            </c:numRef>
          </c:val>
          <c:smooth val="0"/>
          <c:extLst xmlns:c16r2="http://schemas.microsoft.com/office/drawing/2015/06/chart">
            <c:ext xmlns:c16="http://schemas.microsoft.com/office/drawing/2014/chart" uri="{C3380CC4-5D6E-409C-BE32-E72D297353CC}">
              <c16:uniqueId val="{00000000-D51F-41B6-8024-1D80EFB57552}"/>
            </c:ext>
          </c:extLst>
        </c:ser>
        <c:ser>
          <c:idx val="1"/>
          <c:order val="1"/>
          <c:tx>
            <c:strRef>
              <c:f>'[CMO-Historical-Data-Monthly (1).xlsx]Monthly Indices'!$N$7</c:f>
              <c:strCache>
                <c:ptCount val="1"/>
                <c:pt idx="0">
                  <c:v>Metales y minerales</c:v>
                </c:pt>
              </c:strCache>
            </c:strRef>
          </c:tx>
          <c:spPr>
            <a:ln w="28575" cap="rnd">
              <a:solidFill>
                <a:schemeClr val="accent2"/>
              </a:solidFill>
              <a:round/>
            </a:ln>
            <a:effectLst/>
          </c:spPr>
          <c:marker>
            <c:symbol val="none"/>
          </c:marker>
          <c:cat>
            <c:strRef>
              <c:f>'[CMO-Historical-Data-Monthly (1).xlsx]Monthly Indices'!$A$671:$A$748</c:f>
              <c:strCache>
                <c:ptCount val="78"/>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pt idx="28">
                  <c:v>2017M05</c:v>
                </c:pt>
                <c:pt idx="29">
                  <c:v>2017M06</c:v>
                </c:pt>
                <c:pt idx="30">
                  <c:v>2017M07</c:v>
                </c:pt>
                <c:pt idx="31">
                  <c:v>2017M08</c:v>
                </c:pt>
                <c:pt idx="32">
                  <c:v>2017M09</c:v>
                </c:pt>
                <c:pt idx="33">
                  <c:v>2017M10</c:v>
                </c:pt>
                <c:pt idx="34">
                  <c:v>2017M11</c:v>
                </c:pt>
                <c:pt idx="35">
                  <c:v>2017M12</c:v>
                </c:pt>
                <c:pt idx="36">
                  <c:v>2018M01</c:v>
                </c:pt>
                <c:pt idx="37">
                  <c:v>2018M02</c:v>
                </c:pt>
                <c:pt idx="38">
                  <c:v>2018M03</c:v>
                </c:pt>
                <c:pt idx="39">
                  <c:v>2018M04</c:v>
                </c:pt>
                <c:pt idx="40">
                  <c:v>2018M05</c:v>
                </c:pt>
                <c:pt idx="41">
                  <c:v>2018M06</c:v>
                </c:pt>
                <c:pt idx="42">
                  <c:v>2018M07</c:v>
                </c:pt>
                <c:pt idx="43">
                  <c:v>2018M08</c:v>
                </c:pt>
                <c:pt idx="44">
                  <c:v>2018M09</c:v>
                </c:pt>
                <c:pt idx="45">
                  <c:v>2018M10</c:v>
                </c:pt>
                <c:pt idx="46">
                  <c:v>2018M11</c:v>
                </c:pt>
                <c:pt idx="47">
                  <c:v>2018M12</c:v>
                </c:pt>
                <c:pt idx="48">
                  <c:v>2019M01</c:v>
                </c:pt>
                <c:pt idx="49">
                  <c:v>2019M02</c:v>
                </c:pt>
                <c:pt idx="50">
                  <c:v>2019M03</c:v>
                </c:pt>
                <c:pt idx="51">
                  <c:v>2019M04</c:v>
                </c:pt>
                <c:pt idx="52">
                  <c:v>2019M05</c:v>
                </c:pt>
                <c:pt idx="53">
                  <c:v>2019M06</c:v>
                </c:pt>
                <c:pt idx="54">
                  <c:v>2019M07</c:v>
                </c:pt>
                <c:pt idx="55">
                  <c:v>2019M08</c:v>
                </c:pt>
                <c:pt idx="56">
                  <c:v>2019M09</c:v>
                </c:pt>
                <c:pt idx="57">
                  <c:v>2019M10</c:v>
                </c:pt>
                <c:pt idx="58">
                  <c:v>2019M11</c:v>
                </c:pt>
                <c:pt idx="59">
                  <c:v>2019M12</c:v>
                </c:pt>
                <c:pt idx="60">
                  <c:v>2020M01</c:v>
                </c:pt>
                <c:pt idx="61">
                  <c:v>2020M02</c:v>
                </c:pt>
                <c:pt idx="62">
                  <c:v>2020M03</c:v>
                </c:pt>
                <c:pt idx="63">
                  <c:v>2020M04</c:v>
                </c:pt>
                <c:pt idx="64">
                  <c:v>2020M05</c:v>
                </c:pt>
                <c:pt idx="65">
                  <c:v>2020M06</c:v>
                </c:pt>
                <c:pt idx="66">
                  <c:v>2020M07</c:v>
                </c:pt>
                <c:pt idx="67">
                  <c:v>2020M08</c:v>
                </c:pt>
                <c:pt idx="68">
                  <c:v>2020M09</c:v>
                </c:pt>
                <c:pt idx="69">
                  <c:v>2020M10</c:v>
                </c:pt>
                <c:pt idx="70">
                  <c:v>2020M11</c:v>
                </c:pt>
                <c:pt idx="71">
                  <c:v>2020M12</c:v>
                </c:pt>
                <c:pt idx="72">
                  <c:v>2021M01</c:v>
                </c:pt>
                <c:pt idx="73">
                  <c:v>2021M02</c:v>
                </c:pt>
                <c:pt idx="74">
                  <c:v>2021M03</c:v>
                </c:pt>
                <c:pt idx="75">
                  <c:v>2021M04</c:v>
                </c:pt>
                <c:pt idx="76">
                  <c:v>2021M05</c:v>
                </c:pt>
                <c:pt idx="77">
                  <c:v>2021M06</c:v>
                </c:pt>
              </c:strCache>
            </c:strRef>
          </c:cat>
          <c:val>
            <c:numRef>
              <c:f>'[CMO-Historical-Data-Monthly (1).xlsx]Monthly Indices'!$N$671:$N$748</c:f>
              <c:numCache>
                <c:formatCode>0.00</c:formatCode>
                <c:ptCount val="78"/>
                <c:pt idx="0">
                  <c:v>73.853194687498601</c:v>
                </c:pt>
                <c:pt idx="1">
                  <c:v>72.370403253163801</c:v>
                </c:pt>
                <c:pt idx="2">
                  <c:v>71.777245873645398</c:v>
                </c:pt>
                <c:pt idx="3">
                  <c:v>72.13660554901</c:v>
                </c:pt>
                <c:pt idx="4">
                  <c:v>74.636886142135296</c:v>
                </c:pt>
                <c:pt idx="5">
                  <c:v>70.313368583804106</c:v>
                </c:pt>
                <c:pt idx="6">
                  <c:v>65.747676927073101</c:v>
                </c:pt>
                <c:pt idx="7">
                  <c:v>62.653179385941698</c:v>
                </c:pt>
                <c:pt idx="8">
                  <c:v>63.402390096032498</c:v>
                </c:pt>
                <c:pt idx="9">
                  <c:v>62.216656599741597</c:v>
                </c:pt>
                <c:pt idx="10">
                  <c:v>57.832542527296198</c:v>
                </c:pt>
                <c:pt idx="11">
                  <c:v>56.313680378817303</c:v>
                </c:pt>
                <c:pt idx="12">
                  <c:v>55.213081394380197</c:v>
                </c:pt>
                <c:pt idx="13">
                  <c:v>57.681030655080598</c:v>
                </c:pt>
                <c:pt idx="14">
                  <c:v>61.191857755633201</c:v>
                </c:pt>
                <c:pt idx="15">
                  <c:v>61.998945605480202</c:v>
                </c:pt>
                <c:pt idx="16">
                  <c:v>59.979489633993602</c:v>
                </c:pt>
                <c:pt idx="17">
                  <c:v>60.256680676306701</c:v>
                </c:pt>
                <c:pt idx="18">
                  <c:v>63.492551553924201</c:v>
                </c:pt>
                <c:pt idx="19">
                  <c:v>63.780197059780498</c:v>
                </c:pt>
                <c:pt idx="20">
                  <c:v>62.828454137376603</c:v>
                </c:pt>
                <c:pt idx="21">
                  <c:v>64.132856320902206</c:v>
                </c:pt>
                <c:pt idx="22">
                  <c:v>71.526692213268802</c:v>
                </c:pt>
                <c:pt idx="23">
                  <c:v>73.535057243213004</c:v>
                </c:pt>
                <c:pt idx="24">
                  <c:v>74.544526554602399</c:v>
                </c:pt>
                <c:pt idx="25">
                  <c:v>77.940417411547401</c:v>
                </c:pt>
                <c:pt idx="26">
                  <c:v>77.342717928581706</c:v>
                </c:pt>
                <c:pt idx="27">
                  <c:v>74.041355983878603</c:v>
                </c:pt>
                <c:pt idx="28">
                  <c:v>72.238722267290498</c:v>
                </c:pt>
                <c:pt idx="29">
                  <c:v>71.707860891730704</c:v>
                </c:pt>
                <c:pt idx="30">
                  <c:v>75.387315583522494</c:v>
                </c:pt>
                <c:pt idx="31">
                  <c:v>81.555210961382002</c:v>
                </c:pt>
                <c:pt idx="32">
                  <c:v>82.6782798933816</c:v>
                </c:pt>
                <c:pt idx="33">
                  <c:v>83.390082267702994</c:v>
                </c:pt>
                <c:pt idx="34">
                  <c:v>83.456109457917705</c:v>
                </c:pt>
                <c:pt idx="35">
                  <c:v>84.113956787969599</c:v>
                </c:pt>
                <c:pt idx="36">
                  <c:v>88.569625777132003</c:v>
                </c:pt>
                <c:pt idx="37">
                  <c:v>88.606940310256306</c:v>
                </c:pt>
                <c:pt idx="38">
                  <c:v>84.471071546472203</c:v>
                </c:pt>
                <c:pt idx="39">
                  <c:v>86.445443991913606</c:v>
                </c:pt>
                <c:pt idx="40">
                  <c:v>86.788527268036404</c:v>
                </c:pt>
                <c:pt idx="41">
                  <c:v>86.976679916356403</c:v>
                </c:pt>
                <c:pt idx="42">
                  <c:v>79.772262903021897</c:v>
                </c:pt>
                <c:pt idx="43">
                  <c:v>78.118471336524806</c:v>
                </c:pt>
                <c:pt idx="44">
                  <c:v>77.444916434657898</c:v>
                </c:pt>
                <c:pt idx="45">
                  <c:v>79.3549863873193</c:v>
                </c:pt>
                <c:pt idx="46">
                  <c:v>77.500874738557599</c:v>
                </c:pt>
                <c:pt idx="47">
                  <c:v>76.071704630795907</c:v>
                </c:pt>
                <c:pt idx="48">
                  <c:v>75.774153488926601</c:v>
                </c:pt>
                <c:pt idx="49">
                  <c:v>80.117198198348902</c:v>
                </c:pt>
                <c:pt idx="50">
                  <c:v>81.096698122971901</c:v>
                </c:pt>
                <c:pt idx="51">
                  <c:v>81.599388259826796</c:v>
                </c:pt>
                <c:pt idx="52">
                  <c:v>78.649188796519994</c:v>
                </c:pt>
                <c:pt idx="53">
                  <c:v>78.526088992375705</c:v>
                </c:pt>
                <c:pt idx="54">
                  <c:v>81.031184194501606</c:v>
                </c:pt>
                <c:pt idx="55">
                  <c:v>76.0485030688899</c:v>
                </c:pt>
                <c:pt idx="56">
                  <c:v>77.322808009484405</c:v>
                </c:pt>
                <c:pt idx="57">
                  <c:v>76.4573309076507</c:v>
                </c:pt>
                <c:pt idx="58">
                  <c:v>76.215305527501201</c:v>
                </c:pt>
                <c:pt idx="59">
                  <c:v>77.469996712428397</c:v>
                </c:pt>
                <c:pt idx="60">
                  <c:v>77.702231745619599</c:v>
                </c:pt>
                <c:pt idx="61">
                  <c:v>73.0158688497593</c:v>
                </c:pt>
                <c:pt idx="62">
                  <c:v>68.706871482918999</c:v>
                </c:pt>
                <c:pt idx="63">
                  <c:v>65.551734563411401</c:v>
                </c:pt>
                <c:pt idx="64">
                  <c:v>68.006356097564407</c:v>
                </c:pt>
                <c:pt idx="65">
                  <c:v>73.678462607147395</c:v>
                </c:pt>
                <c:pt idx="66">
                  <c:v>79.089703956833603</c:v>
                </c:pt>
                <c:pt idx="67">
                  <c:v>83.480602178695506</c:v>
                </c:pt>
                <c:pt idx="68">
                  <c:v>85.115304619144993</c:v>
                </c:pt>
                <c:pt idx="69">
                  <c:v>85.492791714563296</c:v>
                </c:pt>
                <c:pt idx="70">
                  <c:v>90.279613714414396</c:v>
                </c:pt>
                <c:pt idx="71">
                  <c:v>99.650512848391799</c:v>
                </c:pt>
                <c:pt idx="72">
                  <c:v>102.839301659217</c:v>
                </c:pt>
                <c:pt idx="73">
                  <c:v>106.392356420692</c:v>
                </c:pt>
                <c:pt idx="74">
                  <c:v>110.221388941768</c:v>
                </c:pt>
                <c:pt idx="75">
                  <c:v>115.32305325422099</c:v>
                </c:pt>
                <c:pt idx="76">
                  <c:v>125.793313171628</c:v>
                </c:pt>
                <c:pt idx="77">
                  <c:v>124.27319007870901</c:v>
                </c:pt>
              </c:numCache>
            </c:numRef>
          </c:val>
          <c:smooth val="0"/>
          <c:extLst xmlns:c16r2="http://schemas.microsoft.com/office/drawing/2015/06/chart">
            <c:ext xmlns:c16="http://schemas.microsoft.com/office/drawing/2014/chart" uri="{C3380CC4-5D6E-409C-BE32-E72D297353CC}">
              <c16:uniqueId val="{00000001-D51F-41B6-8024-1D80EFB57552}"/>
            </c:ext>
          </c:extLst>
        </c:ser>
        <c:ser>
          <c:idx val="2"/>
          <c:order val="2"/>
          <c:tx>
            <c:strRef>
              <c:f>'[CMO-Historical-Data-Monthly (1).xlsx]Monthly Indices'!$D$7:$E$7</c:f>
              <c:strCache>
                <c:ptCount val="1"/>
                <c:pt idx="0">
                  <c:v>Agricultura</c:v>
                </c:pt>
              </c:strCache>
            </c:strRef>
          </c:tx>
          <c:spPr>
            <a:ln w="28575" cap="rnd">
              <a:solidFill>
                <a:schemeClr val="accent3"/>
              </a:solidFill>
              <a:round/>
            </a:ln>
            <a:effectLst/>
          </c:spPr>
          <c:marker>
            <c:symbol val="none"/>
          </c:marker>
          <c:cat>
            <c:strRef>
              <c:f>'[CMO-Historical-Data-Monthly (1).xlsx]Monthly Indices'!$A$671:$A$748</c:f>
              <c:strCache>
                <c:ptCount val="78"/>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pt idx="28">
                  <c:v>2017M05</c:v>
                </c:pt>
                <c:pt idx="29">
                  <c:v>2017M06</c:v>
                </c:pt>
                <c:pt idx="30">
                  <c:v>2017M07</c:v>
                </c:pt>
                <c:pt idx="31">
                  <c:v>2017M08</c:v>
                </c:pt>
                <c:pt idx="32">
                  <c:v>2017M09</c:v>
                </c:pt>
                <c:pt idx="33">
                  <c:v>2017M10</c:v>
                </c:pt>
                <c:pt idx="34">
                  <c:v>2017M11</c:v>
                </c:pt>
                <c:pt idx="35">
                  <c:v>2017M12</c:v>
                </c:pt>
                <c:pt idx="36">
                  <c:v>2018M01</c:v>
                </c:pt>
                <c:pt idx="37">
                  <c:v>2018M02</c:v>
                </c:pt>
                <c:pt idx="38">
                  <c:v>2018M03</c:v>
                </c:pt>
                <c:pt idx="39">
                  <c:v>2018M04</c:v>
                </c:pt>
                <c:pt idx="40">
                  <c:v>2018M05</c:v>
                </c:pt>
                <c:pt idx="41">
                  <c:v>2018M06</c:v>
                </c:pt>
                <c:pt idx="42">
                  <c:v>2018M07</c:v>
                </c:pt>
                <c:pt idx="43">
                  <c:v>2018M08</c:v>
                </c:pt>
                <c:pt idx="44">
                  <c:v>2018M09</c:v>
                </c:pt>
                <c:pt idx="45">
                  <c:v>2018M10</c:v>
                </c:pt>
                <c:pt idx="46">
                  <c:v>2018M11</c:v>
                </c:pt>
                <c:pt idx="47">
                  <c:v>2018M12</c:v>
                </c:pt>
                <c:pt idx="48">
                  <c:v>2019M01</c:v>
                </c:pt>
                <c:pt idx="49">
                  <c:v>2019M02</c:v>
                </c:pt>
                <c:pt idx="50">
                  <c:v>2019M03</c:v>
                </c:pt>
                <c:pt idx="51">
                  <c:v>2019M04</c:v>
                </c:pt>
                <c:pt idx="52">
                  <c:v>2019M05</c:v>
                </c:pt>
                <c:pt idx="53">
                  <c:v>2019M06</c:v>
                </c:pt>
                <c:pt idx="54">
                  <c:v>2019M07</c:v>
                </c:pt>
                <c:pt idx="55">
                  <c:v>2019M08</c:v>
                </c:pt>
                <c:pt idx="56">
                  <c:v>2019M09</c:v>
                </c:pt>
                <c:pt idx="57">
                  <c:v>2019M10</c:v>
                </c:pt>
                <c:pt idx="58">
                  <c:v>2019M11</c:v>
                </c:pt>
                <c:pt idx="59">
                  <c:v>2019M12</c:v>
                </c:pt>
                <c:pt idx="60">
                  <c:v>2020M01</c:v>
                </c:pt>
                <c:pt idx="61">
                  <c:v>2020M02</c:v>
                </c:pt>
                <c:pt idx="62">
                  <c:v>2020M03</c:v>
                </c:pt>
                <c:pt idx="63">
                  <c:v>2020M04</c:v>
                </c:pt>
                <c:pt idx="64">
                  <c:v>2020M05</c:v>
                </c:pt>
                <c:pt idx="65">
                  <c:v>2020M06</c:v>
                </c:pt>
                <c:pt idx="66">
                  <c:v>2020M07</c:v>
                </c:pt>
                <c:pt idx="67">
                  <c:v>2020M08</c:v>
                </c:pt>
                <c:pt idx="68">
                  <c:v>2020M09</c:v>
                </c:pt>
                <c:pt idx="69">
                  <c:v>2020M10</c:v>
                </c:pt>
                <c:pt idx="70">
                  <c:v>2020M11</c:v>
                </c:pt>
                <c:pt idx="71">
                  <c:v>2020M12</c:v>
                </c:pt>
                <c:pt idx="72">
                  <c:v>2021M01</c:v>
                </c:pt>
                <c:pt idx="73">
                  <c:v>2021M02</c:v>
                </c:pt>
                <c:pt idx="74">
                  <c:v>2021M03</c:v>
                </c:pt>
                <c:pt idx="75">
                  <c:v>2021M04</c:v>
                </c:pt>
                <c:pt idx="76">
                  <c:v>2021M05</c:v>
                </c:pt>
                <c:pt idx="77">
                  <c:v>2021M06</c:v>
                </c:pt>
              </c:strCache>
            </c:strRef>
          </c:cat>
          <c:val>
            <c:numRef>
              <c:f>'[CMO-Historical-Data-Monthly (1).xlsx]Monthly Indices'!$D$671:$D$748</c:f>
              <c:numCache>
                <c:formatCode>0.00</c:formatCode>
                <c:ptCount val="78"/>
                <c:pt idx="0">
                  <c:v>93.670503181651696</c:v>
                </c:pt>
                <c:pt idx="1">
                  <c:v>91.9896095759471</c:v>
                </c:pt>
                <c:pt idx="2">
                  <c:v>89.801295695405997</c:v>
                </c:pt>
                <c:pt idx="3">
                  <c:v>89.454329070697597</c:v>
                </c:pt>
                <c:pt idx="4">
                  <c:v>89.278277672829404</c:v>
                </c:pt>
                <c:pt idx="5">
                  <c:v>89.084210702441297</c:v>
                </c:pt>
                <c:pt idx="6">
                  <c:v>89.422463423155094</c:v>
                </c:pt>
                <c:pt idx="7">
                  <c:v>85.607706076254601</c:v>
                </c:pt>
                <c:pt idx="8">
                  <c:v>83.856467367231801</c:v>
                </c:pt>
                <c:pt idx="9">
                  <c:v>84.763741837205401</c:v>
                </c:pt>
                <c:pt idx="10">
                  <c:v>83.703448138667696</c:v>
                </c:pt>
                <c:pt idx="11">
                  <c:v>83.657834729665097</c:v>
                </c:pt>
                <c:pt idx="12">
                  <c:v>82.2994743439464</c:v>
                </c:pt>
                <c:pt idx="13">
                  <c:v>82.530660516571004</c:v>
                </c:pt>
                <c:pt idx="14">
                  <c:v>84.412485071954194</c:v>
                </c:pt>
                <c:pt idx="15">
                  <c:v>86.889158892184298</c:v>
                </c:pt>
                <c:pt idx="16">
                  <c:v>89.631529093860806</c:v>
                </c:pt>
                <c:pt idx="17">
                  <c:v>92.584442287862601</c:v>
                </c:pt>
                <c:pt idx="18">
                  <c:v>90.3641576807277</c:v>
                </c:pt>
                <c:pt idx="19">
                  <c:v>89.144452557158601</c:v>
                </c:pt>
                <c:pt idx="20">
                  <c:v>88.625343502217603</c:v>
                </c:pt>
                <c:pt idx="21">
                  <c:v>87.4237743761324</c:v>
                </c:pt>
                <c:pt idx="22">
                  <c:v>87.910643425580105</c:v>
                </c:pt>
                <c:pt idx="23">
                  <c:v>87.697794329462496</c:v>
                </c:pt>
                <c:pt idx="24">
                  <c:v>89.510425165860994</c:v>
                </c:pt>
                <c:pt idx="25">
                  <c:v>89.320698404683696</c:v>
                </c:pt>
                <c:pt idx="26">
                  <c:v>87.721752317437407</c:v>
                </c:pt>
                <c:pt idx="27">
                  <c:v>86.858489353791398</c:v>
                </c:pt>
                <c:pt idx="28">
                  <c:v>88.183732769321907</c:v>
                </c:pt>
                <c:pt idx="29">
                  <c:v>87.144117396025393</c:v>
                </c:pt>
                <c:pt idx="30">
                  <c:v>87.524792253663307</c:v>
                </c:pt>
                <c:pt idx="31">
                  <c:v>85.595886961420504</c:v>
                </c:pt>
                <c:pt idx="32">
                  <c:v>86.128287892756603</c:v>
                </c:pt>
                <c:pt idx="33">
                  <c:v>85.3124340683366</c:v>
                </c:pt>
                <c:pt idx="34">
                  <c:v>85.588412744131801</c:v>
                </c:pt>
                <c:pt idx="35">
                  <c:v>84.855548629735097</c:v>
                </c:pt>
                <c:pt idx="36">
                  <c:v>87.030233871596806</c:v>
                </c:pt>
                <c:pt idx="37">
                  <c:v>88.669258815613901</c:v>
                </c:pt>
                <c:pt idx="38">
                  <c:v>90.042375111580697</c:v>
                </c:pt>
                <c:pt idx="39">
                  <c:v>91.663335023760496</c:v>
                </c:pt>
                <c:pt idx="40">
                  <c:v>91.845127477966997</c:v>
                </c:pt>
                <c:pt idx="41">
                  <c:v>88.942982009769594</c:v>
                </c:pt>
                <c:pt idx="42">
                  <c:v>86.354439822940407</c:v>
                </c:pt>
                <c:pt idx="43">
                  <c:v>84.838934939837102</c:v>
                </c:pt>
                <c:pt idx="44">
                  <c:v>82.648096334885395</c:v>
                </c:pt>
                <c:pt idx="45">
                  <c:v>83.385929234722894</c:v>
                </c:pt>
                <c:pt idx="46">
                  <c:v>82.231684813738894</c:v>
                </c:pt>
                <c:pt idx="47">
                  <c:v>82.634648927283806</c:v>
                </c:pt>
                <c:pt idx="48">
                  <c:v>83.502453705785697</c:v>
                </c:pt>
                <c:pt idx="49">
                  <c:v>83.757216721645804</c:v>
                </c:pt>
                <c:pt idx="50">
                  <c:v>83.004116790507794</c:v>
                </c:pt>
                <c:pt idx="51">
                  <c:v>83.083705492870493</c:v>
                </c:pt>
                <c:pt idx="52">
                  <c:v>82.244232917961696</c:v>
                </c:pt>
                <c:pt idx="53">
                  <c:v>84.490229527321105</c:v>
                </c:pt>
                <c:pt idx="54">
                  <c:v>83.255941467751796</c:v>
                </c:pt>
                <c:pt idx="55">
                  <c:v>80.770870544691107</c:v>
                </c:pt>
                <c:pt idx="56">
                  <c:v>80.769685945524401</c:v>
                </c:pt>
                <c:pt idx="57">
                  <c:v>82.279385760626795</c:v>
                </c:pt>
                <c:pt idx="58">
                  <c:v>85.303159158781796</c:v>
                </c:pt>
                <c:pt idx="59">
                  <c:v>87.260793981538299</c:v>
                </c:pt>
                <c:pt idx="60">
                  <c:v>88.311264169807799</c:v>
                </c:pt>
                <c:pt idx="61">
                  <c:v>85.831133926107</c:v>
                </c:pt>
                <c:pt idx="62">
                  <c:v>83.064456774543601</c:v>
                </c:pt>
                <c:pt idx="63">
                  <c:v>81.328636414896806</c:v>
                </c:pt>
                <c:pt idx="64">
                  <c:v>81.355060317139703</c:v>
                </c:pt>
                <c:pt idx="65">
                  <c:v>83.357366507674399</c:v>
                </c:pt>
                <c:pt idx="66">
                  <c:v>83.831689979372001</c:v>
                </c:pt>
                <c:pt idx="67">
                  <c:v>86.816493463049994</c:v>
                </c:pt>
                <c:pt idx="68">
                  <c:v>89.018573092972503</c:v>
                </c:pt>
                <c:pt idx="69">
                  <c:v>90.860264485235504</c:v>
                </c:pt>
                <c:pt idx="70">
                  <c:v>94.597666670970199</c:v>
                </c:pt>
                <c:pt idx="71">
                  <c:v>97.132512127998694</c:v>
                </c:pt>
                <c:pt idx="72">
                  <c:v>102.074756639966</c:v>
                </c:pt>
                <c:pt idx="73">
                  <c:v>103.673140825749</c:v>
                </c:pt>
                <c:pt idx="74">
                  <c:v>103.198565585884</c:v>
                </c:pt>
                <c:pt idx="75">
                  <c:v>105.724095949887</c:v>
                </c:pt>
                <c:pt idx="76">
                  <c:v>111.274980036011</c:v>
                </c:pt>
                <c:pt idx="77">
                  <c:v>108.841472191257</c:v>
                </c:pt>
              </c:numCache>
            </c:numRef>
          </c:val>
          <c:smooth val="0"/>
          <c:extLst xmlns:c16r2="http://schemas.microsoft.com/office/drawing/2015/06/chart">
            <c:ext xmlns:c16="http://schemas.microsoft.com/office/drawing/2014/chart" uri="{C3380CC4-5D6E-409C-BE32-E72D297353CC}">
              <c16:uniqueId val="{00000002-D51F-41B6-8024-1D80EFB57552}"/>
            </c:ext>
          </c:extLst>
        </c:ser>
        <c:ser>
          <c:idx val="3"/>
          <c:order val="3"/>
          <c:tx>
            <c:strRef>
              <c:f>'[CMO-Historical-Data-Monthly (1).xlsx]Monthly Indices'!$P$6:$P$7</c:f>
              <c:strCache>
                <c:ptCount val="2"/>
                <c:pt idx="0">
                  <c:v>Metales preciosos</c:v>
                </c:pt>
              </c:strCache>
            </c:strRef>
          </c:tx>
          <c:spPr>
            <a:ln w="28575" cap="rnd">
              <a:solidFill>
                <a:schemeClr val="accent4"/>
              </a:solidFill>
              <a:round/>
            </a:ln>
            <a:effectLst/>
          </c:spPr>
          <c:marker>
            <c:symbol val="none"/>
          </c:marker>
          <c:cat>
            <c:strRef>
              <c:f>'[CMO-Historical-Data-Monthly (1).xlsx]Monthly Indices'!$A$671:$A$748</c:f>
              <c:strCache>
                <c:ptCount val="78"/>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pt idx="28">
                  <c:v>2017M05</c:v>
                </c:pt>
                <c:pt idx="29">
                  <c:v>2017M06</c:v>
                </c:pt>
                <c:pt idx="30">
                  <c:v>2017M07</c:v>
                </c:pt>
                <c:pt idx="31">
                  <c:v>2017M08</c:v>
                </c:pt>
                <c:pt idx="32">
                  <c:v>2017M09</c:v>
                </c:pt>
                <c:pt idx="33">
                  <c:v>2017M10</c:v>
                </c:pt>
                <c:pt idx="34">
                  <c:v>2017M11</c:v>
                </c:pt>
                <c:pt idx="35">
                  <c:v>2017M12</c:v>
                </c:pt>
                <c:pt idx="36">
                  <c:v>2018M01</c:v>
                </c:pt>
                <c:pt idx="37">
                  <c:v>2018M02</c:v>
                </c:pt>
                <c:pt idx="38">
                  <c:v>2018M03</c:v>
                </c:pt>
                <c:pt idx="39">
                  <c:v>2018M04</c:v>
                </c:pt>
                <c:pt idx="40">
                  <c:v>2018M05</c:v>
                </c:pt>
                <c:pt idx="41">
                  <c:v>2018M06</c:v>
                </c:pt>
                <c:pt idx="42">
                  <c:v>2018M07</c:v>
                </c:pt>
                <c:pt idx="43">
                  <c:v>2018M08</c:v>
                </c:pt>
                <c:pt idx="44">
                  <c:v>2018M09</c:v>
                </c:pt>
                <c:pt idx="45">
                  <c:v>2018M10</c:v>
                </c:pt>
                <c:pt idx="46">
                  <c:v>2018M11</c:v>
                </c:pt>
                <c:pt idx="47">
                  <c:v>2018M12</c:v>
                </c:pt>
                <c:pt idx="48">
                  <c:v>2019M01</c:v>
                </c:pt>
                <c:pt idx="49">
                  <c:v>2019M02</c:v>
                </c:pt>
                <c:pt idx="50">
                  <c:v>2019M03</c:v>
                </c:pt>
                <c:pt idx="51">
                  <c:v>2019M04</c:v>
                </c:pt>
                <c:pt idx="52">
                  <c:v>2019M05</c:v>
                </c:pt>
                <c:pt idx="53">
                  <c:v>2019M06</c:v>
                </c:pt>
                <c:pt idx="54">
                  <c:v>2019M07</c:v>
                </c:pt>
                <c:pt idx="55">
                  <c:v>2019M08</c:v>
                </c:pt>
                <c:pt idx="56">
                  <c:v>2019M09</c:v>
                </c:pt>
                <c:pt idx="57">
                  <c:v>2019M10</c:v>
                </c:pt>
                <c:pt idx="58">
                  <c:v>2019M11</c:v>
                </c:pt>
                <c:pt idx="59">
                  <c:v>2019M12</c:v>
                </c:pt>
                <c:pt idx="60">
                  <c:v>2020M01</c:v>
                </c:pt>
                <c:pt idx="61">
                  <c:v>2020M02</c:v>
                </c:pt>
                <c:pt idx="62">
                  <c:v>2020M03</c:v>
                </c:pt>
                <c:pt idx="63">
                  <c:v>2020M04</c:v>
                </c:pt>
                <c:pt idx="64">
                  <c:v>2020M05</c:v>
                </c:pt>
                <c:pt idx="65">
                  <c:v>2020M06</c:v>
                </c:pt>
                <c:pt idx="66">
                  <c:v>2020M07</c:v>
                </c:pt>
                <c:pt idx="67">
                  <c:v>2020M08</c:v>
                </c:pt>
                <c:pt idx="68">
                  <c:v>2020M09</c:v>
                </c:pt>
                <c:pt idx="69">
                  <c:v>2020M10</c:v>
                </c:pt>
                <c:pt idx="70">
                  <c:v>2020M11</c:v>
                </c:pt>
                <c:pt idx="71">
                  <c:v>2020M12</c:v>
                </c:pt>
                <c:pt idx="72">
                  <c:v>2021M01</c:v>
                </c:pt>
                <c:pt idx="73">
                  <c:v>2021M02</c:v>
                </c:pt>
                <c:pt idx="74">
                  <c:v>2021M03</c:v>
                </c:pt>
                <c:pt idx="75">
                  <c:v>2021M04</c:v>
                </c:pt>
                <c:pt idx="76">
                  <c:v>2021M05</c:v>
                </c:pt>
                <c:pt idx="77">
                  <c:v>2021M06</c:v>
                </c:pt>
              </c:strCache>
            </c:strRef>
          </c:cat>
          <c:val>
            <c:numRef>
              <c:f>'[CMO-Historical-Data-Monthly (1).xlsx]Monthly Indices'!$P$671:$P$748</c:f>
              <c:numCache>
                <c:formatCode>0.00</c:formatCode>
                <c:ptCount val="78"/>
                <c:pt idx="0">
                  <c:v>98.168479005813396</c:v>
                </c:pt>
                <c:pt idx="1">
                  <c:v>96.150939131779097</c:v>
                </c:pt>
                <c:pt idx="2">
                  <c:v>92.440394160716295</c:v>
                </c:pt>
                <c:pt idx="3">
                  <c:v>93.850472309010698</c:v>
                </c:pt>
                <c:pt idx="4">
                  <c:v>94.271412695394403</c:v>
                </c:pt>
                <c:pt idx="5">
                  <c:v>92.366198152695006</c:v>
                </c:pt>
                <c:pt idx="6">
                  <c:v>87.865520201286401</c:v>
                </c:pt>
                <c:pt idx="7">
                  <c:v>87.0497076151714</c:v>
                </c:pt>
                <c:pt idx="8">
                  <c:v>87.264576958034795</c:v>
                </c:pt>
                <c:pt idx="9">
                  <c:v>90.478801171129902</c:v>
                </c:pt>
                <c:pt idx="10">
                  <c:v>84.388660443674496</c:v>
                </c:pt>
                <c:pt idx="11">
                  <c:v>83.352003350752597</c:v>
                </c:pt>
                <c:pt idx="12">
                  <c:v>84.731174358841599</c:v>
                </c:pt>
                <c:pt idx="13">
                  <c:v>92.3113159642147</c:v>
                </c:pt>
                <c:pt idx="14">
                  <c:v>95.588807180727201</c:v>
                </c:pt>
                <c:pt idx="15">
                  <c:v>96.300535305916199</c:v>
                </c:pt>
                <c:pt idx="16">
                  <c:v>98.124013800126903</c:v>
                </c:pt>
                <c:pt idx="17">
                  <c:v>99.318465735493007</c:v>
                </c:pt>
                <c:pt idx="18">
                  <c:v>105.898664817471</c:v>
                </c:pt>
                <c:pt idx="19">
                  <c:v>105.810732391401</c:v>
                </c:pt>
                <c:pt idx="20">
                  <c:v>104.5806893216</c:v>
                </c:pt>
                <c:pt idx="21">
                  <c:v>98.988512423446494</c:v>
                </c:pt>
                <c:pt idx="22">
                  <c:v>96.956168205026103</c:v>
                </c:pt>
                <c:pt idx="23">
                  <c:v>90.820996316161995</c:v>
                </c:pt>
                <c:pt idx="24">
                  <c:v>93.576653321362102</c:v>
                </c:pt>
                <c:pt idx="25">
                  <c:v>97.293620638079403</c:v>
                </c:pt>
                <c:pt idx="26">
                  <c:v>96.742155798741507</c:v>
                </c:pt>
                <c:pt idx="27">
                  <c:v>99.368027440737194</c:v>
                </c:pt>
                <c:pt idx="28">
                  <c:v>96.772082544171596</c:v>
                </c:pt>
                <c:pt idx="29">
                  <c:v>97.850981930630397</c:v>
                </c:pt>
                <c:pt idx="30">
                  <c:v>95.607487635895097</c:v>
                </c:pt>
                <c:pt idx="31">
                  <c:v>99.403166383915504</c:v>
                </c:pt>
                <c:pt idx="32">
                  <c:v>101.80753849714</c:v>
                </c:pt>
                <c:pt idx="33">
                  <c:v>99.063287582762001</c:v>
                </c:pt>
                <c:pt idx="34">
                  <c:v>99.275501115287398</c:v>
                </c:pt>
                <c:pt idx="35">
                  <c:v>97.349614013490495</c:v>
                </c:pt>
                <c:pt idx="36">
                  <c:v>102.668458547787</c:v>
                </c:pt>
                <c:pt idx="37">
                  <c:v>102.114457230243</c:v>
                </c:pt>
                <c:pt idx="38">
                  <c:v>101.55990823956201</c:v>
                </c:pt>
                <c:pt idx="39">
                  <c:v>102.30366417478299</c:v>
                </c:pt>
                <c:pt idx="40">
                  <c:v>100.12711201805701</c:v>
                </c:pt>
                <c:pt idx="41">
                  <c:v>98.744834861220298</c:v>
                </c:pt>
                <c:pt idx="42">
                  <c:v>95.082714175390194</c:v>
                </c:pt>
                <c:pt idx="43">
                  <c:v>92.049461120317403</c:v>
                </c:pt>
                <c:pt idx="44">
                  <c:v>91.166668707559197</c:v>
                </c:pt>
                <c:pt idx="45">
                  <c:v>92.602882104822797</c:v>
                </c:pt>
                <c:pt idx="46">
                  <c:v>92.741025828807807</c:v>
                </c:pt>
                <c:pt idx="47">
                  <c:v>94.912202630557303</c:v>
                </c:pt>
                <c:pt idx="48">
                  <c:v>98.370862668934606</c:v>
                </c:pt>
                <c:pt idx="49">
                  <c:v>100.37231845846</c:v>
                </c:pt>
                <c:pt idx="50">
                  <c:v>98.717359034290794</c:v>
                </c:pt>
                <c:pt idx="51">
                  <c:v>97.629436670126395</c:v>
                </c:pt>
                <c:pt idx="52">
                  <c:v>97.010398388746793</c:v>
                </c:pt>
                <c:pt idx="53">
                  <c:v>102.095582502428</c:v>
                </c:pt>
                <c:pt idx="54">
                  <c:v>106.298134253697</c:v>
                </c:pt>
                <c:pt idx="55">
                  <c:v>113.234381931587</c:v>
                </c:pt>
                <c:pt idx="56">
                  <c:v>114.93394364648501</c:v>
                </c:pt>
                <c:pt idx="57">
                  <c:v>113.35182109834901</c:v>
                </c:pt>
                <c:pt idx="58">
                  <c:v>111.384443553488</c:v>
                </c:pt>
                <c:pt idx="59">
                  <c:v>111.93456120678501</c:v>
                </c:pt>
                <c:pt idx="60">
                  <c:v>118.02589487091799</c:v>
                </c:pt>
                <c:pt idx="61">
                  <c:v>120.199957407932</c:v>
                </c:pt>
                <c:pt idx="62">
                  <c:v>116.64542073871699</c:v>
                </c:pt>
                <c:pt idx="63">
                  <c:v>122.600420835146</c:v>
                </c:pt>
                <c:pt idx="64">
                  <c:v>125.872912043837</c:v>
                </c:pt>
                <c:pt idx="65">
                  <c:v>128.33983415496499</c:v>
                </c:pt>
                <c:pt idx="66">
                  <c:v>138.44493266524299</c:v>
                </c:pt>
                <c:pt idx="67">
                  <c:v>152.32680981038101</c:v>
                </c:pt>
                <c:pt idx="68">
                  <c:v>148.10864147656</c:v>
                </c:pt>
                <c:pt idx="69">
                  <c:v>145.24923339314401</c:v>
                </c:pt>
                <c:pt idx="70">
                  <c:v>143.021530003278</c:v>
                </c:pt>
                <c:pt idx="71">
                  <c:v>143.59335862983801</c:v>
                </c:pt>
                <c:pt idx="72">
                  <c:v>145.12204817942199</c:v>
                </c:pt>
                <c:pt idx="73">
                  <c:v>142.94968804822599</c:v>
                </c:pt>
                <c:pt idx="74">
                  <c:v>135.63916265705799</c:v>
                </c:pt>
                <c:pt idx="75">
                  <c:v>138.38816888746001</c:v>
                </c:pt>
                <c:pt idx="76">
                  <c:v>145.83627157272301</c:v>
                </c:pt>
                <c:pt idx="77">
                  <c:v>144.17816247738</c:v>
                </c:pt>
              </c:numCache>
            </c:numRef>
          </c:val>
          <c:smooth val="0"/>
          <c:extLst xmlns:c16r2="http://schemas.microsoft.com/office/drawing/2015/06/chart">
            <c:ext xmlns:c16="http://schemas.microsoft.com/office/drawing/2014/chart" uri="{C3380CC4-5D6E-409C-BE32-E72D297353CC}">
              <c16:uniqueId val="{00000003-D51F-41B6-8024-1D80EFB57552}"/>
            </c:ext>
          </c:extLst>
        </c:ser>
        <c:dLbls>
          <c:showLegendKey val="0"/>
          <c:showVal val="0"/>
          <c:showCatName val="0"/>
          <c:showSerName val="0"/>
          <c:showPercent val="0"/>
          <c:showBubbleSize val="0"/>
        </c:dLbls>
        <c:marker val="1"/>
        <c:smooth val="0"/>
        <c:axId val="217335680"/>
        <c:axId val="217337216"/>
      </c:lineChart>
      <c:catAx>
        <c:axId val="21733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7337216"/>
        <c:crosses val="autoZero"/>
        <c:auto val="1"/>
        <c:lblAlgn val="ctr"/>
        <c:lblOffset val="100"/>
        <c:noMultiLvlLbl val="0"/>
      </c:catAx>
      <c:valAx>
        <c:axId val="217337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7335680"/>
        <c:crosses val="autoZero"/>
        <c:crossBetween val="between"/>
      </c:valAx>
      <c:spPr>
        <a:noFill/>
        <a:ln>
          <a:noFill/>
        </a:ln>
        <a:effectLst/>
      </c:spPr>
    </c:plotArea>
    <c:legend>
      <c:legendPos val="b"/>
      <c:layout>
        <c:manualLayout>
          <c:xMode val="edge"/>
          <c:yMode val="edge"/>
          <c:x val="5.2605523710265771E-2"/>
          <c:y val="0.9118792787977219"/>
          <c:w val="0.9"/>
          <c:h val="8.81207212022779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5788313120176E-2"/>
          <c:y val="5.9604443240314275E-2"/>
          <c:w val="0.95148842337375961"/>
          <c:h val="0.70151997730167226"/>
        </c:manualLayout>
      </c:layout>
      <c:barChart>
        <c:barDir val="col"/>
        <c:grouping val="clustered"/>
        <c:varyColors val="0"/>
        <c:ser>
          <c:idx val="1"/>
          <c:order val="0"/>
          <c:tx>
            <c:strRef>
              <c:f>Int_Comp!$A$69</c:f>
              <c:strCache>
                <c:ptCount val="1"/>
                <c:pt idx="0">
                  <c:v>Intereses de deuda/Ingresos fiscales</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Int_Comp!$B$67:$H$67</c:f>
              <c:strCache>
                <c:ptCount val="7"/>
                <c:pt idx="0">
                  <c:v>Costa Rica</c:v>
                </c:pt>
                <c:pt idx="1">
                  <c:v>República Dominicana</c:v>
                </c:pt>
                <c:pt idx="2">
                  <c:v>El Salvador</c:v>
                </c:pt>
                <c:pt idx="3">
                  <c:v>Guatemala</c:v>
                </c:pt>
                <c:pt idx="4">
                  <c:v>Honduras</c:v>
                </c:pt>
                <c:pt idx="5">
                  <c:v>Nicaragua</c:v>
                </c:pt>
                <c:pt idx="6">
                  <c:v>Panamá</c:v>
                </c:pt>
              </c:strCache>
            </c:strRef>
          </c:cat>
          <c:val>
            <c:numRef>
              <c:f>Int_Comp!$B$69:$H$69</c:f>
              <c:numCache>
                <c:formatCode>_-* #,##0.0_-;\-* #,##0.0_-;_-* "-"??_-;_-@_-</c:formatCode>
                <c:ptCount val="7"/>
                <c:pt idx="0">
                  <c:v>36.372929871191985</c:v>
                </c:pt>
                <c:pt idx="1">
                  <c:v>23.793805744785445</c:v>
                </c:pt>
                <c:pt idx="2">
                  <c:v>20.873899836435854</c:v>
                </c:pt>
                <c:pt idx="3">
                  <c:v>16.014528339117255</c:v>
                </c:pt>
                <c:pt idx="4">
                  <c:v>2.8804745266921268</c:v>
                </c:pt>
                <c:pt idx="5">
                  <c:v>3.2979756480167328</c:v>
                </c:pt>
                <c:pt idx="6">
                  <c:v>12.220011225062501</c:v>
                </c:pt>
              </c:numCache>
            </c:numRef>
          </c:val>
          <c:extLst xmlns:c16r2="http://schemas.microsoft.com/office/drawing/2015/06/chart">
            <c:ext xmlns:c16="http://schemas.microsoft.com/office/drawing/2014/chart" uri="{C3380CC4-5D6E-409C-BE32-E72D297353CC}">
              <c16:uniqueId val="{00000000-1AC8-43A9-9DFC-93F5C3154CD1}"/>
            </c:ext>
          </c:extLst>
        </c:ser>
        <c:ser>
          <c:idx val="0"/>
          <c:order val="1"/>
          <c:tx>
            <c:strRef>
              <c:f>Int_Comp!$A$68</c:f>
              <c:strCache>
                <c:ptCount val="1"/>
                <c:pt idx="0">
                  <c:v>Intereses de deuda/ PIB</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Int_Comp!$B$67:$H$67</c:f>
              <c:strCache>
                <c:ptCount val="7"/>
                <c:pt idx="0">
                  <c:v>Costa Rica</c:v>
                </c:pt>
                <c:pt idx="1">
                  <c:v>República Dominicana</c:v>
                </c:pt>
                <c:pt idx="2">
                  <c:v>El Salvador</c:v>
                </c:pt>
                <c:pt idx="3">
                  <c:v>Guatemala</c:v>
                </c:pt>
                <c:pt idx="4">
                  <c:v>Honduras</c:v>
                </c:pt>
                <c:pt idx="5">
                  <c:v>Nicaragua</c:v>
                </c:pt>
                <c:pt idx="6">
                  <c:v>Panamá</c:v>
                </c:pt>
              </c:strCache>
            </c:strRef>
          </c:cat>
          <c:val>
            <c:numRef>
              <c:f>Int_Comp!$B$68:$H$68</c:f>
              <c:numCache>
                <c:formatCode>_-* #,##0.0_-;\-* #,##0.0_-;_-* "-"??_-;_-@_-</c:formatCode>
                <c:ptCount val="7"/>
                <c:pt idx="0">
                  <c:v>5.3369999999999997</c:v>
                </c:pt>
                <c:pt idx="1">
                  <c:v>3.3879999999999999</c:v>
                </c:pt>
                <c:pt idx="2">
                  <c:v>5.3599999999999994</c:v>
                </c:pt>
                <c:pt idx="3">
                  <c:v>1.8539783692426122</c:v>
                </c:pt>
                <c:pt idx="4">
                  <c:v>0.70900000000000007</c:v>
                </c:pt>
                <c:pt idx="5">
                  <c:v>0.88300000000000001</c:v>
                </c:pt>
                <c:pt idx="6">
                  <c:v>2.3949999999999996</c:v>
                </c:pt>
              </c:numCache>
            </c:numRef>
          </c:val>
          <c:extLst xmlns:c16r2="http://schemas.microsoft.com/office/drawing/2015/06/chart">
            <c:ext xmlns:c16="http://schemas.microsoft.com/office/drawing/2014/chart" uri="{C3380CC4-5D6E-409C-BE32-E72D297353CC}">
              <c16:uniqueId val="{00000001-1AC8-43A9-9DFC-93F5C3154CD1}"/>
            </c:ext>
          </c:extLst>
        </c:ser>
        <c:dLbls>
          <c:showLegendKey val="0"/>
          <c:showVal val="0"/>
          <c:showCatName val="0"/>
          <c:showSerName val="0"/>
          <c:showPercent val="0"/>
          <c:showBubbleSize val="0"/>
        </c:dLbls>
        <c:gapWidth val="70"/>
        <c:overlap val="-10"/>
        <c:axId val="249526528"/>
        <c:axId val="249536512"/>
      </c:barChart>
      <c:catAx>
        <c:axId val="24952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536512"/>
        <c:crosses val="autoZero"/>
        <c:auto val="1"/>
        <c:lblAlgn val="ctr"/>
        <c:lblOffset val="100"/>
        <c:noMultiLvlLbl val="0"/>
      </c:catAx>
      <c:valAx>
        <c:axId val="249536512"/>
        <c:scaling>
          <c:orientation val="minMax"/>
        </c:scaling>
        <c:delete val="1"/>
        <c:axPos val="l"/>
        <c:numFmt formatCode="_-* #,##0.0_-;\-* #,##0.0_-;_-* &quot;-&quot;??_-;_-@_-" sourceLinked="1"/>
        <c:majorTickMark val="none"/>
        <c:minorTickMark val="none"/>
        <c:tickLblPos val="nextTo"/>
        <c:crossAx val="249526528"/>
        <c:crosses val="autoZero"/>
        <c:crossBetween val="between"/>
      </c:valAx>
      <c:spPr>
        <a:noFill/>
        <a:ln>
          <a:noFill/>
        </a:ln>
        <a:effectLst/>
      </c:spPr>
    </c:plotArea>
    <c:legend>
      <c:legendPos val="b"/>
      <c:layout>
        <c:manualLayout>
          <c:xMode val="edge"/>
          <c:yMode val="edge"/>
          <c:x val="0.22949448298014569"/>
          <c:y val="0.91996066192078196"/>
          <c:w val="0.54542117736936691"/>
          <c:h val="8.003933807921802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solidFill>
            <a:ln>
              <a:noFill/>
            </a:ln>
            <a:effectLst/>
          </c:spPr>
          <c:invertIfNegative val="0"/>
          <c:dPt>
            <c:idx val="1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C772-42C3-B214-01055B21E6A8}"/>
              </c:ext>
            </c:extLst>
          </c:dPt>
          <c:dPt>
            <c:idx val="11"/>
            <c:invertIfNegative val="0"/>
            <c:bubble3D val="0"/>
            <c:extLst xmlns:c16r2="http://schemas.microsoft.com/office/drawing/2015/06/chart">
              <c:ext xmlns:c16="http://schemas.microsoft.com/office/drawing/2014/chart" uri="{C3380CC4-5D6E-409C-BE32-E72D297353CC}">
                <c16:uniqueId val="{00000003-C772-42C3-B214-01055B21E6A8}"/>
              </c:ext>
            </c:extLst>
          </c:dPt>
          <c:dLbls>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de escenarios'!$AK$19:$AK$35</c:f>
              <c:strCache>
                <c:ptCount val="17"/>
                <c:pt idx="0">
                  <c:v>Argentina</c:v>
                </c:pt>
                <c:pt idx="1">
                  <c:v>El Salvador</c:v>
                </c:pt>
                <c:pt idx="2">
                  <c:v>Ecuador</c:v>
                </c:pt>
                <c:pt idx="3">
                  <c:v>Bolivia</c:v>
                </c:pt>
                <c:pt idx="4">
                  <c:v>Costa Rica</c:v>
                </c:pt>
                <c:pt idx="5">
                  <c:v>Rep. Dominicana</c:v>
                </c:pt>
                <c:pt idx="6">
                  <c:v>México</c:v>
                </c:pt>
                <c:pt idx="7">
                  <c:v>Honduras</c:v>
                </c:pt>
                <c:pt idx="8">
                  <c:v>Brasil</c:v>
                </c:pt>
                <c:pt idx="9">
                  <c:v>Colombia</c:v>
                </c:pt>
                <c:pt idx="10">
                  <c:v>Guatemala</c:v>
                </c:pt>
                <c:pt idx="11">
                  <c:v>Paraguay</c:v>
                </c:pt>
                <c:pt idx="12">
                  <c:v>Perú</c:v>
                </c:pt>
                <c:pt idx="13">
                  <c:v>Panama</c:v>
                </c:pt>
                <c:pt idx="14">
                  <c:v>Uruguay</c:v>
                </c:pt>
                <c:pt idx="15">
                  <c:v>Venezuela</c:v>
                </c:pt>
                <c:pt idx="16">
                  <c:v>Chile</c:v>
                </c:pt>
              </c:strCache>
            </c:strRef>
          </c:cat>
          <c:val>
            <c:numRef>
              <c:f>'Resumen de escenarios'!$AL$19:$AL$35</c:f>
              <c:numCache>
                <c:formatCode>_-* #,##0_-;\-* #,##0_-;_-* "-"??_-;_-@_-</c:formatCode>
                <c:ptCount val="17"/>
                <c:pt idx="0" formatCode="_-* #,##0.0_-;\-* #,##0.0_-;_-* &quot;-&quot;??_-;_-@_-">
                  <c:v>1538.258</c:v>
                </c:pt>
                <c:pt idx="1">
                  <c:v>920.25799999999992</c:v>
                </c:pt>
                <c:pt idx="2">
                  <c:v>788.34500000000003</c:v>
                </c:pt>
                <c:pt idx="3">
                  <c:v>498.07300000000004</c:v>
                </c:pt>
                <c:pt idx="4">
                  <c:v>466.59</c:v>
                </c:pt>
                <c:pt idx="5">
                  <c:v>358.43700000000001</c:v>
                </c:pt>
                <c:pt idx="6">
                  <c:v>355.31</c:v>
                </c:pt>
                <c:pt idx="7">
                  <c:v>318.774</c:v>
                </c:pt>
                <c:pt idx="8">
                  <c:v>279.00399999999996</c:v>
                </c:pt>
                <c:pt idx="9">
                  <c:v>277.20999999999998</c:v>
                </c:pt>
                <c:pt idx="10">
                  <c:v>254.54500000000002</c:v>
                </c:pt>
                <c:pt idx="11">
                  <c:v>227.59700000000001</c:v>
                </c:pt>
                <c:pt idx="12">
                  <c:v>183.07</c:v>
                </c:pt>
                <c:pt idx="13">
                  <c:v>176.12799999999999</c:v>
                </c:pt>
                <c:pt idx="14">
                  <c:v>135.393</c:v>
                </c:pt>
                <c:pt idx="15">
                  <c:v>135.393</c:v>
                </c:pt>
                <c:pt idx="16">
                  <c:v>134.73699999999999</c:v>
                </c:pt>
              </c:numCache>
            </c:numRef>
          </c:val>
          <c:extLst xmlns:c16r2="http://schemas.microsoft.com/office/drawing/2015/06/chart">
            <c:ext xmlns:c16="http://schemas.microsoft.com/office/drawing/2014/chart" uri="{C3380CC4-5D6E-409C-BE32-E72D297353CC}">
              <c16:uniqueId val="{00000004-C772-42C3-B214-01055B21E6A8}"/>
            </c:ext>
          </c:extLst>
        </c:ser>
        <c:dLbls>
          <c:showLegendKey val="0"/>
          <c:showVal val="0"/>
          <c:showCatName val="0"/>
          <c:showSerName val="0"/>
          <c:showPercent val="0"/>
          <c:showBubbleSize val="0"/>
        </c:dLbls>
        <c:gapWidth val="100"/>
        <c:overlap val="-27"/>
        <c:axId val="249694464"/>
        <c:axId val="249696256"/>
      </c:barChart>
      <c:catAx>
        <c:axId val="24969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696256"/>
        <c:crosses val="autoZero"/>
        <c:auto val="1"/>
        <c:lblAlgn val="ctr"/>
        <c:lblOffset val="100"/>
        <c:noMultiLvlLbl val="0"/>
      </c:catAx>
      <c:valAx>
        <c:axId val="249696256"/>
        <c:scaling>
          <c:orientation val="minMax"/>
        </c:scaling>
        <c:delete val="1"/>
        <c:axPos val="l"/>
        <c:numFmt formatCode="_-* #,##0.0_-;\-* #,##0.0_-;_-* &quot;-&quot;??_-;_-@_-" sourceLinked="1"/>
        <c:majorTickMark val="none"/>
        <c:minorTickMark val="none"/>
        <c:tickLblPos val="nextTo"/>
        <c:crossAx val="249694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200" b="1">
                <a:latin typeface="Times New Roman" panose="02020603050405020304" pitchFamily="18" charset="0"/>
                <a:cs typeface="Times New Roman" panose="02020603050405020304" pitchFamily="18" charset="0"/>
              </a:rPr>
              <a:t>Flujos de creación de deuda</a:t>
            </a:r>
          </a:p>
        </c:rich>
      </c:tx>
      <c:layout>
        <c:manualLayout>
          <c:xMode val="edge"/>
          <c:yMode val="edge"/>
          <c:x val="4.9009548611111113E-2"/>
          <c:y val="2.9677777777777782E-2"/>
        </c:manualLayout>
      </c:layout>
      <c:overlay val="1"/>
      <c:spPr>
        <a:noFill/>
        <a:ln>
          <a:noFill/>
        </a:ln>
        <a:effectLst/>
      </c:spPr>
    </c:title>
    <c:autoTitleDeleted val="0"/>
    <c:plotArea>
      <c:layout>
        <c:manualLayout>
          <c:layoutTarget val="inner"/>
          <c:xMode val="edge"/>
          <c:yMode val="edge"/>
          <c:x val="4.4879437716025407E-2"/>
          <c:y val="4.8758865248226951E-2"/>
          <c:w val="0.93628648156648575"/>
          <c:h val="0.72568615231588252"/>
        </c:manualLayout>
      </c:layout>
      <c:barChart>
        <c:barDir val="col"/>
        <c:grouping val="stacked"/>
        <c:varyColors val="0"/>
        <c:ser>
          <c:idx val="0"/>
          <c:order val="0"/>
          <c:tx>
            <c:strRef>
              <c:f>'Baseline debt'!$B$147</c:f>
              <c:strCache>
                <c:ptCount val="1"/>
                <c:pt idx="0">
                  <c:v>Deficit primario</c:v>
                </c:pt>
              </c:strCache>
            </c:strRef>
          </c:tx>
          <c: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solidFill>
                <a:schemeClr val="tx1"/>
              </a:solidFill>
            </a:ln>
            <a:effectLst>
              <a:outerShdw blurRad="50800" dist="38100" dir="5400000" algn="t" rotWithShape="0">
                <a:prstClr val="black">
                  <a:alpha val="40000"/>
                </a:prstClr>
              </a:outerShdw>
            </a:effectLst>
          </c:spPr>
          <c:invertIfNegative val="0"/>
          <c:cat>
            <c:numRef>
              <c:f>'Baseline debt'!$O$100:$AC$100</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'Baseline debt'!$O$147:$AC$147</c:f>
              <c:numCache>
                <c:formatCode>_-* #,##0.0_-;\-* #,##0.0_-;_-* "-"??_-;_-@_-</c:formatCode>
                <c:ptCount val="15"/>
                <c:pt idx="0">
                  <c:v>0.87572133865044677</c:v>
                </c:pt>
                <c:pt idx="1">
                  <c:v>0.58619322740018909</c:v>
                </c:pt>
                <c:pt idx="2">
                  <c:v>0.44960223336676997</c:v>
                </c:pt>
                <c:pt idx="3">
                  <c:v>-0.12799145099036124</c:v>
                </c:pt>
                <c:pt idx="4">
                  <c:v>-0.42859395090087027</c:v>
                </c:pt>
                <c:pt idx="5">
                  <c:v>-0.13584839390330039</c:v>
                </c:pt>
                <c:pt idx="6">
                  <c:v>0.34244932216331669</c:v>
                </c:pt>
                <c:pt idx="7">
                  <c:v>0.60590491723555218</c:v>
                </c:pt>
                <c:pt idx="8">
                  <c:v>3.192738344607859</c:v>
                </c:pt>
                <c:pt idx="9">
                  <c:v>0.43249632694277729</c:v>
                </c:pt>
                <c:pt idx="10">
                  <c:v>0.9544106931474694</c:v>
                </c:pt>
                <c:pt idx="11">
                  <c:v>0.30901684343209546</c:v>
                </c:pt>
                <c:pt idx="12">
                  <c:v>-4.6414808212473346E-2</c:v>
                </c:pt>
                <c:pt idx="13">
                  <c:v>-0.38951502854750863</c:v>
                </c:pt>
                <c:pt idx="14">
                  <c:v>-0.68395184904598061</c:v>
                </c:pt>
              </c:numCache>
            </c:numRef>
          </c:val>
          <c:extLst xmlns:c16r2="http://schemas.microsoft.com/office/drawing/2015/06/chart">
            <c:ext xmlns:c16="http://schemas.microsoft.com/office/drawing/2014/chart" uri="{C3380CC4-5D6E-409C-BE32-E72D297353CC}">
              <c16:uniqueId val="{00000000-0652-43C7-BDA8-582E97EAF528}"/>
            </c:ext>
          </c:extLst>
        </c:ser>
        <c:ser>
          <c:idx val="1"/>
          <c:order val="1"/>
          <c:tx>
            <c:strRef>
              <c:f>'Baseline debt'!$B$152</c:f>
              <c:strCache>
                <c:ptCount val="1"/>
                <c:pt idx="0">
                  <c:v>Tasa de interes real</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solidFill>
                <a:schemeClr val="tx1"/>
              </a:solidFill>
            </a:ln>
            <a:effectLst>
              <a:outerShdw blurRad="50800" dist="38100" dir="5400000" algn="t" rotWithShape="0">
                <a:prstClr val="black">
                  <a:alpha val="40000"/>
                </a:prstClr>
              </a:outerShdw>
            </a:effectLst>
          </c:spPr>
          <c:invertIfNegative val="1"/>
          <c:cat>
            <c:numRef>
              <c:f>'Baseline debt'!$O$100:$AC$100</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'Baseline debt'!$O$152:$AC$152</c:f>
              <c:numCache>
                <c:formatCode>_-* #,##0.0_-;\-* #,##0.0_-;_-* "-"??_-;_-@_-</c:formatCode>
                <c:ptCount val="15"/>
                <c:pt idx="0">
                  <c:v>0.92154313050662084</c:v>
                </c:pt>
                <c:pt idx="1">
                  <c:v>0.86211594949391579</c:v>
                </c:pt>
                <c:pt idx="2">
                  <c:v>0.7605099740453295</c:v>
                </c:pt>
                <c:pt idx="3">
                  <c:v>1.0450711210302279</c:v>
                </c:pt>
                <c:pt idx="4">
                  <c:v>0.86564510542295248</c:v>
                </c:pt>
                <c:pt idx="5">
                  <c:v>1.0771211997008605</c:v>
                </c:pt>
                <c:pt idx="6">
                  <c:v>1.2370176447377932</c:v>
                </c:pt>
                <c:pt idx="7">
                  <c:v>0.67242967947371357</c:v>
                </c:pt>
                <c:pt idx="8">
                  <c:v>1.016849170317802</c:v>
                </c:pt>
                <c:pt idx="9">
                  <c:v>0.75337630356584973</c:v>
                </c:pt>
                <c:pt idx="10">
                  <c:v>0.85847932458950527</c:v>
                </c:pt>
                <c:pt idx="11">
                  <c:v>1.0908094752635935</c:v>
                </c:pt>
                <c:pt idx="12">
                  <c:v>1.1237710604791757</c:v>
                </c:pt>
                <c:pt idx="13">
                  <c:v>1.1181262419247064</c:v>
                </c:pt>
                <c:pt idx="14">
                  <c:v>1.1104251024976524</c:v>
                </c:pt>
              </c:numCache>
            </c:numRef>
          </c:val>
          <c:extLst xmlns:c16r2="http://schemas.microsoft.com/office/drawing/2015/06/chart">
            <c:ext xmlns:c16="http://schemas.microsoft.com/office/drawing/2014/chart" uri="{C3380CC4-5D6E-409C-BE32-E72D297353CC}">
              <c16:uniqueId val="{00000001-0652-43C7-BDA8-582E97EAF528}"/>
            </c:ext>
          </c:extLst>
        </c:ser>
        <c:ser>
          <c:idx val="2"/>
          <c:order val="2"/>
          <c:tx>
            <c:strRef>
              <c:f>'Baseline debt'!$B$153</c:f>
              <c:strCache>
                <c:ptCount val="1"/>
                <c:pt idx="0">
                  <c:v>Crecimiento del PIB real</c:v>
                </c:pt>
              </c:strCache>
            </c:strRef>
          </c:tx>
          <c:spPr>
            <a:gradFill>
              <a:gsLst>
                <a:gs pos="0">
                  <a:srgbClr val="C00000"/>
                </a:gs>
                <a:gs pos="48000">
                  <a:srgbClr val="FF0000"/>
                </a:gs>
                <a:gs pos="100000">
                  <a:srgbClr val="FF5050"/>
                </a:gs>
              </a:gsLst>
              <a:lin ang="16200000" scaled="1"/>
            </a:gradFill>
            <a:ln>
              <a:solidFill>
                <a:schemeClr val="tx1"/>
              </a:solidFill>
            </a:ln>
            <a:effectLst>
              <a:outerShdw blurRad="50800" dist="38100" dir="5400000" algn="t" rotWithShape="0">
                <a:prstClr val="black">
                  <a:alpha val="40000"/>
                </a:prstClr>
              </a:outerShdw>
            </a:effectLst>
          </c:spPr>
          <c:invertIfNegative val="0"/>
          <c:cat>
            <c:numRef>
              <c:f>'Baseline debt'!$O$100:$AC$100</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'Baseline debt'!$O$153:$AC$153</c:f>
              <c:numCache>
                <c:formatCode>_-* #,##0.0_-;\-* #,##0.0_-;_-* "-"??_-;_-@_-</c:formatCode>
                <c:ptCount val="15"/>
                <c:pt idx="0">
                  <c:v>-0.69676597334184853</c:v>
                </c:pt>
                <c:pt idx="1">
                  <c:v>-0.78856800007839378</c:v>
                </c:pt>
                <c:pt idx="2">
                  <c:v>-1.0126114327896816</c:v>
                </c:pt>
                <c:pt idx="3">
                  <c:v>-0.93258452374065903</c:v>
                </c:pt>
                <c:pt idx="4">
                  <c:v>-0.61610002911752415</c:v>
                </c:pt>
                <c:pt idx="5">
                  <c:v>-0.7225244390626484</c:v>
                </c:pt>
                <c:pt idx="6">
                  <c:v>-0.78993917680771131</c:v>
                </c:pt>
                <c:pt idx="7">
                  <c:v>-0.91868514429290637</c:v>
                </c:pt>
                <c:pt idx="8">
                  <c:v>0.38861127834645803</c:v>
                </c:pt>
                <c:pt idx="9">
                  <c:v>-1.1359265299669707</c:v>
                </c:pt>
                <c:pt idx="10">
                  <c:v>-1.2885483262999236</c:v>
                </c:pt>
                <c:pt idx="11">
                  <c:v>-1.0592053180846592</c:v>
                </c:pt>
                <c:pt idx="12">
                  <c:v>-1.0630494874837531</c:v>
                </c:pt>
                <c:pt idx="13">
                  <c:v>-1.058514427624877</c:v>
                </c:pt>
                <c:pt idx="14">
                  <c:v>-1.0845135750439887</c:v>
                </c:pt>
              </c:numCache>
            </c:numRef>
          </c:val>
          <c:extLst xmlns:c16r2="http://schemas.microsoft.com/office/drawing/2015/06/chart">
            <c:ext xmlns:c16="http://schemas.microsoft.com/office/drawing/2014/chart" uri="{C3380CC4-5D6E-409C-BE32-E72D297353CC}">
              <c16:uniqueId val="{00000002-0652-43C7-BDA8-582E97EAF528}"/>
            </c:ext>
          </c:extLst>
        </c:ser>
        <c:ser>
          <c:idx val="3"/>
          <c:order val="3"/>
          <c:tx>
            <c:strRef>
              <c:f>'Baseline debt'!$B$154</c:f>
              <c:strCache>
                <c:ptCount val="1"/>
                <c:pt idx="0">
                  <c:v>Contribución de depreciación del tipo de cambio</c:v>
                </c:pt>
              </c:strCache>
            </c:strRef>
          </c:tx>
          <c:spPr>
            <a:gradFill>
              <a:gsLst>
                <a:gs pos="0">
                  <a:srgbClr val="7030A0"/>
                </a:gs>
                <a:gs pos="52000">
                  <a:srgbClr val="9A57CD"/>
                </a:gs>
                <a:gs pos="100000">
                  <a:srgbClr val="B888DC"/>
                </a:gs>
              </a:gsLst>
              <a:lin ang="16200000" scaled="1"/>
            </a:gradFill>
            <a:ln>
              <a:solidFill>
                <a:schemeClr val="tx1"/>
              </a:solidFill>
            </a:ln>
            <a:effectLst>
              <a:outerShdw blurRad="50800" dist="38100" dir="5400000" algn="t" rotWithShape="0">
                <a:prstClr val="black">
                  <a:alpha val="40000"/>
                </a:prstClr>
              </a:outerShdw>
            </a:effectLst>
          </c:spPr>
          <c:invertIfNegative val="0"/>
          <c:cat>
            <c:numRef>
              <c:f>'Baseline debt'!$O$100:$AC$100</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'Baseline debt'!$O$154:$AC$154</c:f>
              <c:numCache>
                <c:formatCode>_-* #,##0.0_-;\-* #,##0.0_-;_-* "-"??_-;_-@_-</c:formatCode>
                <c:ptCount val="15"/>
                <c:pt idx="0">
                  <c:v>0.14677178594349122</c:v>
                </c:pt>
                <c:pt idx="1">
                  <c:v>-0.10351786082353999</c:v>
                </c:pt>
                <c:pt idx="2">
                  <c:v>-0.42320645839809307</c:v>
                </c:pt>
                <c:pt idx="3">
                  <c:v>5.9611624855954115E-2</c:v>
                </c:pt>
                <c:pt idx="4">
                  <c:v>-0.18264710610991566</c:v>
                </c:pt>
                <c:pt idx="5">
                  <c:v>-0.30278139568549217</c:v>
                </c:pt>
                <c:pt idx="6">
                  <c:v>0.65600683211829891</c:v>
                </c:pt>
                <c:pt idx="7">
                  <c:v>-5.6957275762151413E-2</c:v>
                </c:pt>
                <c:pt idx="8">
                  <c:v>0.15640618959922675</c:v>
                </c:pt>
                <c:pt idx="9">
                  <c:v>1.0573259370602398E-2</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3-0652-43C7-BDA8-582E97EAF528}"/>
            </c:ext>
          </c:extLst>
        </c:ser>
        <c:ser>
          <c:idx val="4"/>
          <c:order val="4"/>
          <c:tx>
            <c:strRef>
              <c:f>'Baseline debt'!$B$155</c:f>
              <c:strCache>
                <c:ptCount val="1"/>
                <c:pt idx="0">
                  <c:v>Otros flujos de creación de deuda</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solidFill>
                <a:schemeClr val="tx1"/>
              </a:solidFill>
            </a:ln>
            <a:effectLst>
              <a:outerShdw blurRad="50800" dist="38100" dir="5400000" algn="t" rotWithShape="0">
                <a:prstClr val="black">
                  <a:alpha val="40000"/>
                </a:prstClr>
              </a:outerShdw>
            </a:effectLst>
          </c:spPr>
          <c:invertIfNegative val="0"/>
          <c:cat>
            <c:numRef>
              <c:f>'Baseline debt'!$O$100:$AC$100</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'Baseline debt'!$O$155:$AC$155</c:f>
              <c:numCache>
                <c:formatCode>_-* #,##0.0_-;\-* #,##0.0_-;_-* "-"??_-;_-@_-</c:formatCode>
                <c:ptCount val="15"/>
                <c:pt idx="0">
                  <c:v>-0.43059936291150708</c:v>
                </c:pt>
                <c:pt idx="1">
                  <c:v>-7.9849203193248605E-2</c:v>
                </c:pt>
                <c:pt idx="2">
                  <c:v>-4.6880994432122694E-2</c:v>
                </c:pt>
                <c:pt idx="3">
                  <c:v>0.13238892355769738</c:v>
                </c:pt>
                <c:pt idx="4">
                  <c:v>0.51203596362721859</c:v>
                </c:pt>
                <c:pt idx="5">
                  <c:v>0.18908451938193008</c:v>
                </c:pt>
                <c:pt idx="6">
                  <c:v>-3.8521318751028946E-2</c:v>
                </c:pt>
                <c:pt idx="7">
                  <c:v>-0.25555226872207049</c:v>
                </c:pt>
                <c:pt idx="8">
                  <c:v>0.21058184926889451</c:v>
                </c:pt>
                <c:pt idx="9">
                  <c:v>0.30156241404887929</c:v>
                </c:pt>
                <c:pt idx="10">
                  <c:v>-0.71071234603893396</c:v>
                </c:pt>
                <c:pt idx="11">
                  <c:v>-2.5828886910362531E-2</c:v>
                </c:pt>
                <c:pt idx="12">
                  <c:v>-2.1671346945269648E-2</c:v>
                </c:pt>
                <c:pt idx="13">
                  <c:v>-1.9246076531323816E-2</c:v>
                </c:pt>
                <c:pt idx="14">
                  <c:v>-1.7229883443977106E-2</c:v>
                </c:pt>
              </c:numCache>
            </c:numRef>
          </c:val>
          <c:extLst xmlns:c16r2="http://schemas.microsoft.com/office/drawing/2015/06/chart">
            <c:ext xmlns:c16="http://schemas.microsoft.com/office/drawing/2014/chart" uri="{C3380CC4-5D6E-409C-BE32-E72D297353CC}">
              <c16:uniqueId val="{00000004-0652-43C7-BDA8-582E97EAF528}"/>
            </c:ext>
          </c:extLst>
        </c:ser>
        <c:ser>
          <c:idx val="5"/>
          <c:order val="5"/>
          <c:tx>
            <c:strRef>
              <c:f>'Baseline debt'!$B$156</c:f>
              <c:strCache>
                <c:ptCount val="1"/>
                <c:pt idx="0">
                  <c:v>Residuo</c:v>
                </c:pt>
              </c:strCache>
            </c:strRef>
          </c:tx>
          <c:spPr>
            <a:gradFill>
              <a:gsLst>
                <a:gs pos="0">
                  <a:schemeClr val="bg1">
                    <a:lumMod val="50000"/>
                  </a:schemeClr>
                </a:gs>
                <a:gs pos="52000">
                  <a:schemeClr val="bg1">
                    <a:lumMod val="65000"/>
                  </a:schemeClr>
                </a:gs>
                <a:gs pos="100000">
                  <a:schemeClr val="bg1">
                    <a:lumMod val="75000"/>
                  </a:schemeClr>
                </a:gs>
              </a:gsLst>
              <a:lin ang="16200000" scaled="1"/>
            </a:gradFill>
            <a:ln>
              <a:solidFill>
                <a:schemeClr val="tx1"/>
              </a:solidFill>
            </a:ln>
            <a:effectLst/>
          </c:spPr>
          <c:invertIfNegative val="0"/>
          <c:cat>
            <c:numRef>
              <c:f>'Baseline debt'!$O$100:$AC$100</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'Baseline debt'!$O$156:$AC$156</c:f>
              <c:numCache>
                <c:formatCode>_-* #,##0.0_-;\-* #,##0.0_-;_-* "-"??_-;_-@_-</c:formatCode>
                <c:ptCount val="15"/>
                <c:pt idx="0">
                  <c:v>-5.8006603045465122E-2</c:v>
                </c:pt>
                <c:pt idx="1">
                  <c:v>-9.9444160825833183E-2</c:v>
                </c:pt>
                <c:pt idx="2">
                  <c:v>-0.11442792829677728</c:v>
                </c:pt>
                <c:pt idx="3">
                  <c:v>-4.898473410852261E-2</c:v>
                </c:pt>
                <c:pt idx="4">
                  <c:v>-3.5504414077760948E-2</c:v>
                </c:pt>
                <c:pt idx="5">
                  <c:v>1.6218619429189701E-2</c:v>
                </c:pt>
                <c:pt idx="6">
                  <c:v>-3.6738820628407165E-2</c:v>
                </c:pt>
                <c:pt idx="7">
                  <c:v>-3.4229278034519195E-2</c:v>
                </c:pt>
                <c:pt idx="8">
                  <c:v>6.6839533038869803E-2</c:v>
                </c:pt>
                <c:pt idx="9" formatCode="_(* #,##0.00_);_(* \(#,##0.00\);_(* &quot;-&quot;??_);_(@_)">
                  <c:v>-3.1273994482064582E-2</c:v>
                </c:pt>
                <c:pt idx="10">
                  <c:v>-2.353730727767922E-2</c:v>
                </c:pt>
                <c:pt idx="11">
                  <c:v>3.209847908018848E-2</c:v>
                </c:pt>
                <c:pt idx="12">
                  <c:v>5.3084651312171688E-2</c:v>
                </c:pt>
                <c:pt idx="13">
                  <c:v>7.1417806106506054E-2</c:v>
                </c:pt>
                <c:pt idx="14">
                  <c:v>0.13055648720498703</c:v>
                </c:pt>
              </c:numCache>
            </c:numRef>
          </c:val>
          <c:extLst xmlns:c16r2="http://schemas.microsoft.com/office/drawing/2015/06/chart">
            <c:ext xmlns:c16="http://schemas.microsoft.com/office/drawing/2014/chart" uri="{C3380CC4-5D6E-409C-BE32-E72D297353CC}">
              <c16:uniqueId val="{00000005-0652-43C7-BDA8-582E97EAF528}"/>
            </c:ext>
          </c:extLst>
        </c:ser>
        <c:dLbls>
          <c:showLegendKey val="0"/>
          <c:showVal val="0"/>
          <c:showCatName val="0"/>
          <c:showSerName val="0"/>
          <c:showPercent val="0"/>
          <c:showBubbleSize val="0"/>
        </c:dLbls>
        <c:gapWidth val="80"/>
        <c:overlap val="100"/>
        <c:axId val="249789824"/>
        <c:axId val="249795712"/>
      </c:barChart>
      <c:lineChart>
        <c:grouping val="standard"/>
        <c:varyColors val="0"/>
        <c:ser>
          <c:idx val="6"/>
          <c:order val="6"/>
          <c:tx>
            <c:strRef>
              <c:f>'Baseline debt'!$B$144</c:f>
              <c:strCache>
                <c:ptCount val="1"/>
                <c:pt idx="0">
                  <c:v>Cambio en la deuda pública</c:v>
                </c:pt>
              </c:strCache>
            </c:strRef>
          </c:tx>
          <c:spPr>
            <a:ln w="28575" cap="rnd">
              <a:solidFill>
                <a:schemeClr val="tx1"/>
              </a:solidFill>
              <a:round/>
            </a:ln>
            <a:effectLst/>
          </c:spPr>
          <c:marker>
            <c:symbol val="none"/>
          </c:marker>
          <c:val>
            <c:numRef>
              <c:f>'Baseline debt'!$O$144:$AC$144</c:f>
              <c:numCache>
                <c:formatCode>_-* #,##0.0_-;\-* #,##0.0_-;_-* "-"??_-;_-@_-</c:formatCode>
                <c:ptCount val="15"/>
                <c:pt idx="0">
                  <c:v>0.7586643158017381</c:v>
                </c:pt>
                <c:pt idx="1">
                  <c:v>0.37692995197308932</c:v>
                </c:pt>
                <c:pt idx="2">
                  <c:v>-0.3870146065045752</c:v>
                </c:pt>
                <c:pt idx="3">
                  <c:v>0.12751096060433653</c:v>
                </c:pt>
                <c:pt idx="4">
                  <c:v>0.11483556884410007</c:v>
                </c:pt>
                <c:pt idx="5">
                  <c:v>0.12127010986053932</c:v>
                </c:pt>
                <c:pt idx="6">
                  <c:v>1.3702744828322615</c:v>
                </c:pt>
                <c:pt idx="7">
                  <c:v>1.2910629897618264E-2</c:v>
                </c:pt>
                <c:pt idx="8">
                  <c:v>5.0320263651791102</c:v>
                </c:pt>
                <c:pt idx="9">
                  <c:v>0.33080777947907336</c:v>
                </c:pt>
                <c:pt idx="10">
                  <c:v>-0.20990796187956207</c:v>
                </c:pt>
                <c:pt idx="11">
                  <c:v>0.34689059278085566</c:v>
                </c:pt>
                <c:pt idx="12">
                  <c:v>4.5720069149851383E-2</c:v>
                </c:pt>
                <c:pt idx="13">
                  <c:v>-0.27773148467249698</c:v>
                </c:pt>
                <c:pt idx="14">
                  <c:v>-0.54471371783130706</c:v>
                </c:pt>
              </c:numCache>
            </c:numRef>
          </c:val>
          <c:smooth val="0"/>
          <c:extLst xmlns:c16r2="http://schemas.microsoft.com/office/drawing/2015/06/chart">
            <c:ext xmlns:c16="http://schemas.microsoft.com/office/drawing/2014/chart" uri="{C3380CC4-5D6E-409C-BE32-E72D297353CC}">
              <c16:uniqueId val="{00000006-0652-43C7-BDA8-582E97EAF528}"/>
            </c:ext>
          </c:extLst>
        </c:ser>
        <c:dLbls>
          <c:showLegendKey val="0"/>
          <c:showVal val="0"/>
          <c:showCatName val="0"/>
          <c:showSerName val="0"/>
          <c:showPercent val="0"/>
          <c:showBubbleSize val="0"/>
        </c:dLbls>
        <c:marker val="1"/>
        <c:smooth val="0"/>
        <c:axId val="249789824"/>
        <c:axId val="249795712"/>
      </c:lineChart>
      <c:catAx>
        <c:axId val="249789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795712"/>
        <c:crosses val="autoZero"/>
        <c:auto val="1"/>
        <c:lblAlgn val="ctr"/>
        <c:lblOffset val="100"/>
        <c:noMultiLvlLbl val="0"/>
      </c:catAx>
      <c:valAx>
        <c:axId val="249795712"/>
        <c:scaling>
          <c:orientation val="minMax"/>
          <c:max val="6.5"/>
          <c:min val="-2.5"/>
        </c:scaling>
        <c:delete val="0"/>
        <c:axPos val="l"/>
        <c:majorGridlines>
          <c:spPr>
            <a:ln w="9525" cap="flat" cmpd="sng" algn="ctr">
              <a:no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49789824"/>
        <c:crosses val="autoZero"/>
        <c:crossBetween val="between"/>
      </c:valAx>
      <c:spPr>
        <a:noFill/>
        <a:ln>
          <a:solidFill>
            <a:schemeClr val="bg1">
              <a:lumMod val="75000"/>
            </a:schemeClr>
          </a:solidFill>
        </a:ln>
        <a:effectLst/>
      </c:spPr>
    </c:plotArea>
    <c:legend>
      <c:legendPos val="b"/>
      <c:layout>
        <c:manualLayout>
          <c:xMode val="edge"/>
          <c:yMode val="edge"/>
          <c:x val="1.8752957396321365E-2"/>
          <c:y val="0.85170800790282508"/>
          <c:w val="0.97169012785957809"/>
          <c:h val="0.138790406831728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spPr>
            <a:solidFill>
              <a:schemeClr val="accent1">
                <a:alpha val="0"/>
              </a:schemeClr>
            </a:solidFill>
            <a:ln>
              <a:noFill/>
            </a:ln>
            <a:effectLst/>
          </c:spPr>
          <c:cat>
            <c:numRef>
              <c:f>Fanchart!$R$42:$Z$42</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Fanchart!$R$43:$Z$43</c:f>
              <c:numCache>
                <c:formatCode>_-* #,##0.0_-;\-* #,##0.0_-;_-* "-"??_-;_-@_-</c:formatCode>
                <c:ptCount val="9"/>
                <c:pt idx="0">
                  <c:v>26.526545500818148</c:v>
                </c:pt>
                <c:pt idx="1">
                  <c:v>26.539456130715767</c:v>
                </c:pt>
                <c:pt idx="2">
                  <c:v>31.571482495894877</c:v>
                </c:pt>
                <c:pt idx="3">
                  <c:v>29.627764756011636</c:v>
                </c:pt>
                <c:pt idx="4">
                  <c:v>28.623335318597377</c:v>
                </c:pt>
                <c:pt idx="5">
                  <c:v>28.208757857337595</c:v>
                </c:pt>
                <c:pt idx="6">
                  <c:v>27.608689372189708</c:v>
                </c:pt>
                <c:pt idx="7">
                  <c:v>26.713752215377117</c:v>
                </c:pt>
                <c:pt idx="8">
                  <c:v>25.823361454043393</c:v>
                </c:pt>
              </c:numCache>
            </c:numRef>
          </c:val>
          <c:extLst xmlns:c16r2="http://schemas.microsoft.com/office/drawing/2015/06/chart">
            <c:ext xmlns:c16="http://schemas.microsoft.com/office/drawing/2014/chart" uri="{C3380CC4-5D6E-409C-BE32-E72D297353CC}">
              <c16:uniqueId val="{00000000-A495-4566-9CFA-D0CC0085744F}"/>
            </c:ext>
          </c:extLst>
        </c:ser>
        <c:ser>
          <c:idx val="1"/>
          <c:order val="1"/>
          <c:tx>
            <c:strRef>
              <c:f>Fanchart!$J$44</c:f>
              <c:strCache>
                <c:ptCount val="1"/>
                <c:pt idx="0">
                  <c:v>10th-25th</c:v>
                </c:pt>
              </c:strCache>
            </c:strRef>
          </c:tx>
          <c:spPr>
            <a:solidFill>
              <a:schemeClr val="accent5">
                <a:lumMod val="60000"/>
                <a:lumOff val="40000"/>
              </a:schemeClr>
            </a:solidFill>
            <a:ln>
              <a:noFill/>
            </a:ln>
            <a:effectLst/>
          </c:spPr>
          <c:cat>
            <c:numRef>
              <c:f>Fanchart!$R$42:$Z$42</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Fanchart!$R$44:$Z$44</c:f>
              <c:numCache>
                <c:formatCode>General</c:formatCode>
                <c:ptCount val="9"/>
                <c:pt idx="0">
                  <c:v>0</c:v>
                </c:pt>
                <c:pt idx="1">
                  <c:v>0</c:v>
                </c:pt>
                <c:pt idx="2">
                  <c:v>0</c:v>
                </c:pt>
                <c:pt idx="3" formatCode="_-* #,##0.0_-;\-* #,##0.0_-;_-* &quot;-&quot;??_-;_-@_-">
                  <c:v>1.0730654712950816</c:v>
                </c:pt>
                <c:pt idx="4" formatCode="_-* #,##0.0_-;\-* #,##0.0_-;_-* &quot;-&quot;??_-;_-@_-">
                  <c:v>1.3331374289651976</c:v>
                </c:pt>
                <c:pt idx="5" formatCode="_-* #,##0.0_-;\-* #,##0.0_-;_-* &quot;-&quot;??_-;_-@_-">
                  <c:v>1.6871750017675213</c:v>
                </c:pt>
                <c:pt idx="6" formatCode="_-* #,##0.0_-;\-* #,##0.0_-;_-* &quot;-&quot;??_-;_-@_-">
                  <c:v>2.0591682873759898</c:v>
                </c:pt>
                <c:pt idx="7" formatCode="_-* #,##0.0_-;\-* #,##0.0_-;_-* &quot;-&quot;??_-;_-@_-">
                  <c:v>2.5134754230174305</c:v>
                </c:pt>
                <c:pt idx="8" formatCode="_-* #,##0.0_-;\-* #,##0.0_-;_-* &quot;-&quot;??_-;_-@_-">
                  <c:v>2.556725710828367</c:v>
                </c:pt>
              </c:numCache>
            </c:numRef>
          </c:val>
          <c:extLst xmlns:c16r2="http://schemas.microsoft.com/office/drawing/2015/06/chart">
            <c:ext xmlns:c16="http://schemas.microsoft.com/office/drawing/2014/chart" uri="{C3380CC4-5D6E-409C-BE32-E72D297353CC}">
              <c16:uniqueId val="{00000001-A495-4566-9CFA-D0CC0085744F}"/>
            </c:ext>
          </c:extLst>
        </c:ser>
        <c:ser>
          <c:idx val="2"/>
          <c:order val="2"/>
          <c:tx>
            <c:strRef>
              <c:f>Fanchart!$J$45</c:f>
              <c:strCache>
                <c:ptCount val="1"/>
                <c:pt idx="0">
                  <c:v>25th-50th</c:v>
                </c:pt>
              </c:strCache>
            </c:strRef>
          </c:tx>
          <c:spPr>
            <a:solidFill>
              <a:schemeClr val="accent5">
                <a:lumMod val="75000"/>
              </a:schemeClr>
            </a:solidFill>
            <a:ln>
              <a:noFill/>
            </a:ln>
            <a:effectLst/>
          </c:spPr>
          <c:cat>
            <c:numRef>
              <c:f>Fanchart!$R$42:$Z$42</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Fanchart!$R$45:$Z$45</c:f>
              <c:numCache>
                <c:formatCode>General</c:formatCode>
                <c:ptCount val="9"/>
                <c:pt idx="0">
                  <c:v>0</c:v>
                </c:pt>
                <c:pt idx="1">
                  <c:v>0</c:v>
                </c:pt>
                <c:pt idx="2">
                  <c:v>0</c:v>
                </c:pt>
                <c:pt idx="3" formatCode="_-* #,##0.0_-;\-* #,##0.0_-;_-* &quot;-&quot;??_-;_-@_-">
                  <c:v>1.2247934687035555</c:v>
                </c:pt>
                <c:pt idx="4" formatCode="_-* #,##0.0_-;\-* #,##0.0_-;_-* &quot;-&quot;??_-;_-@_-">
                  <c:v>1.8055880919293665</c:v>
                </c:pt>
                <c:pt idx="5" formatCode="_-* #,##0.0_-;\-* #,##0.0_-;_-* &quot;-&quot;??_-;_-@_-">
                  <c:v>2.0884788707234261</c:v>
                </c:pt>
                <c:pt idx="6" formatCode="_-* #,##0.0_-;\-* #,##0.0_-;_-* &quot;-&quot;??_-;_-@_-">
                  <c:v>2.4251967075696657</c:v>
                </c:pt>
                <c:pt idx="7" formatCode="_-* #,##0.0_-;\-* #,##0.0_-;_-* &quot;-&quot;??_-;_-@_-">
                  <c:v>2.5295091470345032</c:v>
                </c:pt>
                <c:pt idx="8" formatCode="_-* #,##0.0_-;\-* #,##0.0_-;_-* &quot;-&quot;??_-;_-@_-">
                  <c:v>2.9464500085577883</c:v>
                </c:pt>
              </c:numCache>
            </c:numRef>
          </c:val>
          <c:extLst xmlns:c16r2="http://schemas.microsoft.com/office/drawing/2015/06/chart">
            <c:ext xmlns:c16="http://schemas.microsoft.com/office/drawing/2014/chart" uri="{C3380CC4-5D6E-409C-BE32-E72D297353CC}">
              <c16:uniqueId val="{00000002-A495-4566-9CFA-D0CC0085744F}"/>
            </c:ext>
          </c:extLst>
        </c:ser>
        <c:ser>
          <c:idx val="3"/>
          <c:order val="3"/>
          <c:tx>
            <c:strRef>
              <c:f>Fanchart!$J$46</c:f>
              <c:strCache>
                <c:ptCount val="1"/>
                <c:pt idx="0">
                  <c:v>50th-75th</c:v>
                </c:pt>
              </c:strCache>
            </c:strRef>
          </c:tx>
          <c:spPr>
            <a:solidFill>
              <a:schemeClr val="accent5">
                <a:lumMod val="75000"/>
              </a:schemeClr>
            </a:solidFill>
            <a:ln>
              <a:noFill/>
            </a:ln>
            <a:effectLst/>
          </c:spPr>
          <c:cat>
            <c:numRef>
              <c:f>Fanchart!$R$42:$Z$42</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Fanchart!$R$46:$Z$46</c:f>
              <c:numCache>
                <c:formatCode>General</c:formatCode>
                <c:ptCount val="9"/>
                <c:pt idx="0">
                  <c:v>0</c:v>
                </c:pt>
                <c:pt idx="1">
                  <c:v>0</c:v>
                </c:pt>
                <c:pt idx="2">
                  <c:v>0</c:v>
                </c:pt>
                <c:pt idx="3" formatCode="_-* #,##0.0_-;\-* #,##0.0_-;_-* &quot;-&quot;??_-;_-@_-">
                  <c:v>1.20899695489744</c:v>
                </c:pt>
                <c:pt idx="4" formatCode="_-* #,##0.0_-;\-* #,##0.0_-;_-* &quot;-&quot;??_-;_-@_-">
                  <c:v>1.6030301705764027</c:v>
                </c:pt>
                <c:pt idx="5" formatCode="_-* #,##0.0_-;\-* #,##0.0_-;_-* &quot;-&quot;??_-;_-@_-">
                  <c:v>2.1905841168324782</c:v>
                </c:pt>
                <c:pt idx="6" formatCode="_-* #,##0.0_-;\-* #,##0.0_-;_-* &quot;-&quot;??_-;_-@_-">
                  <c:v>2.4223958267966972</c:v>
                </c:pt>
                <c:pt idx="7" formatCode="_-* #,##0.0_-;\-* #,##0.0_-;_-* &quot;-&quot;??_-;_-@_-">
                  <c:v>2.6366326118983316</c:v>
                </c:pt>
                <c:pt idx="8" formatCode="_-* #,##0.0_-;\-* #,##0.0_-;_-* &quot;-&quot;??_-;_-@_-">
                  <c:v>2.9131240052432785</c:v>
                </c:pt>
              </c:numCache>
            </c:numRef>
          </c:val>
          <c:extLst xmlns:c16r2="http://schemas.microsoft.com/office/drawing/2015/06/chart">
            <c:ext xmlns:c16="http://schemas.microsoft.com/office/drawing/2014/chart" uri="{C3380CC4-5D6E-409C-BE32-E72D297353CC}">
              <c16:uniqueId val="{00000003-A495-4566-9CFA-D0CC0085744F}"/>
            </c:ext>
          </c:extLst>
        </c:ser>
        <c:ser>
          <c:idx val="4"/>
          <c:order val="4"/>
          <c:tx>
            <c:strRef>
              <c:f>Fanchart!$J$47</c:f>
              <c:strCache>
                <c:ptCount val="1"/>
                <c:pt idx="0">
                  <c:v>75th-90th</c:v>
                </c:pt>
              </c:strCache>
            </c:strRef>
          </c:tx>
          <c:spPr>
            <a:solidFill>
              <a:schemeClr val="accent5">
                <a:lumMod val="60000"/>
                <a:lumOff val="40000"/>
              </a:schemeClr>
            </a:solidFill>
            <a:ln>
              <a:noFill/>
            </a:ln>
            <a:effectLst/>
          </c:spPr>
          <c:cat>
            <c:numRef>
              <c:f>Fanchart!$R$42:$Z$42</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Fanchart!$R$47:$Z$47</c:f>
              <c:numCache>
                <c:formatCode>General</c:formatCode>
                <c:ptCount val="9"/>
                <c:pt idx="0">
                  <c:v>0</c:v>
                </c:pt>
                <c:pt idx="1">
                  <c:v>0</c:v>
                </c:pt>
                <c:pt idx="2">
                  <c:v>0</c:v>
                </c:pt>
                <c:pt idx="3" formatCode="_-* #,##0.0_-;\-* #,##0.0_-;_-* &quot;-&quot;??_-;_-@_-">
                  <c:v>1.1052652629636894</c:v>
                </c:pt>
                <c:pt idx="4" formatCode="_-* #,##0.0_-;\-* #,##0.0_-;_-* &quot;-&quot;??_-;_-@_-">
                  <c:v>1.6386346659070794</c:v>
                </c:pt>
                <c:pt idx="5" formatCode="_-* #,##0.0_-;\-* #,##0.0_-;_-* &quot;-&quot;??_-;_-@_-">
                  <c:v>1.9003527300255674</c:v>
                </c:pt>
                <c:pt idx="6" formatCode="_-* #,##0.0_-;\-* #,##0.0_-;_-* &quot;-&quot;??_-;_-@_-">
                  <c:v>2.3587852328090184</c:v>
                </c:pt>
                <c:pt idx="7" formatCode="_-* #,##0.0_-;\-* #,##0.0_-;_-* &quot;-&quot;??_-;_-@_-">
                  <c:v>2.5917558590758896</c:v>
                </c:pt>
                <c:pt idx="8" formatCode="_-* #,##0.0_-;\-* #,##0.0_-;_-* &quot;-&quot;??_-;_-@_-">
                  <c:v>2.9101036859348284</c:v>
                </c:pt>
              </c:numCache>
            </c:numRef>
          </c:val>
          <c:extLst xmlns:c16r2="http://schemas.microsoft.com/office/drawing/2015/06/chart">
            <c:ext xmlns:c16="http://schemas.microsoft.com/office/drawing/2014/chart" uri="{C3380CC4-5D6E-409C-BE32-E72D297353CC}">
              <c16:uniqueId val="{00000004-A495-4566-9CFA-D0CC0085744F}"/>
            </c:ext>
          </c:extLst>
        </c:ser>
        <c:dLbls>
          <c:showLegendKey val="0"/>
          <c:showVal val="0"/>
          <c:showCatName val="0"/>
          <c:showSerName val="0"/>
          <c:showPercent val="0"/>
          <c:showBubbleSize val="0"/>
        </c:dLbls>
        <c:axId val="249866112"/>
        <c:axId val="249867648"/>
      </c:areaChart>
      <c:lineChart>
        <c:grouping val="standard"/>
        <c:varyColors val="0"/>
        <c:ser>
          <c:idx val="5"/>
          <c:order val="5"/>
          <c:tx>
            <c:v>Baseline</c:v>
          </c:tx>
          <c:spPr>
            <a:ln w="28575" cap="rnd">
              <a:solidFill>
                <a:schemeClr val="tx1"/>
              </a:solidFill>
              <a:round/>
            </a:ln>
            <a:effectLst/>
          </c:spPr>
          <c:marker>
            <c:symbol val="none"/>
          </c:marker>
          <c:val>
            <c:numRef>
              <c:f>Fanchart!$I$55:$Q$55</c:f>
              <c:numCache>
                <c:formatCode>_-* #,##0.0_-;\-* #,##0.0_-;_-* "-"??_-;_-@_-</c:formatCode>
                <c:ptCount val="9"/>
                <c:pt idx="0">
                  <c:v>26.526545500818148</c:v>
                </c:pt>
                <c:pt idx="1">
                  <c:v>26.539456130715767</c:v>
                </c:pt>
                <c:pt idx="2">
                  <c:v>31.571482495894877</c:v>
                </c:pt>
                <c:pt idx="3">
                  <c:v>31.90229027537395</c:v>
                </c:pt>
                <c:pt idx="4">
                  <c:v>31.692382313494388</c:v>
                </c:pt>
                <c:pt idx="5">
                  <c:v>32.039272906275244</c:v>
                </c:pt>
                <c:pt idx="6">
                  <c:v>32.084992975425095</c:v>
                </c:pt>
                <c:pt idx="7">
                  <c:v>31.807261490752598</c:v>
                </c:pt>
                <c:pt idx="8">
                  <c:v>31.262547772921291</c:v>
                </c:pt>
              </c:numCache>
            </c:numRef>
          </c:val>
          <c:smooth val="0"/>
          <c:extLst xmlns:c16r2="http://schemas.microsoft.com/office/drawing/2015/06/chart">
            <c:ext xmlns:c16="http://schemas.microsoft.com/office/drawing/2014/chart" uri="{C3380CC4-5D6E-409C-BE32-E72D297353CC}">
              <c16:uniqueId val="{00000005-A495-4566-9CFA-D0CC0085744F}"/>
            </c:ext>
          </c:extLst>
        </c:ser>
        <c:dLbls>
          <c:showLegendKey val="0"/>
          <c:showVal val="0"/>
          <c:showCatName val="0"/>
          <c:showSerName val="0"/>
          <c:showPercent val="0"/>
          <c:showBubbleSize val="0"/>
        </c:dLbls>
        <c:marker val="1"/>
        <c:smooth val="0"/>
        <c:axId val="249866112"/>
        <c:axId val="249867648"/>
      </c:lineChart>
      <c:catAx>
        <c:axId val="249866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867648"/>
        <c:crosses val="autoZero"/>
        <c:auto val="1"/>
        <c:lblAlgn val="ctr"/>
        <c:lblOffset val="100"/>
        <c:noMultiLvlLbl val="0"/>
      </c:catAx>
      <c:valAx>
        <c:axId val="249867648"/>
        <c:scaling>
          <c:orientation val="minMax"/>
          <c:max val="50"/>
          <c:min val="15"/>
        </c:scaling>
        <c:delete val="0"/>
        <c:axPos val="l"/>
        <c:majorGridlines>
          <c:spPr>
            <a:ln w="9525" cap="flat" cmpd="sng" algn="ctr">
              <a:noFill/>
              <a:round/>
            </a:ln>
            <a:effectLst/>
          </c:spPr>
        </c:majorGridlines>
        <c:numFmt formatCode="_-* #,##0.0_-;\-* #,##0.0_-;_-* &quot;-&quot;??_-;_-@_-"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86611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05116028912123"/>
          <c:y val="5.2115081440539938E-2"/>
          <c:w val="0.81701246007913886"/>
          <c:h val="0.66522980251480446"/>
        </c:manualLayout>
      </c:layout>
      <c:lineChart>
        <c:grouping val="standard"/>
        <c:varyColors val="0"/>
        <c:ser>
          <c:idx val="0"/>
          <c:order val="0"/>
          <c:tx>
            <c:strRef>
              <c:f>Blanchard!$A$27</c:f>
              <c:strCache>
                <c:ptCount val="1"/>
                <c:pt idx="0">
                  <c:v>Escenario base</c:v>
                </c:pt>
              </c:strCache>
            </c:strRef>
          </c:tx>
          <c:spPr>
            <a:ln w="28575" cap="rnd">
              <a:solidFill>
                <a:schemeClr val="tx2">
                  <a:lumMod val="75000"/>
                </a:schemeClr>
              </a:solidFill>
              <a:round/>
            </a:ln>
            <a:effectLst/>
          </c:spPr>
          <c:marker>
            <c:symbol val="none"/>
          </c:marker>
          <c:dLbls>
            <c:dLbl>
              <c:idx val="15"/>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7C-4714-A1D7-723B484C958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Blanchard!$B$37:$AF$37</c:f>
              <c:numCache>
                <c:formatCode>General</c:formatCode>
                <c:ptCount val="31"/>
                <c:pt idx="0">
                  <c:v>2026</c:v>
                </c:pt>
                <c:pt idx="1">
                  <c:v>2027</c:v>
                </c:pt>
                <c:pt idx="2">
                  <c:v>2028</c:v>
                </c:pt>
                <c:pt idx="3">
                  <c:v>2029</c:v>
                </c:pt>
                <c:pt idx="4">
                  <c:v>2030</c:v>
                </c:pt>
                <c:pt idx="5">
                  <c:v>2031</c:v>
                </c:pt>
                <c:pt idx="6">
                  <c:v>2032</c:v>
                </c:pt>
                <c:pt idx="7">
                  <c:v>2033</c:v>
                </c:pt>
                <c:pt idx="8">
                  <c:v>2034</c:v>
                </c:pt>
                <c:pt idx="9">
                  <c:v>2035</c:v>
                </c:pt>
                <c:pt idx="10">
                  <c:v>2036</c:v>
                </c:pt>
                <c:pt idx="11">
                  <c:v>2037</c:v>
                </c:pt>
                <c:pt idx="12">
                  <c:v>2038</c:v>
                </c:pt>
                <c:pt idx="13">
                  <c:v>2039</c:v>
                </c:pt>
                <c:pt idx="14">
                  <c:v>2040</c:v>
                </c:pt>
                <c:pt idx="15">
                  <c:v>2041</c:v>
                </c:pt>
                <c:pt idx="16">
                  <c:v>2042</c:v>
                </c:pt>
                <c:pt idx="17">
                  <c:v>2043</c:v>
                </c:pt>
                <c:pt idx="18">
                  <c:v>2044</c:v>
                </c:pt>
                <c:pt idx="19">
                  <c:v>2045</c:v>
                </c:pt>
                <c:pt idx="20">
                  <c:v>2046</c:v>
                </c:pt>
                <c:pt idx="21">
                  <c:v>2047</c:v>
                </c:pt>
                <c:pt idx="22">
                  <c:v>2048</c:v>
                </c:pt>
                <c:pt idx="23">
                  <c:v>2049</c:v>
                </c:pt>
                <c:pt idx="24">
                  <c:v>2050</c:v>
                </c:pt>
                <c:pt idx="25">
                  <c:v>2051</c:v>
                </c:pt>
                <c:pt idx="26">
                  <c:v>2052</c:v>
                </c:pt>
                <c:pt idx="27">
                  <c:v>2053</c:v>
                </c:pt>
                <c:pt idx="28">
                  <c:v>2054</c:v>
                </c:pt>
                <c:pt idx="29">
                  <c:v>2055</c:v>
                </c:pt>
                <c:pt idx="30">
                  <c:v>2056</c:v>
                </c:pt>
              </c:numCache>
            </c:numRef>
          </c:cat>
          <c:val>
            <c:numRef>
              <c:f>Blanchard!$B$29:$Q$29</c:f>
              <c:numCache>
                <c:formatCode>_-* #,##0.0_-;\-* #,##0.0_-;_-* "-"??_-;_-@_-</c:formatCode>
                <c:ptCount val="16"/>
                <c:pt idx="0">
                  <c:v>31.262547772921291</c:v>
                </c:pt>
                <c:pt idx="1">
                  <c:v>31.313489763383469</c:v>
                </c:pt>
                <c:pt idx="2">
                  <c:v>31.364188865397935</c:v>
                </c:pt>
                <c:pt idx="3">
                  <c:v>31.414646237042675</c:v>
                </c:pt>
                <c:pt idx="4">
                  <c:v>31.464863030874042</c:v>
                </c:pt>
                <c:pt idx="5">
                  <c:v>31.514840393953047</c:v>
                </c:pt>
                <c:pt idx="6">
                  <c:v>31.564579467871596</c:v>
                </c:pt>
                <c:pt idx="7">
                  <c:v>31.614081388778548</c:v>
                </c:pt>
                <c:pt idx="8">
                  <c:v>31.663347287405667</c:v>
                </c:pt>
                <c:pt idx="9">
                  <c:v>31.712378289093461</c:v>
                </c:pt>
                <c:pt idx="10">
                  <c:v>31.761175513816873</c:v>
                </c:pt>
                <c:pt idx="11">
                  <c:v>31.809740076210876</c:v>
                </c:pt>
                <c:pt idx="12">
                  <c:v>31.858073085595912</c:v>
                </c:pt>
                <c:pt idx="13">
                  <c:v>31.90617564600327</c:v>
                </c:pt>
                <c:pt idx="14">
                  <c:v>31.954048856200274</c:v>
                </c:pt>
                <c:pt idx="15">
                  <c:v>32.001693809715384</c:v>
                </c:pt>
              </c:numCache>
            </c:numRef>
          </c:val>
          <c:smooth val="0"/>
          <c:extLst xmlns:c16r2="http://schemas.microsoft.com/office/drawing/2015/06/chart">
            <c:ext xmlns:c16="http://schemas.microsoft.com/office/drawing/2014/chart" uri="{C3380CC4-5D6E-409C-BE32-E72D297353CC}">
              <c16:uniqueId val="{00000001-927C-4714-A1D7-723B484C958C}"/>
            </c:ext>
          </c:extLst>
        </c:ser>
        <c:ser>
          <c:idx val="1"/>
          <c:order val="1"/>
          <c:tx>
            <c:strRef>
              <c:f>Blanchard!$A$36</c:f>
              <c:strCache>
                <c:ptCount val="1"/>
                <c:pt idx="0">
                  <c:v>Choque de crecimiento</c:v>
                </c:pt>
              </c:strCache>
            </c:strRef>
          </c:tx>
          <c:spPr>
            <a:ln w="28575" cap="rnd" cmpd="sng">
              <a:solidFill>
                <a:srgbClr val="C00000"/>
              </a:solidFill>
              <a:prstDash val="lgDashDot"/>
              <a:round/>
            </a:ln>
            <a:effectLst/>
          </c:spPr>
          <c:marker>
            <c:symbol val="none"/>
          </c:marker>
          <c:dLbls>
            <c:dLbl>
              <c:idx val="15"/>
              <c:layout>
                <c:manualLayout>
                  <c:x val="0"/>
                  <c:y val="1.251319472614354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7C-4714-A1D7-723B484C958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Blanchard!$B$38:$Q$38</c:f>
              <c:numCache>
                <c:formatCode>_-* #,##0.0_-;\-* #,##0.0_-;_-* "-"??_-;_-@_-</c:formatCode>
                <c:ptCount val="16"/>
                <c:pt idx="0">
                  <c:v>31.262547772921291</c:v>
                </c:pt>
                <c:pt idx="1">
                  <c:v>31.614558621420318</c:v>
                </c:pt>
                <c:pt idx="2">
                  <c:v>31.968281085624817</c:v>
                </c:pt>
                <c:pt idx="3">
                  <c:v>32.323723488086024</c:v>
                </c:pt>
                <c:pt idx="4">
                  <c:v>32.680894191822709</c:v>
                </c:pt>
                <c:pt idx="5">
                  <c:v>33.03980160051794</c:v>
                </c:pt>
                <c:pt idx="6">
                  <c:v>33.082269748095996</c:v>
                </c:pt>
                <c:pt idx="7">
                  <c:v>33.124535410016371</c:v>
                </c:pt>
                <c:pt idx="8">
                  <c:v>33.166599551718896</c:v>
                </c:pt>
                <c:pt idx="9">
                  <c:v>33.208463134040258</c:v>
                </c:pt>
                <c:pt idx="10">
                  <c:v>33.250127113235912</c:v>
                </c:pt>
                <c:pt idx="11">
                  <c:v>33.291592441001953</c:v>
                </c:pt>
                <c:pt idx="12">
                  <c:v>33.332860064496856</c:v>
                </c:pt>
                <c:pt idx="13">
                  <c:v>33.373930926363073</c:v>
                </c:pt>
                <c:pt idx="14">
                  <c:v>33.414805964748609</c:v>
                </c:pt>
                <c:pt idx="15">
                  <c:v>33.455486113328433</c:v>
                </c:pt>
              </c:numCache>
            </c:numRef>
          </c:val>
          <c:smooth val="0"/>
          <c:extLst xmlns:c16r2="http://schemas.microsoft.com/office/drawing/2015/06/chart">
            <c:ext xmlns:c16="http://schemas.microsoft.com/office/drawing/2014/chart" uri="{C3380CC4-5D6E-409C-BE32-E72D297353CC}">
              <c16:uniqueId val="{00000003-927C-4714-A1D7-723B484C958C}"/>
            </c:ext>
          </c:extLst>
        </c:ser>
        <c:ser>
          <c:idx val="2"/>
          <c:order val="2"/>
          <c:tx>
            <c:strRef>
              <c:f>Blanchard!$A$45</c:f>
              <c:strCache>
                <c:ptCount val="1"/>
                <c:pt idx="0">
                  <c:v>Choque de tasa de interés</c:v>
                </c:pt>
              </c:strCache>
            </c:strRef>
          </c:tx>
          <c:spPr>
            <a:ln w="28575" cap="rnd">
              <a:solidFill>
                <a:schemeClr val="accent3">
                  <a:lumMod val="75000"/>
                </a:schemeClr>
              </a:solidFill>
              <a:prstDash val="sysDash"/>
              <a:round/>
            </a:ln>
            <a:effectLst/>
          </c:spPr>
          <c:marker>
            <c:symbol val="none"/>
          </c:marker>
          <c:dLbls>
            <c:dLbl>
              <c:idx val="15"/>
              <c:layout>
                <c:manualLayout>
                  <c:x val="0"/>
                  <c:y val="-7.247899489243636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27C-4714-A1D7-723B484C958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Blanchard!$B$47:$Q$47</c:f>
              <c:numCache>
                <c:formatCode>_-* #,##0.0_-;\-* #,##0.0_-;_-* "-"??_-;_-@_-</c:formatCode>
                <c:ptCount val="16"/>
                <c:pt idx="0">
                  <c:v>31.262547772921291</c:v>
                </c:pt>
                <c:pt idx="1">
                  <c:v>31.458988999053116</c:v>
                </c:pt>
                <c:pt idx="2">
                  <c:v>31.655407863287017</c:v>
                </c:pt>
                <c:pt idx="3">
                  <c:v>31.851804368168558</c:v>
                </c:pt>
                <c:pt idx="4">
                  <c:v>32.04817851624302</c:v>
                </c:pt>
                <c:pt idx="5">
                  <c:v>32.244530310055389</c:v>
                </c:pt>
                <c:pt idx="6">
                  <c:v>32.440859752150367</c:v>
                </c:pt>
                <c:pt idx="7">
                  <c:v>32.637166845072365</c:v>
                </c:pt>
                <c:pt idx="8">
                  <c:v>32.833451591365495</c:v>
                </c:pt>
                <c:pt idx="9">
                  <c:v>33.029713993573594</c:v>
                </c:pt>
                <c:pt idx="10">
                  <c:v>33.225954054240198</c:v>
                </c:pt>
                <c:pt idx="11">
                  <c:v>33.422171775908559</c:v>
                </c:pt>
                <c:pt idx="12">
                  <c:v>33.61836716112164</c:v>
                </c:pt>
                <c:pt idx="13">
                  <c:v>33.814540212422109</c:v>
                </c:pt>
                <c:pt idx="14">
                  <c:v>34.010690932352347</c:v>
                </c:pt>
                <c:pt idx="15">
                  <c:v>34.206819323454447</c:v>
                </c:pt>
              </c:numCache>
            </c:numRef>
          </c:val>
          <c:smooth val="0"/>
          <c:extLst xmlns:c16r2="http://schemas.microsoft.com/office/drawing/2015/06/chart">
            <c:ext xmlns:c16="http://schemas.microsoft.com/office/drawing/2014/chart" uri="{C3380CC4-5D6E-409C-BE32-E72D297353CC}">
              <c16:uniqueId val="{00000005-927C-4714-A1D7-723B484C958C}"/>
            </c:ext>
          </c:extLst>
        </c:ser>
        <c:ser>
          <c:idx val="3"/>
          <c:order val="3"/>
          <c:tx>
            <c:strRef>
              <c:f>Blanchard!$A$208</c:f>
              <c:strCache>
                <c:ptCount val="1"/>
                <c:pt idx="0">
                  <c:v>Choque de sp</c:v>
                </c:pt>
              </c:strCache>
            </c:strRef>
          </c:tx>
          <c:spPr>
            <a:ln w="28575" cap="rnd">
              <a:solidFill>
                <a:schemeClr val="accent4">
                  <a:lumMod val="75000"/>
                </a:schemeClr>
              </a:solidFill>
              <a:prstDash val="dashDot"/>
              <a:round/>
            </a:ln>
            <a:effectLst/>
          </c:spPr>
          <c:marker>
            <c:symbol val="none"/>
          </c:marker>
          <c:dLbls>
            <c:dLbl>
              <c:idx val="15"/>
              <c:layout>
                <c:manualLayout>
                  <c:x val="0"/>
                  <c:y val="-2.2770007238890149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27C-4714-A1D7-723B484C958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Blanchard!$B$210:$Q$210</c:f>
              <c:numCache>
                <c:formatCode>_-* #,##0.0_-;\-* #,##0.0_-;_-* "-"??_-;_-@_-</c:formatCode>
                <c:ptCount val="16"/>
                <c:pt idx="0">
                  <c:v>31.262547772921291</c:v>
                </c:pt>
                <c:pt idx="1">
                  <c:v>31.913489763383467</c:v>
                </c:pt>
                <c:pt idx="2">
                  <c:v>32.561328100294197</c:v>
                </c:pt>
                <c:pt idx="3">
                  <c:v>33.006077581693091</c:v>
                </c:pt>
                <c:pt idx="4">
                  <c:v>33.448706523431511</c:v>
                </c:pt>
                <c:pt idx="5">
                  <c:v>33.689225036119211</c:v>
                </c:pt>
                <c:pt idx="6">
                  <c:v>33.728596770527083</c:v>
                </c:pt>
                <c:pt idx="7">
                  <c:v>33.767780782795171</c:v>
                </c:pt>
                <c:pt idx="8">
                  <c:v>33.806777967971719</c:v>
                </c:pt>
                <c:pt idx="9">
                  <c:v>33.845589216837439</c:v>
                </c:pt>
                <c:pt idx="10">
                  <c:v>33.884215415925851</c:v>
                </c:pt>
                <c:pt idx="11">
                  <c:v>33.922657447543529</c:v>
                </c:pt>
                <c:pt idx="12">
                  <c:v>33.960916189790261</c:v>
                </c:pt>
                <c:pt idx="13">
                  <c:v>33.998992516579101</c:v>
                </c:pt>
                <c:pt idx="14">
                  <c:v>34.036887297656349</c:v>
                </c:pt>
                <c:pt idx="15">
                  <c:v>34.074601398621397</c:v>
                </c:pt>
              </c:numCache>
            </c:numRef>
          </c:val>
          <c:smooth val="0"/>
          <c:extLst xmlns:c16r2="http://schemas.microsoft.com/office/drawing/2015/06/chart">
            <c:ext xmlns:c16="http://schemas.microsoft.com/office/drawing/2014/chart" uri="{C3380CC4-5D6E-409C-BE32-E72D297353CC}">
              <c16:uniqueId val="{00000007-927C-4714-A1D7-723B484C958C}"/>
            </c:ext>
          </c:extLst>
        </c:ser>
        <c:ser>
          <c:idx val="4"/>
          <c:order val="4"/>
          <c:tx>
            <c:strRef>
              <c:f>Blanchard!$A$217</c:f>
              <c:strCache>
                <c:ptCount val="1"/>
                <c:pt idx="0">
                  <c:v>Choque combinado </c:v>
                </c:pt>
              </c:strCache>
            </c:strRef>
          </c:tx>
          <c:spPr>
            <a:ln w="28575" cap="rnd">
              <a:solidFill>
                <a:schemeClr val="accent6"/>
              </a:solidFill>
              <a:prstDash val="dashDot"/>
              <a:round/>
            </a:ln>
            <a:effectLst/>
          </c:spPr>
          <c:marker>
            <c:symbol val="none"/>
          </c:marker>
          <c:dLbls>
            <c:dLbl>
              <c:idx val="0"/>
              <c:layout>
                <c:manualLayout>
                  <c:x val="-3.0154640907717533E-2"/>
                  <c:y val="-0.1104076688537349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27C-4714-A1D7-723B484C958C}"/>
                </c:ext>
              </c:extLst>
            </c:dLbl>
            <c:dLbl>
              <c:idx val="15"/>
              <c:layout>
                <c:manualLayout>
                  <c:x val="0"/>
                  <c:y val="-1.484188715569061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27C-4714-A1D7-723B484C958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Blanchard!$B$219:$Q$219</c:f>
              <c:numCache>
                <c:formatCode>_-* #,##0.0_-;\-* #,##0.0_-;_-* "-"??_-;_-@_-</c:formatCode>
                <c:ptCount val="16"/>
                <c:pt idx="0">
                  <c:v>31.262547772921291</c:v>
                </c:pt>
                <c:pt idx="1">
                  <c:v>32.361465776582804</c:v>
                </c:pt>
                <c:pt idx="2">
                  <c:v>33.470891125270327</c:v>
                </c:pt>
                <c:pt idx="3">
                  <c:v>34.390924285350899</c:v>
                </c:pt>
                <c:pt idx="4">
                  <c:v>35.319754376427341</c:v>
                </c:pt>
                <c:pt idx="5">
                  <c:v>36.057465510679862</c:v>
                </c:pt>
                <c:pt idx="6">
                  <c:v>36.25336090708376</c:v>
                </c:pt>
                <c:pt idx="7">
                  <c:v>36.449234003724293</c:v>
                </c:pt>
                <c:pt idx="8">
                  <c:v>36.645084803139952</c:v>
                </c:pt>
                <c:pt idx="9">
                  <c:v>36.840913307868938</c:v>
                </c:pt>
                <c:pt idx="10">
                  <c:v>37.036719520449182</c:v>
                </c:pt>
                <c:pt idx="11">
                  <c:v>37.232503443418295</c:v>
                </c:pt>
                <c:pt idx="12">
                  <c:v>37.428265079313633</c:v>
                </c:pt>
                <c:pt idx="13">
                  <c:v>37.624004430672237</c:v>
                </c:pt>
                <c:pt idx="14">
                  <c:v>37.819721500030866</c:v>
                </c:pt>
                <c:pt idx="15">
                  <c:v>38.015416289925994</c:v>
                </c:pt>
              </c:numCache>
            </c:numRef>
          </c:val>
          <c:smooth val="0"/>
          <c:extLst xmlns:c16r2="http://schemas.microsoft.com/office/drawing/2015/06/chart">
            <c:ext xmlns:c16="http://schemas.microsoft.com/office/drawing/2014/chart" uri="{C3380CC4-5D6E-409C-BE32-E72D297353CC}">
              <c16:uniqueId val="{0000000A-927C-4714-A1D7-723B484C958C}"/>
            </c:ext>
          </c:extLst>
        </c:ser>
        <c:dLbls>
          <c:showLegendKey val="0"/>
          <c:showVal val="0"/>
          <c:showCatName val="0"/>
          <c:showSerName val="0"/>
          <c:showPercent val="0"/>
          <c:showBubbleSize val="0"/>
        </c:dLbls>
        <c:marker val="1"/>
        <c:smooth val="0"/>
        <c:axId val="261824512"/>
        <c:axId val="261826048"/>
      </c:lineChart>
      <c:catAx>
        <c:axId val="26182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61826048"/>
        <c:crosses val="autoZero"/>
        <c:auto val="1"/>
        <c:lblAlgn val="ctr"/>
        <c:lblOffset val="100"/>
        <c:noMultiLvlLbl val="0"/>
      </c:catAx>
      <c:valAx>
        <c:axId val="261826048"/>
        <c:scaling>
          <c:orientation val="minMax"/>
          <c:min val="30"/>
        </c:scaling>
        <c:delete val="0"/>
        <c:axPos val="l"/>
        <c:majorGridlines>
          <c:spPr>
            <a:ln w="9525" cap="flat" cmpd="sng" algn="ctr">
              <a:no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61824512"/>
        <c:crosses val="autoZero"/>
        <c:crossBetween val="between"/>
      </c:valAx>
      <c:spPr>
        <a:noFill/>
        <a:ln>
          <a:noFill/>
        </a:ln>
        <a:effectLst/>
      </c:spPr>
    </c:plotArea>
    <c:legend>
      <c:legendPos val="b"/>
      <c:layout>
        <c:manualLayout>
          <c:xMode val="edge"/>
          <c:yMode val="edge"/>
          <c:x val="3.0167832606581547E-2"/>
          <c:y val="0.84796798393884032"/>
          <c:w val="0.95047523211495111"/>
          <c:h val="0.12377499714616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953548781025215E-2"/>
          <c:y val="2.9991169662995969E-2"/>
          <c:w val="0.86601618547681536"/>
          <c:h val="0.5720753086419752"/>
        </c:manualLayout>
      </c:layout>
      <c:lineChart>
        <c:grouping val="standard"/>
        <c:varyColors val="0"/>
        <c:ser>
          <c:idx val="0"/>
          <c:order val="0"/>
          <c:tx>
            <c:strRef>
              <c:f>Blanchard!$A$217</c:f>
              <c:strCache>
                <c:ptCount val="1"/>
                <c:pt idx="0">
                  <c:v>Choque combinado </c:v>
                </c:pt>
              </c:strCache>
            </c:strRef>
          </c:tx>
          <c:spPr>
            <a:ln w="28575" cap="rnd">
              <a:solidFill>
                <a:srgbClr val="FF9900"/>
              </a:solidFill>
              <a:prstDash val="dashDot"/>
              <a:round/>
            </a:ln>
            <a:effectLst/>
          </c:spPr>
          <c:marker>
            <c:symbol val="none"/>
          </c:marker>
          <c:dLbls>
            <c:dLbl>
              <c:idx val="1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990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3E-4AB3-AFA1-061FFC8C09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Blanchard!$B$218:$Q$218</c:f>
              <c:numCache>
                <c:formatCode>General</c:formatCode>
                <c:ptCount val="16"/>
                <c:pt idx="0">
                  <c:v>2026</c:v>
                </c:pt>
                <c:pt idx="1">
                  <c:v>2027</c:v>
                </c:pt>
                <c:pt idx="2">
                  <c:v>2028</c:v>
                </c:pt>
                <c:pt idx="3">
                  <c:v>2029</c:v>
                </c:pt>
                <c:pt idx="4">
                  <c:v>2030</c:v>
                </c:pt>
                <c:pt idx="5">
                  <c:v>2031</c:v>
                </c:pt>
                <c:pt idx="6">
                  <c:v>2032</c:v>
                </c:pt>
                <c:pt idx="7">
                  <c:v>2033</c:v>
                </c:pt>
                <c:pt idx="8">
                  <c:v>2034</c:v>
                </c:pt>
                <c:pt idx="9">
                  <c:v>2035</c:v>
                </c:pt>
                <c:pt idx="10">
                  <c:v>2036</c:v>
                </c:pt>
                <c:pt idx="11">
                  <c:v>2037</c:v>
                </c:pt>
                <c:pt idx="12">
                  <c:v>2038</c:v>
                </c:pt>
                <c:pt idx="13">
                  <c:v>2039</c:v>
                </c:pt>
                <c:pt idx="14">
                  <c:v>2040</c:v>
                </c:pt>
                <c:pt idx="15">
                  <c:v>2041</c:v>
                </c:pt>
              </c:numCache>
            </c:numRef>
          </c:cat>
          <c:val>
            <c:numRef>
              <c:f>Blanchard!$B$219:$Q$219</c:f>
              <c:numCache>
                <c:formatCode>_-* #,##0.0_-;\-* #,##0.0_-;_-* "-"??_-;_-@_-</c:formatCode>
                <c:ptCount val="16"/>
                <c:pt idx="0">
                  <c:v>31.262547772921291</c:v>
                </c:pt>
                <c:pt idx="1">
                  <c:v>32.361465776582804</c:v>
                </c:pt>
                <c:pt idx="2">
                  <c:v>33.470891125270327</c:v>
                </c:pt>
                <c:pt idx="3">
                  <c:v>34.390924285350899</c:v>
                </c:pt>
                <c:pt idx="4">
                  <c:v>35.319754376427341</c:v>
                </c:pt>
                <c:pt idx="5">
                  <c:v>36.057465510679862</c:v>
                </c:pt>
                <c:pt idx="6">
                  <c:v>36.25336090708376</c:v>
                </c:pt>
                <c:pt idx="7">
                  <c:v>36.449234003724293</c:v>
                </c:pt>
                <c:pt idx="8">
                  <c:v>36.645084803139952</c:v>
                </c:pt>
                <c:pt idx="9">
                  <c:v>36.840913307868938</c:v>
                </c:pt>
                <c:pt idx="10">
                  <c:v>37.036719520449182</c:v>
                </c:pt>
                <c:pt idx="11">
                  <c:v>37.232503443418295</c:v>
                </c:pt>
                <c:pt idx="12">
                  <c:v>37.428265079313633</c:v>
                </c:pt>
                <c:pt idx="13">
                  <c:v>37.624004430672237</c:v>
                </c:pt>
                <c:pt idx="14">
                  <c:v>37.819721500030866</c:v>
                </c:pt>
                <c:pt idx="15">
                  <c:v>38.015416289925994</c:v>
                </c:pt>
              </c:numCache>
            </c:numRef>
          </c:val>
          <c:smooth val="0"/>
          <c:extLst xmlns:c16r2="http://schemas.microsoft.com/office/drawing/2015/06/chart">
            <c:ext xmlns:c16="http://schemas.microsoft.com/office/drawing/2014/chart" uri="{C3380CC4-5D6E-409C-BE32-E72D297353CC}">
              <c16:uniqueId val="{00000001-DD3E-4AB3-AFA1-061FFC8C0964}"/>
            </c:ext>
          </c:extLst>
        </c:ser>
        <c:ser>
          <c:idx val="1"/>
          <c:order val="1"/>
          <c:tx>
            <c:strRef>
              <c:f>Blanchard!$A$226</c:f>
              <c:strCache>
                <c:ptCount val="1"/>
                <c:pt idx="0">
                  <c:v>Choque combinado con balance primario en equilibrio</c:v>
                </c:pt>
              </c:strCache>
            </c:strRef>
          </c:tx>
          <c:spPr>
            <a:ln w="28575" cap="rnd">
              <a:solidFill>
                <a:srgbClr val="C00000"/>
              </a:solidFill>
              <a:prstDash val="dash"/>
              <a:round/>
            </a:ln>
            <a:effectLst/>
          </c:spPr>
          <c:marker>
            <c:symbol val="none"/>
          </c:marker>
          <c:dLbls>
            <c:dLbl>
              <c:idx val="1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3E-4AB3-AFA1-061FFC8C096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Blanchard!$B$228:$Q$228</c:f>
              <c:numCache>
                <c:formatCode>_-* #,##0.0_-;\-* #,##0.0_-;_-* "-"??_-;_-@_-</c:formatCode>
                <c:ptCount val="16"/>
                <c:pt idx="0">
                  <c:v>31.262547772921291</c:v>
                </c:pt>
                <c:pt idx="1">
                  <c:v>32.361465776582804</c:v>
                </c:pt>
                <c:pt idx="2">
                  <c:v>33.470891125270327</c:v>
                </c:pt>
                <c:pt idx="3">
                  <c:v>34.390924285350899</c:v>
                </c:pt>
                <c:pt idx="4">
                  <c:v>34.719754376427339</c:v>
                </c:pt>
                <c:pt idx="5">
                  <c:v>35.051728588548627</c:v>
                </c:pt>
                <c:pt idx="6">
                  <c:v>35.047738473071114</c:v>
                </c:pt>
                <c:pt idx="7">
                  <c:v>35.043748811808619</c:v>
                </c:pt>
                <c:pt idx="8">
                  <c:v>35.039759604709431</c:v>
                </c:pt>
                <c:pt idx="9">
                  <c:v>35.035770851721857</c:v>
                </c:pt>
                <c:pt idx="10">
                  <c:v>35.031782552794205</c:v>
                </c:pt>
                <c:pt idx="11">
                  <c:v>35.027794707874783</c:v>
                </c:pt>
                <c:pt idx="12">
                  <c:v>35.023807316911906</c:v>
                </c:pt>
                <c:pt idx="13">
                  <c:v>35.019820379853897</c:v>
                </c:pt>
                <c:pt idx="14">
                  <c:v>35.015833896649099</c:v>
                </c:pt>
                <c:pt idx="15">
                  <c:v>35.011847867245841</c:v>
                </c:pt>
              </c:numCache>
            </c:numRef>
          </c:val>
          <c:smooth val="0"/>
          <c:extLst xmlns:c16r2="http://schemas.microsoft.com/office/drawing/2015/06/chart">
            <c:ext xmlns:c16="http://schemas.microsoft.com/office/drawing/2014/chart" uri="{C3380CC4-5D6E-409C-BE32-E72D297353CC}">
              <c16:uniqueId val="{00000003-DD3E-4AB3-AFA1-061FFC8C0964}"/>
            </c:ext>
          </c:extLst>
        </c:ser>
        <c:ser>
          <c:idx val="2"/>
          <c:order val="2"/>
          <c:tx>
            <c:strRef>
              <c:f>Blanchard!$A$235</c:f>
              <c:strCache>
                <c:ptCount val="1"/>
                <c:pt idx="0">
                  <c:v>Choque combinado con reforma fiscal</c:v>
                </c:pt>
              </c:strCache>
            </c:strRef>
          </c:tx>
          <c:spPr>
            <a:ln w="28575" cap="rnd">
              <a:solidFill>
                <a:schemeClr val="accent3">
                  <a:lumMod val="75000"/>
                </a:schemeClr>
              </a:solidFill>
              <a:prstDash val="dashDot"/>
              <a:round/>
            </a:ln>
            <a:effectLst/>
          </c:spPr>
          <c:marker>
            <c:symbol val="none"/>
          </c:marker>
          <c:dLbls>
            <c:dLbl>
              <c:idx val="0"/>
              <c:layout>
                <c:manualLayout>
                  <c:x val="-2.6690789750494381E-2"/>
                  <c:y val="-0.1381392138532374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D3E-4AB3-AFA1-061FFC8C0964}"/>
                </c:ext>
              </c:extLst>
            </c:dLbl>
            <c:dLbl>
              <c:idx val="15"/>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3E-4AB3-AFA1-061FFC8C096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Blanchard!$B$237:$Q$237</c:f>
              <c:numCache>
                <c:formatCode>_-* #,##0.0_-;\-* #,##0.0_-;_-* "-"??_-;_-@_-</c:formatCode>
                <c:ptCount val="16"/>
                <c:pt idx="0">
                  <c:v>31.262547772921291</c:v>
                </c:pt>
                <c:pt idx="1">
                  <c:v>32.361465776582804</c:v>
                </c:pt>
                <c:pt idx="2">
                  <c:v>33.470891125270327</c:v>
                </c:pt>
                <c:pt idx="3">
                  <c:v>34.390924285350899</c:v>
                </c:pt>
                <c:pt idx="4">
                  <c:v>34.519754376427343</c:v>
                </c:pt>
                <c:pt idx="5">
                  <c:v>34.64981628117156</c:v>
                </c:pt>
                <c:pt idx="6">
                  <c:v>34.445871917403956</c:v>
                </c:pt>
                <c:pt idx="7">
                  <c:v>34.241950769654373</c:v>
                </c:pt>
                <c:pt idx="8">
                  <c:v>34.038052835280006</c:v>
                </c:pt>
                <c:pt idx="9">
                  <c:v>33.834178111638366</c:v>
                </c:pt>
                <c:pt idx="10">
                  <c:v>33.630326596087251</c:v>
                </c:pt>
                <c:pt idx="11">
                  <c:v>33.426498285984771</c:v>
                </c:pt>
                <c:pt idx="12">
                  <c:v>33.222693178689326</c:v>
                </c:pt>
                <c:pt idx="13">
                  <c:v>33.018911271559638</c:v>
                </c:pt>
                <c:pt idx="14">
                  <c:v>32.815152561954704</c:v>
                </c:pt>
                <c:pt idx="15">
                  <c:v>32.611417047233829</c:v>
                </c:pt>
              </c:numCache>
            </c:numRef>
          </c:val>
          <c:smooth val="0"/>
          <c:extLst xmlns:c16r2="http://schemas.microsoft.com/office/drawing/2015/06/chart">
            <c:ext xmlns:c16="http://schemas.microsoft.com/office/drawing/2014/chart" uri="{C3380CC4-5D6E-409C-BE32-E72D297353CC}">
              <c16:uniqueId val="{00000006-DD3E-4AB3-AFA1-061FFC8C0964}"/>
            </c:ext>
          </c:extLst>
        </c:ser>
        <c:dLbls>
          <c:showLegendKey val="0"/>
          <c:showVal val="0"/>
          <c:showCatName val="0"/>
          <c:showSerName val="0"/>
          <c:showPercent val="0"/>
          <c:showBubbleSize val="0"/>
        </c:dLbls>
        <c:marker val="1"/>
        <c:smooth val="0"/>
        <c:axId val="261862144"/>
        <c:axId val="261863680"/>
      </c:lineChart>
      <c:catAx>
        <c:axId val="26186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61863680"/>
        <c:crosses val="autoZero"/>
        <c:auto val="1"/>
        <c:lblAlgn val="ctr"/>
        <c:lblOffset val="100"/>
        <c:noMultiLvlLbl val="0"/>
      </c:catAx>
      <c:valAx>
        <c:axId val="261863680"/>
        <c:scaling>
          <c:orientation val="minMax"/>
          <c:min val="30"/>
        </c:scaling>
        <c:delete val="0"/>
        <c:axPos val="l"/>
        <c:majorGridlines>
          <c:spPr>
            <a:ln w="9525" cap="flat" cmpd="sng" algn="ctr">
              <a:no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261862144"/>
        <c:crosses val="autoZero"/>
        <c:crossBetween val="midCat"/>
      </c:valAx>
      <c:spPr>
        <a:noFill/>
        <a:ln>
          <a:noFill/>
        </a:ln>
        <a:effectLst/>
      </c:spPr>
    </c:plotArea>
    <c:legend>
      <c:legendPos val="b"/>
      <c:layout>
        <c:manualLayout>
          <c:xMode val="edge"/>
          <c:yMode val="edge"/>
          <c:x val="7.5595238095238094E-3"/>
          <c:y val="0.78785864197530853"/>
          <c:w val="0.98713316518975303"/>
          <c:h val="0.2093253086419753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8077936120661"/>
          <c:y val="7.7667154145081282E-2"/>
          <c:w val="0.7897648192303427"/>
          <c:h val="0.71664339439207037"/>
        </c:manualLayout>
      </c:layout>
      <c:scatterChart>
        <c:scatterStyle val="lineMarker"/>
        <c:varyColors val="0"/>
        <c:ser>
          <c:idx val="0"/>
          <c:order val="0"/>
          <c:tx>
            <c:strRef>
              <c:f>Hoja4!$M$1</c:f>
              <c:strCache>
                <c:ptCount val="1"/>
                <c:pt idx="0">
                  <c:v>Crecimiento</c:v>
                </c:pt>
              </c:strCache>
            </c:strRef>
          </c:tx>
          <c:spPr>
            <a:ln w="19050" cap="rnd">
              <a:noFill/>
              <a:round/>
            </a:ln>
            <a:effectLst/>
          </c:spPr>
          <c:marker>
            <c:symbol val="diamond"/>
            <c:size val="8"/>
            <c:spPr>
              <a:solidFill>
                <a:srgbClr val="002060"/>
              </a:solidFill>
              <a:ln w="9525">
                <a:solidFill>
                  <a:srgbClr val="002060"/>
                </a:solidFill>
              </a:ln>
              <a:effectLst/>
            </c:spPr>
          </c:marker>
          <c:dPt>
            <c:idx val="0"/>
            <c:marker>
              <c:spPr>
                <a:solidFill>
                  <a:srgbClr val="C00000"/>
                </a:solidFill>
                <a:ln w="9525">
                  <a:noFill/>
                </a:ln>
                <a:effectLst/>
              </c:spPr>
            </c:marker>
            <c:bubble3D val="0"/>
            <c:extLst xmlns:c16r2="http://schemas.microsoft.com/office/drawing/2015/06/chart">
              <c:ext xmlns:c16="http://schemas.microsoft.com/office/drawing/2014/chart" uri="{C3380CC4-5D6E-409C-BE32-E72D297353CC}">
                <c16:uniqueId val="{00000000-2CDA-45DF-AA2F-0264ABDE0C6C}"/>
              </c:ext>
            </c:extLst>
          </c:dPt>
          <c:dLbls>
            <c:dLbl>
              <c:idx val="0"/>
              <c:tx>
                <c:rich>
                  <a:bodyPr/>
                  <a:lstStyle/>
                  <a:p>
                    <a:fld id="{2059D9EA-4ADA-412A-83D1-D1102B9CED70}"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CDA-45DF-AA2F-0264ABDE0C6C}"/>
                </c:ext>
              </c:extLst>
            </c:dLbl>
            <c:dLbl>
              <c:idx val="1"/>
              <c:tx>
                <c:rich>
                  <a:bodyPr/>
                  <a:lstStyle/>
                  <a:p>
                    <a:fld id="{68F2389A-34F9-4BE2-A65B-8D0F0000C3AD}"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2CDA-45DF-AA2F-0264ABDE0C6C}"/>
                </c:ext>
              </c:extLst>
            </c:dLbl>
            <c:dLbl>
              <c:idx val="2"/>
              <c:tx>
                <c:rich>
                  <a:bodyPr/>
                  <a:lstStyle/>
                  <a:p>
                    <a:fld id="{774BD3ED-D5B8-4D2A-A243-EA8A744526E5}"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2CDA-45DF-AA2F-0264ABDE0C6C}"/>
                </c:ext>
              </c:extLst>
            </c:dLbl>
            <c:dLbl>
              <c:idx val="3"/>
              <c:layout>
                <c:manualLayout>
                  <c:x val="-4.040406445645545E-17"/>
                  <c:y val="-1.0162093391238596E-2"/>
                </c:manualLayout>
              </c:layout>
              <c:tx>
                <c:rich>
                  <a:bodyPr/>
                  <a:lstStyle/>
                  <a:p>
                    <a:fld id="{9CAFA255-55D2-48EB-9AAE-8A5DBFB57505}"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2CDA-45DF-AA2F-0264ABDE0C6C}"/>
                </c:ext>
              </c:extLst>
            </c:dLbl>
            <c:dLbl>
              <c:idx val="4"/>
              <c:tx>
                <c:rich>
                  <a:bodyPr/>
                  <a:lstStyle/>
                  <a:p>
                    <a:fld id="{5EA16B64-5912-45EC-B8AA-0274014A29D6}"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CDA-45DF-AA2F-0264ABDE0C6C}"/>
                </c:ext>
              </c:extLst>
            </c:dLbl>
            <c:dLbl>
              <c:idx val="5"/>
              <c:tx>
                <c:rich>
                  <a:bodyPr/>
                  <a:lstStyle/>
                  <a:p>
                    <a:fld id="{2E2BBAAD-B430-4AFB-82B9-DCE409F7036E}"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CDA-45DF-AA2F-0264ABDE0C6C}"/>
                </c:ext>
              </c:extLst>
            </c:dLbl>
            <c:dLbl>
              <c:idx val="6"/>
              <c:tx>
                <c:rich>
                  <a:bodyPr/>
                  <a:lstStyle/>
                  <a:p>
                    <a:fld id="{4ED827C7-B2CC-4560-8F68-F865C58AA188}"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2CDA-45DF-AA2F-0264ABDE0C6C}"/>
                </c:ext>
              </c:extLst>
            </c:dLbl>
            <c:dLbl>
              <c:idx val="7"/>
              <c:tx>
                <c:rich>
                  <a:bodyPr/>
                  <a:lstStyle/>
                  <a:p>
                    <a:fld id="{E3CF0902-4E88-4F04-9D84-B50635D0C10F}"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CDA-45DF-AA2F-0264ABDE0C6C}"/>
                </c:ext>
              </c:extLst>
            </c:dLbl>
            <c:dLbl>
              <c:idx val="8"/>
              <c:tx>
                <c:rich>
                  <a:bodyPr/>
                  <a:lstStyle/>
                  <a:p>
                    <a:fld id="{65863C92-9733-45C0-905A-25931212245E}"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8-2CDA-45DF-AA2F-0264ABDE0C6C}"/>
                </c:ext>
              </c:extLst>
            </c:dLbl>
            <c:dLbl>
              <c:idx val="9"/>
              <c:tx>
                <c:rich>
                  <a:bodyPr/>
                  <a:lstStyle/>
                  <a:p>
                    <a:fld id="{D39FED5A-05F4-415F-A3F6-1728A8CEF650}"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CDA-45DF-AA2F-0264ABDE0C6C}"/>
                </c:ext>
              </c:extLst>
            </c:dLbl>
            <c:dLbl>
              <c:idx val="10"/>
              <c:tx>
                <c:rich>
                  <a:bodyPr/>
                  <a:lstStyle/>
                  <a:p>
                    <a:fld id="{F10B73A5-A2C3-406F-9168-88EC840DE7F4}"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CDA-45DF-AA2F-0264ABDE0C6C}"/>
                </c:ext>
              </c:extLst>
            </c:dLbl>
            <c:dLbl>
              <c:idx val="11"/>
              <c:tx>
                <c:rich>
                  <a:bodyPr/>
                  <a:lstStyle/>
                  <a:p>
                    <a:fld id="{9F7A1D43-7F4D-46FD-8DAA-F5ED8B049809}"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2CDA-45DF-AA2F-0264ABDE0C6C}"/>
                </c:ext>
              </c:extLst>
            </c:dLbl>
            <c:dLbl>
              <c:idx val="12"/>
              <c:tx>
                <c:rich>
                  <a:bodyPr/>
                  <a:lstStyle/>
                  <a:p>
                    <a:fld id="{0BF6B08B-C31C-4C11-B75F-FEAE3B6E0B5D}"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2CDA-45DF-AA2F-0264ABDE0C6C}"/>
                </c:ext>
              </c:extLst>
            </c:dLbl>
            <c:dLbl>
              <c:idx val="13"/>
              <c:tx>
                <c:rich>
                  <a:bodyPr/>
                  <a:lstStyle/>
                  <a:p>
                    <a:fld id="{1E55E4A3-4F63-45EB-9E80-DAE0C9CE648D}" type="CELLRANGE">
                      <a:rPr lang="en-US"/>
                      <a:pPr/>
                      <a:t>[CELLRANGE]</a:t>
                    </a:fld>
                    <a:endParaRPr lang="es-GT"/>
                  </a:p>
                </c:rich>
              </c:tx>
              <c:dLblPos val="l"/>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2CDA-45DF-AA2F-0264ABDE0C6C}"/>
                </c:ext>
              </c:extLst>
            </c:dLbl>
            <c:dLbl>
              <c:idx val="14"/>
              <c:tx>
                <c:rich>
                  <a:bodyPr/>
                  <a:lstStyle/>
                  <a:p>
                    <a:fld id="{1AB96AAE-EA1D-431E-8A0E-B4A5B7B653C4}"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CDA-45DF-AA2F-0264ABDE0C6C}"/>
                </c:ext>
              </c:extLst>
            </c:dLbl>
            <c:dLbl>
              <c:idx val="15"/>
              <c:tx>
                <c:rich>
                  <a:bodyPr/>
                  <a:lstStyle/>
                  <a:p>
                    <a:fld id="{30C0E9CE-AEAB-459F-9604-D2C70E4F3C82}"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F-2CDA-45DF-AA2F-0264ABDE0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trendline>
            <c:spPr>
              <a:ln w="19050" cap="rnd">
                <a:solidFill>
                  <a:schemeClr val="accent1"/>
                </a:solidFill>
                <a:prstDash val="sysDot"/>
              </a:ln>
              <a:effectLst/>
            </c:spPr>
            <c:trendlineType val="linear"/>
            <c:dispRSqr val="0"/>
            <c:dispEq val="0"/>
          </c:trendline>
          <c:xVal>
            <c:numRef>
              <c:f>Hoja4!$L$2:$L$17</c:f>
              <c:numCache>
                <c:formatCode>_(* #,##0.00_);_(* \(#,##0.00\);_(* "-"??_);_(@_)</c:formatCode>
                <c:ptCount val="16"/>
                <c:pt idx="0">
                  <c:v>78.035191637631044</c:v>
                </c:pt>
                <c:pt idx="1">
                  <c:v>76.496550522647894</c:v>
                </c:pt>
                <c:pt idx="2">
                  <c:v>77.692857142857278</c:v>
                </c:pt>
                <c:pt idx="3">
                  <c:v>66.453693379791105</c:v>
                </c:pt>
                <c:pt idx="4">
                  <c:v>89.446968641114708</c:v>
                </c:pt>
                <c:pt idx="5">
                  <c:v>78.741672473867823</c:v>
                </c:pt>
                <c:pt idx="6">
                  <c:v>79.518257839721656</c:v>
                </c:pt>
                <c:pt idx="7">
                  <c:v>87.737630662020479</c:v>
                </c:pt>
                <c:pt idx="9">
                  <c:v>84.142334494773323</c:v>
                </c:pt>
                <c:pt idx="10">
                  <c:v>83.674773519163907</c:v>
                </c:pt>
                <c:pt idx="11">
                  <c:v>72.987212543553696</c:v>
                </c:pt>
                <c:pt idx="12">
                  <c:v>79.087874564459725</c:v>
                </c:pt>
                <c:pt idx="13">
                  <c:v>77.727456445993127</c:v>
                </c:pt>
                <c:pt idx="14">
                  <c:v>82.856794425087045</c:v>
                </c:pt>
                <c:pt idx="15">
                  <c:v>75.053519163762999</c:v>
                </c:pt>
              </c:numCache>
            </c:numRef>
          </c:xVal>
          <c:yVal>
            <c:numRef>
              <c:f>Hoja4!$M$2:$M$17</c:f>
              <c:numCache>
                <c:formatCode>_-* #,##0.0_-;\-* #,##0.0_-;_-* "-"??_-;_-@_-</c:formatCode>
                <c:ptCount val="16"/>
                <c:pt idx="0">
                  <c:v>-1.5</c:v>
                </c:pt>
                <c:pt idx="1">
                  <c:v>-8.58</c:v>
                </c:pt>
                <c:pt idx="2">
                  <c:v>-6.8470000000000004</c:v>
                </c:pt>
                <c:pt idx="3">
                  <c:v>-4.7960000000000003</c:v>
                </c:pt>
                <c:pt idx="4">
                  <c:v>-8</c:v>
                </c:pt>
                <c:pt idx="5">
                  <c:v>-17.949000000000002</c:v>
                </c:pt>
                <c:pt idx="6">
                  <c:v>-6.7309999999999999</c:v>
                </c:pt>
                <c:pt idx="7">
                  <c:v>-4.0590000000000002</c:v>
                </c:pt>
                <c:pt idx="8">
                  <c:v>#N/A</c:v>
                </c:pt>
                <c:pt idx="9">
                  <c:v>-7.7</c:v>
                </c:pt>
                <c:pt idx="10">
                  <c:v>-11.115</c:v>
                </c:pt>
                <c:pt idx="11">
                  <c:v>-8.2390000000000008</c:v>
                </c:pt>
                <c:pt idx="12">
                  <c:v>-5.8410000000000002</c:v>
                </c:pt>
                <c:pt idx="13">
                  <c:v>-0.9</c:v>
                </c:pt>
                <c:pt idx="14">
                  <c:v>-3.5049999999999999</c:v>
                </c:pt>
                <c:pt idx="15">
                  <c:v>-5.4029999999999996</c:v>
                </c:pt>
              </c:numCache>
            </c:numRef>
          </c:yVal>
          <c:smooth val="0"/>
          <c:extLst xmlns:c16r2="http://schemas.microsoft.com/office/drawing/2015/06/chart">
            <c:ext xmlns:c15="http://schemas.microsoft.com/office/drawing/2012/chart" uri="{02D57815-91ED-43cb-92C2-25804820EDAC}">
              <c15:datalabelsRange>
                <c15:f>Hoja4!$K$2:$K$17</c15:f>
                <c15:dlblRangeCache>
                  <c:ptCount val="16"/>
                  <c:pt idx="0">
                    <c:v>GTM</c:v>
                  </c:pt>
                  <c:pt idx="1">
                    <c:v>SLV</c:v>
                  </c:pt>
                  <c:pt idx="2">
                    <c:v>COL</c:v>
                  </c:pt>
                  <c:pt idx="3">
                    <c:v>CRI</c:v>
                  </c:pt>
                  <c:pt idx="4">
                    <c:v>HND</c:v>
                  </c:pt>
                  <c:pt idx="5">
                    <c:v>PAN</c:v>
                  </c:pt>
                  <c:pt idx="6">
                    <c:v>DOM</c:v>
                  </c:pt>
                  <c:pt idx="7">
                    <c:v>BRA</c:v>
                  </c:pt>
                  <c:pt idx="9">
                    <c:v>BOL</c:v>
                  </c:pt>
                  <c:pt idx="10">
                    <c:v>PER</c:v>
                  </c:pt>
                  <c:pt idx="11">
                    <c:v>MEX</c:v>
                  </c:pt>
                  <c:pt idx="12">
                    <c:v>CHL</c:v>
                  </c:pt>
                  <c:pt idx="13">
                    <c:v>PRY</c:v>
                  </c:pt>
                  <c:pt idx="14">
                    <c:v>USA</c:v>
                  </c:pt>
                  <c:pt idx="15">
                    <c:v>CAN</c:v>
                  </c:pt>
                </c15:dlblRangeCache>
              </c15:datalabelsRange>
            </c:ext>
            <c:ext xmlns:c16="http://schemas.microsoft.com/office/drawing/2014/chart" uri="{C3380CC4-5D6E-409C-BE32-E72D297353CC}">
              <c16:uniqueId val="{00000011-2CDA-45DF-AA2F-0264ABDE0C6C}"/>
            </c:ext>
          </c:extLst>
        </c:ser>
        <c:dLbls>
          <c:showLegendKey val="0"/>
          <c:showVal val="0"/>
          <c:showCatName val="0"/>
          <c:showSerName val="0"/>
          <c:showPercent val="0"/>
          <c:showBubbleSize val="0"/>
        </c:dLbls>
        <c:axId val="249687040"/>
        <c:axId val="249721984"/>
      </c:scatterChart>
      <c:valAx>
        <c:axId val="249687040"/>
        <c:scaling>
          <c:orientation val="minMax"/>
          <c:min val="65"/>
        </c:scaling>
        <c:delete val="0"/>
        <c:axPos val="b"/>
        <c:majorGridlines>
          <c:spPr>
            <a:ln w="9525" cap="flat" cmpd="sng" algn="ctr">
              <a:solidFill>
                <a:schemeClr val="bg1">
                  <a:lumMod val="85000"/>
                  <a:alpha val="30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latin typeface="Times New Roman" panose="02020603050405020304" pitchFamily="18" charset="0"/>
                    <a:cs typeface="Times New Roman" panose="02020603050405020304" pitchFamily="18" charset="0"/>
                  </a:rPr>
                  <a:t>Promedio anual del índice de rigos</a:t>
                </a:r>
                <a:r>
                  <a:rPr lang="es-GT" sz="900" baseline="0">
                    <a:latin typeface="Times New Roman" panose="02020603050405020304" pitchFamily="18" charset="0"/>
                    <a:cs typeface="Times New Roman" panose="02020603050405020304" pitchFamily="18" charset="0"/>
                  </a:rPr>
                  <a:t>  (stringency index)</a:t>
                </a:r>
                <a:endParaRPr lang="es-GT" sz="900">
                  <a:latin typeface="Times New Roman" panose="02020603050405020304" pitchFamily="18" charset="0"/>
                  <a:cs typeface="Times New Roman" panose="02020603050405020304" pitchFamily="18" charset="0"/>
                </a:endParaRPr>
              </a:p>
            </c:rich>
          </c:tx>
          <c:layout>
            <c:manualLayout>
              <c:xMode val="edge"/>
              <c:yMode val="edge"/>
              <c:x val="0.30401169319063992"/>
              <c:y val="0.89363386239888953"/>
            </c:manualLayout>
          </c:layout>
          <c:overlay val="0"/>
          <c:spPr>
            <a:noFill/>
            <a:ln>
              <a:noFill/>
            </a:ln>
            <a:effectLst/>
          </c:spPr>
        </c:title>
        <c:numFmt formatCode="_(* #,##0.00_);_(* \(#,##0.00\);_(* &quot;-&quot;??_);_(@_)"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721984"/>
        <c:crosses val="autoZero"/>
        <c:crossBetween val="midCat"/>
      </c:valAx>
      <c:valAx>
        <c:axId val="249721984"/>
        <c:scaling>
          <c:orientation val="minMax"/>
        </c:scaling>
        <c:delete val="0"/>
        <c:axPos val="l"/>
        <c:majorGridlines>
          <c:spPr>
            <a:ln w="9525" cap="flat" cmpd="sng" algn="ctr">
              <a:solidFill>
                <a:schemeClr val="bg1">
                  <a:lumMod val="85000"/>
                  <a:alpha val="30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latin typeface="Times New Roman" panose="02020603050405020304" pitchFamily="18" charset="0"/>
                    <a:cs typeface="Times New Roman" panose="02020603050405020304" pitchFamily="18" charset="0"/>
                  </a:rPr>
                  <a:t>Crecimiento económico en 2020</a:t>
                </a:r>
              </a:p>
            </c:rich>
          </c:tx>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968704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591478548416334E-2"/>
          <c:y val="5.7426094219901247E-2"/>
          <c:w val="0.8708170429031673"/>
          <c:h val="0.53741328536452626"/>
        </c:manualLayout>
      </c:layout>
      <c:barChart>
        <c:barDir val="col"/>
        <c:grouping val="clustered"/>
        <c:varyColors val="0"/>
        <c:ser>
          <c:idx val="0"/>
          <c:order val="0"/>
          <c:tx>
            <c:strRef>
              <c:f>'Diseño de escenario'!$H$75</c:f>
              <c:strCache>
                <c:ptCount val="1"/>
                <c:pt idx="0">
                  <c:v>Escenario base</c:v>
                </c:pt>
              </c:strCache>
            </c:strRef>
          </c:tx>
          <c:spPr>
            <a:solidFill>
              <a:schemeClr val="bg1">
                <a:lumMod val="65000"/>
              </a:schemeClr>
            </a:solidFill>
            <a:ln>
              <a:noFill/>
            </a:ln>
            <a:effectLst/>
          </c:spPr>
          <c:invertIfNegative val="0"/>
          <c:dLbls>
            <c:dLbl>
              <c:idx val="2"/>
              <c:layout>
                <c:manualLayout>
                  <c:x val="-8.819444444444525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48-4D41-9178-27E8326683B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'Diseño de escenario'!$I$74:$K$74</c:f>
              <c:strCache>
                <c:ptCount val="3"/>
                <c:pt idx="0">
                  <c:v>PIB real</c:v>
                </c:pt>
                <c:pt idx="1">
                  <c:v>Importaciones FOB</c:v>
                </c:pt>
                <c:pt idx="2">
                  <c:v>Deflactor del PIB</c:v>
                </c:pt>
              </c:strCache>
            </c:strRef>
          </c:cat>
          <c:val>
            <c:numRef>
              <c:f>'Diseño de escenario'!$I$75:$K$75</c:f>
              <c:numCache>
                <c:formatCode>0.0%</c:formatCode>
                <c:ptCount val="3"/>
                <c:pt idx="0">
                  <c:v>3.5000000000000003E-2</c:v>
                </c:pt>
                <c:pt idx="1">
                  <c:v>0.06</c:v>
                </c:pt>
                <c:pt idx="2">
                  <c:v>3.1746307742520408E-2</c:v>
                </c:pt>
              </c:numCache>
            </c:numRef>
          </c:val>
          <c:extLst xmlns:c16r2="http://schemas.microsoft.com/office/drawing/2015/06/chart">
            <c:ext xmlns:c16="http://schemas.microsoft.com/office/drawing/2014/chart" uri="{C3380CC4-5D6E-409C-BE32-E72D297353CC}">
              <c16:uniqueId val="{00000001-D148-4D41-9178-27E8326683B1}"/>
            </c:ext>
          </c:extLst>
        </c:ser>
        <c:ser>
          <c:idx val="1"/>
          <c:order val="1"/>
          <c:tx>
            <c:strRef>
              <c:f>'Diseño de escenario'!$H$76</c:f>
              <c:strCache>
                <c:ptCount val="1"/>
                <c:pt idx="0">
                  <c:v>Rebrote de pandemia</c:v>
                </c:pt>
              </c:strCache>
            </c:strRef>
          </c:tx>
          <c:spPr>
            <a:solidFill>
              <a:srgbClr val="C00000"/>
            </a:solidFill>
            <a:ln>
              <a:noFill/>
            </a:ln>
            <a:effectLst/>
          </c:spPr>
          <c:invertIfNegative val="0"/>
          <c:dLbls>
            <c:dLbl>
              <c:idx val="2"/>
              <c:layout>
                <c:manualLayout>
                  <c:x val="4.41014332965821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EE-4FA1-BCBF-AF55CE26734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'Diseño de escenario'!$I$74:$K$74</c:f>
              <c:strCache>
                <c:ptCount val="3"/>
                <c:pt idx="0">
                  <c:v>PIB real</c:v>
                </c:pt>
                <c:pt idx="1">
                  <c:v>Importaciones FOB</c:v>
                </c:pt>
                <c:pt idx="2">
                  <c:v>Deflactor del PIB</c:v>
                </c:pt>
              </c:strCache>
            </c:strRef>
          </c:cat>
          <c:val>
            <c:numRef>
              <c:f>'Diseño de escenario'!$I$76:$K$76</c:f>
              <c:numCache>
                <c:formatCode>0.0%</c:formatCode>
                <c:ptCount val="3"/>
                <c:pt idx="0">
                  <c:v>5.0000000000000001E-3</c:v>
                </c:pt>
                <c:pt idx="1">
                  <c:v>-2.5000000000000001E-2</c:v>
                </c:pt>
                <c:pt idx="2">
                  <c:v>2.7746307742520408E-2</c:v>
                </c:pt>
              </c:numCache>
            </c:numRef>
          </c:val>
          <c:extLst xmlns:c16r2="http://schemas.microsoft.com/office/drawing/2015/06/chart">
            <c:ext xmlns:c16="http://schemas.microsoft.com/office/drawing/2014/chart" uri="{C3380CC4-5D6E-409C-BE32-E72D297353CC}">
              <c16:uniqueId val="{00000002-D148-4D41-9178-27E8326683B1}"/>
            </c:ext>
          </c:extLst>
        </c:ser>
        <c:ser>
          <c:idx val="2"/>
          <c:order val="2"/>
          <c:tx>
            <c:strRef>
              <c:f>'Diseño de escenario'!$H$77</c:f>
              <c:strCache>
                <c:ptCount val="1"/>
                <c:pt idx="0">
                  <c:v>Rebrote con estímulo fiscal</c:v>
                </c:pt>
              </c:strCache>
            </c:strRef>
          </c:tx>
          <c:spPr>
            <a:solidFill>
              <a:schemeClr val="accent6">
                <a:lumMod val="75000"/>
              </a:schemeClr>
            </a:solidFill>
            <a:ln>
              <a:noFill/>
            </a:ln>
            <a:effectLst/>
          </c:spPr>
          <c:invertIfNegative val="0"/>
          <c:dLbls>
            <c:dLbl>
              <c:idx val="2"/>
              <c:layout>
                <c:manualLayout>
                  <c:x val="1.3229166666666506E-2"/>
                  <c:y val="-4.619655628052968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48-4D41-9178-27E8326683B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'Diseño de escenario'!$I$74:$K$74</c:f>
              <c:strCache>
                <c:ptCount val="3"/>
                <c:pt idx="0">
                  <c:v>PIB real</c:v>
                </c:pt>
                <c:pt idx="1">
                  <c:v>Importaciones FOB</c:v>
                </c:pt>
                <c:pt idx="2">
                  <c:v>Deflactor del PIB</c:v>
                </c:pt>
              </c:strCache>
            </c:strRef>
          </c:cat>
          <c:val>
            <c:numRef>
              <c:f>'Diseño de escenario'!$I$77:$K$77</c:f>
              <c:numCache>
                <c:formatCode>0.0%</c:formatCode>
                <c:ptCount val="3"/>
                <c:pt idx="0">
                  <c:v>1.4999999999999999E-2</c:v>
                </c:pt>
                <c:pt idx="1">
                  <c:v>-1.06E-2</c:v>
                </c:pt>
                <c:pt idx="2">
                  <c:v>2.8746307742520408E-2</c:v>
                </c:pt>
              </c:numCache>
            </c:numRef>
          </c:val>
          <c:extLst xmlns:c16r2="http://schemas.microsoft.com/office/drawing/2015/06/chart">
            <c:ext xmlns:c16="http://schemas.microsoft.com/office/drawing/2014/chart" uri="{C3380CC4-5D6E-409C-BE32-E72D297353CC}">
              <c16:uniqueId val="{00000004-D148-4D41-9178-27E8326683B1}"/>
            </c:ext>
          </c:extLst>
        </c:ser>
        <c:dLbls>
          <c:showLegendKey val="0"/>
          <c:showVal val="0"/>
          <c:showCatName val="0"/>
          <c:showSerName val="0"/>
          <c:showPercent val="0"/>
          <c:showBubbleSize val="0"/>
        </c:dLbls>
        <c:gapWidth val="100"/>
        <c:overlap val="-20"/>
        <c:axId val="292415744"/>
        <c:axId val="292491264"/>
      </c:barChart>
      <c:catAx>
        <c:axId val="2924157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491264"/>
        <c:crosses val="autoZero"/>
        <c:auto val="1"/>
        <c:lblAlgn val="ctr"/>
        <c:lblOffset val="100"/>
        <c:noMultiLvlLbl val="0"/>
      </c:catAx>
      <c:valAx>
        <c:axId val="292491264"/>
        <c:scaling>
          <c:orientation val="minMax"/>
        </c:scaling>
        <c:delete val="1"/>
        <c:axPos val="l"/>
        <c:numFmt formatCode="0.0%" sourceLinked="1"/>
        <c:majorTickMark val="none"/>
        <c:minorTickMark val="none"/>
        <c:tickLblPos val="nextTo"/>
        <c:crossAx val="292415744"/>
        <c:crosses val="autoZero"/>
        <c:crossBetween val="between"/>
      </c:valAx>
      <c:spPr>
        <a:noFill/>
        <a:ln>
          <a:noFill/>
        </a:ln>
        <a:effectLst/>
      </c:spPr>
    </c:plotArea>
    <c:legend>
      <c:legendPos val="b"/>
      <c:layout>
        <c:manualLayout>
          <c:xMode val="edge"/>
          <c:yMode val="edge"/>
          <c:x val="4.3445486111111112E-2"/>
          <c:y val="0.85825714285714283"/>
          <c:w val="0.90869895833333336"/>
          <c:h val="0.11150476190476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92364291383197E-2"/>
          <c:y val="5.7324061908345512E-2"/>
          <c:w val="0.90261527141723363"/>
          <c:h val="0.67680718516287497"/>
        </c:manualLayout>
      </c:layout>
      <c:barChart>
        <c:barDir val="col"/>
        <c:grouping val="clustered"/>
        <c:varyColors val="0"/>
        <c:ser>
          <c:idx val="3"/>
          <c:order val="0"/>
          <c:tx>
            <c:strRef>
              <c:f>'Diseño de escenario'!$H$75</c:f>
              <c:strCache>
                <c:ptCount val="1"/>
                <c:pt idx="0">
                  <c:v>Escenario base</c:v>
                </c:pt>
              </c:strCache>
            </c:strRef>
          </c:tx>
          <c:spPr>
            <a:solidFill>
              <a:schemeClr val="bg1">
                <a:lumMod val="65000"/>
              </a:schemeClr>
            </a:solidFill>
          </c:spPr>
          <c:invertIfNegative val="0"/>
          <c:dLbls>
            <c:dLbl>
              <c:idx val="2"/>
              <c:layout>
                <c:manualLayout>
                  <c:x val="-2.20763061437838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0F-47B6-84A0-ABE4984784AB}"/>
                </c:ext>
              </c:extLst>
            </c:dLbl>
            <c:spPr>
              <a:noFill/>
              <a:ln>
                <a:noFill/>
              </a:ln>
              <a:effectLst/>
            </c:spPr>
            <c:txPr>
              <a:bodyPr wrap="square" lIns="38100" tIns="19050" rIns="38100" bIns="19050" anchor="ctr">
                <a:spAutoFit/>
              </a:bodyPr>
              <a:lstStyle/>
              <a:p>
                <a:pPr>
                  <a:defRPr b="1">
                    <a:solidFill>
                      <a:schemeClr val="bg1">
                        <a:lumMod val="65000"/>
                      </a:schemeClr>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'Diseño de escenario'!$N$74:$P$74</c:f>
              <c:strCache>
                <c:ptCount val="3"/>
                <c:pt idx="0">
                  <c:v>PIB real</c:v>
                </c:pt>
                <c:pt idx="1">
                  <c:v>Importaciones FOB</c:v>
                </c:pt>
                <c:pt idx="2">
                  <c:v>Deflactor del PIB</c:v>
                </c:pt>
              </c:strCache>
            </c:strRef>
          </c:cat>
          <c:val>
            <c:numRef>
              <c:f>'Diseño de escenario'!$N$75:$P$75</c:f>
              <c:numCache>
                <c:formatCode>0.0%</c:formatCode>
                <c:ptCount val="3"/>
                <c:pt idx="0">
                  <c:v>3.5000000000000003E-2</c:v>
                </c:pt>
                <c:pt idx="1">
                  <c:v>0.06</c:v>
                </c:pt>
                <c:pt idx="2">
                  <c:v>3.1746307742520408E-2</c:v>
                </c:pt>
              </c:numCache>
            </c:numRef>
          </c:val>
          <c:extLst xmlns:c16r2="http://schemas.microsoft.com/office/drawing/2015/06/chart">
            <c:ext xmlns:c16="http://schemas.microsoft.com/office/drawing/2014/chart" uri="{C3380CC4-5D6E-409C-BE32-E72D297353CC}">
              <c16:uniqueId val="{00000001-BD0F-47B6-84A0-ABE4984784AB}"/>
            </c:ext>
          </c:extLst>
        </c:ser>
        <c:ser>
          <c:idx val="4"/>
          <c:order val="1"/>
          <c:tx>
            <c:strRef>
              <c:f>'Diseño de escenario'!$H$76</c:f>
              <c:strCache>
                <c:ptCount val="1"/>
                <c:pt idx="0">
                  <c:v>Rebrote de pandemia</c:v>
                </c:pt>
              </c:strCache>
            </c:strRef>
          </c:tx>
          <c:spPr>
            <a:solidFill>
              <a:srgbClr val="C00000"/>
            </a:solidFill>
          </c:spPr>
          <c:invertIfNegative val="0"/>
          <c:dLbls>
            <c:spPr>
              <a:noFill/>
              <a:ln>
                <a:noFill/>
              </a:ln>
              <a:effectLst/>
            </c:spPr>
            <c:txPr>
              <a:bodyPr wrap="square" lIns="38100" tIns="19050" rIns="38100" bIns="19050" anchor="ctr">
                <a:spAutoFit/>
              </a:bodyPr>
              <a:lstStyle/>
              <a:p>
                <a:pPr>
                  <a:defRPr b="1">
                    <a:solidFill>
                      <a:srgbClr val="C00000"/>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'Diseño de escenario'!$N$74:$P$74</c:f>
              <c:strCache>
                <c:ptCount val="3"/>
                <c:pt idx="0">
                  <c:v>PIB real</c:v>
                </c:pt>
                <c:pt idx="1">
                  <c:v>Importaciones FOB</c:v>
                </c:pt>
                <c:pt idx="2">
                  <c:v>Deflactor del PIB</c:v>
                </c:pt>
              </c:strCache>
            </c:strRef>
          </c:cat>
          <c:val>
            <c:numRef>
              <c:f>'Diseño de escenario'!$N$76:$P$76</c:f>
              <c:numCache>
                <c:formatCode>0.0%</c:formatCode>
                <c:ptCount val="3"/>
                <c:pt idx="0">
                  <c:v>-3.9E-2</c:v>
                </c:pt>
                <c:pt idx="1">
                  <c:v>-8.8999999999999996E-2</c:v>
                </c:pt>
                <c:pt idx="2">
                  <c:v>2.3746307742520407E-2</c:v>
                </c:pt>
              </c:numCache>
            </c:numRef>
          </c:val>
          <c:extLst xmlns:c16r2="http://schemas.microsoft.com/office/drawing/2015/06/chart">
            <c:ext xmlns:c16="http://schemas.microsoft.com/office/drawing/2014/chart" uri="{C3380CC4-5D6E-409C-BE32-E72D297353CC}">
              <c16:uniqueId val="{00000002-BD0F-47B6-84A0-ABE4984784AB}"/>
            </c:ext>
          </c:extLst>
        </c:ser>
        <c:ser>
          <c:idx val="5"/>
          <c:order val="2"/>
          <c:tx>
            <c:strRef>
              <c:f>'Diseño de escenario'!$H$77</c:f>
              <c:strCache>
                <c:ptCount val="1"/>
                <c:pt idx="0">
                  <c:v>Rebrote con estímulo fiscal</c:v>
                </c:pt>
              </c:strCache>
            </c:strRef>
          </c:tx>
          <c:spPr>
            <a:solidFill>
              <a:schemeClr val="accent6">
                <a:lumMod val="75000"/>
              </a:schemeClr>
            </a:solidFill>
          </c:spPr>
          <c:invertIfNegative val="0"/>
          <c:dLbls>
            <c:dLbl>
              <c:idx val="1"/>
              <c:layout>
                <c:manualLayout>
                  <c:x val="2.20763061437838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0F-47B6-84A0-ABE4984784AB}"/>
                </c:ext>
              </c:extLst>
            </c:dLbl>
            <c:dLbl>
              <c:idx val="2"/>
              <c:layout>
                <c:manualLayout>
                  <c:x val="1.324578368627014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0F-47B6-84A0-ABE4984784AB}"/>
                </c:ext>
              </c:extLst>
            </c:dLbl>
            <c:spPr>
              <a:noFill/>
              <a:ln>
                <a:noFill/>
              </a:ln>
              <a:effectLst/>
            </c:spPr>
            <c:txPr>
              <a:bodyPr wrap="square" lIns="38100" tIns="19050" rIns="38100" bIns="19050" anchor="ctr">
                <a:spAutoFit/>
              </a:bodyPr>
              <a:lstStyle/>
              <a:p>
                <a:pPr>
                  <a:defRPr b="1">
                    <a:solidFill>
                      <a:schemeClr val="accent6">
                        <a:lumMod val="50000"/>
                      </a:schemeClr>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'Diseño de escenario'!$N$74:$P$74</c:f>
              <c:strCache>
                <c:ptCount val="3"/>
                <c:pt idx="0">
                  <c:v>PIB real</c:v>
                </c:pt>
                <c:pt idx="1">
                  <c:v>Importaciones FOB</c:v>
                </c:pt>
                <c:pt idx="2">
                  <c:v>Deflactor del PIB</c:v>
                </c:pt>
              </c:strCache>
            </c:strRef>
          </c:cat>
          <c:val>
            <c:numRef>
              <c:f>'Diseño de escenario'!$N$77:$P$77</c:f>
              <c:numCache>
                <c:formatCode>0.0%</c:formatCode>
                <c:ptCount val="3"/>
                <c:pt idx="0">
                  <c:v>-1.2999999999999999E-2</c:v>
                </c:pt>
                <c:pt idx="1">
                  <c:v>-5.5E-2</c:v>
                </c:pt>
                <c:pt idx="2">
                  <c:v>2.6746307742520407E-2</c:v>
                </c:pt>
              </c:numCache>
            </c:numRef>
          </c:val>
          <c:extLst xmlns:c16r2="http://schemas.microsoft.com/office/drawing/2015/06/chart">
            <c:ext xmlns:c16="http://schemas.microsoft.com/office/drawing/2014/chart" uri="{C3380CC4-5D6E-409C-BE32-E72D297353CC}">
              <c16:uniqueId val="{00000005-BD0F-47B6-84A0-ABE4984784AB}"/>
            </c:ext>
          </c:extLst>
        </c:ser>
        <c:dLbls>
          <c:showLegendKey val="0"/>
          <c:showVal val="0"/>
          <c:showCatName val="0"/>
          <c:showSerName val="0"/>
          <c:showPercent val="0"/>
          <c:showBubbleSize val="0"/>
        </c:dLbls>
        <c:gapWidth val="100"/>
        <c:overlap val="-20"/>
        <c:axId val="292537088"/>
        <c:axId val="292538624"/>
      </c:barChart>
      <c:catAx>
        <c:axId val="292537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538624"/>
        <c:crosses val="autoZero"/>
        <c:auto val="1"/>
        <c:lblAlgn val="ctr"/>
        <c:lblOffset val="100"/>
        <c:noMultiLvlLbl val="0"/>
      </c:catAx>
      <c:valAx>
        <c:axId val="292538624"/>
        <c:scaling>
          <c:orientation val="minMax"/>
        </c:scaling>
        <c:delete val="1"/>
        <c:axPos val="l"/>
        <c:numFmt formatCode="0.0%" sourceLinked="1"/>
        <c:majorTickMark val="none"/>
        <c:minorTickMark val="none"/>
        <c:tickLblPos val="nextTo"/>
        <c:crossAx val="292537088"/>
        <c:crosses val="autoZero"/>
        <c:crossBetween val="between"/>
      </c:valAx>
    </c:plotArea>
    <c:legend>
      <c:legendPos val="b"/>
      <c:layout>
        <c:manualLayout>
          <c:xMode val="edge"/>
          <c:yMode val="edge"/>
          <c:x val="5.227546887764857E-2"/>
          <c:y val="0.88322569229408132"/>
          <c:w val="0.90869895833333336"/>
          <c:h val="0.11150476190476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1-CCD8-4F5D-90E1-0676CF75C9D1}"/>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CCD8-4F5D-90E1-0676CF75C9D1}"/>
              </c:ext>
            </c:extLst>
          </c:dPt>
          <c:dPt>
            <c:idx val="2"/>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5-CCD8-4F5D-90E1-0676CF75C9D1}"/>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CCD8-4F5D-90E1-0676CF75C9D1}"/>
              </c:ext>
            </c:extLst>
          </c:dPt>
          <c:dPt>
            <c:idx val="4"/>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9-CCD8-4F5D-90E1-0676CF75C9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'Escenario (reca)'!$O$12:$S$12</c:f>
              <c:strCache>
                <c:ptCount val="5"/>
                <c:pt idx="0">
                  <c:v>Escenario base</c:v>
                </c:pt>
                <c:pt idx="1">
                  <c:v>índice de rigor = 65</c:v>
                </c:pt>
                <c:pt idx="2">
                  <c:v>índice de rigor =65 con estimulo fiscal del 1% del PIB</c:v>
                </c:pt>
                <c:pt idx="3">
                  <c:v>índice de rigor =80.0</c:v>
                </c:pt>
                <c:pt idx="4">
                  <c:v>índice de rigor = 80.0 con estimulo fiscal del 2.6% del PIB</c:v>
                </c:pt>
              </c:strCache>
            </c:strRef>
          </c:cat>
          <c:val>
            <c:numRef>
              <c:f>'Escenario (reca)'!$O$13:$S$13</c:f>
              <c:numCache>
                <c:formatCode>0.0%</c:formatCode>
                <c:ptCount val="5"/>
                <c:pt idx="0">
                  <c:v>0.10687678792272139</c:v>
                </c:pt>
                <c:pt idx="1">
                  <c:v>0.10040256072167902</c:v>
                </c:pt>
                <c:pt idx="2">
                  <c:v>0.10150317493838737</c:v>
                </c:pt>
                <c:pt idx="3">
                  <c:v>9.7960322070157493E-2</c:v>
                </c:pt>
                <c:pt idx="4">
                  <c:v>9.8500000000000004E-2</c:v>
                </c:pt>
              </c:numCache>
            </c:numRef>
          </c:val>
          <c:extLst xmlns:c16r2="http://schemas.microsoft.com/office/drawing/2015/06/chart">
            <c:ext xmlns:c16="http://schemas.microsoft.com/office/drawing/2014/chart" uri="{C3380CC4-5D6E-409C-BE32-E72D297353CC}">
              <c16:uniqueId val="{0000000A-CCD8-4F5D-90E1-0676CF75C9D1}"/>
            </c:ext>
          </c:extLst>
        </c:ser>
        <c:dLbls>
          <c:showLegendKey val="0"/>
          <c:showVal val="0"/>
          <c:showCatName val="0"/>
          <c:showSerName val="0"/>
          <c:showPercent val="0"/>
          <c:showBubbleSize val="0"/>
        </c:dLbls>
        <c:gapWidth val="80"/>
        <c:overlap val="-27"/>
        <c:axId val="292664448"/>
        <c:axId val="292665984"/>
      </c:barChart>
      <c:catAx>
        <c:axId val="2926644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665984"/>
        <c:crosses val="autoZero"/>
        <c:auto val="1"/>
        <c:lblAlgn val="ctr"/>
        <c:lblOffset val="100"/>
        <c:noMultiLvlLbl val="0"/>
      </c:catAx>
      <c:valAx>
        <c:axId val="292665984"/>
        <c:scaling>
          <c:orientation val="minMax"/>
          <c:min val="9.0000000000000024E-2"/>
        </c:scaling>
        <c:delete val="1"/>
        <c:axPos val="l"/>
        <c:numFmt formatCode="0.0%" sourceLinked="1"/>
        <c:majorTickMark val="out"/>
        <c:minorTickMark val="none"/>
        <c:tickLblPos val="nextTo"/>
        <c:crossAx val="292664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86689788470218E-2"/>
          <c:y val="7.6788830715532289E-2"/>
          <c:w val="0.8754127010458822"/>
          <c:h val="0.69131989391378446"/>
        </c:manualLayout>
      </c:layout>
      <c:lineChart>
        <c:grouping val="standard"/>
        <c:varyColors val="0"/>
        <c:ser>
          <c:idx val="0"/>
          <c:order val="0"/>
          <c:spPr>
            <a:ln w="28575" cap="rnd">
              <a:solidFill>
                <a:schemeClr val="accent1"/>
              </a:solidFill>
              <a:round/>
            </a:ln>
            <a:effectLst/>
          </c:spPr>
          <c:marker>
            <c:symbol val="none"/>
          </c:marker>
          <c:dLbls>
            <c:dLbl>
              <c:idx val="86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02-440D-A268-4A4253A07A5A}"/>
                </c:ext>
              </c:extLst>
            </c:dLbl>
            <c:dLbl>
              <c:idx val="371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02-440D-A268-4A4253A07A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Hoja2!$I$2:$I$4055</c:f>
              <c:numCache>
                <c:formatCode>m/d/yyyy</c:formatCode>
                <c:ptCount val="4054"/>
                <c:pt idx="0">
                  <c:v>38518</c:v>
                </c:pt>
                <c:pt idx="1">
                  <c:v>38519</c:v>
                </c:pt>
                <c:pt idx="2">
                  <c:v>38520</c:v>
                </c:pt>
                <c:pt idx="3">
                  <c:v>38523</c:v>
                </c:pt>
                <c:pt idx="4">
                  <c:v>38524</c:v>
                </c:pt>
                <c:pt idx="5">
                  <c:v>38525</c:v>
                </c:pt>
                <c:pt idx="6">
                  <c:v>38526</c:v>
                </c:pt>
                <c:pt idx="7">
                  <c:v>38527</c:v>
                </c:pt>
                <c:pt idx="8">
                  <c:v>38530</c:v>
                </c:pt>
                <c:pt idx="9">
                  <c:v>38531</c:v>
                </c:pt>
                <c:pt idx="10">
                  <c:v>38532</c:v>
                </c:pt>
                <c:pt idx="11">
                  <c:v>38533</c:v>
                </c:pt>
                <c:pt idx="12">
                  <c:v>38534</c:v>
                </c:pt>
                <c:pt idx="13">
                  <c:v>38538</c:v>
                </c:pt>
                <c:pt idx="14">
                  <c:v>38539</c:v>
                </c:pt>
                <c:pt idx="15">
                  <c:v>38540</c:v>
                </c:pt>
                <c:pt idx="16">
                  <c:v>38541</c:v>
                </c:pt>
                <c:pt idx="17">
                  <c:v>38544</c:v>
                </c:pt>
                <c:pt idx="18">
                  <c:v>38545</c:v>
                </c:pt>
                <c:pt idx="19">
                  <c:v>38546</c:v>
                </c:pt>
                <c:pt idx="20">
                  <c:v>38547</c:v>
                </c:pt>
                <c:pt idx="21">
                  <c:v>38548</c:v>
                </c:pt>
                <c:pt idx="22">
                  <c:v>38551</c:v>
                </c:pt>
                <c:pt idx="23">
                  <c:v>38552</c:v>
                </c:pt>
                <c:pt idx="24">
                  <c:v>38553</c:v>
                </c:pt>
                <c:pt idx="25">
                  <c:v>38554</c:v>
                </c:pt>
                <c:pt idx="26">
                  <c:v>38555</c:v>
                </c:pt>
                <c:pt idx="27">
                  <c:v>38558</c:v>
                </c:pt>
                <c:pt idx="28">
                  <c:v>38559</c:v>
                </c:pt>
                <c:pt idx="29">
                  <c:v>38560</c:v>
                </c:pt>
                <c:pt idx="30">
                  <c:v>38561</c:v>
                </c:pt>
                <c:pt idx="31">
                  <c:v>38562</c:v>
                </c:pt>
                <c:pt idx="32">
                  <c:v>38565</c:v>
                </c:pt>
                <c:pt idx="33">
                  <c:v>38566</c:v>
                </c:pt>
                <c:pt idx="34">
                  <c:v>38567</c:v>
                </c:pt>
                <c:pt idx="35">
                  <c:v>38568</c:v>
                </c:pt>
                <c:pt idx="36">
                  <c:v>38569</c:v>
                </c:pt>
                <c:pt idx="37">
                  <c:v>38572</c:v>
                </c:pt>
                <c:pt idx="38">
                  <c:v>38573</c:v>
                </c:pt>
                <c:pt idx="39">
                  <c:v>38574</c:v>
                </c:pt>
                <c:pt idx="40">
                  <c:v>38575</c:v>
                </c:pt>
                <c:pt idx="41">
                  <c:v>38576</c:v>
                </c:pt>
                <c:pt idx="42">
                  <c:v>38579</c:v>
                </c:pt>
                <c:pt idx="43">
                  <c:v>38580</c:v>
                </c:pt>
                <c:pt idx="44">
                  <c:v>38581</c:v>
                </c:pt>
                <c:pt idx="45">
                  <c:v>38582</c:v>
                </c:pt>
                <c:pt idx="46">
                  <c:v>38583</c:v>
                </c:pt>
                <c:pt idx="47">
                  <c:v>38586</c:v>
                </c:pt>
                <c:pt idx="48">
                  <c:v>38587</c:v>
                </c:pt>
                <c:pt idx="49">
                  <c:v>38588</c:v>
                </c:pt>
                <c:pt idx="50">
                  <c:v>38589</c:v>
                </c:pt>
                <c:pt idx="51">
                  <c:v>38590</c:v>
                </c:pt>
                <c:pt idx="52">
                  <c:v>38593</c:v>
                </c:pt>
                <c:pt idx="53">
                  <c:v>38594</c:v>
                </c:pt>
                <c:pt idx="54">
                  <c:v>38595</c:v>
                </c:pt>
                <c:pt idx="55">
                  <c:v>38596</c:v>
                </c:pt>
                <c:pt idx="56">
                  <c:v>38597</c:v>
                </c:pt>
                <c:pt idx="57">
                  <c:v>38601</c:v>
                </c:pt>
                <c:pt idx="58">
                  <c:v>38602</c:v>
                </c:pt>
                <c:pt idx="59">
                  <c:v>38603</c:v>
                </c:pt>
                <c:pt idx="60">
                  <c:v>38604</c:v>
                </c:pt>
                <c:pt idx="61">
                  <c:v>38605</c:v>
                </c:pt>
                <c:pt idx="62">
                  <c:v>38608</c:v>
                </c:pt>
                <c:pt idx="63">
                  <c:v>38609</c:v>
                </c:pt>
                <c:pt idx="64">
                  <c:v>38610</c:v>
                </c:pt>
                <c:pt idx="65">
                  <c:v>38611</c:v>
                </c:pt>
                <c:pt idx="66">
                  <c:v>38614</c:v>
                </c:pt>
                <c:pt idx="67">
                  <c:v>38615</c:v>
                </c:pt>
                <c:pt idx="68">
                  <c:v>38616</c:v>
                </c:pt>
                <c:pt idx="69">
                  <c:v>38617</c:v>
                </c:pt>
                <c:pt idx="70">
                  <c:v>38618</c:v>
                </c:pt>
                <c:pt idx="71">
                  <c:v>38621</c:v>
                </c:pt>
                <c:pt idx="72">
                  <c:v>38622</c:v>
                </c:pt>
                <c:pt idx="73">
                  <c:v>38623</c:v>
                </c:pt>
                <c:pt idx="74">
                  <c:v>38624</c:v>
                </c:pt>
                <c:pt idx="75">
                  <c:v>38625</c:v>
                </c:pt>
                <c:pt idx="76">
                  <c:v>38628</c:v>
                </c:pt>
                <c:pt idx="77">
                  <c:v>38629</c:v>
                </c:pt>
                <c:pt idx="78">
                  <c:v>38630</c:v>
                </c:pt>
                <c:pt idx="79">
                  <c:v>38631</c:v>
                </c:pt>
                <c:pt idx="80">
                  <c:v>38632</c:v>
                </c:pt>
                <c:pt idx="81">
                  <c:v>38635</c:v>
                </c:pt>
                <c:pt idx="82">
                  <c:v>38636</c:v>
                </c:pt>
                <c:pt idx="83">
                  <c:v>38637</c:v>
                </c:pt>
                <c:pt idx="84">
                  <c:v>38638</c:v>
                </c:pt>
                <c:pt idx="85">
                  <c:v>38639</c:v>
                </c:pt>
                <c:pt idx="86">
                  <c:v>38642</c:v>
                </c:pt>
                <c:pt idx="87">
                  <c:v>38643</c:v>
                </c:pt>
                <c:pt idx="88">
                  <c:v>38644</c:v>
                </c:pt>
                <c:pt idx="89">
                  <c:v>38645</c:v>
                </c:pt>
                <c:pt idx="90">
                  <c:v>38646</c:v>
                </c:pt>
                <c:pt idx="91">
                  <c:v>38649</c:v>
                </c:pt>
                <c:pt idx="92">
                  <c:v>38650</c:v>
                </c:pt>
                <c:pt idx="93">
                  <c:v>38651</c:v>
                </c:pt>
                <c:pt idx="94">
                  <c:v>38652</c:v>
                </c:pt>
                <c:pt idx="95">
                  <c:v>38653</c:v>
                </c:pt>
                <c:pt idx="96">
                  <c:v>38656</c:v>
                </c:pt>
                <c:pt idx="97">
                  <c:v>38657</c:v>
                </c:pt>
                <c:pt idx="98">
                  <c:v>38658</c:v>
                </c:pt>
                <c:pt idx="99">
                  <c:v>38659</c:v>
                </c:pt>
                <c:pt idx="100">
                  <c:v>38660</c:v>
                </c:pt>
                <c:pt idx="101">
                  <c:v>38663</c:v>
                </c:pt>
                <c:pt idx="102">
                  <c:v>38664</c:v>
                </c:pt>
                <c:pt idx="103">
                  <c:v>38665</c:v>
                </c:pt>
                <c:pt idx="104">
                  <c:v>38666</c:v>
                </c:pt>
                <c:pt idx="105">
                  <c:v>38667</c:v>
                </c:pt>
                <c:pt idx="106">
                  <c:v>38670</c:v>
                </c:pt>
                <c:pt idx="107">
                  <c:v>38671</c:v>
                </c:pt>
                <c:pt idx="108">
                  <c:v>38672</c:v>
                </c:pt>
                <c:pt idx="109">
                  <c:v>38673</c:v>
                </c:pt>
                <c:pt idx="110">
                  <c:v>38674</c:v>
                </c:pt>
                <c:pt idx="111">
                  <c:v>38677</c:v>
                </c:pt>
                <c:pt idx="112">
                  <c:v>38678</c:v>
                </c:pt>
                <c:pt idx="113">
                  <c:v>38679</c:v>
                </c:pt>
                <c:pt idx="114">
                  <c:v>38680</c:v>
                </c:pt>
                <c:pt idx="115">
                  <c:v>38681</c:v>
                </c:pt>
                <c:pt idx="116">
                  <c:v>38685</c:v>
                </c:pt>
                <c:pt idx="117">
                  <c:v>38686</c:v>
                </c:pt>
                <c:pt idx="118">
                  <c:v>38687</c:v>
                </c:pt>
                <c:pt idx="119">
                  <c:v>38688</c:v>
                </c:pt>
                <c:pt idx="120">
                  <c:v>38689</c:v>
                </c:pt>
                <c:pt idx="121">
                  <c:v>38692</c:v>
                </c:pt>
                <c:pt idx="122">
                  <c:v>38693</c:v>
                </c:pt>
                <c:pt idx="123">
                  <c:v>38694</c:v>
                </c:pt>
                <c:pt idx="124">
                  <c:v>38695</c:v>
                </c:pt>
                <c:pt idx="125">
                  <c:v>38698</c:v>
                </c:pt>
                <c:pt idx="126">
                  <c:v>38699</c:v>
                </c:pt>
                <c:pt idx="127">
                  <c:v>38700</c:v>
                </c:pt>
                <c:pt idx="128">
                  <c:v>38701</c:v>
                </c:pt>
                <c:pt idx="129">
                  <c:v>38702</c:v>
                </c:pt>
                <c:pt idx="130">
                  <c:v>38705</c:v>
                </c:pt>
                <c:pt idx="131">
                  <c:v>38706</c:v>
                </c:pt>
                <c:pt idx="132">
                  <c:v>38707</c:v>
                </c:pt>
                <c:pt idx="133">
                  <c:v>38708</c:v>
                </c:pt>
                <c:pt idx="134">
                  <c:v>38709</c:v>
                </c:pt>
                <c:pt idx="135">
                  <c:v>38713</c:v>
                </c:pt>
                <c:pt idx="136">
                  <c:v>38714</c:v>
                </c:pt>
                <c:pt idx="137">
                  <c:v>38715</c:v>
                </c:pt>
                <c:pt idx="138">
                  <c:v>38716</c:v>
                </c:pt>
                <c:pt idx="139">
                  <c:v>38355</c:v>
                </c:pt>
                <c:pt idx="140">
                  <c:v>38356</c:v>
                </c:pt>
                <c:pt idx="141">
                  <c:v>38357</c:v>
                </c:pt>
                <c:pt idx="142">
                  <c:v>38358</c:v>
                </c:pt>
                <c:pt idx="143">
                  <c:v>38726</c:v>
                </c:pt>
                <c:pt idx="144">
                  <c:v>38727</c:v>
                </c:pt>
                <c:pt idx="145">
                  <c:v>38728</c:v>
                </c:pt>
                <c:pt idx="146">
                  <c:v>38729</c:v>
                </c:pt>
                <c:pt idx="147">
                  <c:v>38730</c:v>
                </c:pt>
                <c:pt idx="148">
                  <c:v>38734</c:v>
                </c:pt>
                <c:pt idx="149">
                  <c:v>38735</c:v>
                </c:pt>
                <c:pt idx="150">
                  <c:v>38736</c:v>
                </c:pt>
                <c:pt idx="151">
                  <c:v>38737</c:v>
                </c:pt>
                <c:pt idx="152">
                  <c:v>38738</c:v>
                </c:pt>
                <c:pt idx="153">
                  <c:v>38741</c:v>
                </c:pt>
                <c:pt idx="154">
                  <c:v>38742</c:v>
                </c:pt>
                <c:pt idx="155">
                  <c:v>38743</c:v>
                </c:pt>
                <c:pt idx="156">
                  <c:v>38744</c:v>
                </c:pt>
                <c:pt idx="157">
                  <c:v>38747</c:v>
                </c:pt>
                <c:pt idx="158">
                  <c:v>38748</c:v>
                </c:pt>
                <c:pt idx="159">
                  <c:v>38749</c:v>
                </c:pt>
                <c:pt idx="160">
                  <c:v>38750</c:v>
                </c:pt>
                <c:pt idx="161">
                  <c:v>38751</c:v>
                </c:pt>
                <c:pt idx="162">
                  <c:v>38754</c:v>
                </c:pt>
                <c:pt idx="163">
                  <c:v>38755</c:v>
                </c:pt>
                <c:pt idx="164">
                  <c:v>38756</c:v>
                </c:pt>
                <c:pt idx="165">
                  <c:v>38757</c:v>
                </c:pt>
                <c:pt idx="166">
                  <c:v>38758</c:v>
                </c:pt>
                <c:pt idx="167">
                  <c:v>38761</c:v>
                </c:pt>
                <c:pt idx="168">
                  <c:v>38762</c:v>
                </c:pt>
                <c:pt idx="169">
                  <c:v>38763</c:v>
                </c:pt>
                <c:pt idx="170">
                  <c:v>38764</c:v>
                </c:pt>
                <c:pt idx="171">
                  <c:v>38765</c:v>
                </c:pt>
                <c:pt idx="172">
                  <c:v>38769</c:v>
                </c:pt>
                <c:pt idx="173">
                  <c:v>38770</c:v>
                </c:pt>
                <c:pt idx="174">
                  <c:v>38771</c:v>
                </c:pt>
                <c:pt idx="175">
                  <c:v>38772</c:v>
                </c:pt>
                <c:pt idx="176">
                  <c:v>38775</c:v>
                </c:pt>
                <c:pt idx="177">
                  <c:v>38776</c:v>
                </c:pt>
                <c:pt idx="178">
                  <c:v>38777</c:v>
                </c:pt>
                <c:pt idx="179">
                  <c:v>38778</c:v>
                </c:pt>
                <c:pt idx="180">
                  <c:v>38779</c:v>
                </c:pt>
                <c:pt idx="181">
                  <c:v>38782</c:v>
                </c:pt>
                <c:pt idx="182">
                  <c:v>38783</c:v>
                </c:pt>
                <c:pt idx="183">
                  <c:v>38784</c:v>
                </c:pt>
                <c:pt idx="184">
                  <c:v>38785</c:v>
                </c:pt>
                <c:pt idx="185">
                  <c:v>38786</c:v>
                </c:pt>
                <c:pt idx="186">
                  <c:v>38789</c:v>
                </c:pt>
                <c:pt idx="187">
                  <c:v>38790</c:v>
                </c:pt>
                <c:pt idx="188">
                  <c:v>38791</c:v>
                </c:pt>
                <c:pt idx="189">
                  <c:v>38792</c:v>
                </c:pt>
                <c:pt idx="190">
                  <c:v>38793</c:v>
                </c:pt>
                <c:pt idx="191">
                  <c:v>38796</c:v>
                </c:pt>
                <c:pt idx="192">
                  <c:v>38797</c:v>
                </c:pt>
                <c:pt idx="193">
                  <c:v>38798</c:v>
                </c:pt>
                <c:pt idx="194">
                  <c:v>38799</c:v>
                </c:pt>
                <c:pt idx="195">
                  <c:v>38800</c:v>
                </c:pt>
                <c:pt idx="196">
                  <c:v>38803</c:v>
                </c:pt>
                <c:pt idx="197">
                  <c:v>38804</c:v>
                </c:pt>
                <c:pt idx="198">
                  <c:v>38805</c:v>
                </c:pt>
                <c:pt idx="199">
                  <c:v>38806</c:v>
                </c:pt>
                <c:pt idx="200">
                  <c:v>38807</c:v>
                </c:pt>
                <c:pt idx="201">
                  <c:v>38810</c:v>
                </c:pt>
                <c:pt idx="202">
                  <c:v>38811</c:v>
                </c:pt>
                <c:pt idx="203">
                  <c:v>38812</c:v>
                </c:pt>
                <c:pt idx="204">
                  <c:v>38813</c:v>
                </c:pt>
                <c:pt idx="205">
                  <c:v>38814</c:v>
                </c:pt>
                <c:pt idx="206">
                  <c:v>38817</c:v>
                </c:pt>
                <c:pt idx="207">
                  <c:v>38818</c:v>
                </c:pt>
                <c:pt idx="208">
                  <c:v>38819</c:v>
                </c:pt>
                <c:pt idx="209">
                  <c:v>38820</c:v>
                </c:pt>
                <c:pt idx="210">
                  <c:v>38824</c:v>
                </c:pt>
                <c:pt idx="211">
                  <c:v>38825</c:v>
                </c:pt>
                <c:pt idx="212">
                  <c:v>38826</c:v>
                </c:pt>
                <c:pt idx="213">
                  <c:v>38827</c:v>
                </c:pt>
                <c:pt idx="214">
                  <c:v>38828</c:v>
                </c:pt>
                <c:pt idx="215">
                  <c:v>38831</c:v>
                </c:pt>
                <c:pt idx="216">
                  <c:v>38832</c:v>
                </c:pt>
                <c:pt idx="217">
                  <c:v>38833</c:v>
                </c:pt>
                <c:pt idx="218">
                  <c:v>38834</c:v>
                </c:pt>
                <c:pt idx="219">
                  <c:v>38835</c:v>
                </c:pt>
                <c:pt idx="220">
                  <c:v>38838</c:v>
                </c:pt>
                <c:pt idx="221">
                  <c:v>38839</c:v>
                </c:pt>
                <c:pt idx="222">
                  <c:v>38840</c:v>
                </c:pt>
                <c:pt idx="223">
                  <c:v>38841</c:v>
                </c:pt>
                <c:pt idx="224">
                  <c:v>38842</c:v>
                </c:pt>
                <c:pt idx="225">
                  <c:v>38845</c:v>
                </c:pt>
                <c:pt idx="226">
                  <c:v>38846</c:v>
                </c:pt>
                <c:pt idx="227">
                  <c:v>38847</c:v>
                </c:pt>
                <c:pt idx="228">
                  <c:v>38848</c:v>
                </c:pt>
                <c:pt idx="229">
                  <c:v>38849</c:v>
                </c:pt>
                <c:pt idx="230">
                  <c:v>38852</c:v>
                </c:pt>
                <c:pt idx="231">
                  <c:v>38853</c:v>
                </c:pt>
                <c:pt idx="232">
                  <c:v>38854</c:v>
                </c:pt>
                <c:pt idx="233">
                  <c:v>38855</c:v>
                </c:pt>
                <c:pt idx="234">
                  <c:v>38856</c:v>
                </c:pt>
                <c:pt idx="235">
                  <c:v>38859</c:v>
                </c:pt>
                <c:pt idx="236">
                  <c:v>38860</c:v>
                </c:pt>
                <c:pt idx="237">
                  <c:v>38861</c:v>
                </c:pt>
                <c:pt idx="238">
                  <c:v>38862</c:v>
                </c:pt>
                <c:pt idx="239">
                  <c:v>38863</c:v>
                </c:pt>
                <c:pt idx="240">
                  <c:v>38867</c:v>
                </c:pt>
                <c:pt idx="241">
                  <c:v>38868</c:v>
                </c:pt>
                <c:pt idx="242">
                  <c:v>38869</c:v>
                </c:pt>
                <c:pt idx="243">
                  <c:v>38870</c:v>
                </c:pt>
                <c:pt idx="244">
                  <c:v>38873</c:v>
                </c:pt>
                <c:pt idx="245">
                  <c:v>38874</c:v>
                </c:pt>
                <c:pt idx="246">
                  <c:v>38875</c:v>
                </c:pt>
                <c:pt idx="247">
                  <c:v>38876</c:v>
                </c:pt>
                <c:pt idx="248">
                  <c:v>38877</c:v>
                </c:pt>
                <c:pt idx="249">
                  <c:v>38880</c:v>
                </c:pt>
                <c:pt idx="250">
                  <c:v>38881</c:v>
                </c:pt>
                <c:pt idx="251">
                  <c:v>38882</c:v>
                </c:pt>
                <c:pt idx="252">
                  <c:v>38883</c:v>
                </c:pt>
                <c:pt idx="253">
                  <c:v>38884</c:v>
                </c:pt>
                <c:pt idx="254">
                  <c:v>38887</c:v>
                </c:pt>
                <c:pt idx="255">
                  <c:v>38888</c:v>
                </c:pt>
                <c:pt idx="256">
                  <c:v>38889</c:v>
                </c:pt>
                <c:pt idx="257">
                  <c:v>38890</c:v>
                </c:pt>
                <c:pt idx="258">
                  <c:v>38891</c:v>
                </c:pt>
                <c:pt idx="259">
                  <c:v>38894</c:v>
                </c:pt>
                <c:pt idx="260">
                  <c:v>38895</c:v>
                </c:pt>
                <c:pt idx="261">
                  <c:v>38896</c:v>
                </c:pt>
                <c:pt idx="262">
                  <c:v>38897</c:v>
                </c:pt>
                <c:pt idx="263">
                  <c:v>38898</c:v>
                </c:pt>
                <c:pt idx="264">
                  <c:v>38901</c:v>
                </c:pt>
                <c:pt idx="265">
                  <c:v>38902</c:v>
                </c:pt>
                <c:pt idx="266">
                  <c:v>38903</c:v>
                </c:pt>
                <c:pt idx="267">
                  <c:v>38905</c:v>
                </c:pt>
                <c:pt idx="268">
                  <c:v>38906</c:v>
                </c:pt>
                <c:pt idx="269">
                  <c:v>38907</c:v>
                </c:pt>
                <c:pt idx="270">
                  <c:v>38910</c:v>
                </c:pt>
                <c:pt idx="271">
                  <c:v>38911</c:v>
                </c:pt>
                <c:pt idx="272">
                  <c:v>38912</c:v>
                </c:pt>
                <c:pt idx="273">
                  <c:v>38915</c:v>
                </c:pt>
                <c:pt idx="274">
                  <c:v>38916</c:v>
                </c:pt>
                <c:pt idx="275">
                  <c:v>38917</c:v>
                </c:pt>
                <c:pt idx="276">
                  <c:v>38918</c:v>
                </c:pt>
                <c:pt idx="277">
                  <c:v>38919</c:v>
                </c:pt>
                <c:pt idx="278">
                  <c:v>38922</c:v>
                </c:pt>
                <c:pt idx="279">
                  <c:v>38923</c:v>
                </c:pt>
                <c:pt idx="280">
                  <c:v>38924</c:v>
                </c:pt>
                <c:pt idx="281">
                  <c:v>38925</c:v>
                </c:pt>
                <c:pt idx="282">
                  <c:v>38926</c:v>
                </c:pt>
                <c:pt idx="283">
                  <c:v>38929</c:v>
                </c:pt>
                <c:pt idx="284">
                  <c:v>38930</c:v>
                </c:pt>
                <c:pt idx="285">
                  <c:v>38931</c:v>
                </c:pt>
                <c:pt idx="286">
                  <c:v>38932</c:v>
                </c:pt>
                <c:pt idx="287">
                  <c:v>38933</c:v>
                </c:pt>
                <c:pt idx="288">
                  <c:v>38936</c:v>
                </c:pt>
                <c:pt idx="289">
                  <c:v>38937</c:v>
                </c:pt>
                <c:pt idx="290">
                  <c:v>38938</c:v>
                </c:pt>
                <c:pt idx="291">
                  <c:v>38939</c:v>
                </c:pt>
                <c:pt idx="292">
                  <c:v>38940</c:v>
                </c:pt>
                <c:pt idx="293">
                  <c:v>38943</c:v>
                </c:pt>
                <c:pt idx="294">
                  <c:v>38944</c:v>
                </c:pt>
                <c:pt idx="295">
                  <c:v>38945</c:v>
                </c:pt>
                <c:pt idx="296">
                  <c:v>38946</c:v>
                </c:pt>
                <c:pt idx="297">
                  <c:v>38947</c:v>
                </c:pt>
                <c:pt idx="298">
                  <c:v>38950</c:v>
                </c:pt>
                <c:pt idx="299">
                  <c:v>38951</c:v>
                </c:pt>
                <c:pt idx="300">
                  <c:v>38952</c:v>
                </c:pt>
                <c:pt idx="301">
                  <c:v>38953</c:v>
                </c:pt>
                <c:pt idx="302">
                  <c:v>38954</c:v>
                </c:pt>
                <c:pt idx="303">
                  <c:v>38957</c:v>
                </c:pt>
                <c:pt idx="304">
                  <c:v>38958</c:v>
                </c:pt>
                <c:pt idx="305">
                  <c:v>38959</c:v>
                </c:pt>
                <c:pt idx="306">
                  <c:v>38960</c:v>
                </c:pt>
                <c:pt idx="307">
                  <c:v>38961</c:v>
                </c:pt>
                <c:pt idx="308">
                  <c:v>38965</c:v>
                </c:pt>
                <c:pt idx="309">
                  <c:v>38966</c:v>
                </c:pt>
                <c:pt idx="310">
                  <c:v>38967</c:v>
                </c:pt>
                <c:pt idx="311">
                  <c:v>38968</c:v>
                </c:pt>
                <c:pt idx="312">
                  <c:v>38971</c:v>
                </c:pt>
                <c:pt idx="313">
                  <c:v>38972</c:v>
                </c:pt>
                <c:pt idx="314">
                  <c:v>38973</c:v>
                </c:pt>
                <c:pt idx="315">
                  <c:v>38974</c:v>
                </c:pt>
                <c:pt idx="316">
                  <c:v>38975</c:v>
                </c:pt>
                <c:pt idx="317">
                  <c:v>38978</c:v>
                </c:pt>
                <c:pt idx="318">
                  <c:v>38979</c:v>
                </c:pt>
                <c:pt idx="319">
                  <c:v>38980</c:v>
                </c:pt>
                <c:pt idx="320">
                  <c:v>38981</c:v>
                </c:pt>
                <c:pt idx="321">
                  <c:v>38982</c:v>
                </c:pt>
                <c:pt idx="322">
                  <c:v>38985</c:v>
                </c:pt>
                <c:pt idx="323">
                  <c:v>38986</c:v>
                </c:pt>
                <c:pt idx="324">
                  <c:v>38987</c:v>
                </c:pt>
                <c:pt idx="325">
                  <c:v>38988</c:v>
                </c:pt>
                <c:pt idx="326">
                  <c:v>38989</c:v>
                </c:pt>
                <c:pt idx="327">
                  <c:v>38992</c:v>
                </c:pt>
                <c:pt idx="328">
                  <c:v>38993</c:v>
                </c:pt>
                <c:pt idx="329">
                  <c:v>38994</c:v>
                </c:pt>
                <c:pt idx="330">
                  <c:v>38995</c:v>
                </c:pt>
                <c:pt idx="331">
                  <c:v>38996</c:v>
                </c:pt>
                <c:pt idx="332">
                  <c:v>38999</c:v>
                </c:pt>
                <c:pt idx="333">
                  <c:v>39000</c:v>
                </c:pt>
                <c:pt idx="334">
                  <c:v>39001</c:v>
                </c:pt>
                <c:pt idx="335">
                  <c:v>39002</c:v>
                </c:pt>
                <c:pt idx="336">
                  <c:v>39003</c:v>
                </c:pt>
                <c:pt idx="337">
                  <c:v>39006</c:v>
                </c:pt>
                <c:pt idx="338">
                  <c:v>39007</c:v>
                </c:pt>
                <c:pt idx="339">
                  <c:v>39008</c:v>
                </c:pt>
                <c:pt idx="340">
                  <c:v>39009</c:v>
                </c:pt>
                <c:pt idx="341">
                  <c:v>39010</c:v>
                </c:pt>
                <c:pt idx="342">
                  <c:v>39013</c:v>
                </c:pt>
                <c:pt idx="343">
                  <c:v>39014</c:v>
                </c:pt>
                <c:pt idx="344">
                  <c:v>39015</c:v>
                </c:pt>
                <c:pt idx="345">
                  <c:v>39016</c:v>
                </c:pt>
                <c:pt idx="346">
                  <c:v>39017</c:v>
                </c:pt>
                <c:pt idx="347">
                  <c:v>39018</c:v>
                </c:pt>
                <c:pt idx="348">
                  <c:v>39021</c:v>
                </c:pt>
                <c:pt idx="349">
                  <c:v>39022</c:v>
                </c:pt>
                <c:pt idx="350">
                  <c:v>39023</c:v>
                </c:pt>
                <c:pt idx="351">
                  <c:v>39024</c:v>
                </c:pt>
                <c:pt idx="352">
                  <c:v>39025</c:v>
                </c:pt>
                <c:pt idx="353">
                  <c:v>39028</c:v>
                </c:pt>
                <c:pt idx="354">
                  <c:v>39029</c:v>
                </c:pt>
                <c:pt idx="355">
                  <c:v>39030</c:v>
                </c:pt>
                <c:pt idx="356">
                  <c:v>39031</c:v>
                </c:pt>
                <c:pt idx="357">
                  <c:v>39032</c:v>
                </c:pt>
                <c:pt idx="358">
                  <c:v>39033</c:v>
                </c:pt>
                <c:pt idx="359">
                  <c:v>39036</c:v>
                </c:pt>
                <c:pt idx="360">
                  <c:v>39037</c:v>
                </c:pt>
                <c:pt idx="361">
                  <c:v>39038</c:v>
                </c:pt>
                <c:pt idx="362">
                  <c:v>39039</c:v>
                </c:pt>
                <c:pt idx="363">
                  <c:v>39040</c:v>
                </c:pt>
                <c:pt idx="364">
                  <c:v>39043</c:v>
                </c:pt>
                <c:pt idx="365">
                  <c:v>39044</c:v>
                </c:pt>
                <c:pt idx="366">
                  <c:v>39045</c:v>
                </c:pt>
                <c:pt idx="367">
                  <c:v>39046</c:v>
                </c:pt>
                <c:pt idx="368">
                  <c:v>39047</c:v>
                </c:pt>
                <c:pt idx="369">
                  <c:v>39048</c:v>
                </c:pt>
                <c:pt idx="370">
                  <c:v>39052</c:v>
                </c:pt>
                <c:pt idx="371">
                  <c:v>39053</c:v>
                </c:pt>
                <c:pt idx="372">
                  <c:v>39054</c:v>
                </c:pt>
                <c:pt idx="373">
                  <c:v>39055</c:v>
                </c:pt>
                <c:pt idx="374">
                  <c:v>39056</c:v>
                </c:pt>
                <c:pt idx="375">
                  <c:v>39059</c:v>
                </c:pt>
                <c:pt idx="376">
                  <c:v>39062</c:v>
                </c:pt>
                <c:pt idx="377">
                  <c:v>39063</c:v>
                </c:pt>
                <c:pt idx="378">
                  <c:v>39064</c:v>
                </c:pt>
                <c:pt idx="379">
                  <c:v>39065</c:v>
                </c:pt>
                <c:pt idx="380">
                  <c:v>39066</c:v>
                </c:pt>
                <c:pt idx="381">
                  <c:v>39069</c:v>
                </c:pt>
                <c:pt idx="382">
                  <c:v>39070</c:v>
                </c:pt>
                <c:pt idx="383">
                  <c:v>39071</c:v>
                </c:pt>
                <c:pt idx="384">
                  <c:v>39072</c:v>
                </c:pt>
                <c:pt idx="385">
                  <c:v>39073</c:v>
                </c:pt>
                <c:pt idx="386">
                  <c:v>39076</c:v>
                </c:pt>
                <c:pt idx="387">
                  <c:v>39078</c:v>
                </c:pt>
                <c:pt idx="388">
                  <c:v>39079</c:v>
                </c:pt>
                <c:pt idx="389">
                  <c:v>39080</c:v>
                </c:pt>
                <c:pt idx="390">
                  <c:v>39085</c:v>
                </c:pt>
                <c:pt idx="391">
                  <c:v>39086</c:v>
                </c:pt>
                <c:pt idx="392">
                  <c:v>39089</c:v>
                </c:pt>
                <c:pt idx="393">
                  <c:v>39090</c:v>
                </c:pt>
                <c:pt idx="394">
                  <c:v>39091</c:v>
                </c:pt>
                <c:pt idx="395">
                  <c:v>39092</c:v>
                </c:pt>
                <c:pt idx="396">
                  <c:v>39093</c:v>
                </c:pt>
                <c:pt idx="397">
                  <c:v>39096</c:v>
                </c:pt>
                <c:pt idx="398">
                  <c:v>39098</c:v>
                </c:pt>
                <c:pt idx="399">
                  <c:v>39099</c:v>
                </c:pt>
                <c:pt idx="400">
                  <c:v>39100</c:v>
                </c:pt>
                <c:pt idx="401">
                  <c:v>39101</c:v>
                </c:pt>
                <c:pt idx="402">
                  <c:v>39102</c:v>
                </c:pt>
                <c:pt idx="403">
                  <c:v>39105</c:v>
                </c:pt>
                <c:pt idx="404">
                  <c:v>39106</c:v>
                </c:pt>
                <c:pt idx="405">
                  <c:v>39107</c:v>
                </c:pt>
                <c:pt idx="406">
                  <c:v>39108</c:v>
                </c:pt>
                <c:pt idx="407">
                  <c:v>39109</c:v>
                </c:pt>
                <c:pt idx="408">
                  <c:v>39112</c:v>
                </c:pt>
                <c:pt idx="409">
                  <c:v>39113</c:v>
                </c:pt>
                <c:pt idx="410">
                  <c:v>39114</c:v>
                </c:pt>
                <c:pt idx="411">
                  <c:v>39115</c:v>
                </c:pt>
                <c:pt idx="412">
                  <c:v>39116</c:v>
                </c:pt>
                <c:pt idx="413">
                  <c:v>39117</c:v>
                </c:pt>
                <c:pt idx="414">
                  <c:v>39120</c:v>
                </c:pt>
                <c:pt idx="415">
                  <c:v>39121</c:v>
                </c:pt>
                <c:pt idx="416">
                  <c:v>39122</c:v>
                </c:pt>
                <c:pt idx="417">
                  <c:v>39123</c:v>
                </c:pt>
                <c:pt idx="418">
                  <c:v>39124</c:v>
                </c:pt>
                <c:pt idx="419">
                  <c:v>39127</c:v>
                </c:pt>
                <c:pt idx="420">
                  <c:v>39128</c:v>
                </c:pt>
                <c:pt idx="421">
                  <c:v>39129</c:v>
                </c:pt>
                <c:pt idx="422">
                  <c:v>39133</c:v>
                </c:pt>
                <c:pt idx="423">
                  <c:v>39134</c:v>
                </c:pt>
                <c:pt idx="424">
                  <c:v>39135</c:v>
                </c:pt>
                <c:pt idx="425">
                  <c:v>39138</c:v>
                </c:pt>
                <c:pt idx="426">
                  <c:v>39139</c:v>
                </c:pt>
                <c:pt idx="427">
                  <c:v>39140</c:v>
                </c:pt>
                <c:pt idx="428">
                  <c:v>39141</c:v>
                </c:pt>
                <c:pt idx="429">
                  <c:v>39142</c:v>
                </c:pt>
                <c:pt idx="430">
                  <c:v>39145</c:v>
                </c:pt>
                <c:pt idx="431">
                  <c:v>39146</c:v>
                </c:pt>
                <c:pt idx="432">
                  <c:v>39147</c:v>
                </c:pt>
                <c:pt idx="433">
                  <c:v>39148</c:v>
                </c:pt>
                <c:pt idx="434">
                  <c:v>39149</c:v>
                </c:pt>
                <c:pt idx="435">
                  <c:v>39150</c:v>
                </c:pt>
                <c:pt idx="436">
                  <c:v>39153</c:v>
                </c:pt>
                <c:pt idx="437">
                  <c:v>39154</c:v>
                </c:pt>
                <c:pt idx="438">
                  <c:v>39155</c:v>
                </c:pt>
                <c:pt idx="439">
                  <c:v>39156</c:v>
                </c:pt>
                <c:pt idx="440">
                  <c:v>39157</c:v>
                </c:pt>
                <c:pt idx="441">
                  <c:v>39160</c:v>
                </c:pt>
                <c:pt idx="442">
                  <c:v>39161</c:v>
                </c:pt>
                <c:pt idx="443">
                  <c:v>39162</c:v>
                </c:pt>
                <c:pt idx="444">
                  <c:v>39163</c:v>
                </c:pt>
                <c:pt idx="445">
                  <c:v>39164</c:v>
                </c:pt>
                <c:pt idx="446">
                  <c:v>39165</c:v>
                </c:pt>
                <c:pt idx="447">
                  <c:v>39168</c:v>
                </c:pt>
                <c:pt idx="448">
                  <c:v>39169</c:v>
                </c:pt>
                <c:pt idx="449">
                  <c:v>39170</c:v>
                </c:pt>
                <c:pt idx="450">
                  <c:v>39171</c:v>
                </c:pt>
                <c:pt idx="451">
                  <c:v>39172</c:v>
                </c:pt>
                <c:pt idx="452">
                  <c:v>39175</c:v>
                </c:pt>
                <c:pt idx="453">
                  <c:v>39176</c:v>
                </c:pt>
                <c:pt idx="454">
                  <c:v>39177</c:v>
                </c:pt>
                <c:pt idx="455">
                  <c:v>39178</c:v>
                </c:pt>
                <c:pt idx="456">
                  <c:v>39179</c:v>
                </c:pt>
                <c:pt idx="457">
                  <c:v>39180</c:v>
                </c:pt>
                <c:pt idx="458">
                  <c:v>39183</c:v>
                </c:pt>
                <c:pt idx="459">
                  <c:v>39184</c:v>
                </c:pt>
                <c:pt idx="460">
                  <c:v>39185</c:v>
                </c:pt>
                <c:pt idx="461">
                  <c:v>39186</c:v>
                </c:pt>
                <c:pt idx="462">
                  <c:v>39187</c:v>
                </c:pt>
                <c:pt idx="463">
                  <c:v>39190</c:v>
                </c:pt>
                <c:pt idx="464">
                  <c:v>39192</c:v>
                </c:pt>
                <c:pt idx="465">
                  <c:v>39193</c:v>
                </c:pt>
                <c:pt idx="466">
                  <c:v>39194</c:v>
                </c:pt>
                <c:pt idx="467">
                  <c:v>39195</c:v>
                </c:pt>
                <c:pt idx="468">
                  <c:v>39198</c:v>
                </c:pt>
                <c:pt idx="469">
                  <c:v>39201</c:v>
                </c:pt>
                <c:pt idx="470">
                  <c:v>39202</c:v>
                </c:pt>
                <c:pt idx="471">
                  <c:v>39203</c:v>
                </c:pt>
                <c:pt idx="472">
                  <c:v>39204</c:v>
                </c:pt>
                <c:pt idx="473">
                  <c:v>39205</c:v>
                </c:pt>
                <c:pt idx="474">
                  <c:v>39208</c:v>
                </c:pt>
                <c:pt idx="475">
                  <c:v>39209</c:v>
                </c:pt>
                <c:pt idx="476">
                  <c:v>39210</c:v>
                </c:pt>
                <c:pt idx="477">
                  <c:v>39211</c:v>
                </c:pt>
                <c:pt idx="478">
                  <c:v>39212</c:v>
                </c:pt>
                <c:pt idx="479">
                  <c:v>39213</c:v>
                </c:pt>
                <c:pt idx="480">
                  <c:v>39216</c:v>
                </c:pt>
                <c:pt idx="481">
                  <c:v>39217</c:v>
                </c:pt>
                <c:pt idx="482">
                  <c:v>39218</c:v>
                </c:pt>
                <c:pt idx="483">
                  <c:v>39219</c:v>
                </c:pt>
                <c:pt idx="484">
                  <c:v>39220</c:v>
                </c:pt>
                <c:pt idx="485">
                  <c:v>39223</c:v>
                </c:pt>
                <c:pt idx="486">
                  <c:v>39224</c:v>
                </c:pt>
                <c:pt idx="487">
                  <c:v>39225</c:v>
                </c:pt>
                <c:pt idx="488">
                  <c:v>39226</c:v>
                </c:pt>
                <c:pt idx="489">
                  <c:v>39227</c:v>
                </c:pt>
                <c:pt idx="490">
                  <c:v>39228</c:v>
                </c:pt>
                <c:pt idx="491">
                  <c:v>39231</c:v>
                </c:pt>
                <c:pt idx="492">
                  <c:v>39232</c:v>
                </c:pt>
                <c:pt idx="493">
                  <c:v>39234</c:v>
                </c:pt>
                <c:pt idx="494">
                  <c:v>39237</c:v>
                </c:pt>
                <c:pt idx="495">
                  <c:v>39238</c:v>
                </c:pt>
                <c:pt idx="496">
                  <c:v>39241</c:v>
                </c:pt>
                <c:pt idx="497">
                  <c:v>39242</c:v>
                </c:pt>
                <c:pt idx="498">
                  <c:v>39243</c:v>
                </c:pt>
                <c:pt idx="499">
                  <c:v>39244</c:v>
                </c:pt>
                <c:pt idx="500">
                  <c:v>39245</c:v>
                </c:pt>
                <c:pt idx="501">
                  <c:v>39246</c:v>
                </c:pt>
                <c:pt idx="502">
                  <c:v>39249</c:v>
                </c:pt>
                <c:pt idx="503">
                  <c:v>39250</c:v>
                </c:pt>
                <c:pt idx="504">
                  <c:v>39251</c:v>
                </c:pt>
                <c:pt idx="505">
                  <c:v>39252</c:v>
                </c:pt>
                <c:pt idx="506">
                  <c:v>39253</c:v>
                </c:pt>
                <c:pt idx="507">
                  <c:v>39256</c:v>
                </c:pt>
                <c:pt idx="508">
                  <c:v>39257</c:v>
                </c:pt>
                <c:pt idx="509">
                  <c:v>39258</c:v>
                </c:pt>
                <c:pt idx="510">
                  <c:v>39259</c:v>
                </c:pt>
                <c:pt idx="511">
                  <c:v>39260</c:v>
                </c:pt>
                <c:pt idx="512">
                  <c:v>39261</c:v>
                </c:pt>
                <c:pt idx="513">
                  <c:v>39264</c:v>
                </c:pt>
                <c:pt idx="514">
                  <c:v>39265</c:v>
                </c:pt>
                <c:pt idx="515">
                  <c:v>39266</c:v>
                </c:pt>
                <c:pt idx="516">
                  <c:v>39267</c:v>
                </c:pt>
                <c:pt idx="517">
                  <c:v>39268</c:v>
                </c:pt>
                <c:pt idx="518">
                  <c:v>39271</c:v>
                </c:pt>
                <c:pt idx="519">
                  <c:v>39272</c:v>
                </c:pt>
                <c:pt idx="520">
                  <c:v>39273</c:v>
                </c:pt>
                <c:pt idx="521">
                  <c:v>39274</c:v>
                </c:pt>
                <c:pt idx="522">
                  <c:v>39275</c:v>
                </c:pt>
                <c:pt idx="523">
                  <c:v>39276</c:v>
                </c:pt>
                <c:pt idx="524">
                  <c:v>39279</c:v>
                </c:pt>
                <c:pt idx="525">
                  <c:v>39280</c:v>
                </c:pt>
                <c:pt idx="526">
                  <c:v>39281</c:v>
                </c:pt>
                <c:pt idx="527">
                  <c:v>39282</c:v>
                </c:pt>
                <c:pt idx="528">
                  <c:v>39283</c:v>
                </c:pt>
                <c:pt idx="529">
                  <c:v>39286</c:v>
                </c:pt>
                <c:pt idx="530">
                  <c:v>39287</c:v>
                </c:pt>
                <c:pt idx="531">
                  <c:v>39288</c:v>
                </c:pt>
                <c:pt idx="532">
                  <c:v>39290</c:v>
                </c:pt>
                <c:pt idx="533">
                  <c:v>39291</c:v>
                </c:pt>
                <c:pt idx="534">
                  <c:v>39292</c:v>
                </c:pt>
                <c:pt idx="535">
                  <c:v>39295</c:v>
                </c:pt>
                <c:pt idx="536">
                  <c:v>39296</c:v>
                </c:pt>
                <c:pt idx="537">
                  <c:v>39297</c:v>
                </c:pt>
                <c:pt idx="538">
                  <c:v>39298</c:v>
                </c:pt>
                <c:pt idx="539">
                  <c:v>39299</c:v>
                </c:pt>
                <c:pt idx="540">
                  <c:v>39302</c:v>
                </c:pt>
                <c:pt idx="541">
                  <c:v>39303</c:v>
                </c:pt>
                <c:pt idx="542">
                  <c:v>39304</c:v>
                </c:pt>
                <c:pt idx="543">
                  <c:v>39305</c:v>
                </c:pt>
                <c:pt idx="544">
                  <c:v>39306</c:v>
                </c:pt>
                <c:pt idx="545">
                  <c:v>39307</c:v>
                </c:pt>
                <c:pt idx="546">
                  <c:v>39310</c:v>
                </c:pt>
                <c:pt idx="547">
                  <c:v>39311</c:v>
                </c:pt>
                <c:pt idx="548">
                  <c:v>39314</c:v>
                </c:pt>
                <c:pt idx="549">
                  <c:v>39315</c:v>
                </c:pt>
                <c:pt idx="550">
                  <c:v>39316</c:v>
                </c:pt>
                <c:pt idx="551">
                  <c:v>39319</c:v>
                </c:pt>
                <c:pt idx="552">
                  <c:v>39320</c:v>
                </c:pt>
                <c:pt idx="553">
                  <c:v>39321</c:v>
                </c:pt>
                <c:pt idx="554">
                  <c:v>39322</c:v>
                </c:pt>
                <c:pt idx="555">
                  <c:v>39323</c:v>
                </c:pt>
                <c:pt idx="556">
                  <c:v>39324</c:v>
                </c:pt>
                <c:pt idx="557">
                  <c:v>39327</c:v>
                </c:pt>
                <c:pt idx="558">
                  <c:v>39328</c:v>
                </c:pt>
                <c:pt idx="559">
                  <c:v>39329</c:v>
                </c:pt>
                <c:pt idx="560">
                  <c:v>39331</c:v>
                </c:pt>
                <c:pt idx="561">
                  <c:v>39332</c:v>
                </c:pt>
                <c:pt idx="562">
                  <c:v>39335</c:v>
                </c:pt>
                <c:pt idx="563">
                  <c:v>39336</c:v>
                </c:pt>
                <c:pt idx="564">
                  <c:v>39337</c:v>
                </c:pt>
                <c:pt idx="565">
                  <c:v>39338</c:v>
                </c:pt>
                <c:pt idx="566">
                  <c:v>39339</c:v>
                </c:pt>
                <c:pt idx="567">
                  <c:v>39340</c:v>
                </c:pt>
                <c:pt idx="568">
                  <c:v>39343</c:v>
                </c:pt>
                <c:pt idx="569">
                  <c:v>39344</c:v>
                </c:pt>
                <c:pt idx="570">
                  <c:v>39345</c:v>
                </c:pt>
                <c:pt idx="571">
                  <c:v>39346</c:v>
                </c:pt>
                <c:pt idx="572">
                  <c:v>39347</c:v>
                </c:pt>
                <c:pt idx="573">
                  <c:v>39350</c:v>
                </c:pt>
                <c:pt idx="574">
                  <c:v>39351</c:v>
                </c:pt>
                <c:pt idx="575">
                  <c:v>39352</c:v>
                </c:pt>
                <c:pt idx="576">
                  <c:v>39353</c:v>
                </c:pt>
                <c:pt idx="577">
                  <c:v>39354</c:v>
                </c:pt>
                <c:pt idx="578">
                  <c:v>39355</c:v>
                </c:pt>
                <c:pt idx="579">
                  <c:v>39358</c:v>
                </c:pt>
                <c:pt idx="580">
                  <c:v>39359</c:v>
                </c:pt>
                <c:pt idx="581">
                  <c:v>39360</c:v>
                </c:pt>
                <c:pt idx="582">
                  <c:v>39361</c:v>
                </c:pt>
                <c:pt idx="583">
                  <c:v>39362</c:v>
                </c:pt>
                <c:pt idx="584">
                  <c:v>39365</c:v>
                </c:pt>
                <c:pt idx="585">
                  <c:v>39366</c:v>
                </c:pt>
                <c:pt idx="586">
                  <c:v>39367</c:v>
                </c:pt>
                <c:pt idx="587">
                  <c:v>39370</c:v>
                </c:pt>
                <c:pt idx="588">
                  <c:v>39371</c:v>
                </c:pt>
                <c:pt idx="589">
                  <c:v>39372</c:v>
                </c:pt>
                <c:pt idx="590">
                  <c:v>39375</c:v>
                </c:pt>
                <c:pt idx="591">
                  <c:v>39376</c:v>
                </c:pt>
                <c:pt idx="592">
                  <c:v>39377</c:v>
                </c:pt>
                <c:pt idx="593">
                  <c:v>39378</c:v>
                </c:pt>
                <c:pt idx="594">
                  <c:v>39379</c:v>
                </c:pt>
                <c:pt idx="595">
                  <c:v>39382</c:v>
                </c:pt>
                <c:pt idx="596">
                  <c:v>39383</c:v>
                </c:pt>
                <c:pt idx="597">
                  <c:v>39384</c:v>
                </c:pt>
                <c:pt idx="598">
                  <c:v>39385</c:v>
                </c:pt>
                <c:pt idx="599">
                  <c:v>39386</c:v>
                </c:pt>
                <c:pt idx="600">
                  <c:v>39387</c:v>
                </c:pt>
                <c:pt idx="601">
                  <c:v>39390</c:v>
                </c:pt>
                <c:pt idx="602">
                  <c:v>39391</c:v>
                </c:pt>
                <c:pt idx="603">
                  <c:v>39392</c:v>
                </c:pt>
                <c:pt idx="604">
                  <c:v>39393</c:v>
                </c:pt>
                <c:pt idx="605">
                  <c:v>39394</c:v>
                </c:pt>
                <c:pt idx="606">
                  <c:v>39397</c:v>
                </c:pt>
                <c:pt idx="607">
                  <c:v>39398</c:v>
                </c:pt>
                <c:pt idx="608">
                  <c:v>39399</c:v>
                </c:pt>
                <c:pt idx="609">
                  <c:v>39400</c:v>
                </c:pt>
                <c:pt idx="610">
                  <c:v>39401</c:v>
                </c:pt>
                <c:pt idx="611">
                  <c:v>39402</c:v>
                </c:pt>
                <c:pt idx="612">
                  <c:v>39405</c:v>
                </c:pt>
                <c:pt idx="613">
                  <c:v>39406</c:v>
                </c:pt>
                <c:pt idx="614">
                  <c:v>39407</c:v>
                </c:pt>
                <c:pt idx="615">
                  <c:v>39409</c:v>
                </c:pt>
                <c:pt idx="616">
                  <c:v>39410</c:v>
                </c:pt>
                <c:pt idx="617">
                  <c:v>39413</c:v>
                </c:pt>
                <c:pt idx="618">
                  <c:v>39414</c:v>
                </c:pt>
                <c:pt idx="619">
                  <c:v>39415</c:v>
                </c:pt>
                <c:pt idx="620">
                  <c:v>39416</c:v>
                </c:pt>
                <c:pt idx="621">
                  <c:v>39417</c:v>
                </c:pt>
                <c:pt idx="622">
                  <c:v>39418</c:v>
                </c:pt>
                <c:pt idx="623">
                  <c:v>39421</c:v>
                </c:pt>
                <c:pt idx="624">
                  <c:v>39422</c:v>
                </c:pt>
                <c:pt idx="625">
                  <c:v>39423</c:v>
                </c:pt>
                <c:pt idx="626">
                  <c:v>39424</c:v>
                </c:pt>
                <c:pt idx="627">
                  <c:v>39425</c:v>
                </c:pt>
                <c:pt idx="628">
                  <c:v>39428</c:v>
                </c:pt>
                <c:pt idx="629">
                  <c:v>39429</c:v>
                </c:pt>
                <c:pt idx="630">
                  <c:v>39430</c:v>
                </c:pt>
                <c:pt idx="631">
                  <c:v>39431</c:v>
                </c:pt>
                <c:pt idx="632">
                  <c:v>39432</c:v>
                </c:pt>
                <c:pt idx="633">
                  <c:v>39433</c:v>
                </c:pt>
                <c:pt idx="634">
                  <c:v>39436</c:v>
                </c:pt>
                <c:pt idx="635">
                  <c:v>39437</c:v>
                </c:pt>
                <c:pt idx="636">
                  <c:v>39438</c:v>
                </c:pt>
                <c:pt idx="637">
                  <c:v>39439</c:v>
                </c:pt>
                <c:pt idx="638">
                  <c:v>39440</c:v>
                </c:pt>
                <c:pt idx="639">
                  <c:v>39443</c:v>
                </c:pt>
                <c:pt idx="640">
                  <c:v>39447</c:v>
                </c:pt>
                <c:pt idx="641">
                  <c:v>39448</c:v>
                </c:pt>
                <c:pt idx="642">
                  <c:v>39449</c:v>
                </c:pt>
                <c:pt idx="643">
                  <c:v>39450</c:v>
                </c:pt>
                <c:pt idx="644">
                  <c:v>39451</c:v>
                </c:pt>
                <c:pt idx="645">
                  <c:v>39454</c:v>
                </c:pt>
                <c:pt idx="646">
                  <c:v>39455</c:v>
                </c:pt>
                <c:pt idx="647">
                  <c:v>39456</c:v>
                </c:pt>
                <c:pt idx="648">
                  <c:v>39457</c:v>
                </c:pt>
                <c:pt idx="649">
                  <c:v>39458</c:v>
                </c:pt>
                <c:pt idx="650">
                  <c:v>39461</c:v>
                </c:pt>
                <c:pt idx="651">
                  <c:v>39462</c:v>
                </c:pt>
                <c:pt idx="652">
                  <c:v>39463</c:v>
                </c:pt>
                <c:pt idx="653">
                  <c:v>39464</c:v>
                </c:pt>
                <c:pt idx="654">
                  <c:v>39469</c:v>
                </c:pt>
                <c:pt idx="655">
                  <c:v>39470</c:v>
                </c:pt>
                <c:pt idx="656">
                  <c:v>39473</c:v>
                </c:pt>
                <c:pt idx="657">
                  <c:v>39474</c:v>
                </c:pt>
                <c:pt idx="658">
                  <c:v>39475</c:v>
                </c:pt>
                <c:pt idx="659">
                  <c:v>39476</c:v>
                </c:pt>
                <c:pt idx="660">
                  <c:v>39477</c:v>
                </c:pt>
                <c:pt idx="661">
                  <c:v>39480</c:v>
                </c:pt>
                <c:pt idx="662">
                  <c:v>39481</c:v>
                </c:pt>
                <c:pt idx="663">
                  <c:v>39482</c:v>
                </c:pt>
                <c:pt idx="664">
                  <c:v>39483</c:v>
                </c:pt>
                <c:pt idx="665">
                  <c:v>39484</c:v>
                </c:pt>
                <c:pt idx="666">
                  <c:v>39485</c:v>
                </c:pt>
                <c:pt idx="667">
                  <c:v>39488</c:v>
                </c:pt>
                <c:pt idx="668">
                  <c:v>39489</c:v>
                </c:pt>
                <c:pt idx="669">
                  <c:v>39490</c:v>
                </c:pt>
                <c:pt idx="670">
                  <c:v>39491</c:v>
                </c:pt>
                <c:pt idx="671">
                  <c:v>39492</c:v>
                </c:pt>
                <c:pt idx="672">
                  <c:v>39495</c:v>
                </c:pt>
                <c:pt idx="673">
                  <c:v>39496</c:v>
                </c:pt>
                <c:pt idx="674">
                  <c:v>39497</c:v>
                </c:pt>
                <c:pt idx="675">
                  <c:v>39498</c:v>
                </c:pt>
                <c:pt idx="676">
                  <c:v>39499</c:v>
                </c:pt>
                <c:pt idx="677">
                  <c:v>39500</c:v>
                </c:pt>
                <c:pt idx="678">
                  <c:v>39503</c:v>
                </c:pt>
                <c:pt idx="679">
                  <c:v>39504</c:v>
                </c:pt>
                <c:pt idx="680">
                  <c:v>39505</c:v>
                </c:pt>
                <c:pt idx="681">
                  <c:v>39506</c:v>
                </c:pt>
                <c:pt idx="682">
                  <c:v>39507</c:v>
                </c:pt>
                <c:pt idx="683">
                  <c:v>39510</c:v>
                </c:pt>
                <c:pt idx="684">
                  <c:v>39511</c:v>
                </c:pt>
                <c:pt idx="685">
                  <c:v>39513</c:v>
                </c:pt>
                <c:pt idx="686">
                  <c:v>39514</c:v>
                </c:pt>
                <c:pt idx="687">
                  <c:v>39515</c:v>
                </c:pt>
                <c:pt idx="688">
                  <c:v>39516</c:v>
                </c:pt>
                <c:pt idx="689">
                  <c:v>39519</c:v>
                </c:pt>
                <c:pt idx="690">
                  <c:v>39520</c:v>
                </c:pt>
                <c:pt idx="691">
                  <c:v>39521</c:v>
                </c:pt>
                <c:pt idx="692">
                  <c:v>39522</c:v>
                </c:pt>
                <c:pt idx="693">
                  <c:v>39523</c:v>
                </c:pt>
                <c:pt idx="694">
                  <c:v>39526</c:v>
                </c:pt>
                <c:pt idx="695">
                  <c:v>39527</c:v>
                </c:pt>
                <c:pt idx="696">
                  <c:v>39528</c:v>
                </c:pt>
                <c:pt idx="697">
                  <c:v>39529</c:v>
                </c:pt>
                <c:pt idx="698">
                  <c:v>39530</c:v>
                </c:pt>
                <c:pt idx="699">
                  <c:v>39531</c:v>
                </c:pt>
                <c:pt idx="700">
                  <c:v>39534</c:v>
                </c:pt>
                <c:pt idx="701">
                  <c:v>39535</c:v>
                </c:pt>
                <c:pt idx="702">
                  <c:v>39536</c:v>
                </c:pt>
                <c:pt idx="703">
                  <c:v>39537</c:v>
                </c:pt>
                <c:pt idx="704">
                  <c:v>39538</c:v>
                </c:pt>
                <c:pt idx="705">
                  <c:v>39541</c:v>
                </c:pt>
                <c:pt idx="706">
                  <c:v>39542</c:v>
                </c:pt>
                <c:pt idx="707">
                  <c:v>39543</c:v>
                </c:pt>
                <c:pt idx="708">
                  <c:v>39544</c:v>
                </c:pt>
                <c:pt idx="709">
                  <c:v>39545</c:v>
                </c:pt>
                <c:pt idx="710">
                  <c:v>39546</c:v>
                </c:pt>
                <c:pt idx="711">
                  <c:v>39549</c:v>
                </c:pt>
                <c:pt idx="712">
                  <c:v>39553</c:v>
                </c:pt>
                <c:pt idx="713">
                  <c:v>39554</c:v>
                </c:pt>
                <c:pt idx="714">
                  <c:v>39555</c:v>
                </c:pt>
                <c:pt idx="715">
                  <c:v>39556</c:v>
                </c:pt>
                <c:pt idx="716">
                  <c:v>39559</c:v>
                </c:pt>
                <c:pt idx="717">
                  <c:v>39560</c:v>
                </c:pt>
                <c:pt idx="718">
                  <c:v>39561</c:v>
                </c:pt>
                <c:pt idx="719">
                  <c:v>39562</c:v>
                </c:pt>
                <c:pt idx="720">
                  <c:v>39563</c:v>
                </c:pt>
                <c:pt idx="721">
                  <c:v>39564</c:v>
                </c:pt>
                <c:pt idx="722">
                  <c:v>39567</c:v>
                </c:pt>
                <c:pt idx="723">
                  <c:v>39568</c:v>
                </c:pt>
                <c:pt idx="724">
                  <c:v>39569</c:v>
                </c:pt>
                <c:pt idx="725">
                  <c:v>39570</c:v>
                </c:pt>
                <c:pt idx="726">
                  <c:v>39571</c:v>
                </c:pt>
                <c:pt idx="727">
                  <c:v>39574</c:v>
                </c:pt>
                <c:pt idx="728">
                  <c:v>39575</c:v>
                </c:pt>
                <c:pt idx="729">
                  <c:v>39576</c:v>
                </c:pt>
                <c:pt idx="730">
                  <c:v>39577</c:v>
                </c:pt>
                <c:pt idx="731">
                  <c:v>39578</c:v>
                </c:pt>
                <c:pt idx="732">
                  <c:v>39579</c:v>
                </c:pt>
                <c:pt idx="733">
                  <c:v>39582</c:v>
                </c:pt>
                <c:pt idx="734">
                  <c:v>39583</c:v>
                </c:pt>
                <c:pt idx="735">
                  <c:v>39584</c:v>
                </c:pt>
                <c:pt idx="736">
                  <c:v>39585</c:v>
                </c:pt>
                <c:pt idx="737">
                  <c:v>39586</c:v>
                </c:pt>
                <c:pt idx="738">
                  <c:v>39589</c:v>
                </c:pt>
                <c:pt idx="739">
                  <c:v>39590</c:v>
                </c:pt>
                <c:pt idx="740">
                  <c:v>39591</c:v>
                </c:pt>
                <c:pt idx="741">
                  <c:v>39595</c:v>
                </c:pt>
                <c:pt idx="742">
                  <c:v>39596</c:v>
                </c:pt>
                <c:pt idx="743">
                  <c:v>39597</c:v>
                </c:pt>
                <c:pt idx="744">
                  <c:v>39600</c:v>
                </c:pt>
                <c:pt idx="745">
                  <c:v>39601</c:v>
                </c:pt>
                <c:pt idx="746">
                  <c:v>39602</c:v>
                </c:pt>
                <c:pt idx="747">
                  <c:v>39603</c:v>
                </c:pt>
                <c:pt idx="748">
                  <c:v>39604</c:v>
                </c:pt>
                <c:pt idx="749">
                  <c:v>39607</c:v>
                </c:pt>
                <c:pt idx="750">
                  <c:v>39608</c:v>
                </c:pt>
                <c:pt idx="751">
                  <c:v>39609</c:v>
                </c:pt>
                <c:pt idx="752">
                  <c:v>39610</c:v>
                </c:pt>
                <c:pt idx="753">
                  <c:v>39611</c:v>
                </c:pt>
                <c:pt idx="754">
                  <c:v>39612</c:v>
                </c:pt>
                <c:pt idx="755">
                  <c:v>39615</c:v>
                </c:pt>
                <c:pt idx="756">
                  <c:v>39616</c:v>
                </c:pt>
                <c:pt idx="757">
                  <c:v>39617</c:v>
                </c:pt>
                <c:pt idx="758">
                  <c:v>39618</c:v>
                </c:pt>
                <c:pt idx="759">
                  <c:v>39619</c:v>
                </c:pt>
                <c:pt idx="760">
                  <c:v>39622</c:v>
                </c:pt>
                <c:pt idx="761">
                  <c:v>39623</c:v>
                </c:pt>
                <c:pt idx="762">
                  <c:v>39624</c:v>
                </c:pt>
                <c:pt idx="763">
                  <c:v>39625</c:v>
                </c:pt>
                <c:pt idx="764">
                  <c:v>39626</c:v>
                </c:pt>
                <c:pt idx="765">
                  <c:v>39627</c:v>
                </c:pt>
                <c:pt idx="766">
                  <c:v>39630</c:v>
                </c:pt>
                <c:pt idx="767">
                  <c:v>39631</c:v>
                </c:pt>
                <c:pt idx="768">
                  <c:v>39632</c:v>
                </c:pt>
                <c:pt idx="769">
                  <c:v>39633</c:v>
                </c:pt>
                <c:pt idx="770">
                  <c:v>39634</c:v>
                </c:pt>
                <c:pt idx="771">
                  <c:v>39637</c:v>
                </c:pt>
                <c:pt idx="772">
                  <c:v>39638</c:v>
                </c:pt>
                <c:pt idx="773">
                  <c:v>39639</c:v>
                </c:pt>
                <c:pt idx="774">
                  <c:v>39640</c:v>
                </c:pt>
                <c:pt idx="775">
                  <c:v>39641</c:v>
                </c:pt>
                <c:pt idx="776">
                  <c:v>39642</c:v>
                </c:pt>
                <c:pt idx="777">
                  <c:v>39645</c:v>
                </c:pt>
                <c:pt idx="778">
                  <c:v>39646</c:v>
                </c:pt>
                <c:pt idx="779">
                  <c:v>39647</c:v>
                </c:pt>
                <c:pt idx="780">
                  <c:v>39648</c:v>
                </c:pt>
                <c:pt idx="781">
                  <c:v>39649</c:v>
                </c:pt>
                <c:pt idx="782">
                  <c:v>39652</c:v>
                </c:pt>
                <c:pt idx="783">
                  <c:v>39653</c:v>
                </c:pt>
                <c:pt idx="784">
                  <c:v>39657</c:v>
                </c:pt>
                <c:pt idx="785">
                  <c:v>39658</c:v>
                </c:pt>
                <c:pt idx="786">
                  <c:v>39659</c:v>
                </c:pt>
                <c:pt idx="787">
                  <c:v>39660</c:v>
                </c:pt>
                <c:pt idx="788">
                  <c:v>39663</c:v>
                </c:pt>
                <c:pt idx="789">
                  <c:v>39664</c:v>
                </c:pt>
                <c:pt idx="790">
                  <c:v>39665</c:v>
                </c:pt>
                <c:pt idx="791">
                  <c:v>39666</c:v>
                </c:pt>
                <c:pt idx="792">
                  <c:v>39667</c:v>
                </c:pt>
                <c:pt idx="793">
                  <c:v>39670</c:v>
                </c:pt>
                <c:pt idx="794">
                  <c:v>39671</c:v>
                </c:pt>
                <c:pt idx="795">
                  <c:v>39672</c:v>
                </c:pt>
                <c:pt idx="796">
                  <c:v>39673</c:v>
                </c:pt>
                <c:pt idx="797">
                  <c:v>39674</c:v>
                </c:pt>
                <c:pt idx="798">
                  <c:v>39675</c:v>
                </c:pt>
                <c:pt idx="799">
                  <c:v>39678</c:v>
                </c:pt>
                <c:pt idx="800">
                  <c:v>39679</c:v>
                </c:pt>
                <c:pt idx="801">
                  <c:v>39680</c:v>
                </c:pt>
                <c:pt idx="802">
                  <c:v>39681</c:v>
                </c:pt>
                <c:pt idx="803">
                  <c:v>39682</c:v>
                </c:pt>
                <c:pt idx="804">
                  <c:v>39685</c:v>
                </c:pt>
                <c:pt idx="805">
                  <c:v>39686</c:v>
                </c:pt>
                <c:pt idx="806">
                  <c:v>39687</c:v>
                </c:pt>
                <c:pt idx="807">
                  <c:v>39688</c:v>
                </c:pt>
                <c:pt idx="808">
                  <c:v>39689</c:v>
                </c:pt>
                <c:pt idx="809">
                  <c:v>39690</c:v>
                </c:pt>
                <c:pt idx="810">
                  <c:v>39693</c:v>
                </c:pt>
                <c:pt idx="811">
                  <c:v>39694</c:v>
                </c:pt>
                <c:pt idx="812">
                  <c:v>39695</c:v>
                </c:pt>
                <c:pt idx="813">
                  <c:v>39696</c:v>
                </c:pt>
                <c:pt idx="814">
                  <c:v>39697</c:v>
                </c:pt>
                <c:pt idx="815">
                  <c:v>39700</c:v>
                </c:pt>
                <c:pt idx="816">
                  <c:v>39701</c:v>
                </c:pt>
                <c:pt idx="817">
                  <c:v>39702</c:v>
                </c:pt>
                <c:pt idx="818">
                  <c:v>39703</c:v>
                </c:pt>
                <c:pt idx="819">
                  <c:v>39704</c:v>
                </c:pt>
                <c:pt idx="820">
                  <c:v>39705</c:v>
                </c:pt>
                <c:pt idx="821">
                  <c:v>39708</c:v>
                </c:pt>
                <c:pt idx="822">
                  <c:v>39709</c:v>
                </c:pt>
                <c:pt idx="823">
                  <c:v>39713</c:v>
                </c:pt>
                <c:pt idx="824">
                  <c:v>39714</c:v>
                </c:pt>
                <c:pt idx="825">
                  <c:v>39715</c:v>
                </c:pt>
                <c:pt idx="826">
                  <c:v>39718</c:v>
                </c:pt>
                <c:pt idx="827">
                  <c:v>39719</c:v>
                </c:pt>
                <c:pt idx="828">
                  <c:v>39720</c:v>
                </c:pt>
                <c:pt idx="829">
                  <c:v>39721</c:v>
                </c:pt>
                <c:pt idx="830">
                  <c:v>39722</c:v>
                </c:pt>
                <c:pt idx="831">
                  <c:v>39723</c:v>
                </c:pt>
                <c:pt idx="832">
                  <c:v>39726</c:v>
                </c:pt>
                <c:pt idx="833">
                  <c:v>39727</c:v>
                </c:pt>
                <c:pt idx="834">
                  <c:v>39728</c:v>
                </c:pt>
                <c:pt idx="835">
                  <c:v>39729</c:v>
                </c:pt>
                <c:pt idx="836">
                  <c:v>39730</c:v>
                </c:pt>
                <c:pt idx="837">
                  <c:v>39733</c:v>
                </c:pt>
                <c:pt idx="838">
                  <c:v>39734</c:v>
                </c:pt>
                <c:pt idx="839">
                  <c:v>39735</c:v>
                </c:pt>
                <c:pt idx="840">
                  <c:v>39736</c:v>
                </c:pt>
                <c:pt idx="841">
                  <c:v>39737</c:v>
                </c:pt>
                <c:pt idx="842">
                  <c:v>39738</c:v>
                </c:pt>
                <c:pt idx="843">
                  <c:v>39741</c:v>
                </c:pt>
                <c:pt idx="844">
                  <c:v>39742</c:v>
                </c:pt>
                <c:pt idx="845">
                  <c:v>39743</c:v>
                </c:pt>
                <c:pt idx="846">
                  <c:v>39744</c:v>
                </c:pt>
                <c:pt idx="847">
                  <c:v>39745</c:v>
                </c:pt>
                <c:pt idx="848">
                  <c:v>39748</c:v>
                </c:pt>
                <c:pt idx="849">
                  <c:v>39749</c:v>
                </c:pt>
                <c:pt idx="850">
                  <c:v>39750</c:v>
                </c:pt>
                <c:pt idx="851">
                  <c:v>39751</c:v>
                </c:pt>
                <c:pt idx="852">
                  <c:v>39752</c:v>
                </c:pt>
                <c:pt idx="853">
                  <c:v>39753</c:v>
                </c:pt>
                <c:pt idx="854">
                  <c:v>39756</c:v>
                </c:pt>
                <c:pt idx="855">
                  <c:v>39757</c:v>
                </c:pt>
                <c:pt idx="856">
                  <c:v>39758</c:v>
                </c:pt>
                <c:pt idx="857">
                  <c:v>39759</c:v>
                </c:pt>
                <c:pt idx="858">
                  <c:v>39760</c:v>
                </c:pt>
                <c:pt idx="859">
                  <c:v>39763</c:v>
                </c:pt>
                <c:pt idx="860">
                  <c:v>39764</c:v>
                </c:pt>
                <c:pt idx="861">
                  <c:v>39765</c:v>
                </c:pt>
                <c:pt idx="862">
                  <c:v>39766</c:v>
                </c:pt>
                <c:pt idx="863">
                  <c:v>39767</c:v>
                </c:pt>
                <c:pt idx="864">
                  <c:v>39768</c:v>
                </c:pt>
                <c:pt idx="865">
                  <c:v>39771</c:v>
                </c:pt>
                <c:pt idx="866">
                  <c:v>39772</c:v>
                </c:pt>
                <c:pt idx="867">
                  <c:v>39773</c:v>
                </c:pt>
                <c:pt idx="868">
                  <c:v>39774</c:v>
                </c:pt>
                <c:pt idx="869">
                  <c:v>39775</c:v>
                </c:pt>
                <c:pt idx="870">
                  <c:v>39778</c:v>
                </c:pt>
                <c:pt idx="871">
                  <c:v>39779</c:v>
                </c:pt>
                <c:pt idx="872">
                  <c:v>39780</c:v>
                </c:pt>
                <c:pt idx="873">
                  <c:v>39781</c:v>
                </c:pt>
                <c:pt idx="874">
                  <c:v>39782</c:v>
                </c:pt>
                <c:pt idx="875">
                  <c:v>39783</c:v>
                </c:pt>
                <c:pt idx="876">
                  <c:v>39786</c:v>
                </c:pt>
                <c:pt idx="877">
                  <c:v>39787</c:v>
                </c:pt>
                <c:pt idx="878">
                  <c:v>39788</c:v>
                </c:pt>
                <c:pt idx="879">
                  <c:v>39789</c:v>
                </c:pt>
                <c:pt idx="880">
                  <c:v>39790</c:v>
                </c:pt>
                <c:pt idx="881">
                  <c:v>39793</c:v>
                </c:pt>
                <c:pt idx="882">
                  <c:v>39794</c:v>
                </c:pt>
                <c:pt idx="883">
                  <c:v>39795</c:v>
                </c:pt>
                <c:pt idx="884">
                  <c:v>39796</c:v>
                </c:pt>
                <c:pt idx="885">
                  <c:v>39797</c:v>
                </c:pt>
                <c:pt idx="886">
                  <c:v>39798</c:v>
                </c:pt>
                <c:pt idx="887">
                  <c:v>39801</c:v>
                </c:pt>
                <c:pt idx="888">
                  <c:v>39802</c:v>
                </c:pt>
                <c:pt idx="889">
                  <c:v>39803</c:v>
                </c:pt>
                <c:pt idx="890">
                  <c:v>39804</c:v>
                </c:pt>
                <c:pt idx="891">
                  <c:v>39805</c:v>
                </c:pt>
                <c:pt idx="892">
                  <c:v>39808</c:v>
                </c:pt>
                <c:pt idx="893">
                  <c:v>39813</c:v>
                </c:pt>
                <c:pt idx="894">
                  <c:v>39814</c:v>
                </c:pt>
                <c:pt idx="895">
                  <c:v>39815</c:v>
                </c:pt>
                <c:pt idx="896">
                  <c:v>39816</c:v>
                </c:pt>
                <c:pt idx="897">
                  <c:v>39817</c:v>
                </c:pt>
                <c:pt idx="898">
                  <c:v>39820</c:v>
                </c:pt>
                <c:pt idx="899">
                  <c:v>39821</c:v>
                </c:pt>
                <c:pt idx="900">
                  <c:v>39822</c:v>
                </c:pt>
                <c:pt idx="901">
                  <c:v>39823</c:v>
                </c:pt>
                <c:pt idx="902">
                  <c:v>39824</c:v>
                </c:pt>
                <c:pt idx="903">
                  <c:v>39827</c:v>
                </c:pt>
                <c:pt idx="904">
                  <c:v>39828</c:v>
                </c:pt>
                <c:pt idx="905">
                  <c:v>39829</c:v>
                </c:pt>
                <c:pt idx="906">
                  <c:v>39830</c:v>
                </c:pt>
                <c:pt idx="907">
                  <c:v>39831</c:v>
                </c:pt>
                <c:pt idx="908">
                  <c:v>39832</c:v>
                </c:pt>
                <c:pt idx="909">
                  <c:v>39835</c:v>
                </c:pt>
                <c:pt idx="910">
                  <c:v>39836</c:v>
                </c:pt>
                <c:pt idx="911">
                  <c:v>39837</c:v>
                </c:pt>
                <c:pt idx="912">
                  <c:v>39838</c:v>
                </c:pt>
                <c:pt idx="913">
                  <c:v>39839</c:v>
                </c:pt>
                <c:pt idx="914">
                  <c:v>39842</c:v>
                </c:pt>
                <c:pt idx="915">
                  <c:v>39843</c:v>
                </c:pt>
                <c:pt idx="916">
                  <c:v>39848</c:v>
                </c:pt>
                <c:pt idx="917">
                  <c:v>39849</c:v>
                </c:pt>
                <c:pt idx="918">
                  <c:v>39850</c:v>
                </c:pt>
                <c:pt idx="919">
                  <c:v>39851</c:v>
                </c:pt>
                <c:pt idx="920">
                  <c:v>39854</c:v>
                </c:pt>
                <c:pt idx="921">
                  <c:v>39855</c:v>
                </c:pt>
                <c:pt idx="922">
                  <c:v>39856</c:v>
                </c:pt>
                <c:pt idx="923">
                  <c:v>39857</c:v>
                </c:pt>
                <c:pt idx="924">
                  <c:v>39858</c:v>
                </c:pt>
                <c:pt idx="925">
                  <c:v>39861</c:v>
                </c:pt>
                <c:pt idx="926">
                  <c:v>39862</c:v>
                </c:pt>
                <c:pt idx="927">
                  <c:v>39863</c:v>
                </c:pt>
                <c:pt idx="928">
                  <c:v>39864</c:v>
                </c:pt>
                <c:pt idx="929">
                  <c:v>39868</c:v>
                </c:pt>
                <c:pt idx="930">
                  <c:v>39869</c:v>
                </c:pt>
                <c:pt idx="931">
                  <c:v>39872</c:v>
                </c:pt>
                <c:pt idx="932">
                  <c:v>39873</c:v>
                </c:pt>
                <c:pt idx="933">
                  <c:v>39874</c:v>
                </c:pt>
                <c:pt idx="934">
                  <c:v>39875</c:v>
                </c:pt>
                <c:pt idx="935">
                  <c:v>39876</c:v>
                </c:pt>
                <c:pt idx="936">
                  <c:v>39879</c:v>
                </c:pt>
                <c:pt idx="937">
                  <c:v>39880</c:v>
                </c:pt>
                <c:pt idx="938">
                  <c:v>39881</c:v>
                </c:pt>
                <c:pt idx="939">
                  <c:v>39882</c:v>
                </c:pt>
                <c:pt idx="940">
                  <c:v>39883</c:v>
                </c:pt>
                <c:pt idx="941">
                  <c:v>39884</c:v>
                </c:pt>
                <c:pt idx="942">
                  <c:v>39887</c:v>
                </c:pt>
                <c:pt idx="943">
                  <c:v>39888</c:v>
                </c:pt>
                <c:pt idx="944">
                  <c:v>39889</c:v>
                </c:pt>
                <c:pt idx="945">
                  <c:v>39890</c:v>
                </c:pt>
                <c:pt idx="946">
                  <c:v>39891</c:v>
                </c:pt>
                <c:pt idx="947">
                  <c:v>39894</c:v>
                </c:pt>
                <c:pt idx="948">
                  <c:v>39895</c:v>
                </c:pt>
                <c:pt idx="949">
                  <c:v>39896</c:v>
                </c:pt>
                <c:pt idx="950">
                  <c:v>39897</c:v>
                </c:pt>
                <c:pt idx="951">
                  <c:v>39898</c:v>
                </c:pt>
                <c:pt idx="952">
                  <c:v>39899</c:v>
                </c:pt>
                <c:pt idx="953">
                  <c:v>39902</c:v>
                </c:pt>
                <c:pt idx="954">
                  <c:v>39903</c:v>
                </c:pt>
                <c:pt idx="955">
                  <c:v>39904</c:v>
                </c:pt>
                <c:pt idx="956">
                  <c:v>39905</c:v>
                </c:pt>
                <c:pt idx="957">
                  <c:v>39906</c:v>
                </c:pt>
                <c:pt idx="958">
                  <c:v>39909</c:v>
                </c:pt>
                <c:pt idx="959">
                  <c:v>39910</c:v>
                </c:pt>
                <c:pt idx="960">
                  <c:v>39911</c:v>
                </c:pt>
                <c:pt idx="961">
                  <c:v>39912</c:v>
                </c:pt>
                <c:pt idx="962">
                  <c:v>39913</c:v>
                </c:pt>
                <c:pt idx="963">
                  <c:v>39914</c:v>
                </c:pt>
                <c:pt idx="964">
                  <c:v>39917</c:v>
                </c:pt>
                <c:pt idx="965">
                  <c:v>39918</c:v>
                </c:pt>
                <c:pt idx="966">
                  <c:v>39919</c:v>
                </c:pt>
                <c:pt idx="967">
                  <c:v>39920</c:v>
                </c:pt>
                <c:pt idx="968">
                  <c:v>39921</c:v>
                </c:pt>
                <c:pt idx="969">
                  <c:v>39924</c:v>
                </c:pt>
                <c:pt idx="970">
                  <c:v>39925</c:v>
                </c:pt>
                <c:pt idx="971">
                  <c:v>39927</c:v>
                </c:pt>
                <c:pt idx="972">
                  <c:v>39928</c:v>
                </c:pt>
                <c:pt idx="973">
                  <c:v>39929</c:v>
                </c:pt>
                <c:pt idx="974">
                  <c:v>39930</c:v>
                </c:pt>
                <c:pt idx="975">
                  <c:v>39933</c:v>
                </c:pt>
                <c:pt idx="976">
                  <c:v>39934</c:v>
                </c:pt>
                <c:pt idx="977">
                  <c:v>39935</c:v>
                </c:pt>
                <c:pt idx="978">
                  <c:v>39936</c:v>
                </c:pt>
                <c:pt idx="979">
                  <c:v>39937</c:v>
                </c:pt>
                <c:pt idx="980">
                  <c:v>39940</c:v>
                </c:pt>
                <c:pt idx="981">
                  <c:v>39941</c:v>
                </c:pt>
                <c:pt idx="982">
                  <c:v>39944</c:v>
                </c:pt>
                <c:pt idx="983">
                  <c:v>39945</c:v>
                </c:pt>
                <c:pt idx="984">
                  <c:v>39946</c:v>
                </c:pt>
                <c:pt idx="985">
                  <c:v>39947</c:v>
                </c:pt>
                <c:pt idx="986">
                  <c:v>39950</c:v>
                </c:pt>
                <c:pt idx="987">
                  <c:v>39951</c:v>
                </c:pt>
                <c:pt idx="988">
                  <c:v>39952</c:v>
                </c:pt>
                <c:pt idx="989">
                  <c:v>39953</c:v>
                </c:pt>
                <c:pt idx="990">
                  <c:v>39954</c:v>
                </c:pt>
                <c:pt idx="991">
                  <c:v>39957</c:v>
                </c:pt>
                <c:pt idx="992">
                  <c:v>39958</c:v>
                </c:pt>
                <c:pt idx="993">
                  <c:v>39959</c:v>
                </c:pt>
                <c:pt idx="994">
                  <c:v>39960</c:v>
                </c:pt>
                <c:pt idx="995">
                  <c:v>39961</c:v>
                </c:pt>
                <c:pt idx="996">
                  <c:v>39962</c:v>
                </c:pt>
                <c:pt idx="997">
                  <c:v>39965</c:v>
                </c:pt>
                <c:pt idx="998">
                  <c:v>39967</c:v>
                </c:pt>
                <c:pt idx="999">
                  <c:v>39968</c:v>
                </c:pt>
                <c:pt idx="1000">
                  <c:v>39969</c:v>
                </c:pt>
                <c:pt idx="1001">
                  <c:v>39970</c:v>
                </c:pt>
                <c:pt idx="1002">
                  <c:v>39973</c:v>
                </c:pt>
                <c:pt idx="1003">
                  <c:v>39974</c:v>
                </c:pt>
                <c:pt idx="1004">
                  <c:v>39975</c:v>
                </c:pt>
                <c:pt idx="1005">
                  <c:v>39976</c:v>
                </c:pt>
                <c:pt idx="1006">
                  <c:v>39977</c:v>
                </c:pt>
                <c:pt idx="1007">
                  <c:v>39978</c:v>
                </c:pt>
                <c:pt idx="1008">
                  <c:v>39981</c:v>
                </c:pt>
                <c:pt idx="1009">
                  <c:v>39982</c:v>
                </c:pt>
                <c:pt idx="1010">
                  <c:v>39983</c:v>
                </c:pt>
                <c:pt idx="1011">
                  <c:v>39984</c:v>
                </c:pt>
                <c:pt idx="1012">
                  <c:v>39985</c:v>
                </c:pt>
                <c:pt idx="1013">
                  <c:v>39988</c:v>
                </c:pt>
                <c:pt idx="1014">
                  <c:v>39989</c:v>
                </c:pt>
                <c:pt idx="1015">
                  <c:v>39990</c:v>
                </c:pt>
                <c:pt idx="1016">
                  <c:v>39991</c:v>
                </c:pt>
                <c:pt idx="1017">
                  <c:v>39992</c:v>
                </c:pt>
                <c:pt idx="1018">
                  <c:v>39993</c:v>
                </c:pt>
                <c:pt idx="1019">
                  <c:v>39996</c:v>
                </c:pt>
                <c:pt idx="1020">
                  <c:v>40000</c:v>
                </c:pt>
                <c:pt idx="1021">
                  <c:v>40001</c:v>
                </c:pt>
                <c:pt idx="1022">
                  <c:v>40002</c:v>
                </c:pt>
                <c:pt idx="1023">
                  <c:v>40003</c:v>
                </c:pt>
                <c:pt idx="1024">
                  <c:v>40006</c:v>
                </c:pt>
                <c:pt idx="1025">
                  <c:v>40007</c:v>
                </c:pt>
                <c:pt idx="1026">
                  <c:v>40008</c:v>
                </c:pt>
                <c:pt idx="1027">
                  <c:v>40009</c:v>
                </c:pt>
                <c:pt idx="1028">
                  <c:v>40010</c:v>
                </c:pt>
                <c:pt idx="1029">
                  <c:v>40011</c:v>
                </c:pt>
                <c:pt idx="1030">
                  <c:v>40014</c:v>
                </c:pt>
                <c:pt idx="1031">
                  <c:v>40015</c:v>
                </c:pt>
                <c:pt idx="1032">
                  <c:v>40016</c:v>
                </c:pt>
                <c:pt idx="1033">
                  <c:v>40017</c:v>
                </c:pt>
                <c:pt idx="1034">
                  <c:v>40018</c:v>
                </c:pt>
                <c:pt idx="1035">
                  <c:v>40021</c:v>
                </c:pt>
                <c:pt idx="1036">
                  <c:v>40022</c:v>
                </c:pt>
                <c:pt idx="1037">
                  <c:v>40023</c:v>
                </c:pt>
                <c:pt idx="1038">
                  <c:v>40024</c:v>
                </c:pt>
                <c:pt idx="1039">
                  <c:v>40025</c:v>
                </c:pt>
                <c:pt idx="1040">
                  <c:v>40026</c:v>
                </c:pt>
                <c:pt idx="1041">
                  <c:v>40029</c:v>
                </c:pt>
                <c:pt idx="1042">
                  <c:v>40030</c:v>
                </c:pt>
                <c:pt idx="1043">
                  <c:v>40031</c:v>
                </c:pt>
                <c:pt idx="1044">
                  <c:v>40032</c:v>
                </c:pt>
                <c:pt idx="1045">
                  <c:v>40033</c:v>
                </c:pt>
                <c:pt idx="1046">
                  <c:v>40036</c:v>
                </c:pt>
                <c:pt idx="1047">
                  <c:v>40037</c:v>
                </c:pt>
                <c:pt idx="1048">
                  <c:v>40038</c:v>
                </c:pt>
                <c:pt idx="1049">
                  <c:v>40039</c:v>
                </c:pt>
                <c:pt idx="1050">
                  <c:v>40042</c:v>
                </c:pt>
                <c:pt idx="1051">
                  <c:v>40043</c:v>
                </c:pt>
                <c:pt idx="1052">
                  <c:v>40046</c:v>
                </c:pt>
                <c:pt idx="1053">
                  <c:v>40047</c:v>
                </c:pt>
                <c:pt idx="1054">
                  <c:v>40048</c:v>
                </c:pt>
                <c:pt idx="1055">
                  <c:v>40049</c:v>
                </c:pt>
                <c:pt idx="1056">
                  <c:v>40050</c:v>
                </c:pt>
                <c:pt idx="1057">
                  <c:v>40053</c:v>
                </c:pt>
                <c:pt idx="1058">
                  <c:v>40054</c:v>
                </c:pt>
                <c:pt idx="1059">
                  <c:v>40055</c:v>
                </c:pt>
                <c:pt idx="1060">
                  <c:v>40056</c:v>
                </c:pt>
                <c:pt idx="1061">
                  <c:v>40057</c:v>
                </c:pt>
                <c:pt idx="1062">
                  <c:v>40058</c:v>
                </c:pt>
                <c:pt idx="1063">
                  <c:v>40061</c:v>
                </c:pt>
                <c:pt idx="1064">
                  <c:v>40062</c:v>
                </c:pt>
                <c:pt idx="1065">
                  <c:v>40063</c:v>
                </c:pt>
                <c:pt idx="1066">
                  <c:v>40064</c:v>
                </c:pt>
                <c:pt idx="1067">
                  <c:v>40065</c:v>
                </c:pt>
                <c:pt idx="1068">
                  <c:v>40068</c:v>
                </c:pt>
                <c:pt idx="1069">
                  <c:v>40069</c:v>
                </c:pt>
                <c:pt idx="1070">
                  <c:v>40070</c:v>
                </c:pt>
                <c:pt idx="1071">
                  <c:v>40071</c:v>
                </c:pt>
                <c:pt idx="1072">
                  <c:v>40072</c:v>
                </c:pt>
                <c:pt idx="1073">
                  <c:v>40073</c:v>
                </c:pt>
                <c:pt idx="1074">
                  <c:v>40076</c:v>
                </c:pt>
                <c:pt idx="1075">
                  <c:v>40077</c:v>
                </c:pt>
                <c:pt idx="1076">
                  <c:v>40078</c:v>
                </c:pt>
                <c:pt idx="1077">
                  <c:v>40079</c:v>
                </c:pt>
                <c:pt idx="1078">
                  <c:v>40080</c:v>
                </c:pt>
                <c:pt idx="1079">
                  <c:v>40083</c:v>
                </c:pt>
                <c:pt idx="1080">
                  <c:v>40084</c:v>
                </c:pt>
                <c:pt idx="1081">
                  <c:v>40085</c:v>
                </c:pt>
                <c:pt idx="1082">
                  <c:v>40086</c:v>
                </c:pt>
                <c:pt idx="1083">
                  <c:v>40087</c:v>
                </c:pt>
                <c:pt idx="1084">
                  <c:v>40088</c:v>
                </c:pt>
                <c:pt idx="1085">
                  <c:v>40091</c:v>
                </c:pt>
                <c:pt idx="1086">
                  <c:v>40092</c:v>
                </c:pt>
                <c:pt idx="1087">
                  <c:v>40093</c:v>
                </c:pt>
                <c:pt idx="1088">
                  <c:v>40094</c:v>
                </c:pt>
                <c:pt idx="1089">
                  <c:v>40095</c:v>
                </c:pt>
                <c:pt idx="1090">
                  <c:v>40098</c:v>
                </c:pt>
                <c:pt idx="1091">
                  <c:v>40099</c:v>
                </c:pt>
                <c:pt idx="1092">
                  <c:v>40100</c:v>
                </c:pt>
                <c:pt idx="1093">
                  <c:v>40101</c:v>
                </c:pt>
                <c:pt idx="1094">
                  <c:v>40102</c:v>
                </c:pt>
                <c:pt idx="1095">
                  <c:v>40103</c:v>
                </c:pt>
                <c:pt idx="1096">
                  <c:v>40106</c:v>
                </c:pt>
                <c:pt idx="1097">
                  <c:v>40107</c:v>
                </c:pt>
                <c:pt idx="1098">
                  <c:v>40108</c:v>
                </c:pt>
                <c:pt idx="1099">
                  <c:v>40109</c:v>
                </c:pt>
                <c:pt idx="1100">
                  <c:v>40110</c:v>
                </c:pt>
                <c:pt idx="1101">
                  <c:v>40113</c:v>
                </c:pt>
                <c:pt idx="1102">
                  <c:v>40114</c:v>
                </c:pt>
                <c:pt idx="1103">
                  <c:v>40115</c:v>
                </c:pt>
                <c:pt idx="1104">
                  <c:v>40116</c:v>
                </c:pt>
                <c:pt idx="1105">
                  <c:v>40117</c:v>
                </c:pt>
                <c:pt idx="1106">
                  <c:v>40118</c:v>
                </c:pt>
                <c:pt idx="1107">
                  <c:v>40121</c:v>
                </c:pt>
                <c:pt idx="1108">
                  <c:v>40122</c:v>
                </c:pt>
                <c:pt idx="1109">
                  <c:v>40123</c:v>
                </c:pt>
                <c:pt idx="1110">
                  <c:v>40124</c:v>
                </c:pt>
                <c:pt idx="1111">
                  <c:v>40125</c:v>
                </c:pt>
                <c:pt idx="1112">
                  <c:v>40128</c:v>
                </c:pt>
                <c:pt idx="1113">
                  <c:v>40129</c:v>
                </c:pt>
                <c:pt idx="1114">
                  <c:v>40130</c:v>
                </c:pt>
                <c:pt idx="1115">
                  <c:v>40131</c:v>
                </c:pt>
                <c:pt idx="1116">
                  <c:v>40132</c:v>
                </c:pt>
                <c:pt idx="1117">
                  <c:v>40133</c:v>
                </c:pt>
                <c:pt idx="1118">
                  <c:v>40136</c:v>
                </c:pt>
                <c:pt idx="1119">
                  <c:v>40137</c:v>
                </c:pt>
                <c:pt idx="1120">
                  <c:v>40138</c:v>
                </c:pt>
                <c:pt idx="1121">
                  <c:v>40139</c:v>
                </c:pt>
                <c:pt idx="1122">
                  <c:v>40140</c:v>
                </c:pt>
                <c:pt idx="1123">
                  <c:v>40143</c:v>
                </c:pt>
                <c:pt idx="1124">
                  <c:v>40144</c:v>
                </c:pt>
                <c:pt idx="1125">
                  <c:v>40145</c:v>
                </c:pt>
                <c:pt idx="1126">
                  <c:v>40146</c:v>
                </c:pt>
                <c:pt idx="1127">
                  <c:v>40147</c:v>
                </c:pt>
                <c:pt idx="1128">
                  <c:v>40148</c:v>
                </c:pt>
                <c:pt idx="1129">
                  <c:v>40151</c:v>
                </c:pt>
                <c:pt idx="1130">
                  <c:v>40152</c:v>
                </c:pt>
                <c:pt idx="1131">
                  <c:v>40153</c:v>
                </c:pt>
                <c:pt idx="1132">
                  <c:v>40154</c:v>
                </c:pt>
                <c:pt idx="1133">
                  <c:v>40155</c:v>
                </c:pt>
                <c:pt idx="1134">
                  <c:v>40158</c:v>
                </c:pt>
                <c:pt idx="1135">
                  <c:v>40159</c:v>
                </c:pt>
                <c:pt idx="1136">
                  <c:v>40160</c:v>
                </c:pt>
                <c:pt idx="1137">
                  <c:v>40161</c:v>
                </c:pt>
                <c:pt idx="1138">
                  <c:v>40162</c:v>
                </c:pt>
                <c:pt idx="1139">
                  <c:v>40163</c:v>
                </c:pt>
                <c:pt idx="1140">
                  <c:v>40166</c:v>
                </c:pt>
                <c:pt idx="1141">
                  <c:v>40167</c:v>
                </c:pt>
                <c:pt idx="1142">
                  <c:v>40168</c:v>
                </c:pt>
                <c:pt idx="1143">
                  <c:v>40169</c:v>
                </c:pt>
                <c:pt idx="1144">
                  <c:v>40170</c:v>
                </c:pt>
                <c:pt idx="1145">
                  <c:v>40173</c:v>
                </c:pt>
                <c:pt idx="1146">
                  <c:v>40182</c:v>
                </c:pt>
                <c:pt idx="1147">
                  <c:v>40183</c:v>
                </c:pt>
                <c:pt idx="1148">
                  <c:v>40184</c:v>
                </c:pt>
                <c:pt idx="1149">
                  <c:v>40185</c:v>
                </c:pt>
                <c:pt idx="1150">
                  <c:v>40186</c:v>
                </c:pt>
                <c:pt idx="1151">
                  <c:v>40189</c:v>
                </c:pt>
                <c:pt idx="1152">
                  <c:v>40190</c:v>
                </c:pt>
                <c:pt idx="1153">
                  <c:v>40191</c:v>
                </c:pt>
                <c:pt idx="1154">
                  <c:v>40192</c:v>
                </c:pt>
                <c:pt idx="1155">
                  <c:v>40193</c:v>
                </c:pt>
                <c:pt idx="1156">
                  <c:v>40196</c:v>
                </c:pt>
                <c:pt idx="1157">
                  <c:v>40197</c:v>
                </c:pt>
                <c:pt idx="1158">
                  <c:v>40198</c:v>
                </c:pt>
                <c:pt idx="1159">
                  <c:v>40199</c:v>
                </c:pt>
                <c:pt idx="1160">
                  <c:v>40200</c:v>
                </c:pt>
                <c:pt idx="1161">
                  <c:v>40201</c:v>
                </c:pt>
                <c:pt idx="1162">
                  <c:v>40204</c:v>
                </c:pt>
                <c:pt idx="1163">
                  <c:v>40205</c:v>
                </c:pt>
                <c:pt idx="1164">
                  <c:v>40206</c:v>
                </c:pt>
                <c:pt idx="1165">
                  <c:v>40207</c:v>
                </c:pt>
                <c:pt idx="1166">
                  <c:v>40208</c:v>
                </c:pt>
                <c:pt idx="1167">
                  <c:v>40211</c:v>
                </c:pt>
                <c:pt idx="1168">
                  <c:v>40212</c:v>
                </c:pt>
                <c:pt idx="1169">
                  <c:v>40213</c:v>
                </c:pt>
                <c:pt idx="1170">
                  <c:v>40214</c:v>
                </c:pt>
                <c:pt idx="1171">
                  <c:v>40215</c:v>
                </c:pt>
                <c:pt idx="1172">
                  <c:v>40216</c:v>
                </c:pt>
                <c:pt idx="1173">
                  <c:v>40219</c:v>
                </c:pt>
                <c:pt idx="1174">
                  <c:v>40220</c:v>
                </c:pt>
                <c:pt idx="1175">
                  <c:v>40221</c:v>
                </c:pt>
                <c:pt idx="1176">
                  <c:v>40222</c:v>
                </c:pt>
                <c:pt idx="1177">
                  <c:v>40223</c:v>
                </c:pt>
                <c:pt idx="1178">
                  <c:v>40226</c:v>
                </c:pt>
                <c:pt idx="1179">
                  <c:v>40227</c:v>
                </c:pt>
                <c:pt idx="1180">
                  <c:v>40228</c:v>
                </c:pt>
                <c:pt idx="1181">
                  <c:v>40229</c:v>
                </c:pt>
                <c:pt idx="1182">
                  <c:v>40230</c:v>
                </c:pt>
                <c:pt idx="1183">
                  <c:v>40231</c:v>
                </c:pt>
                <c:pt idx="1184">
                  <c:v>40234</c:v>
                </c:pt>
                <c:pt idx="1185">
                  <c:v>40239</c:v>
                </c:pt>
                <c:pt idx="1186">
                  <c:v>40240</c:v>
                </c:pt>
                <c:pt idx="1187">
                  <c:v>40241</c:v>
                </c:pt>
                <c:pt idx="1188">
                  <c:v>40242</c:v>
                </c:pt>
                <c:pt idx="1189">
                  <c:v>40245</c:v>
                </c:pt>
                <c:pt idx="1190">
                  <c:v>40246</c:v>
                </c:pt>
                <c:pt idx="1191">
                  <c:v>40247</c:v>
                </c:pt>
                <c:pt idx="1192">
                  <c:v>40248</c:v>
                </c:pt>
                <c:pt idx="1193">
                  <c:v>40249</c:v>
                </c:pt>
                <c:pt idx="1194">
                  <c:v>40250</c:v>
                </c:pt>
                <c:pt idx="1195">
                  <c:v>40253</c:v>
                </c:pt>
                <c:pt idx="1196">
                  <c:v>40254</c:v>
                </c:pt>
                <c:pt idx="1197">
                  <c:v>40255</c:v>
                </c:pt>
                <c:pt idx="1198">
                  <c:v>40256</c:v>
                </c:pt>
                <c:pt idx="1199">
                  <c:v>40257</c:v>
                </c:pt>
                <c:pt idx="1200">
                  <c:v>40260</c:v>
                </c:pt>
                <c:pt idx="1201">
                  <c:v>40261</c:v>
                </c:pt>
                <c:pt idx="1202">
                  <c:v>40262</c:v>
                </c:pt>
                <c:pt idx="1203">
                  <c:v>40263</c:v>
                </c:pt>
                <c:pt idx="1204">
                  <c:v>40264</c:v>
                </c:pt>
                <c:pt idx="1205">
                  <c:v>40265</c:v>
                </c:pt>
                <c:pt idx="1206">
                  <c:v>40268</c:v>
                </c:pt>
                <c:pt idx="1207">
                  <c:v>40269</c:v>
                </c:pt>
                <c:pt idx="1208">
                  <c:v>40270</c:v>
                </c:pt>
                <c:pt idx="1209">
                  <c:v>40271</c:v>
                </c:pt>
                <c:pt idx="1210">
                  <c:v>40272</c:v>
                </c:pt>
                <c:pt idx="1211">
                  <c:v>40275</c:v>
                </c:pt>
                <c:pt idx="1212">
                  <c:v>40276</c:v>
                </c:pt>
                <c:pt idx="1213">
                  <c:v>40277</c:v>
                </c:pt>
                <c:pt idx="1214">
                  <c:v>40278</c:v>
                </c:pt>
                <c:pt idx="1215">
                  <c:v>40279</c:v>
                </c:pt>
                <c:pt idx="1216">
                  <c:v>40280</c:v>
                </c:pt>
                <c:pt idx="1217">
                  <c:v>40283</c:v>
                </c:pt>
                <c:pt idx="1218">
                  <c:v>40284</c:v>
                </c:pt>
                <c:pt idx="1219">
                  <c:v>40285</c:v>
                </c:pt>
                <c:pt idx="1220">
                  <c:v>40286</c:v>
                </c:pt>
                <c:pt idx="1221">
                  <c:v>40287</c:v>
                </c:pt>
                <c:pt idx="1222">
                  <c:v>40290</c:v>
                </c:pt>
                <c:pt idx="1223">
                  <c:v>40291</c:v>
                </c:pt>
                <c:pt idx="1224">
                  <c:v>40292</c:v>
                </c:pt>
                <c:pt idx="1225">
                  <c:v>40293</c:v>
                </c:pt>
                <c:pt idx="1226">
                  <c:v>40294</c:v>
                </c:pt>
                <c:pt idx="1227">
                  <c:v>40295</c:v>
                </c:pt>
                <c:pt idx="1228">
                  <c:v>40301</c:v>
                </c:pt>
                <c:pt idx="1229">
                  <c:v>40302</c:v>
                </c:pt>
                <c:pt idx="1230">
                  <c:v>40303</c:v>
                </c:pt>
                <c:pt idx="1231">
                  <c:v>40304</c:v>
                </c:pt>
                <c:pt idx="1232">
                  <c:v>40305</c:v>
                </c:pt>
                <c:pt idx="1233">
                  <c:v>40308</c:v>
                </c:pt>
                <c:pt idx="1234">
                  <c:v>40309</c:v>
                </c:pt>
                <c:pt idx="1235">
                  <c:v>40310</c:v>
                </c:pt>
                <c:pt idx="1236">
                  <c:v>40311</c:v>
                </c:pt>
                <c:pt idx="1237">
                  <c:v>40312</c:v>
                </c:pt>
                <c:pt idx="1238">
                  <c:v>40313</c:v>
                </c:pt>
                <c:pt idx="1239">
                  <c:v>40316</c:v>
                </c:pt>
                <c:pt idx="1240">
                  <c:v>40317</c:v>
                </c:pt>
                <c:pt idx="1241">
                  <c:v>40318</c:v>
                </c:pt>
                <c:pt idx="1242">
                  <c:v>40319</c:v>
                </c:pt>
                <c:pt idx="1243">
                  <c:v>40320</c:v>
                </c:pt>
                <c:pt idx="1244">
                  <c:v>40323</c:v>
                </c:pt>
                <c:pt idx="1245">
                  <c:v>40324</c:v>
                </c:pt>
                <c:pt idx="1246">
                  <c:v>40325</c:v>
                </c:pt>
                <c:pt idx="1247">
                  <c:v>40326</c:v>
                </c:pt>
                <c:pt idx="1248">
                  <c:v>40330</c:v>
                </c:pt>
                <c:pt idx="1249">
                  <c:v>40331</c:v>
                </c:pt>
                <c:pt idx="1250">
                  <c:v>40334</c:v>
                </c:pt>
                <c:pt idx="1251">
                  <c:v>40335</c:v>
                </c:pt>
                <c:pt idx="1252">
                  <c:v>40336</c:v>
                </c:pt>
                <c:pt idx="1253">
                  <c:v>40337</c:v>
                </c:pt>
                <c:pt idx="1254">
                  <c:v>40338</c:v>
                </c:pt>
                <c:pt idx="1255">
                  <c:v>40341</c:v>
                </c:pt>
                <c:pt idx="1256">
                  <c:v>40342</c:v>
                </c:pt>
                <c:pt idx="1257">
                  <c:v>40343</c:v>
                </c:pt>
                <c:pt idx="1258">
                  <c:v>40344</c:v>
                </c:pt>
                <c:pt idx="1259">
                  <c:v>40345</c:v>
                </c:pt>
                <c:pt idx="1260">
                  <c:v>40346</c:v>
                </c:pt>
                <c:pt idx="1261">
                  <c:v>40349</c:v>
                </c:pt>
                <c:pt idx="1262">
                  <c:v>40350</c:v>
                </c:pt>
                <c:pt idx="1263">
                  <c:v>40351</c:v>
                </c:pt>
                <c:pt idx="1264">
                  <c:v>40352</c:v>
                </c:pt>
                <c:pt idx="1265">
                  <c:v>40353</c:v>
                </c:pt>
                <c:pt idx="1266">
                  <c:v>40356</c:v>
                </c:pt>
                <c:pt idx="1267">
                  <c:v>40357</c:v>
                </c:pt>
                <c:pt idx="1268">
                  <c:v>40358</c:v>
                </c:pt>
                <c:pt idx="1269">
                  <c:v>40359</c:v>
                </c:pt>
                <c:pt idx="1270">
                  <c:v>40360</c:v>
                </c:pt>
                <c:pt idx="1271">
                  <c:v>40361</c:v>
                </c:pt>
                <c:pt idx="1272">
                  <c:v>40364</c:v>
                </c:pt>
                <c:pt idx="1273">
                  <c:v>40365</c:v>
                </c:pt>
                <c:pt idx="1274">
                  <c:v>40366</c:v>
                </c:pt>
                <c:pt idx="1275">
                  <c:v>40367</c:v>
                </c:pt>
                <c:pt idx="1276">
                  <c:v>40368</c:v>
                </c:pt>
                <c:pt idx="1277">
                  <c:v>40371</c:v>
                </c:pt>
                <c:pt idx="1278">
                  <c:v>40372</c:v>
                </c:pt>
                <c:pt idx="1279">
                  <c:v>40373</c:v>
                </c:pt>
                <c:pt idx="1280">
                  <c:v>40374</c:v>
                </c:pt>
                <c:pt idx="1281">
                  <c:v>40375</c:v>
                </c:pt>
                <c:pt idx="1282">
                  <c:v>40376</c:v>
                </c:pt>
                <c:pt idx="1283">
                  <c:v>40379</c:v>
                </c:pt>
                <c:pt idx="1284">
                  <c:v>40380</c:v>
                </c:pt>
                <c:pt idx="1285">
                  <c:v>40381</c:v>
                </c:pt>
                <c:pt idx="1286">
                  <c:v>40382</c:v>
                </c:pt>
                <c:pt idx="1287">
                  <c:v>40383</c:v>
                </c:pt>
                <c:pt idx="1288">
                  <c:v>40386</c:v>
                </c:pt>
                <c:pt idx="1289">
                  <c:v>40388</c:v>
                </c:pt>
                <c:pt idx="1290">
                  <c:v>40389</c:v>
                </c:pt>
                <c:pt idx="1291">
                  <c:v>40390</c:v>
                </c:pt>
                <c:pt idx="1292">
                  <c:v>40391</c:v>
                </c:pt>
                <c:pt idx="1293">
                  <c:v>40392</c:v>
                </c:pt>
                <c:pt idx="1294">
                  <c:v>40395</c:v>
                </c:pt>
                <c:pt idx="1295">
                  <c:v>40396</c:v>
                </c:pt>
                <c:pt idx="1296">
                  <c:v>40397</c:v>
                </c:pt>
                <c:pt idx="1297">
                  <c:v>40398</c:v>
                </c:pt>
                <c:pt idx="1298">
                  <c:v>40399</c:v>
                </c:pt>
                <c:pt idx="1299">
                  <c:v>40402</c:v>
                </c:pt>
                <c:pt idx="1300">
                  <c:v>40403</c:v>
                </c:pt>
                <c:pt idx="1301">
                  <c:v>40404</c:v>
                </c:pt>
                <c:pt idx="1302">
                  <c:v>40405</c:v>
                </c:pt>
                <c:pt idx="1303">
                  <c:v>40406</c:v>
                </c:pt>
                <c:pt idx="1304">
                  <c:v>40407</c:v>
                </c:pt>
                <c:pt idx="1305">
                  <c:v>40410</c:v>
                </c:pt>
                <c:pt idx="1306">
                  <c:v>40413</c:v>
                </c:pt>
                <c:pt idx="1307">
                  <c:v>40414</c:v>
                </c:pt>
                <c:pt idx="1308">
                  <c:v>40415</c:v>
                </c:pt>
                <c:pt idx="1309">
                  <c:v>40416</c:v>
                </c:pt>
                <c:pt idx="1310">
                  <c:v>40419</c:v>
                </c:pt>
                <c:pt idx="1311">
                  <c:v>40420</c:v>
                </c:pt>
                <c:pt idx="1312">
                  <c:v>40421</c:v>
                </c:pt>
                <c:pt idx="1313">
                  <c:v>40422</c:v>
                </c:pt>
                <c:pt idx="1314">
                  <c:v>40423</c:v>
                </c:pt>
                <c:pt idx="1315">
                  <c:v>40424</c:v>
                </c:pt>
                <c:pt idx="1316">
                  <c:v>40427</c:v>
                </c:pt>
                <c:pt idx="1317">
                  <c:v>40428</c:v>
                </c:pt>
                <c:pt idx="1318">
                  <c:v>40429</c:v>
                </c:pt>
                <c:pt idx="1319">
                  <c:v>40430</c:v>
                </c:pt>
                <c:pt idx="1320">
                  <c:v>40431</c:v>
                </c:pt>
                <c:pt idx="1321">
                  <c:v>40434</c:v>
                </c:pt>
                <c:pt idx="1322">
                  <c:v>40435</c:v>
                </c:pt>
                <c:pt idx="1323">
                  <c:v>40436</c:v>
                </c:pt>
                <c:pt idx="1324">
                  <c:v>40437</c:v>
                </c:pt>
                <c:pt idx="1325">
                  <c:v>40438</c:v>
                </c:pt>
                <c:pt idx="1326">
                  <c:v>40439</c:v>
                </c:pt>
                <c:pt idx="1327">
                  <c:v>40442</c:v>
                </c:pt>
                <c:pt idx="1328">
                  <c:v>40444</c:v>
                </c:pt>
                <c:pt idx="1329">
                  <c:v>40445</c:v>
                </c:pt>
                <c:pt idx="1330">
                  <c:v>40446</c:v>
                </c:pt>
                <c:pt idx="1331">
                  <c:v>40447</c:v>
                </c:pt>
                <c:pt idx="1332">
                  <c:v>40450</c:v>
                </c:pt>
                <c:pt idx="1333">
                  <c:v>40451</c:v>
                </c:pt>
                <c:pt idx="1334">
                  <c:v>40452</c:v>
                </c:pt>
                <c:pt idx="1335">
                  <c:v>40453</c:v>
                </c:pt>
                <c:pt idx="1336">
                  <c:v>40454</c:v>
                </c:pt>
                <c:pt idx="1337">
                  <c:v>40455</c:v>
                </c:pt>
                <c:pt idx="1338">
                  <c:v>40458</c:v>
                </c:pt>
                <c:pt idx="1339">
                  <c:v>40459</c:v>
                </c:pt>
                <c:pt idx="1340">
                  <c:v>40460</c:v>
                </c:pt>
                <c:pt idx="1341">
                  <c:v>40461</c:v>
                </c:pt>
                <c:pt idx="1342">
                  <c:v>40462</c:v>
                </c:pt>
                <c:pt idx="1343">
                  <c:v>40465</c:v>
                </c:pt>
                <c:pt idx="1344">
                  <c:v>40466</c:v>
                </c:pt>
                <c:pt idx="1345">
                  <c:v>40469</c:v>
                </c:pt>
                <c:pt idx="1346">
                  <c:v>40470</c:v>
                </c:pt>
                <c:pt idx="1347">
                  <c:v>40471</c:v>
                </c:pt>
                <c:pt idx="1348">
                  <c:v>40472</c:v>
                </c:pt>
                <c:pt idx="1349">
                  <c:v>40475</c:v>
                </c:pt>
                <c:pt idx="1350">
                  <c:v>40476</c:v>
                </c:pt>
                <c:pt idx="1351">
                  <c:v>40477</c:v>
                </c:pt>
                <c:pt idx="1352">
                  <c:v>40478</c:v>
                </c:pt>
                <c:pt idx="1353">
                  <c:v>40479</c:v>
                </c:pt>
                <c:pt idx="1354">
                  <c:v>40482</c:v>
                </c:pt>
                <c:pt idx="1355">
                  <c:v>40483</c:v>
                </c:pt>
                <c:pt idx="1356">
                  <c:v>40484</c:v>
                </c:pt>
                <c:pt idx="1357">
                  <c:v>40485</c:v>
                </c:pt>
                <c:pt idx="1358">
                  <c:v>40486</c:v>
                </c:pt>
                <c:pt idx="1359">
                  <c:v>40487</c:v>
                </c:pt>
                <c:pt idx="1360">
                  <c:v>40490</c:v>
                </c:pt>
                <c:pt idx="1361">
                  <c:v>40491</c:v>
                </c:pt>
                <c:pt idx="1362">
                  <c:v>40492</c:v>
                </c:pt>
                <c:pt idx="1363">
                  <c:v>40493</c:v>
                </c:pt>
                <c:pt idx="1364">
                  <c:v>40494</c:v>
                </c:pt>
                <c:pt idx="1365">
                  <c:v>40497</c:v>
                </c:pt>
                <c:pt idx="1366">
                  <c:v>40498</c:v>
                </c:pt>
                <c:pt idx="1367">
                  <c:v>40499</c:v>
                </c:pt>
                <c:pt idx="1368">
                  <c:v>40500</c:v>
                </c:pt>
                <c:pt idx="1369">
                  <c:v>40501</c:v>
                </c:pt>
                <c:pt idx="1370">
                  <c:v>40502</c:v>
                </c:pt>
                <c:pt idx="1371">
                  <c:v>40505</c:v>
                </c:pt>
                <c:pt idx="1372">
                  <c:v>40506</c:v>
                </c:pt>
                <c:pt idx="1373">
                  <c:v>40507</c:v>
                </c:pt>
                <c:pt idx="1374">
                  <c:v>40508</c:v>
                </c:pt>
                <c:pt idx="1375">
                  <c:v>40509</c:v>
                </c:pt>
                <c:pt idx="1376">
                  <c:v>40512</c:v>
                </c:pt>
                <c:pt idx="1377">
                  <c:v>40513</c:v>
                </c:pt>
                <c:pt idx="1378">
                  <c:v>40514</c:v>
                </c:pt>
                <c:pt idx="1379">
                  <c:v>40515</c:v>
                </c:pt>
                <c:pt idx="1380">
                  <c:v>40516</c:v>
                </c:pt>
                <c:pt idx="1381">
                  <c:v>40517</c:v>
                </c:pt>
                <c:pt idx="1382">
                  <c:v>40520</c:v>
                </c:pt>
                <c:pt idx="1383">
                  <c:v>40521</c:v>
                </c:pt>
                <c:pt idx="1384">
                  <c:v>40522</c:v>
                </c:pt>
                <c:pt idx="1385">
                  <c:v>40523</c:v>
                </c:pt>
                <c:pt idx="1386">
                  <c:v>40524</c:v>
                </c:pt>
                <c:pt idx="1387">
                  <c:v>40527</c:v>
                </c:pt>
                <c:pt idx="1388">
                  <c:v>40528</c:v>
                </c:pt>
                <c:pt idx="1389">
                  <c:v>40532</c:v>
                </c:pt>
                <c:pt idx="1390">
                  <c:v>40533</c:v>
                </c:pt>
                <c:pt idx="1391">
                  <c:v>40534</c:v>
                </c:pt>
                <c:pt idx="1392">
                  <c:v>40535</c:v>
                </c:pt>
                <c:pt idx="1393">
                  <c:v>40538</c:v>
                </c:pt>
                <c:pt idx="1394">
                  <c:v>40539</c:v>
                </c:pt>
                <c:pt idx="1395">
                  <c:v>40540</c:v>
                </c:pt>
                <c:pt idx="1396">
                  <c:v>40541</c:v>
                </c:pt>
                <c:pt idx="1397">
                  <c:v>40542</c:v>
                </c:pt>
                <c:pt idx="1398">
                  <c:v>40545</c:v>
                </c:pt>
                <c:pt idx="1399">
                  <c:v>40546</c:v>
                </c:pt>
                <c:pt idx="1400">
                  <c:v>40547</c:v>
                </c:pt>
                <c:pt idx="1401">
                  <c:v>40548</c:v>
                </c:pt>
                <c:pt idx="1402">
                  <c:v>40549</c:v>
                </c:pt>
                <c:pt idx="1403">
                  <c:v>40550</c:v>
                </c:pt>
                <c:pt idx="1404">
                  <c:v>40553</c:v>
                </c:pt>
                <c:pt idx="1405">
                  <c:v>40554</c:v>
                </c:pt>
                <c:pt idx="1406">
                  <c:v>40555</c:v>
                </c:pt>
                <c:pt idx="1407">
                  <c:v>40556</c:v>
                </c:pt>
                <c:pt idx="1408">
                  <c:v>40557</c:v>
                </c:pt>
                <c:pt idx="1409">
                  <c:v>40562</c:v>
                </c:pt>
                <c:pt idx="1410">
                  <c:v>40563</c:v>
                </c:pt>
                <c:pt idx="1411">
                  <c:v>40564</c:v>
                </c:pt>
                <c:pt idx="1412">
                  <c:v>40565</c:v>
                </c:pt>
                <c:pt idx="1413">
                  <c:v>40566</c:v>
                </c:pt>
                <c:pt idx="1414">
                  <c:v>40567</c:v>
                </c:pt>
                <c:pt idx="1415">
                  <c:v>40570</c:v>
                </c:pt>
                <c:pt idx="1416">
                  <c:v>40571</c:v>
                </c:pt>
                <c:pt idx="1417">
                  <c:v>40572</c:v>
                </c:pt>
                <c:pt idx="1418">
                  <c:v>40573</c:v>
                </c:pt>
                <c:pt idx="1419">
                  <c:v>40574</c:v>
                </c:pt>
                <c:pt idx="1420">
                  <c:v>40577</c:v>
                </c:pt>
                <c:pt idx="1421">
                  <c:v>40578</c:v>
                </c:pt>
                <c:pt idx="1422">
                  <c:v>40579</c:v>
                </c:pt>
                <c:pt idx="1423">
                  <c:v>40580</c:v>
                </c:pt>
                <c:pt idx="1424">
                  <c:v>40581</c:v>
                </c:pt>
                <c:pt idx="1425">
                  <c:v>40582</c:v>
                </c:pt>
                <c:pt idx="1426">
                  <c:v>40585</c:v>
                </c:pt>
                <c:pt idx="1427">
                  <c:v>40586</c:v>
                </c:pt>
                <c:pt idx="1428">
                  <c:v>40587</c:v>
                </c:pt>
                <c:pt idx="1429">
                  <c:v>40588</c:v>
                </c:pt>
                <c:pt idx="1430">
                  <c:v>40589</c:v>
                </c:pt>
                <c:pt idx="1431">
                  <c:v>40592</c:v>
                </c:pt>
                <c:pt idx="1432">
                  <c:v>40593</c:v>
                </c:pt>
                <c:pt idx="1433">
                  <c:v>40594</c:v>
                </c:pt>
                <c:pt idx="1434">
                  <c:v>40595</c:v>
                </c:pt>
                <c:pt idx="1435">
                  <c:v>40596</c:v>
                </c:pt>
                <c:pt idx="1436">
                  <c:v>40597</c:v>
                </c:pt>
                <c:pt idx="1437">
                  <c:v>40600</c:v>
                </c:pt>
                <c:pt idx="1438">
                  <c:v>40601</c:v>
                </c:pt>
                <c:pt idx="1439">
                  <c:v>40602</c:v>
                </c:pt>
                <c:pt idx="1440">
                  <c:v>40603</c:v>
                </c:pt>
                <c:pt idx="1441">
                  <c:v>40604</c:v>
                </c:pt>
                <c:pt idx="1442">
                  <c:v>40607</c:v>
                </c:pt>
                <c:pt idx="1443">
                  <c:v>40608</c:v>
                </c:pt>
                <c:pt idx="1444">
                  <c:v>40609</c:v>
                </c:pt>
                <c:pt idx="1445">
                  <c:v>40610</c:v>
                </c:pt>
                <c:pt idx="1446">
                  <c:v>40611</c:v>
                </c:pt>
                <c:pt idx="1447">
                  <c:v>40612</c:v>
                </c:pt>
                <c:pt idx="1448">
                  <c:v>40615</c:v>
                </c:pt>
                <c:pt idx="1449">
                  <c:v>40616</c:v>
                </c:pt>
                <c:pt idx="1450">
                  <c:v>40617</c:v>
                </c:pt>
                <c:pt idx="1451">
                  <c:v>40618</c:v>
                </c:pt>
                <c:pt idx="1452">
                  <c:v>40619</c:v>
                </c:pt>
                <c:pt idx="1453">
                  <c:v>40622</c:v>
                </c:pt>
                <c:pt idx="1454">
                  <c:v>40623</c:v>
                </c:pt>
                <c:pt idx="1455">
                  <c:v>40624</c:v>
                </c:pt>
                <c:pt idx="1456">
                  <c:v>40625</c:v>
                </c:pt>
                <c:pt idx="1457">
                  <c:v>40626</c:v>
                </c:pt>
                <c:pt idx="1458">
                  <c:v>40627</c:v>
                </c:pt>
                <c:pt idx="1459">
                  <c:v>40630</c:v>
                </c:pt>
                <c:pt idx="1460">
                  <c:v>40634</c:v>
                </c:pt>
                <c:pt idx="1461">
                  <c:v>40635</c:v>
                </c:pt>
                <c:pt idx="1462">
                  <c:v>40636</c:v>
                </c:pt>
                <c:pt idx="1463">
                  <c:v>40637</c:v>
                </c:pt>
                <c:pt idx="1464">
                  <c:v>40640</c:v>
                </c:pt>
                <c:pt idx="1465">
                  <c:v>40641</c:v>
                </c:pt>
                <c:pt idx="1466">
                  <c:v>40642</c:v>
                </c:pt>
                <c:pt idx="1467">
                  <c:v>40643</c:v>
                </c:pt>
                <c:pt idx="1468">
                  <c:v>40644</c:v>
                </c:pt>
                <c:pt idx="1469">
                  <c:v>40645</c:v>
                </c:pt>
                <c:pt idx="1470">
                  <c:v>40648</c:v>
                </c:pt>
                <c:pt idx="1471">
                  <c:v>40649</c:v>
                </c:pt>
                <c:pt idx="1472">
                  <c:v>40650</c:v>
                </c:pt>
                <c:pt idx="1473">
                  <c:v>40651</c:v>
                </c:pt>
                <c:pt idx="1474">
                  <c:v>40652</c:v>
                </c:pt>
                <c:pt idx="1475">
                  <c:v>40655</c:v>
                </c:pt>
                <c:pt idx="1476">
                  <c:v>40656</c:v>
                </c:pt>
                <c:pt idx="1477">
                  <c:v>40657</c:v>
                </c:pt>
                <c:pt idx="1478">
                  <c:v>40658</c:v>
                </c:pt>
                <c:pt idx="1479">
                  <c:v>40659</c:v>
                </c:pt>
                <c:pt idx="1480">
                  <c:v>40660</c:v>
                </c:pt>
                <c:pt idx="1481">
                  <c:v>40663</c:v>
                </c:pt>
                <c:pt idx="1482">
                  <c:v>40664</c:v>
                </c:pt>
                <c:pt idx="1483">
                  <c:v>40665</c:v>
                </c:pt>
                <c:pt idx="1484">
                  <c:v>40666</c:v>
                </c:pt>
                <c:pt idx="1485">
                  <c:v>40667</c:v>
                </c:pt>
                <c:pt idx="1486">
                  <c:v>40670</c:v>
                </c:pt>
                <c:pt idx="1487">
                  <c:v>40671</c:v>
                </c:pt>
                <c:pt idx="1488">
                  <c:v>40672</c:v>
                </c:pt>
                <c:pt idx="1489">
                  <c:v>40673</c:v>
                </c:pt>
                <c:pt idx="1490">
                  <c:v>40674</c:v>
                </c:pt>
                <c:pt idx="1491">
                  <c:v>40675</c:v>
                </c:pt>
                <c:pt idx="1492">
                  <c:v>40678</c:v>
                </c:pt>
                <c:pt idx="1493">
                  <c:v>40679</c:v>
                </c:pt>
                <c:pt idx="1494">
                  <c:v>40680</c:v>
                </c:pt>
                <c:pt idx="1495">
                  <c:v>40681</c:v>
                </c:pt>
                <c:pt idx="1496">
                  <c:v>40682</c:v>
                </c:pt>
                <c:pt idx="1497">
                  <c:v>40685</c:v>
                </c:pt>
                <c:pt idx="1498">
                  <c:v>40686</c:v>
                </c:pt>
                <c:pt idx="1499">
                  <c:v>40687</c:v>
                </c:pt>
                <c:pt idx="1500">
                  <c:v>40688</c:v>
                </c:pt>
                <c:pt idx="1501">
                  <c:v>40695</c:v>
                </c:pt>
                <c:pt idx="1502">
                  <c:v>40696</c:v>
                </c:pt>
                <c:pt idx="1503">
                  <c:v>40699</c:v>
                </c:pt>
                <c:pt idx="1504">
                  <c:v>40700</c:v>
                </c:pt>
                <c:pt idx="1505">
                  <c:v>40701</c:v>
                </c:pt>
                <c:pt idx="1506">
                  <c:v>40702</c:v>
                </c:pt>
                <c:pt idx="1507">
                  <c:v>40703</c:v>
                </c:pt>
                <c:pt idx="1508">
                  <c:v>40706</c:v>
                </c:pt>
                <c:pt idx="1509">
                  <c:v>40707</c:v>
                </c:pt>
                <c:pt idx="1510">
                  <c:v>40708</c:v>
                </c:pt>
                <c:pt idx="1511">
                  <c:v>40709</c:v>
                </c:pt>
                <c:pt idx="1512">
                  <c:v>40710</c:v>
                </c:pt>
                <c:pt idx="1513">
                  <c:v>40711</c:v>
                </c:pt>
                <c:pt idx="1514">
                  <c:v>40714</c:v>
                </c:pt>
                <c:pt idx="1515">
                  <c:v>40715</c:v>
                </c:pt>
                <c:pt idx="1516">
                  <c:v>40716</c:v>
                </c:pt>
                <c:pt idx="1517">
                  <c:v>40717</c:v>
                </c:pt>
                <c:pt idx="1518">
                  <c:v>40718</c:v>
                </c:pt>
                <c:pt idx="1519">
                  <c:v>40721</c:v>
                </c:pt>
                <c:pt idx="1520">
                  <c:v>40722</c:v>
                </c:pt>
                <c:pt idx="1521">
                  <c:v>40723</c:v>
                </c:pt>
                <c:pt idx="1522">
                  <c:v>40724</c:v>
                </c:pt>
                <c:pt idx="1523">
                  <c:v>40725</c:v>
                </c:pt>
                <c:pt idx="1524">
                  <c:v>40726</c:v>
                </c:pt>
                <c:pt idx="1525">
                  <c:v>40729</c:v>
                </c:pt>
                <c:pt idx="1526">
                  <c:v>40730</c:v>
                </c:pt>
                <c:pt idx="1527">
                  <c:v>40731</c:v>
                </c:pt>
                <c:pt idx="1528">
                  <c:v>40732</c:v>
                </c:pt>
                <c:pt idx="1529">
                  <c:v>40733</c:v>
                </c:pt>
                <c:pt idx="1530">
                  <c:v>40736</c:v>
                </c:pt>
                <c:pt idx="1531">
                  <c:v>40737</c:v>
                </c:pt>
                <c:pt idx="1532">
                  <c:v>40738</c:v>
                </c:pt>
                <c:pt idx="1533">
                  <c:v>40739</c:v>
                </c:pt>
                <c:pt idx="1534">
                  <c:v>40740</c:v>
                </c:pt>
                <c:pt idx="1535">
                  <c:v>40741</c:v>
                </c:pt>
                <c:pt idx="1536">
                  <c:v>40744</c:v>
                </c:pt>
                <c:pt idx="1537">
                  <c:v>40745</c:v>
                </c:pt>
                <c:pt idx="1538">
                  <c:v>40746</c:v>
                </c:pt>
                <c:pt idx="1539">
                  <c:v>40747</c:v>
                </c:pt>
                <c:pt idx="1540">
                  <c:v>40748</c:v>
                </c:pt>
                <c:pt idx="1541">
                  <c:v>40751</c:v>
                </c:pt>
                <c:pt idx="1542">
                  <c:v>40752</c:v>
                </c:pt>
                <c:pt idx="1543">
                  <c:v>40753</c:v>
                </c:pt>
                <c:pt idx="1544">
                  <c:v>40754</c:v>
                </c:pt>
                <c:pt idx="1545">
                  <c:v>40755</c:v>
                </c:pt>
                <c:pt idx="1546">
                  <c:v>40756</c:v>
                </c:pt>
                <c:pt idx="1547">
                  <c:v>40759</c:v>
                </c:pt>
                <c:pt idx="1548">
                  <c:v>40763</c:v>
                </c:pt>
                <c:pt idx="1549">
                  <c:v>40764</c:v>
                </c:pt>
                <c:pt idx="1550">
                  <c:v>40765</c:v>
                </c:pt>
                <c:pt idx="1551">
                  <c:v>40766</c:v>
                </c:pt>
                <c:pt idx="1552">
                  <c:v>40769</c:v>
                </c:pt>
                <c:pt idx="1553">
                  <c:v>40770</c:v>
                </c:pt>
                <c:pt idx="1554">
                  <c:v>40771</c:v>
                </c:pt>
                <c:pt idx="1555">
                  <c:v>40772</c:v>
                </c:pt>
                <c:pt idx="1556">
                  <c:v>40773</c:v>
                </c:pt>
                <c:pt idx="1557">
                  <c:v>40774</c:v>
                </c:pt>
                <c:pt idx="1558">
                  <c:v>40777</c:v>
                </c:pt>
                <c:pt idx="1559">
                  <c:v>40778</c:v>
                </c:pt>
                <c:pt idx="1560">
                  <c:v>40779</c:v>
                </c:pt>
                <c:pt idx="1561">
                  <c:v>40780</c:v>
                </c:pt>
                <c:pt idx="1562">
                  <c:v>40781</c:v>
                </c:pt>
                <c:pt idx="1563">
                  <c:v>40784</c:v>
                </c:pt>
                <c:pt idx="1564">
                  <c:v>40785</c:v>
                </c:pt>
                <c:pt idx="1565">
                  <c:v>40786</c:v>
                </c:pt>
                <c:pt idx="1566">
                  <c:v>40787</c:v>
                </c:pt>
                <c:pt idx="1567">
                  <c:v>40788</c:v>
                </c:pt>
                <c:pt idx="1568">
                  <c:v>40789</c:v>
                </c:pt>
                <c:pt idx="1569">
                  <c:v>40792</c:v>
                </c:pt>
                <c:pt idx="1570">
                  <c:v>40793</c:v>
                </c:pt>
                <c:pt idx="1571">
                  <c:v>40794</c:v>
                </c:pt>
                <c:pt idx="1572">
                  <c:v>40795</c:v>
                </c:pt>
                <c:pt idx="1573">
                  <c:v>40796</c:v>
                </c:pt>
                <c:pt idx="1574">
                  <c:v>40799</c:v>
                </c:pt>
                <c:pt idx="1575">
                  <c:v>40800</c:v>
                </c:pt>
                <c:pt idx="1576">
                  <c:v>40801</c:v>
                </c:pt>
                <c:pt idx="1577">
                  <c:v>40802</c:v>
                </c:pt>
                <c:pt idx="1578">
                  <c:v>40803</c:v>
                </c:pt>
                <c:pt idx="1579">
                  <c:v>40804</c:v>
                </c:pt>
                <c:pt idx="1580">
                  <c:v>40807</c:v>
                </c:pt>
                <c:pt idx="1581">
                  <c:v>40808</c:v>
                </c:pt>
                <c:pt idx="1582">
                  <c:v>40809</c:v>
                </c:pt>
                <c:pt idx="1583">
                  <c:v>40810</c:v>
                </c:pt>
                <c:pt idx="1584">
                  <c:v>40811</c:v>
                </c:pt>
                <c:pt idx="1585">
                  <c:v>40814</c:v>
                </c:pt>
                <c:pt idx="1586">
                  <c:v>40816</c:v>
                </c:pt>
                <c:pt idx="1587">
                  <c:v>40817</c:v>
                </c:pt>
                <c:pt idx="1588">
                  <c:v>40818</c:v>
                </c:pt>
                <c:pt idx="1589">
                  <c:v>40819</c:v>
                </c:pt>
                <c:pt idx="1590">
                  <c:v>40820</c:v>
                </c:pt>
                <c:pt idx="1591">
                  <c:v>40823</c:v>
                </c:pt>
                <c:pt idx="1592">
                  <c:v>40824</c:v>
                </c:pt>
                <c:pt idx="1593">
                  <c:v>40825</c:v>
                </c:pt>
                <c:pt idx="1594">
                  <c:v>40826</c:v>
                </c:pt>
                <c:pt idx="1595">
                  <c:v>40827</c:v>
                </c:pt>
                <c:pt idx="1596">
                  <c:v>40830</c:v>
                </c:pt>
                <c:pt idx="1597">
                  <c:v>40831</c:v>
                </c:pt>
                <c:pt idx="1598">
                  <c:v>40832</c:v>
                </c:pt>
                <c:pt idx="1599">
                  <c:v>40833</c:v>
                </c:pt>
                <c:pt idx="1600">
                  <c:v>40834</c:v>
                </c:pt>
                <c:pt idx="1601">
                  <c:v>40835</c:v>
                </c:pt>
                <c:pt idx="1602">
                  <c:v>40838</c:v>
                </c:pt>
                <c:pt idx="1603">
                  <c:v>40839</c:v>
                </c:pt>
                <c:pt idx="1604">
                  <c:v>40840</c:v>
                </c:pt>
                <c:pt idx="1605">
                  <c:v>40841</c:v>
                </c:pt>
                <c:pt idx="1606">
                  <c:v>40842</c:v>
                </c:pt>
                <c:pt idx="1607">
                  <c:v>40845</c:v>
                </c:pt>
                <c:pt idx="1608">
                  <c:v>40846</c:v>
                </c:pt>
                <c:pt idx="1609">
                  <c:v>40847</c:v>
                </c:pt>
                <c:pt idx="1610">
                  <c:v>40848</c:v>
                </c:pt>
                <c:pt idx="1611">
                  <c:v>40849</c:v>
                </c:pt>
                <c:pt idx="1612">
                  <c:v>40850</c:v>
                </c:pt>
                <c:pt idx="1613">
                  <c:v>40853</c:v>
                </c:pt>
                <c:pt idx="1614">
                  <c:v>40854</c:v>
                </c:pt>
                <c:pt idx="1615">
                  <c:v>40855</c:v>
                </c:pt>
                <c:pt idx="1616">
                  <c:v>40856</c:v>
                </c:pt>
                <c:pt idx="1617">
                  <c:v>40857</c:v>
                </c:pt>
                <c:pt idx="1618">
                  <c:v>40860</c:v>
                </c:pt>
                <c:pt idx="1619">
                  <c:v>40861</c:v>
                </c:pt>
                <c:pt idx="1620">
                  <c:v>40862</c:v>
                </c:pt>
                <c:pt idx="1621">
                  <c:v>40863</c:v>
                </c:pt>
                <c:pt idx="1622">
                  <c:v>40864</c:v>
                </c:pt>
                <c:pt idx="1623">
                  <c:v>40865</c:v>
                </c:pt>
                <c:pt idx="1624">
                  <c:v>40868</c:v>
                </c:pt>
                <c:pt idx="1625">
                  <c:v>40869</c:v>
                </c:pt>
                <c:pt idx="1626">
                  <c:v>40870</c:v>
                </c:pt>
                <c:pt idx="1627">
                  <c:v>40871</c:v>
                </c:pt>
                <c:pt idx="1628">
                  <c:v>40872</c:v>
                </c:pt>
                <c:pt idx="1629">
                  <c:v>40875</c:v>
                </c:pt>
                <c:pt idx="1630">
                  <c:v>40876</c:v>
                </c:pt>
                <c:pt idx="1631">
                  <c:v>40877</c:v>
                </c:pt>
                <c:pt idx="1632">
                  <c:v>40878</c:v>
                </c:pt>
                <c:pt idx="1633">
                  <c:v>40879</c:v>
                </c:pt>
                <c:pt idx="1634">
                  <c:v>40880</c:v>
                </c:pt>
                <c:pt idx="1635">
                  <c:v>40883</c:v>
                </c:pt>
                <c:pt idx="1636">
                  <c:v>40884</c:v>
                </c:pt>
                <c:pt idx="1637">
                  <c:v>40885</c:v>
                </c:pt>
                <c:pt idx="1638">
                  <c:v>40886</c:v>
                </c:pt>
                <c:pt idx="1639">
                  <c:v>40887</c:v>
                </c:pt>
                <c:pt idx="1640">
                  <c:v>40890</c:v>
                </c:pt>
                <c:pt idx="1641">
                  <c:v>40891</c:v>
                </c:pt>
                <c:pt idx="1642">
                  <c:v>40892</c:v>
                </c:pt>
                <c:pt idx="1643">
                  <c:v>40898</c:v>
                </c:pt>
                <c:pt idx="1644">
                  <c:v>40899</c:v>
                </c:pt>
                <c:pt idx="1645">
                  <c:v>40900</c:v>
                </c:pt>
                <c:pt idx="1646">
                  <c:v>40903</c:v>
                </c:pt>
                <c:pt idx="1647">
                  <c:v>40904</c:v>
                </c:pt>
                <c:pt idx="1648">
                  <c:v>40905</c:v>
                </c:pt>
                <c:pt idx="1649">
                  <c:v>40906</c:v>
                </c:pt>
                <c:pt idx="1650">
                  <c:v>40907</c:v>
                </c:pt>
                <c:pt idx="1651">
                  <c:v>40910</c:v>
                </c:pt>
                <c:pt idx="1652">
                  <c:v>40911</c:v>
                </c:pt>
                <c:pt idx="1653">
                  <c:v>40912</c:v>
                </c:pt>
                <c:pt idx="1654">
                  <c:v>40913</c:v>
                </c:pt>
                <c:pt idx="1655">
                  <c:v>40914</c:v>
                </c:pt>
                <c:pt idx="1656">
                  <c:v>40915</c:v>
                </c:pt>
                <c:pt idx="1657">
                  <c:v>40918</c:v>
                </c:pt>
                <c:pt idx="1658">
                  <c:v>40919</c:v>
                </c:pt>
                <c:pt idx="1659">
                  <c:v>40920</c:v>
                </c:pt>
                <c:pt idx="1660">
                  <c:v>40921</c:v>
                </c:pt>
                <c:pt idx="1661">
                  <c:v>40922</c:v>
                </c:pt>
                <c:pt idx="1662">
                  <c:v>40925</c:v>
                </c:pt>
                <c:pt idx="1663">
                  <c:v>40926</c:v>
                </c:pt>
                <c:pt idx="1664">
                  <c:v>40927</c:v>
                </c:pt>
                <c:pt idx="1665">
                  <c:v>40928</c:v>
                </c:pt>
                <c:pt idx="1666">
                  <c:v>40934</c:v>
                </c:pt>
                <c:pt idx="1667">
                  <c:v>40935</c:v>
                </c:pt>
                <c:pt idx="1668">
                  <c:v>40938</c:v>
                </c:pt>
                <c:pt idx="1669">
                  <c:v>40939</c:v>
                </c:pt>
                <c:pt idx="1670">
                  <c:v>40940</c:v>
                </c:pt>
                <c:pt idx="1671">
                  <c:v>40941</c:v>
                </c:pt>
                <c:pt idx="1672">
                  <c:v>40942</c:v>
                </c:pt>
                <c:pt idx="1673">
                  <c:v>40945</c:v>
                </c:pt>
                <c:pt idx="1674">
                  <c:v>40946</c:v>
                </c:pt>
                <c:pt idx="1675">
                  <c:v>40947</c:v>
                </c:pt>
                <c:pt idx="1676">
                  <c:v>40948</c:v>
                </c:pt>
                <c:pt idx="1677">
                  <c:v>40949</c:v>
                </c:pt>
                <c:pt idx="1678">
                  <c:v>40950</c:v>
                </c:pt>
                <c:pt idx="1679">
                  <c:v>40953</c:v>
                </c:pt>
                <c:pt idx="1680">
                  <c:v>40954</c:v>
                </c:pt>
                <c:pt idx="1681">
                  <c:v>40955</c:v>
                </c:pt>
                <c:pt idx="1682">
                  <c:v>40956</c:v>
                </c:pt>
                <c:pt idx="1683">
                  <c:v>40957</c:v>
                </c:pt>
                <c:pt idx="1684">
                  <c:v>40960</c:v>
                </c:pt>
                <c:pt idx="1685">
                  <c:v>40961</c:v>
                </c:pt>
                <c:pt idx="1686">
                  <c:v>40962</c:v>
                </c:pt>
                <c:pt idx="1687">
                  <c:v>40963</c:v>
                </c:pt>
                <c:pt idx="1688">
                  <c:v>40964</c:v>
                </c:pt>
                <c:pt idx="1689">
                  <c:v>40965</c:v>
                </c:pt>
                <c:pt idx="1690">
                  <c:v>40968</c:v>
                </c:pt>
                <c:pt idx="1691">
                  <c:v>40969</c:v>
                </c:pt>
                <c:pt idx="1692">
                  <c:v>40970</c:v>
                </c:pt>
                <c:pt idx="1693">
                  <c:v>40971</c:v>
                </c:pt>
                <c:pt idx="1694">
                  <c:v>40972</c:v>
                </c:pt>
                <c:pt idx="1695">
                  <c:v>40975</c:v>
                </c:pt>
                <c:pt idx="1696">
                  <c:v>40976</c:v>
                </c:pt>
                <c:pt idx="1697">
                  <c:v>40977</c:v>
                </c:pt>
                <c:pt idx="1698">
                  <c:v>40978</c:v>
                </c:pt>
                <c:pt idx="1699">
                  <c:v>40979</c:v>
                </c:pt>
                <c:pt idx="1700">
                  <c:v>40980</c:v>
                </c:pt>
                <c:pt idx="1701">
                  <c:v>40983</c:v>
                </c:pt>
                <c:pt idx="1702">
                  <c:v>40984</c:v>
                </c:pt>
                <c:pt idx="1703">
                  <c:v>40985</c:v>
                </c:pt>
                <c:pt idx="1704">
                  <c:v>40986</c:v>
                </c:pt>
                <c:pt idx="1705">
                  <c:v>40987</c:v>
                </c:pt>
                <c:pt idx="1706">
                  <c:v>40990</c:v>
                </c:pt>
                <c:pt idx="1707">
                  <c:v>40991</c:v>
                </c:pt>
                <c:pt idx="1708">
                  <c:v>40992</c:v>
                </c:pt>
                <c:pt idx="1709">
                  <c:v>40993</c:v>
                </c:pt>
                <c:pt idx="1710">
                  <c:v>40994</c:v>
                </c:pt>
                <c:pt idx="1711">
                  <c:v>40995</c:v>
                </c:pt>
                <c:pt idx="1712">
                  <c:v>40998</c:v>
                </c:pt>
                <c:pt idx="1713">
                  <c:v>41002</c:v>
                </c:pt>
                <c:pt idx="1714">
                  <c:v>41003</c:v>
                </c:pt>
                <c:pt idx="1715">
                  <c:v>41004</c:v>
                </c:pt>
                <c:pt idx="1716">
                  <c:v>41005</c:v>
                </c:pt>
                <c:pt idx="1717">
                  <c:v>41008</c:v>
                </c:pt>
                <c:pt idx="1718">
                  <c:v>41009</c:v>
                </c:pt>
                <c:pt idx="1719">
                  <c:v>41010</c:v>
                </c:pt>
                <c:pt idx="1720">
                  <c:v>41011</c:v>
                </c:pt>
                <c:pt idx="1721">
                  <c:v>41012</c:v>
                </c:pt>
                <c:pt idx="1722">
                  <c:v>41013</c:v>
                </c:pt>
                <c:pt idx="1723">
                  <c:v>41016</c:v>
                </c:pt>
                <c:pt idx="1724">
                  <c:v>41017</c:v>
                </c:pt>
                <c:pt idx="1725">
                  <c:v>41018</c:v>
                </c:pt>
                <c:pt idx="1726">
                  <c:v>41019</c:v>
                </c:pt>
                <c:pt idx="1727">
                  <c:v>41020</c:v>
                </c:pt>
                <c:pt idx="1728">
                  <c:v>41023</c:v>
                </c:pt>
                <c:pt idx="1729">
                  <c:v>41024</c:v>
                </c:pt>
                <c:pt idx="1730">
                  <c:v>41025</c:v>
                </c:pt>
                <c:pt idx="1731">
                  <c:v>41026</c:v>
                </c:pt>
                <c:pt idx="1732">
                  <c:v>41030</c:v>
                </c:pt>
                <c:pt idx="1733">
                  <c:v>41031</c:v>
                </c:pt>
                <c:pt idx="1734">
                  <c:v>41034</c:v>
                </c:pt>
                <c:pt idx="1735">
                  <c:v>41035</c:v>
                </c:pt>
                <c:pt idx="1736">
                  <c:v>41036</c:v>
                </c:pt>
                <c:pt idx="1737">
                  <c:v>41037</c:v>
                </c:pt>
                <c:pt idx="1738">
                  <c:v>41038</c:v>
                </c:pt>
                <c:pt idx="1739">
                  <c:v>41041</c:v>
                </c:pt>
                <c:pt idx="1740">
                  <c:v>41042</c:v>
                </c:pt>
                <c:pt idx="1741">
                  <c:v>41043</c:v>
                </c:pt>
                <c:pt idx="1742">
                  <c:v>41044</c:v>
                </c:pt>
                <c:pt idx="1743">
                  <c:v>41045</c:v>
                </c:pt>
                <c:pt idx="1744">
                  <c:v>41046</c:v>
                </c:pt>
                <c:pt idx="1745">
                  <c:v>41049</c:v>
                </c:pt>
                <c:pt idx="1746">
                  <c:v>41050</c:v>
                </c:pt>
                <c:pt idx="1747">
                  <c:v>41051</c:v>
                </c:pt>
                <c:pt idx="1748">
                  <c:v>41052</c:v>
                </c:pt>
                <c:pt idx="1749">
                  <c:v>41053</c:v>
                </c:pt>
                <c:pt idx="1750">
                  <c:v>41056</c:v>
                </c:pt>
                <c:pt idx="1751">
                  <c:v>41057</c:v>
                </c:pt>
                <c:pt idx="1752">
                  <c:v>41058</c:v>
                </c:pt>
                <c:pt idx="1753">
                  <c:v>41059</c:v>
                </c:pt>
                <c:pt idx="1754">
                  <c:v>41060</c:v>
                </c:pt>
                <c:pt idx="1755">
                  <c:v>41061</c:v>
                </c:pt>
                <c:pt idx="1756">
                  <c:v>41064</c:v>
                </c:pt>
                <c:pt idx="1757">
                  <c:v>41065</c:v>
                </c:pt>
                <c:pt idx="1758">
                  <c:v>41066</c:v>
                </c:pt>
                <c:pt idx="1759">
                  <c:v>41067</c:v>
                </c:pt>
                <c:pt idx="1760">
                  <c:v>41068</c:v>
                </c:pt>
                <c:pt idx="1761">
                  <c:v>41071</c:v>
                </c:pt>
                <c:pt idx="1762">
                  <c:v>41072</c:v>
                </c:pt>
                <c:pt idx="1763">
                  <c:v>41073</c:v>
                </c:pt>
                <c:pt idx="1764">
                  <c:v>41074</c:v>
                </c:pt>
                <c:pt idx="1765">
                  <c:v>41075</c:v>
                </c:pt>
                <c:pt idx="1766">
                  <c:v>41076</c:v>
                </c:pt>
                <c:pt idx="1767">
                  <c:v>41079</c:v>
                </c:pt>
                <c:pt idx="1768">
                  <c:v>41080</c:v>
                </c:pt>
                <c:pt idx="1769">
                  <c:v>41081</c:v>
                </c:pt>
                <c:pt idx="1770">
                  <c:v>41082</c:v>
                </c:pt>
                <c:pt idx="1771">
                  <c:v>41083</c:v>
                </c:pt>
                <c:pt idx="1772">
                  <c:v>41086</c:v>
                </c:pt>
                <c:pt idx="1773">
                  <c:v>41087</c:v>
                </c:pt>
                <c:pt idx="1774">
                  <c:v>41088</c:v>
                </c:pt>
                <c:pt idx="1775">
                  <c:v>41089</c:v>
                </c:pt>
                <c:pt idx="1776">
                  <c:v>41090</c:v>
                </c:pt>
                <c:pt idx="1777">
                  <c:v>41091</c:v>
                </c:pt>
                <c:pt idx="1778">
                  <c:v>41094</c:v>
                </c:pt>
                <c:pt idx="1779">
                  <c:v>41095</c:v>
                </c:pt>
                <c:pt idx="1780">
                  <c:v>41096</c:v>
                </c:pt>
                <c:pt idx="1781">
                  <c:v>41097</c:v>
                </c:pt>
                <c:pt idx="1782">
                  <c:v>41098</c:v>
                </c:pt>
                <c:pt idx="1783">
                  <c:v>41101</c:v>
                </c:pt>
                <c:pt idx="1784">
                  <c:v>41102</c:v>
                </c:pt>
                <c:pt idx="1785">
                  <c:v>41103</c:v>
                </c:pt>
                <c:pt idx="1786">
                  <c:v>41104</c:v>
                </c:pt>
                <c:pt idx="1787">
                  <c:v>41105</c:v>
                </c:pt>
                <c:pt idx="1788">
                  <c:v>41106</c:v>
                </c:pt>
                <c:pt idx="1789">
                  <c:v>41109</c:v>
                </c:pt>
                <c:pt idx="1790">
                  <c:v>41110</c:v>
                </c:pt>
                <c:pt idx="1791">
                  <c:v>41111</c:v>
                </c:pt>
                <c:pt idx="1792">
                  <c:v>41112</c:v>
                </c:pt>
                <c:pt idx="1793">
                  <c:v>41113</c:v>
                </c:pt>
                <c:pt idx="1794">
                  <c:v>41116</c:v>
                </c:pt>
                <c:pt idx="1795">
                  <c:v>41117</c:v>
                </c:pt>
                <c:pt idx="1796">
                  <c:v>41122</c:v>
                </c:pt>
                <c:pt idx="1797">
                  <c:v>41123</c:v>
                </c:pt>
                <c:pt idx="1798">
                  <c:v>41124</c:v>
                </c:pt>
                <c:pt idx="1799">
                  <c:v>41125</c:v>
                </c:pt>
                <c:pt idx="1800">
                  <c:v>41128</c:v>
                </c:pt>
                <c:pt idx="1801">
                  <c:v>41129</c:v>
                </c:pt>
                <c:pt idx="1802">
                  <c:v>41130</c:v>
                </c:pt>
                <c:pt idx="1803">
                  <c:v>41131</c:v>
                </c:pt>
                <c:pt idx="1804">
                  <c:v>41132</c:v>
                </c:pt>
                <c:pt idx="1805">
                  <c:v>41135</c:v>
                </c:pt>
                <c:pt idx="1806">
                  <c:v>41136</c:v>
                </c:pt>
                <c:pt idx="1807">
                  <c:v>41137</c:v>
                </c:pt>
                <c:pt idx="1808">
                  <c:v>41138</c:v>
                </c:pt>
                <c:pt idx="1809">
                  <c:v>41139</c:v>
                </c:pt>
                <c:pt idx="1810">
                  <c:v>41140</c:v>
                </c:pt>
                <c:pt idx="1811">
                  <c:v>41143</c:v>
                </c:pt>
                <c:pt idx="1812">
                  <c:v>41144</c:v>
                </c:pt>
                <c:pt idx="1813">
                  <c:v>41145</c:v>
                </c:pt>
                <c:pt idx="1814">
                  <c:v>41146</c:v>
                </c:pt>
                <c:pt idx="1815">
                  <c:v>41147</c:v>
                </c:pt>
                <c:pt idx="1816">
                  <c:v>41150</c:v>
                </c:pt>
                <c:pt idx="1817">
                  <c:v>41151</c:v>
                </c:pt>
                <c:pt idx="1818">
                  <c:v>41152</c:v>
                </c:pt>
                <c:pt idx="1819">
                  <c:v>41156</c:v>
                </c:pt>
                <c:pt idx="1820">
                  <c:v>41157</c:v>
                </c:pt>
                <c:pt idx="1821">
                  <c:v>41158</c:v>
                </c:pt>
                <c:pt idx="1822">
                  <c:v>41161</c:v>
                </c:pt>
                <c:pt idx="1823">
                  <c:v>41162</c:v>
                </c:pt>
                <c:pt idx="1824">
                  <c:v>41163</c:v>
                </c:pt>
                <c:pt idx="1825">
                  <c:v>41164</c:v>
                </c:pt>
                <c:pt idx="1826">
                  <c:v>41165</c:v>
                </c:pt>
                <c:pt idx="1827">
                  <c:v>41168</c:v>
                </c:pt>
                <c:pt idx="1828">
                  <c:v>41169</c:v>
                </c:pt>
                <c:pt idx="1829">
                  <c:v>41170</c:v>
                </c:pt>
                <c:pt idx="1830">
                  <c:v>41171</c:v>
                </c:pt>
                <c:pt idx="1831">
                  <c:v>41172</c:v>
                </c:pt>
                <c:pt idx="1832">
                  <c:v>41173</c:v>
                </c:pt>
                <c:pt idx="1833">
                  <c:v>41176</c:v>
                </c:pt>
                <c:pt idx="1834">
                  <c:v>41177</c:v>
                </c:pt>
                <c:pt idx="1835">
                  <c:v>41178</c:v>
                </c:pt>
                <c:pt idx="1836">
                  <c:v>41179</c:v>
                </c:pt>
                <c:pt idx="1837">
                  <c:v>41180</c:v>
                </c:pt>
                <c:pt idx="1838">
                  <c:v>41183</c:v>
                </c:pt>
                <c:pt idx="1839">
                  <c:v>41184</c:v>
                </c:pt>
                <c:pt idx="1840">
                  <c:v>41185</c:v>
                </c:pt>
                <c:pt idx="1841">
                  <c:v>41186</c:v>
                </c:pt>
                <c:pt idx="1842">
                  <c:v>41187</c:v>
                </c:pt>
                <c:pt idx="1843">
                  <c:v>41188</c:v>
                </c:pt>
                <c:pt idx="1844">
                  <c:v>41191</c:v>
                </c:pt>
                <c:pt idx="1845">
                  <c:v>41192</c:v>
                </c:pt>
                <c:pt idx="1846">
                  <c:v>41193</c:v>
                </c:pt>
                <c:pt idx="1847">
                  <c:v>41194</c:v>
                </c:pt>
                <c:pt idx="1848">
                  <c:v>41195</c:v>
                </c:pt>
                <c:pt idx="1849">
                  <c:v>41198</c:v>
                </c:pt>
                <c:pt idx="1850">
                  <c:v>41199</c:v>
                </c:pt>
                <c:pt idx="1851">
                  <c:v>41200</c:v>
                </c:pt>
                <c:pt idx="1852">
                  <c:v>41201</c:v>
                </c:pt>
                <c:pt idx="1853">
                  <c:v>41202</c:v>
                </c:pt>
                <c:pt idx="1854">
                  <c:v>41203</c:v>
                </c:pt>
                <c:pt idx="1855">
                  <c:v>41206</c:v>
                </c:pt>
                <c:pt idx="1856">
                  <c:v>41207</c:v>
                </c:pt>
                <c:pt idx="1857">
                  <c:v>41208</c:v>
                </c:pt>
                <c:pt idx="1858">
                  <c:v>41209</c:v>
                </c:pt>
                <c:pt idx="1859">
                  <c:v>41214</c:v>
                </c:pt>
                <c:pt idx="1860">
                  <c:v>41217</c:v>
                </c:pt>
                <c:pt idx="1861">
                  <c:v>41218</c:v>
                </c:pt>
                <c:pt idx="1862">
                  <c:v>41219</c:v>
                </c:pt>
                <c:pt idx="1863">
                  <c:v>41220</c:v>
                </c:pt>
                <c:pt idx="1864">
                  <c:v>41221</c:v>
                </c:pt>
                <c:pt idx="1865">
                  <c:v>41222</c:v>
                </c:pt>
                <c:pt idx="1866">
                  <c:v>41225</c:v>
                </c:pt>
                <c:pt idx="1867">
                  <c:v>41226</c:v>
                </c:pt>
                <c:pt idx="1868">
                  <c:v>41227</c:v>
                </c:pt>
                <c:pt idx="1869">
                  <c:v>41228</c:v>
                </c:pt>
                <c:pt idx="1870">
                  <c:v>41229</c:v>
                </c:pt>
                <c:pt idx="1871">
                  <c:v>41232</c:v>
                </c:pt>
                <c:pt idx="1872">
                  <c:v>41233</c:v>
                </c:pt>
                <c:pt idx="1873">
                  <c:v>41234</c:v>
                </c:pt>
                <c:pt idx="1874">
                  <c:v>41235</c:v>
                </c:pt>
                <c:pt idx="1875">
                  <c:v>41236</c:v>
                </c:pt>
                <c:pt idx="1876">
                  <c:v>41237</c:v>
                </c:pt>
                <c:pt idx="1877">
                  <c:v>41240</c:v>
                </c:pt>
                <c:pt idx="1878">
                  <c:v>41241</c:v>
                </c:pt>
                <c:pt idx="1879">
                  <c:v>41242</c:v>
                </c:pt>
                <c:pt idx="1880">
                  <c:v>41243</c:v>
                </c:pt>
                <c:pt idx="1881">
                  <c:v>41244</c:v>
                </c:pt>
                <c:pt idx="1882">
                  <c:v>41247</c:v>
                </c:pt>
                <c:pt idx="1883">
                  <c:v>41248</c:v>
                </c:pt>
                <c:pt idx="1884">
                  <c:v>41249</c:v>
                </c:pt>
                <c:pt idx="1885">
                  <c:v>41253</c:v>
                </c:pt>
                <c:pt idx="1886">
                  <c:v>41254</c:v>
                </c:pt>
                <c:pt idx="1887">
                  <c:v>41255</c:v>
                </c:pt>
                <c:pt idx="1888">
                  <c:v>41258</c:v>
                </c:pt>
                <c:pt idx="1889">
                  <c:v>41259</c:v>
                </c:pt>
                <c:pt idx="1890">
                  <c:v>41260</c:v>
                </c:pt>
                <c:pt idx="1891">
                  <c:v>41261</c:v>
                </c:pt>
                <c:pt idx="1892">
                  <c:v>41262</c:v>
                </c:pt>
                <c:pt idx="1893">
                  <c:v>41265</c:v>
                </c:pt>
                <c:pt idx="1894">
                  <c:v>41266</c:v>
                </c:pt>
                <c:pt idx="1895">
                  <c:v>41267</c:v>
                </c:pt>
                <c:pt idx="1896">
                  <c:v>41268</c:v>
                </c:pt>
                <c:pt idx="1897">
                  <c:v>41269</c:v>
                </c:pt>
                <c:pt idx="1898">
                  <c:v>41270</c:v>
                </c:pt>
                <c:pt idx="1899">
                  <c:v>41273</c:v>
                </c:pt>
                <c:pt idx="1900">
                  <c:v>41274</c:v>
                </c:pt>
                <c:pt idx="1901">
                  <c:v>41275</c:v>
                </c:pt>
                <c:pt idx="1902">
                  <c:v>41276</c:v>
                </c:pt>
                <c:pt idx="1903">
                  <c:v>41277</c:v>
                </c:pt>
                <c:pt idx="1904">
                  <c:v>41280</c:v>
                </c:pt>
                <c:pt idx="1905">
                  <c:v>41281</c:v>
                </c:pt>
                <c:pt idx="1906">
                  <c:v>41284</c:v>
                </c:pt>
                <c:pt idx="1907">
                  <c:v>41285</c:v>
                </c:pt>
                <c:pt idx="1908">
                  <c:v>41286</c:v>
                </c:pt>
                <c:pt idx="1909">
                  <c:v>41287</c:v>
                </c:pt>
                <c:pt idx="1910">
                  <c:v>41290</c:v>
                </c:pt>
                <c:pt idx="1911">
                  <c:v>41291</c:v>
                </c:pt>
                <c:pt idx="1912">
                  <c:v>41292</c:v>
                </c:pt>
                <c:pt idx="1913">
                  <c:v>41293</c:v>
                </c:pt>
                <c:pt idx="1914">
                  <c:v>41294</c:v>
                </c:pt>
                <c:pt idx="1915">
                  <c:v>41297</c:v>
                </c:pt>
                <c:pt idx="1916">
                  <c:v>41298</c:v>
                </c:pt>
                <c:pt idx="1917">
                  <c:v>41299</c:v>
                </c:pt>
                <c:pt idx="1918">
                  <c:v>41300</c:v>
                </c:pt>
                <c:pt idx="1919">
                  <c:v>41301</c:v>
                </c:pt>
                <c:pt idx="1920">
                  <c:v>41302</c:v>
                </c:pt>
                <c:pt idx="1921">
                  <c:v>41305</c:v>
                </c:pt>
                <c:pt idx="1922">
                  <c:v>41306</c:v>
                </c:pt>
                <c:pt idx="1923">
                  <c:v>41310</c:v>
                </c:pt>
                <c:pt idx="1924">
                  <c:v>41311</c:v>
                </c:pt>
                <c:pt idx="1925">
                  <c:v>41312</c:v>
                </c:pt>
                <c:pt idx="1926">
                  <c:v>41315</c:v>
                </c:pt>
                <c:pt idx="1927">
                  <c:v>41316</c:v>
                </c:pt>
                <c:pt idx="1928">
                  <c:v>41317</c:v>
                </c:pt>
                <c:pt idx="1929">
                  <c:v>41318</c:v>
                </c:pt>
                <c:pt idx="1930">
                  <c:v>41319</c:v>
                </c:pt>
                <c:pt idx="1931">
                  <c:v>41320</c:v>
                </c:pt>
                <c:pt idx="1932">
                  <c:v>41323</c:v>
                </c:pt>
                <c:pt idx="1933">
                  <c:v>41324</c:v>
                </c:pt>
                <c:pt idx="1934">
                  <c:v>41325</c:v>
                </c:pt>
                <c:pt idx="1935">
                  <c:v>41326</c:v>
                </c:pt>
                <c:pt idx="1936">
                  <c:v>41327</c:v>
                </c:pt>
                <c:pt idx="1937">
                  <c:v>41330</c:v>
                </c:pt>
                <c:pt idx="1938">
                  <c:v>41331</c:v>
                </c:pt>
                <c:pt idx="1939">
                  <c:v>41332</c:v>
                </c:pt>
                <c:pt idx="1940">
                  <c:v>41333</c:v>
                </c:pt>
                <c:pt idx="1941">
                  <c:v>41337</c:v>
                </c:pt>
                <c:pt idx="1942">
                  <c:v>41338</c:v>
                </c:pt>
                <c:pt idx="1943">
                  <c:v>41341</c:v>
                </c:pt>
                <c:pt idx="1944">
                  <c:v>41342</c:v>
                </c:pt>
                <c:pt idx="1945">
                  <c:v>41343</c:v>
                </c:pt>
                <c:pt idx="1946">
                  <c:v>41344</c:v>
                </c:pt>
                <c:pt idx="1947">
                  <c:v>41345</c:v>
                </c:pt>
                <c:pt idx="1948">
                  <c:v>41348</c:v>
                </c:pt>
                <c:pt idx="1949">
                  <c:v>41349</c:v>
                </c:pt>
                <c:pt idx="1950">
                  <c:v>41350</c:v>
                </c:pt>
                <c:pt idx="1951">
                  <c:v>41351</c:v>
                </c:pt>
                <c:pt idx="1952">
                  <c:v>41352</c:v>
                </c:pt>
                <c:pt idx="1953">
                  <c:v>41353</c:v>
                </c:pt>
                <c:pt idx="1954">
                  <c:v>41356</c:v>
                </c:pt>
                <c:pt idx="1955">
                  <c:v>41357</c:v>
                </c:pt>
                <c:pt idx="1956">
                  <c:v>41358</c:v>
                </c:pt>
                <c:pt idx="1957">
                  <c:v>41359</c:v>
                </c:pt>
                <c:pt idx="1958">
                  <c:v>41360</c:v>
                </c:pt>
                <c:pt idx="1959">
                  <c:v>41363</c:v>
                </c:pt>
                <c:pt idx="1960">
                  <c:v>41365</c:v>
                </c:pt>
                <c:pt idx="1961">
                  <c:v>41366</c:v>
                </c:pt>
                <c:pt idx="1962">
                  <c:v>41367</c:v>
                </c:pt>
                <c:pt idx="1963">
                  <c:v>41368</c:v>
                </c:pt>
                <c:pt idx="1964">
                  <c:v>41369</c:v>
                </c:pt>
                <c:pt idx="1965">
                  <c:v>41372</c:v>
                </c:pt>
                <c:pt idx="1966">
                  <c:v>41373</c:v>
                </c:pt>
                <c:pt idx="1967">
                  <c:v>41374</c:v>
                </c:pt>
                <c:pt idx="1968">
                  <c:v>41375</c:v>
                </c:pt>
                <c:pt idx="1969">
                  <c:v>41376</c:v>
                </c:pt>
                <c:pt idx="1970">
                  <c:v>41379</c:v>
                </c:pt>
                <c:pt idx="1971">
                  <c:v>41380</c:v>
                </c:pt>
                <c:pt idx="1972">
                  <c:v>41381</c:v>
                </c:pt>
                <c:pt idx="1973">
                  <c:v>41382</c:v>
                </c:pt>
                <c:pt idx="1974">
                  <c:v>41383</c:v>
                </c:pt>
                <c:pt idx="1975">
                  <c:v>41384</c:v>
                </c:pt>
                <c:pt idx="1976">
                  <c:v>41387</c:v>
                </c:pt>
                <c:pt idx="1977">
                  <c:v>41388</c:v>
                </c:pt>
                <c:pt idx="1978">
                  <c:v>41389</c:v>
                </c:pt>
                <c:pt idx="1979">
                  <c:v>41390</c:v>
                </c:pt>
                <c:pt idx="1980">
                  <c:v>41391</c:v>
                </c:pt>
                <c:pt idx="1981">
                  <c:v>41394</c:v>
                </c:pt>
                <c:pt idx="1982">
                  <c:v>41395</c:v>
                </c:pt>
                <c:pt idx="1983">
                  <c:v>41396</c:v>
                </c:pt>
                <c:pt idx="1984">
                  <c:v>41397</c:v>
                </c:pt>
                <c:pt idx="1985">
                  <c:v>41398</c:v>
                </c:pt>
                <c:pt idx="1986">
                  <c:v>41399</c:v>
                </c:pt>
                <c:pt idx="1987">
                  <c:v>41402</c:v>
                </c:pt>
                <c:pt idx="1988">
                  <c:v>41403</c:v>
                </c:pt>
                <c:pt idx="1989">
                  <c:v>41404</c:v>
                </c:pt>
                <c:pt idx="1990">
                  <c:v>41405</c:v>
                </c:pt>
                <c:pt idx="1991">
                  <c:v>41406</c:v>
                </c:pt>
                <c:pt idx="1992">
                  <c:v>41409</c:v>
                </c:pt>
                <c:pt idx="1993">
                  <c:v>41410</c:v>
                </c:pt>
                <c:pt idx="1994">
                  <c:v>41411</c:v>
                </c:pt>
                <c:pt idx="1995">
                  <c:v>41412</c:v>
                </c:pt>
                <c:pt idx="1996">
                  <c:v>41413</c:v>
                </c:pt>
                <c:pt idx="1997">
                  <c:v>41414</c:v>
                </c:pt>
                <c:pt idx="1998">
                  <c:v>41417</c:v>
                </c:pt>
                <c:pt idx="1999">
                  <c:v>41418</c:v>
                </c:pt>
                <c:pt idx="2000">
                  <c:v>41419</c:v>
                </c:pt>
                <c:pt idx="2001">
                  <c:v>41420</c:v>
                </c:pt>
                <c:pt idx="2002">
                  <c:v>41421</c:v>
                </c:pt>
                <c:pt idx="2003">
                  <c:v>41424</c:v>
                </c:pt>
                <c:pt idx="2004">
                  <c:v>41425</c:v>
                </c:pt>
                <c:pt idx="2005">
                  <c:v>41426</c:v>
                </c:pt>
                <c:pt idx="2006">
                  <c:v>41427</c:v>
                </c:pt>
                <c:pt idx="2007">
                  <c:v>41428</c:v>
                </c:pt>
                <c:pt idx="2008">
                  <c:v>41429</c:v>
                </c:pt>
                <c:pt idx="2009">
                  <c:v>41432</c:v>
                </c:pt>
                <c:pt idx="2010">
                  <c:v>41433</c:v>
                </c:pt>
                <c:pt idx="2011">
                  <c:v>41434</c:v>
                </c:pt>
                <c:pt idx="2012">
                  <c:v>41435</c:v>
                </c:pt>
                <c:pt idx="2013">
                  <c:v>41436</c:v>
                </c:pt>
                <c:pt idx="2014">
                  <c:v>41439</c:v>
                </c:pt>
                <c:pt idx="2015">
                  <c:v>41440</c:v>
                </c:pt>
                <c:pt idx="2016">
                  <c:v>41441</c:v>
                </c:pt>
                <c:pt idx="2017">
                  <c:v>41442</c:v>
                </c:pt>
                <c:pt idx="2018">
                  <c:v>41443</c:v>
                </c:pt>
                <c:pt idx="2019">
                  <c:v>41444</c:v>
                </c:pt>
                <c:pt idx="2020">
                  <c:v>41447</c:v>
                </c:pt>
                <c:pt idx="2021">
                  <c:v>41448</c:v>
                </c:pt>
                <c:pt idx="2022">
                  <c:v>41449</c:v>
                </c:pt>
                <c:pt idx="2023">
                  <c:v>41450</c:v>
                </c:pt>
                <c:pt idx="2024">
                  <c:v>41451</c:v>
                </c:pt>
                <c:pt idx="2025">
                  <c:v>41454</c:v>
                </c:pt>
                <c:pt idx="2026">
                  <c:v>41455</c:v>
                </c:pt>
                <c:pt idx="2027">
                  <c:v>41456</c:v>
                </c:pt>
                <c:pt idx="2028">
                  <c:v>41457</c:v>
                </c:pt>
                <c:pt idx="2029">
                  <c:v>41458</c:v>
                </c:pt>
                <c:pt idx="2030">
                  <c:v>41459</c:v>
                </c:pt>
                <c:pt idx="2031">
                  <c:v>41462</c:v>
                </c:pt>
                <c:pt idx="2032">
                  <c:v>41463</c:v>
                </c:pt>
                <c:pt idx="2033">
                  <c:v>41464</c:v>
                </c:pt>
                <c:pt idx="2034">
                  <c:v>41465</c:v>
                </c:pt>
                <c:pt idx="2035">
                  <c:v>41466</c:v>
                </c:pt>
                <c:pt idx="2036">
                  <c:v>41469</c:v>
                </c:pt>
                <c:pt idx="2037">
                  <c:v>41470</c:v>
                </c:pt>
                <c:pt idx="2038">
                  <c:v>41471</c:v>
                </c:pt>
                <c:pt idx="2039">
                  <c:v>41472</c:v>
                </c:pt>
                <c:pt idx="2040">
                  <c:v>41473</c:v>
                </c:pt>
                <c:pt idx="2041">
                  <c:v>41474</c:v>
                </c:pt>
                <c:pt idx="2042">
                  <c:v>41477</c:v>
                </c:pt>
                <c:pt idx="2043">
                  <c:v>41478</c:v>
                </c:pt>
                <c:pt idx="2044">
                  <c:v>41479</c:v>
                </c:pt>
                <c:pt idx="2045">
                  <c:v>41480</c:v>
                </c:pt>
                <c:pt idx="2046">
                  <c:v>41481</c:v>
                </c:pt>
                <c:pt idx="2047">
                  <c:v>41484</c:v>
                </c:pt>
                <c:pt idx="2048">
                  <c:v>41491</c:v>
                </c:pt>
                <c:pt idx="2049">
                  <c:v>41492</c:v>
                </c:pt>
                <c:pt idx="2050">
                  <c:v>41493</c:v>
                </c:pt>
                <c:pt idx="2051">
                  <c:v>41494</c:v>
                </c:pt>
                <c:pt idx="2052">
                  <c:v>41495</c:v>
                </c:pt>
                <c:pt idx="2053">
                  <c:v>41498</c:v>
                </c:pt>
                <c:pt idx="2054">
                  <c:v>41499</c:v>
                </c:pt>
                <c:pt idx="2055">
                  <c:v>41500</c:v>
                </c:pt>
                <c:pt idx="2056">
                  <c:v>41501</c:v>
                </c:pt>
                <c:pt idx="2057">
                  <c:v>41502</c:v>
                </c:pt>
                <c:pt idx="2058">
                  <c:v>41505</c:v>
                </c:pt>
                <c:pt idx="2059">
                  <c:v>41506</c:v>
                </c:pt>
                <c:pt idx="2060">
                  <c:v>41507</c:v>
                </c:pt>
                <c:pt idx="2061">
                  <c:v>41508</c:v>
                </c:pt>
                <c:pt idx="2062">
                  <c:v>41509</c:v>
                </c:pt>
                <c:pt idx="2063">
                  <c:v>41510</c:v>
                </c:pt>
                <c:pt idx="2064">
                  <c:v>41513</c:v>
                </c:pt>
                <c:pt idx="2065">
                  <c:v>41514</c:v>
                </c:pt>
                <c:pt idx="2066">
                  <c:v>41515</c:v>
                </c:pt>
                <c:pt idx="2067">
                  <c:v>41516</c:v>
                </c:pt>
                <c:pt idx="2068">
                  <c:v>41517</c:v>
                </c:pt>
                <c:pt idx="2069">
                  <c:v>41520</c:v>
                </c:pt>
                <c:pt idx="2070">
                  <c:v>41521</c:v>
                </c:pt>
                <c:pt idx="2071">
                  <c:v>41522</c:v>
                </c:pt>
                <c:pt idx="2072">
                  <c:v>41523</c:v>
                </c:pt>
                <c:pt idx="2073">
                  <c:v>41527</c:v>
                </c:pt>
                <c:pt idx="2074">
                  <c:v>41528</c:v>
                </c:pt>
                <c:pt idx="2075">
                  <c:v>41531</c:v>
                </c:pt>
                <c:pt idx="2076">
                  <c:v>41532</c:v>
                </c:pt>
                <c:pt idx="2077">
                  <c:v>41533</c:v>
                </c:pt>
                <c:pt idx="2078">
                  <c:v>41534</c:v>
                </c:pt>
                <c:pt idx="2079">
                  <c:v>41535</c:v>
                </c:pt>
                <c:pt idx="2080">
                  <c:v>41538</c:v>
                </c:pt>
                <c:pt idx="2081">
                  <c:v>41539</c:v>
                </c:pt>
                <c:pt idx="2082">
                  <c:v>41540</c:v>
                </c:pt>
                <c:pt idx="2083">
                  <c:v>41541</c:v>
                </c:pt>
                <c:pt idx="2084">
                  <c:v>41542</c:v>
                </c:pt>
                <c:pt idx="2085">
                  <c:v>41543</c:v>
                </c:pt>
                <c:pt idx="2086">
                  <c:v>41546</c:v>
                </c:pt>
                <c:pt idx="2087">
                  <c:v>41547</c:v>
                </c:pt>
                <c:pt idx="2088">
                  <c:v>41548</c:v>
                </c:pt>
                <c:pt idx="2089">
                  <c:v>41549</c:v>
                </c:pt>
                <c:pt idx="2090">
                  <c:v>41550</c:v>
                </c:pt>
                <c:pt idx="2091">
                  <c:v>41553</c:v>
                </c:pt>
                <c:pt idx="2092">
                  <c:v>41554</c:v>
                </c:pt>
                <c:pt idx="2093">
                  <c:v>41555</c:v>
                </c:pt>
                <c:pt idx="2094">
                  <c:v>41556</c:v>
                </c:pt>
                <c:pt idx="2095">
                  <c:v>41557</c:v>
                </c:pt>
                <c:pt idx="2096">
                  <c:v>41558</c:v>
                </c:pt>
                <c:pt idx="2097">
                  <c:v>41561</c:v>
                </c:pt>
                <c:pt idx="2098">
                  <c:v>41562</c:v>
                </c:pt>
                <c:pt idx="2099">
                  <c:v>41563</c:v>
                </c:pt>
                <c:pt idx="2100">
                  <c:v>41564</c:v>
                </c:pt>
                <c:pt idx="2101">
                  <c:v>41565</c:v>
                </c:pt>
                <c:pt idx="2102">
                  <c:v>41568</c:v>
                </c:pt>
                <c:pt idx="2103">
                  <c:v>41569</c:v>
                </c:pt>
                <c:pt idx="2104">
                  <c:v>41570</c:v>
                </c:pt>
                <c:pt idx="2105">
                  <c:v>41571</c:v>
                </c:pt>
                <c:pt idx="2106">
                  <c:v>41572</c:v>
                </c:pt>
                <c:pt idx="2107">
                  <c:v>41573</c:v>
                </c:pt>
                <c:pt idx="2108">
                  <c:v>41576</c:v>
                </c:pt>
                <c:pt idx="2109">
                  <c:v>41577</c:v>
                </c:pt>
                <c:pt idx="2110">
                  <c:v>41578</c:v>
                </c:pt>
                <c:pt idx="2111">
                  <c:v>41579</c:v>
                </c:pt>
                <c:pt idx="2112">
                  <c:v>41580</c:v>
                </c:pt>
                <c:pt idx="2113">
                  <c:v>41583</c:v>
                </c:pt>
                <c:pt idx="2114">
                  <c:v>41584</c:v>
                </c:pt>
                <c:pt idx="2115">
                  <c:v>41585</c:v>
                </c:pt>
                <c:pt idx="2116">
                  <c:v>41586</c:v>
                </c:pt>
                <c:pt idx="2117">
                  <c:v>41587</c:v>
                </c:pt>
                <c:pt idx="2118">
                  <c:v>41588</c:v>
                </c:pt>
                <c:pt idx="2119">
                  <c:v>41591</c:v>
                </c:pt>
                <c:pt idx="2120">
                  <c:v>41592</c:v>
                </c:pt>
                <c:pt idx="2121">
                  <c:v>41593</c:v>
                </c:pt>
                <c:pt idx="2122">
                  <c:v>41594</c:v>
                </c:pt>
                <c:pt idx="2123">
                  <c:v>41595</c:v>
                </c:pt>
                <c:pt idx="2124">
                  <c:v>41598</c:v>
                </c:pt>
                <c:pt idx="2125">
                  <c:v>41599</c:v>
                </c:pt>
                <c:pt idx="2126">
                  <c:v>41600</c:v>
                </c:pt>
                <c:pt idx="2127">
                  <c:v>41601</c:v>
                </c:pt>
                <c:pt idx="2128">
                  <c:v>41602</c:v>
                </c:pt>
                <c:pt idx="2129">
                  <c:v>41603</c:v>
                </c:pt>
                <c:pt idx="2130">
                  <c:v>41606</c:v>
                </c:pt>
                <c:pt idx="2131">
                  <c:v>41607</c:v>
                </c:pt>
                <c:pt idx="2132">
                  <c:v>41608</c:v>
                </c:pt>
                <c:pt idx="2133">
                  <c:v>41609</c:v>
                </c:pt>
                <c:pt idx="2134">
                  <c:v>41610</c:v>
                </c:pt>
                <c:pt idx="2135">
                  <c:v>41613</c:v>
                </c:pt>
                <c:pt idx="2136">
                  <c:v>41614</c:v>
                </c:pt>
                <c:pt idx="2137">
                  <c:v>41618</c:v>
                </c:pt>
                <c:pt idx="2138">
                  <c:v>41619</c:v>
                </c:pt>
                <c:pt idx="2139">
                  <c:v>41620</c:v>
                </c:pt>
                <c:pt idx="2140">
                  <c:v>41621</c:v>
                </c:pt>
                <c:pt idx="2141">
                  <c:v>41624</c:v>
                </c:pt>
                <c:pt idx="2142">
                  <c:v>41625</c:v>
                </c:pt>
                <c:pt idx="2143">
                  <c:v>41626</c:v>
                </c:pt>
                <c:pt idx="2144">
                  <c:v>41627</c:v>
                </c:pt>
                <c:pt idx="2145">
                  <c:v>41628</c:v>
                </c:pt>
                <c:pt idx="2146">
                  <c:v>41631</c:v>
                </c:pt>
                <c:pt idx="2147">
                  <c:v>41632</c:v>
                </c:pt>
                <c:pt idx="2148">
                  <c:v>41633</c:v>
                </c:pt>
                <c:pt idx="2149">
                  <c:v>41634</c:v>
                </c:pt>
                <c:pt idx="2150">
                  <c:v>41635</c:v>
                </c:pt>
                <c:pt idx="2151">
                  <c:v>41636</c:v>
                </c:pt>
                <c:pt idx="2152">
                  <c:v>41639</c:v>
                </c:pt>
                <c:pt idx="2153">
                  <c:v>41640</c:v>
                </c:pt>
                <c:pt idx="2154">
                  <c:v>41641</c:v>
                </c:pt>
                <c:pt idx="2155">
                  <c:v>41642</c:v>
                </c:pt>
                <c:pt idx="2156">
                  <c:v>41643</c:v>
                </c:pt>
                <c:pt idx="2157">
                  <c:v>41646</c:v>
                </c:pt>
                <c:pt idx="2158">
                  <c:v>41647</c:v>
                </c:pt>
                <c:pt idx="2159">
                  <c:v>41652</c:v>
                </c:pt>
                <c:pt idx="2160">
                  <c:v>41653</c:v>
                </c:pt>
                <c:pt idx="2161">
                  <c:v>41654</c:v>
                </c:pt>
                <c:pt idx="2162">
                  <c:v>41655</c:v>
                </c:pt>
                <c:pt idx="2163">
                  <c:v>41658</c:v>
                </c:pt>
                <c:pt idx="2164">
                  <c:v>41659</c:v>
                </c:pt>
                <c:pt idx="2165">
                  <c:v>41660</c:v>
                </c:pt>
                <c:pt idx="2166">
                  <c:v>41661</c:v>
                </c:pt>
                <c:pt idx="2167">
                  <c:v>41662</c:v>
                </c:pt>
                <c:pt idx="2168">
                  <c:v>41665</c:v>
                </c:pt>
                <c:pt idx="2169">
                  <c:v>41666</c:v>
                </c:pt>
                <c:pt idx="2170">
                  <c:v>41667</c:v>
                </c:pt>
                <c:pt idx="2171">
                  <c:v>41668</c:v>
                </c:pt>
                <c:pt idx="2172">
                  <c:v>41669</c:v>
                </c:pt>
                <c:pt idx="2173">
                  <c:v>41670</c:v>
                </c:pt>
                <c:pt idx="2174">
                  <c:v>41673</c:v>
                </c:pt>
                <c:pt idx="2175">
                  <c:v>41674</c:v>
                </c:pt>
                <c:pt idx="2176">
                  <c:v>41675</c:v>
                </c:pt>
                <c:pt idx="2177">
                  <c:v>41676</c:v>
                </c:pt>
                <c:pt idx="2178">
                  <c:v>41677</c:v>
                </c:pt>
                <c:pt idx="2179">
                  <c:v>41680</c:v>
                </c:pt>
                <c:pt idx="2180">
                  <c:v>41681</c:v>
                </c:pt>
                <c:pt idx="2181">
                  <c:v>41682</c:v>
                </c:pt>
                <c:pt idx="2182">
                  <c:v>41683</c:v>
                </c:pt>
                <c:pt idx="2183">
                  <c:v>41684</c:v>
                </c:pt>
                <c:pt idx="2184">
                  <c:v>41685</c:v>
                </c:pt>
                <c:pt idx="2185">
                  <c:v>41688</c:v>
                </c:pt>
                <c:pt idx="2186">
                  <c:v>41689</c:v>
                </c:pt>
                <c:pt idx="2187">
                  <c:v>41690</c:v>
                </c:pt>
                <c:pt idx="2188">
                  <c:v>41691</c:v>
                </c:pt>
                <c:pt idx="2189">
                  <c:v>41692</c:v>
                </c:pt>
                <c:pt idx="2190">
                  <c:v>41695</c:v>
                </c:pt>
                <c:pt idx="2191">
                  <c:v>41696</c:v>
                </c:pt>
                <c:pt idx="2192">
                  <c:v>41697</c:v>
                </c:pt>
                <c:pt idx="2193">
                  <c:v>41698</c:v>
                </c:pt>
                <c:pt idx="2194">
                  <c:v>41699</c:v>
                </c:pt>
                <c:pt idx="2195">
                  <c:v>41700</c:v>
                </c:pt>
                <c:pt idx="2196">
                  <c:v>41703</c:v>
                </c:pt>
                <c:pt idx="2197">
                  <c:v>41708</c:v>
                </c:pt>
                <c:pt idx="2198">
                  <c:v>41709</c:v>
                </c:pt>
                <c:pt idx="2199">
                  <c:v>41710</c:v>
                </c:pt>
                <c:pt idx="2200">
                  <c:v>41711</c:v>
                </c:pt>
                <c:pt idx="2201">
                  <c:v>41714</c:v>
                </c:pt>
                <c:pt idx="2202">
                  <c:v>41715</c:v>
                </c:pt>
                <c:pt idx="2203">
                  <c:v>41716</c:v>
                </c:pt>
                <c:pt idx="2204">
                  <c:v>41717</c:v>
                </c:pt>
                <c:pt idx="2205">
                  <c:v>41718</c:v>
                </c:pt>
                <c:pt idx="2206">
                  <c:v>41719</c:v>
                </c:pt>
                <c:pt idx="2207">
                  <c:v>41722</c:v>
                </c:pt>
                <c:pt idx="2208">
                  <c:v>41723</c:v>
                </c:pt>
                <c:pt idx="2209">
                  <c:v>41724</c:v>
                </c:pt>
                <c:pt idx="2210">
                  <c:v>41725</c:v>
                </c:pt>
                <c:pt idx="2211">
                  <c:v>41726</c:v>
                </c:pt>
                <c:pt idx="2212">
                  <c:v>41729</c:v>
                </c:pt>
                <c:pt idx="2213">
                  <c:v>41730</c:v>
                </c:pt>
                <c:pt idx="2214">
                  <c:v>41731</c:v>
                </c:pt>
                <c:pt idx="2215">
                  <c:v>41732</c:v>
                </c:pt>
                <c:pt idx="2216">
                  <c:v>41733</c:v>
                </c:pt>
                <c:pt idx="2217">
                  <c:v>41734</c:v>
                </c:pt>
                <c:pt idx="2218">
                  <c:v>41737</c:v>
                </c:pt>
                <c:pt idx="2219">
                  <c:v>41738</c:v>
                </c:pt>
                <c:pt idx="2220">
                  <c:v>41739</c:v>
                </c:pt>
                <c:pt idx="2221">
                  <c:v>41740</c:v>
                </c:pt>
                <c:pt idx="2222">
                  <c:v>41741</c:v>
                </c:pt>
                <c:pt idx="2223">
                  <c:v>41744</c:v>
                </c:pt>
                <c:pt idx="2224">
                  <c:v>41745</c:v>
                </c:pt>
                <c:pt idx="2225">
                  <c:v>41746</c:v>
                </c:pt>
                <c:pt idx="2226">
                  <c:v>41747</c:v>
                </c:pt>
                <c:pt idx="2227">
                  <c:v>41748</c:v>
                </c:pt>
                <c:pt idx="2228">
                  <c:v>41749</c:v>
                </c:pt>
                <c:pt idx="2229">
                  <c:v>41752</c:v>
                </c:pt>
                <c:pt idx="2230">
                  <c:v>41753</c:v>
                </c:pt>
                <c:pt idx="2231">
                  <c:v>41754</c:v>
                </c:pt>
                <c:pt idx="2232">
                  <c:v>41755</c:v>
                </c:pt>
                <c:pt idx="2233">
                  <c:v>41756</c:v>
                </c:pt>
                <c:pt idx="2234">
                  <c:v>41759</c:v>
                </c:pt>
                <c:pt idx="2235">
                  <c:v>41760</c:v>
                </c:pt>
                <c:pt idx="2236">
                  <c:v>41761</c:v>
                </c:pt>
                <c:pt idx="2237">
                  <c:v>41762</c:v>
                </c:pt>
                <c:pt idx="2238">
                  <c:v>41763</c:v>
                </c:pt>
                <c:pt idx="2239">
                  <c:v>41764</c:v>
                </c:pt>
                <c:pt idx="2240">
                  <c:v>41767</c:v>
                </c:pt>
                <c:pt idx="2241">
                  <c:v>41771</c:v>
                </c:pt>
                <c:pt idx="2242">
                  <c:v>41772</c:v>
                </c:pt>
                <c:pt idx="2243">
                  <c:v>41773</c:v>
                </c:pt>
                <c:pt idx="2244">
                  <c:v>41774</c:v>
                </c:pt>
                <c:pt idx="2245">
                  <c:v>41777</c:v>
                </c:pt>
                <c:pt idx="2246">
                  <c:v>41778</c:v>
                </c:pt>
                <c:pt idx="2247">
                  <c:v>41779</c:v>
                </c:pt>
                <c:pt idx="2248">
                  <c:v>41780</c:v>
                </c:pt>
                <c:pt idx="2249">
                  <c:v>41781</c:v>
                </c:pt>
                <c:pt idx="2250">
                  <c:v>41782</c:v>
                </c:pt>
                <c:pt idx="2251">
                  <c:v>41785</c:v>
                </c:pt>
                <c:pt idx="2252">
                  <c:v>41786</c:v>
                </c:pt>
                <c:pt idx="2253">
                  <c:v>41787</c:v>
                </c:pt>
                <c:pt idx="2254">
                  <c:v>41788</c:v>
                </c:pt>
                <c:pt idx="2255">
                  <c:v>41789</c:v>
                </c:pt>
                <c:pt idx="2256">
                  <c:v>41792</c:v>
                </c:pt>
                <c:pt idx="2257">
                  <c:v>41793</c:v>
                </c:pt>
                <c:pt idx="2258">
                  <c:v>41794</c:v>
                </c:pt>
                <c:pt idx="2259">
                  <c:v>41795</c:v>
                </c:pt>
                <c:pt idx="2260">
                  <c:v>41796</c:v>
                </c:pt>
                <c:pt idx="2261">
                  <c:v>41797</c:v>
                </c:pt>
                <c:pt idx="2262">
                  <c:v>41800</c:v>
                </c:pt>
                <c:pt idx="2263">
                  <c:v>41801</c:v>
                </c:pt>
                <c:pt idx="2264">
                  <c:v>41802</c:v>
                </c:pt>
                <c:pt idx="2265">
                  <c:v>41803</c:v>
                </c:pt>
                <c:pt idx="2266">
                  <c:v>41804</c:v>
                </c:pt>
                <c:pt idx="2267">
                  <c:v>41807</c:v>
                </c:pt>
                <c:pt idx="2268">
                  <c:v>41808</c:v>
                </c:pt>
                <c:pt idx="2269">
                  <c:v>41809</c:v>
                </c:pt>
                <c:pt idx="2270">
                  <c:v>41810</c:v>
                </c:pt>
                <c:pt idx="2271">
                  <c:v>41811</c:v>
                </c:pt>
                <c:pt idx="2272">
                  <c:v>41812</c:v>
                </c:pt>
                <c:pt idx="2273">
                  <c:v>41815</c:v>
                </c:pt>
                <c:pt idx="2274">
                  <c:v>41816</c:v>
                </c:pt>
                <c:pt idx="2275">
                  <c:v>41817</c:v>
                </c:pt>
                <c:pt idx="2276">
                  <c:v>41818</c:v>
                </c:pt>
                <c:pt idx="2277">
                  <c:v>41819</c:v>
                </c:pt>
                <c:pt idx="2278">
                  <c:v>41822</c:v>
                </c:pt>
                <c:pt idx="2279">
                  <c:v>41823</c:v>
                </c:pt>
                <c:pt idx="2280">
                  <c:v>41824</c:v>
                </c:pt>
                <c:pt idx="2281">
                  <c:v>41825</c:v>
                </c:pt>
                <c:pt idx="2282">
                  <c:v>41830</c:v>
                </c:pt>
                <c:pt idx="2283">
                  <c:v>41831</c:v>
                </c:pt>
                <c:pt idx="2284">
                  <c:v>41834</c:v>
                </c:pt>
                <c:pt idx="2285">
                  <c:v>41835</c:v>
                </c:pt>
                <c:pt idx="2286">
                  <c:v>41836</c:v>
                </c:pt>
                <c:pt idx="2287">
                  <c:v>41837</c:v>
                </c:pt>
                <c:pt idx="2288">
                  <c:v>41838</c:v>
                </c:pt>
                <c:pt idx="2289">
                  <c:v>41841</c:v>
                </c:pt>
                <c:pt idx="2290">
                  <c:v>41842</c:v>
                </c:pt>
                <c:pt idx="2291">
                  <c:v>41843</c:v>
                </c:pt>
                <c:pt idx="2292">
                  <c:v>41844</c:v>
                </c:pt>
                <c:pt idx="2293">
                  <c:v>41845</c:v>
                </c:pt>
                <c:pt idx="2294">
                  <c:v>41846</c:v>
                </c:pt>
                <c:pt idx="2295">
                  <c:v>41849</c:v>
                </c:pt>
                <c:pt idx="2296">
                  <c:v>41850</c:v>
                </c:pt>
                <c:pt idx="2297">
                  <c:v>41851</c:v>
                </c:pt>
                <c:pt idx="2298">
                  <c:v>41852</c:v>
                </c:pt>
                <c:pt idx="2299">
                  <c:v>41853</c:v>
                </c:pt>
                <c:pt idx="2300">
                  <c:v>41856</c:v>
                </c:pt>
                <c:pt idx="2301">
                  <c:v>41857</c:v>
                </c:pt>
                <c:pt idx="2302">
                  <c:v>41858</c:v>
                </c:pt>
                <c:pt idx="2303">
                  <c:v>41859</c:v>
                </c:pt>
                <c:pt idx="2304">
                  <c:v>41860</c:v>
                </c:pt>
                <c:pt idx="2305">
                  <c:v>41861</c:v>
                </c:pt>
                <c:pt idx="2306">
                  <c:v>41864</c:v>
                </c:pt>
                <c:pt idx="2307">
                  <c:v>41865</c:v>
                </c:pt>
                <c:pt idx="2308">
                  <c:v>41866</c:v>
                </c:pt>
                <c:pt idx="2309">
                  <c:v>41867</c:v>
                </c:pt>
                <c:pt idx="2310">
                  <c:v>41868</c:v>
                </c:pt>
                <c:pt idx="2311">
                  <c:v>41871</c:v>
                </c:pt>
                <c:pt idx="2312">
                  <c:v>41872</c:v>
                </c:pt>
                <c:pt idx="2313">
                  <c:v>41873</c:v>
                </c:pt>
                <c:pt idx="2314">
                  <c:v>41876</c:v>
                </c:pt>
                <c:pt idx="2315">
                  <c:v>41877</c:v>
                </c:pt>
                <c:pt idx="2316">
                  <c:v>41878</c:v>
                </c:pt>
                <c:pt idx="2317">
                  <c:v>41881</c:v>
                </c:pt>
                <c:pt idx="2318">
                  <c:v>41882</c:v>
                </c:pt>
                <c:pt idx="2319">
                  <c:v>41883</c:v>
                </c:pt>
                <c:pt idx="2320">
                  <c:v>41884</c:v>
                </c:pt>
                <c:pt idx="2321">
                  <c:v>41885</c:v>
                </c:pt>
                <c:pt idx="2322">
                  <c:v>41888</c:v>
                </c:pt>
                <c:pt idx="2323">
                  <c:v>41889</c:v>
                </c:pt>
                <c:pt idx="2324">
                  <c:v>41890</c:v>
                </c:pt>
                <c:pt idx="2325">
                  <c:v>41891</c:v>
                </c:pt>
                <c:pt idx="2326">
                  <c:v>41892</c:v>
                </c:pt>
                <c:pt idx="2327">
                  <c:v>41893</c:v>
                </c:pt>
                <c:pt idx="2328">
                  <c:v>41896</c:v>
                </c:pt>
                <c:pt idx="2329">
                  <c:v>41897</c:v>
                </c:pt>
                <c:pt idx="2330">
                  <c:v>41898</c:v>
                </c:pt>
                <c:pt idx="2331">
                  <c:v>41899</c:v>
                </c:pt>
                <c:pt idx="2332">
                  <c:v>41900</c:v>
                </c:pt>
                <c:pt idx="2333">
                  <c:v>41903</c:v>
                </c:pt>
                <c:pt idx="2334">
                  <c:v>41904</c:v>
                </c:pt>
                <c:pt idx="2335">
                  <c:v>41905</c:v>
                </c:pt>
                <c:pt idx="2336">
                  <c:v>41906</c:v>
                </c:pt>
                <c:pt idx="2337">
                  <c:v>41907</c:v>
                </c:pt>
                <c:pt idx="2338">
                  <c:v>41908</c:v>
                </c:pt>
                <c:pt idx="2339">
                  <c:v>41911</c:v>
                </c:pt>
                <c:pt idx="2340">
                  <c:v>41912</c:v>
                </c:pt>
                <c:pt idx="2341">
                  <c:v>41913</c:v>
                </c:pt>
                <c:pt idx="2342">
                  <c:v>41914</c:v>
                </c:pt>
                <c:pt idx="2343">
                  <c:v>41915</c:v>
                </c:pt>
                <c:pt idx="2344">
                  <c:v>41918</c:v>
                </c:pt>
                <c:pt idx="2345">
                  <c:v>41919</c:v>
                </c:pt>
                <c:pt idx="2346">
                  <c:v>41920</c:v>
                </c:pt>
                <c:pt idx="2347">
                  <c:v>41922</c:v>
                </c:pt>
                <c:pt idx="2348">
                  <c:v>41923</c:v>
                </c:pt>
                <c:pt idx="2349">
                  <c:v>41924</c:v>
                </c:pt>
                <c:pt idx="2350">
                  <c:v>41927</c:v>
                </c:pt>
                <c:pt idx="2351">
                  <c:v>41928</c:v>
                </c:pt>
                <c:pt idx="2352">
                  <c:v>41929</c:v>
                </c:pt>
                <c:pt idx="2353">
                  <c:v>41930</c:v>
                </c:pt>
                <c:pt idx="2354">
                  <c:v>41931</c:v>
                </c:pt>
                <c:pt idx="2355">
                  <c:v>41934</c:v>
                </c:pt>
                <c:pt idx="2356">
                  <c:v>41935</c:v>
                </c:pt>
                <c:pt idx="2357">
                  <c:v>41936</c:v>
                </c:pt>
                <c:pt idx="2358">
                  <c:v>41937</c:v>
                </c:pt>
                <c:pt idx="2359">
                  <c:v>41938</c:v>
                </c:pt>
                <c:pt idx="2360">
                  <c:v>41939</c:v>
                </c:pt>
                <c:pt idx="2361">
                  <c:v>41942</c:v>
                </c:pt>
                <c:pt idx="2362">
                  <c:v>41943</c:v>
                </c:pt>
                <c:pt idx="2363">
                  <c:v>41946</c:v>
                </c:pt>
                <c:pt idx="2364">
                  <c:v>41947</c:v>
                </c:pt>
                <c:pt idx="2365">
                  <c:v>41948</c:v>
                </c:pt>
                <c:pt idx="2366">
                  <c:v>41951</c:v>
                </c:pt>
                <c:pt idx="2367">
                  <c:v>41952</c:v>
                </c:pt>
                <c:pt idx="2368">
                  <c:v>41953</c:v>
                </c:pt>
                <c:pt idx="2369">
                  <c:v>41954</c:v>
                </c:pt>
                <c:pt idx="2370">
                  <c:v>41955</c:v>
                </c:pt>
                <c:pt idx="2371">
                  <c:v>41956</c:v>
                </c:pt>
                <c:pt idx="2372">
                  <c:v>41959</c:v>
                </c:pt>
                <c:pt idx="2373">
                  <c:v>41960</c:v>
                </c:pt>
                <c:pt idx="2374">
                  <c:v>41961</c:v>
                </c:pt>
                <c:pt idx="2375">
                  <c:v>41962</c:v>
                </c:pt>
                <c:pt idx="2376">
                  <c:v>41963</c:v>
                </c:pt>
                <c:pt idx="2377">
                  <c:v>41966</c:v>
                </c:pt>
                <c:pt idx="2378">
                  <c:v>41967</c:v>
                </c:pt>
                <c:pt idx="2379">
                  <c:v>41968</c:v>
                </c:pt>
                <c:pt idx="2380">
                  <c:v>41969</c:v>
                </c:pt>
                <c:pt idx="2381">
                  <c:v>41971</c:v>
                </c:pt>
                <c:pt idx="2382">
                  <c:v>41972</c:v>
                </c:pt>
                <c:pt idx="2383">
                  <c:v>41975</c:v>
                </c:pt>
                <c:pt idx="2384">
                  <c:v>41976</c:v>
                </c:pt>
                <c:pt idx="2385">
                  <c:v>41977</c:v>
                </c:pt>
                <c:pt idx="2386">
                  <c:v>41978</c:v>
                </c:pt>
                <c:pt idx="2387">
                  <c:v>41979</c:v>
                </c:pt>
                <c:pt idx="2388">
                  <c:v>41982</c:v>
                </c:pt>
                <c:pt idx="2389">
                  <c:v>41983</c:v>
                </c:pt>
                <c:pt idx="2390">
                  <c:v>41984</c:v>
                </c:pt>
                <c:pt idx="2391">
                  <c:v>41985</c:v>
                </c:pt>
                <c:pt idx="2392">
                  <c:v>41986</c:v>
                </c:pt>
                <c:pt idx="2393">
                  <c:v>41987</c:v>
                </c:pt>
                <c:pt idx="2394">
                  <c:v>41990</c:v>
                </c:pt>
                <c:pt idx="2395">
                  <c:v>41991</c:v>
                </c:pt>
                <c:pt idx="2396">
                  <c:v>41992</c:v>
                </c:pt>
                <c:pt idx="2397">
                  <c:v>41993</c:v>
                </c:pt>
                <c:pt idx="2398">
                  <c:v>41994</c:v>
                </c:pt>
                <c:pt idx="2399">
                  <c:v>41997</c:v>
                </c:pt>
                <c:pt idx="2400">
                  <c:v>41998</c:v>
                </c:pt>
                <c:pt idx="2401">
                  <c:v>42002</c:v>
                </c:pt>
                <c:pt idx="2402">
                  <c:v>42003</c:v>
                </c:pt>
                <c:pt idx="2403">
                  <c:v>42004</c:v>
                </c:pt>
                <c:pt idx="2404">
                  <c:v>42005</c:v>
                </c:pt>
                <c:pt idx="2405">
                  <c:v>42008</c:v>
                </c:pt>
                <c:pt idx="2406">
                  <c:v>42009</c:v>
                </c:pt>
                <c:pt idx="2407">
                  <c:v>42010</c:v>
                </c:pt>
                <c:pt idx="2408">
                  <c:v>42011</c:v>
                </c:pt>
                <c:pt idx="2409">
                  <c:v>42012</c:v>
                </c:pt>
                <c:pt idx="2410">
                  <c:v>42015</c:v>
                </c:pt>
                <c:pt idx="2411">
                  <c:v>42016</c:v>
                </c:pt>
                <c:pt idx="2412">
                  <c:v>42017</c:v>
                </c:pt>
                <c:pt idx="2413">
                  <c:v>42018</c:v>
                </c:pt>
                <c:pt idx="2414">
                  <c:v>42019</c:v>
                </c:pt>
                <c:pt idx="2415">
                  <c:v>42020</c:v>
                </c:pt>
                <c:pt idx="2416">
                  <c:v>42023</c:v>
                </c:pt>
                <c:pt idx="2417">
                  <c:v>42024</c:v>
                </c:pt>
                <c:pt idx="2418">
                  <c:v>42025</c:v>
                </c:pt>
                <c:pt idx="2419">
                  <c:v>42026</c:v>
                </c:pt>
                <c:pt idx="2420">
                  <c:v>42027</c:v>
                </c:pt>
                <c:pt idx="2421">
                  <c:v>42030</c:v>
                </c:pt>
                <c:pt idx="2422">
                  <c:v>42031</c:v>
                </c:pt>
                <c:pt idx="2423">
                  <c:v>42034</c:v>
                </c:pt>
                <c:pt idx="2424">
                  <c:v>42035</c:v>
                </c:pt>
                <c:pt idx="2425">
                  <c:v>42036</c:v>
                </c:pt>
                <c:pt idx="2426">
                  <c:v>42037</c:v>
                </c:pt>
                <c:pt idx="2427">
                  <c:v>42040</c:v>
                </c:pt>
                <c:pt idx="2428">
                  <c:v>42041</c:v>
                </c:pt>
                <c:pt idx="2429">
                  <c:v>42042</c:v>
                </c:pt>
                <c:pt idx="2430">
                  <c:v>42043</c:v>
                </c:pt>
                <c:pt idx="2431">
                  <c:v>42044</c:v>
                </c:pt>
                <c:pt idx="2432">
                  <c:v>42047</c:v>
                </c:pt>
                <c:pt idx="2433">
                  <c:v>42048</c:v>
                </c:pt>
                <c:pt idx="2434">
                  <c:v>42049</c:v>
                </c:pt>
                <c:pt idx="2435">
                  <c:v>42050</c:v>
                </c:pt>
                <c:pt idx="2436">
                  <c:v>42051</c:v>
                </c:pt>
                <c:pt idx="2437">
                  <c:v>42052</c:v>
                </c:pt>
                <c:pt idx="2438">
                  <c:v>42055</c:v>
                </c:pt>
                <c:pt idx="2439">
                  <c:v>42056</c:v>
                </c:pt>
                <c:pt idx="2440">
                  <c:v>42057</c:v>
                </c:pt>
                <c:pt idx="2441">
                  <c:v>42058</c:v>
                </c:pt>
                <c:pt idx="2442">
                  <c:v>42062</c:v>
                </c:pt>
                <c:pt idx="2443">
                  <c:v>42065</c:v>
                </c:pt>
                <c:pt idx="2444">
                  <c:v>42066</c:v>
                </c:pt>
                <c:pt idx="2445">
                  <c:v>42067</c:v>
                </c:pt>
                <c:pt idx="2446">
                  <c:v>42068</c:v>
                </c:pt>
                <c:pt idx="2447">
                  <c:v>42069</c:v>
                </c:pt>
                <c:pt idx="2448">
                  <c:v>42070</c:v>
                </c:pt>
                <c:pt idx="2449">
                  <c:v>42073</c:v>
                </c:pt>
                <c:pt idx="2450">
                  <c:v>42074</c:v>
                </c:pt>
                <c:pt idx="2451">
                  <c:v>42075</c:v>
                </c:pt>
                <c:pt idx="2452">
                  <c:v>42076</c:v>
                </c:pt>
                <c:pt idx="2453">
                  <c:v>42077</c:v>
                </c:pt>
                <c:pt idx="2454">
                  <c:v>42080</c:v>
                </c:pt>
                <c:pt idx="2455">
                  <c:v>42081</c:v>
                </c:pt>
                <c:pt idx="2456">
                  <c:v>42082</c:v>
                </c:pt>
                <c:pt idx="2457">
                  <c:v>42083</c:v>
                </c:pt>
                <c:pt idx="2458">
                  <c:v>42084</c:v>
                </c:pt>
                <c:pt idx="2459">
                  <c:v>42085</c:v>
                </c:pt>
                <c:pt idx="2460">
                  <c:v>42088</c:v>
                </c:pt>
                <c:pt idx="2461">
                  <c:v>42089</c:v>
                </c:pt>
                <c:pt idx="2462">
                  <c:v>42090</c:v>
                </c:pt>
                <c:pt idx="2463">
                  <c:v>42091</c:v>
                </c:pt>
                <c:pt idx="2464">
                  <c:v>42092</c:v>
                </c:pt>
                <c:pt idx="2465">
                  <c:v>42095</c:v>
                </c:pt>
                <c:pt idx="2466">
                  <c:v>42096</c:v>
                </c:pt>
                <c:pt idx="2467">
                  <c:v>42097</c:v>
                </c:pt>
                <c:pt idx="2468">
                  <c:v>42098</c:v>
                </c:pt>
                <c:pt idx="2469">
                  <c:v>42099</c:v>
                </c:pt>
                <c:pt idx="2470">
                  <c:v>42100</c:v>
                </c:pt>
                <c:pt idx="2471">
                  <c:v>42103</c:v>
                </c:pt>
                <c:pt idx="2472">
                  <c:v>42104</c:v>
                </c:pt>
                <c:pt idx="2473">
                  <c:v>42105</c:v>
                </c:pt>
                <c:pt idx="2474">
                  <c:v>42106</c:v>
                </c:pt>
                <c:pt idx="2475">
                  <c:v>42107</c:v>
                </c:pt>
                <c:pt idx="2476">
                  <c:v>42110</c:v>
                </c:pt>
                <c:pt idx="2477">
                  <c:v>42111</c:v>
                </c:pt>
                <c:pt idx="2478">
                  <c:v>42112</c:v>
                </c:pt>
                <c:pt idx="2479">
                  <c:v>42113</c:v>
                </c:pt>
                <c:pt idx="2480">
                  <c:v>42114</c:v>
                </c:pt>
                <c:pt idx="2481">
                  <c:v>42115</c:v>
                </c:pt>
                <c:pt idx="2482">
                  <c:v>42118</c:v>
                </c:pt>
                <c:pt idx="2483">
                  <c:v>42119</c:v>
                </c:pt>
                <c:pt idx="2484">
                  <c:v>42120</c:v>
                </c:pt>
                <c:pt idx="2485">
                  <c:v>42121</c:v>
                </c:pt>
                <c:pt idx="2486">
                  <c:v>42122</c:v>
                </c:pt>
                <c:pt idx="2487">
                  <c:v>42125</c:v>
                </c:pt>
                <c:pt idx="2488">
                  <c:v>42126</c:v>
                </c:pt>
                <c:pt idx="2489">
                  <c:v>42130</c:v>
                </c:pt>
                <c:pt idx="2490">
                  <c:v>42131</c:v>
                </c:pt>
                <c:pt idx="2491">
                  <c:v>42132</c:v>
                </c:pt>
                <c:pt idx="2492">
                  <c:v>42133</c:v>
                </c:pt>
                <c:pt idx="2493">
                  <c:v>42136</c:v>
                </c:pt>
                <c:pt idx="2494">
                  <c:v>42137</c:v>
                </c:pt>
                <c:pt idx="2495">
                  <c:v>42138</c:v>
                </c:pt>
                <c:pt idx="2496">
                  <c:v>42139</c:v>
                </c:pt>
                <c:pt idx="2497">
                  <c:v>42140</c:v>
                </c:pt>
                <c:pt idx="2498">
                  <c:v>42143</c:v>
                </c:pt>
                <c:pt idx="2499">
                  <c:v>42144</c:v>
                </c:pt>
                <c:pt idx="2500">
                  <c:v>42145</c:v>
                </c:pt>
                <c:pt idx="2501">
                  <c:v>42146</c:v>
                </c:pt>
                <c:pt idx="2502">
                  <c:v>42147</c:v>
                </c:pt>
                <c:pt idx="2503">
                  <c:v>42148</c:v>
                </c:pt>
                <c:pt idx="2504">
                  <c:v>42151</c:v>
                </c:pt>
                <c:pt idx="2505">
                  <c:v>42152</c:v>
                </c:pt>
                <c:pt idx="2506">
                  <c:v>42153</c:v>
                </c:pt>
                <c:pt idx="2507">
                  <c:v>42154</c:v>
                </c:pt>
                <c:pt idx="2508">
                  <c:v>42155</c:v>
                </c:pt>
                <c:pt idx="2509">
                  <c:v>42158</c:v>
                </c:pt>
                <c:pt idx="2510">
                  <c:v>42159</c:v>
                </c:pt>
                <c:pt idx="2511">
                  <c:v>42160</c:v>
                </c:pt>
                <c:pt idx="2512">
                  <c:v>42161</c:v>
                </c:pt>
                <c:pt idx="2513">
                  <c:v>42165</c:v>
                </c:pt>
                <c:pt idx="2514">
                  <c:v>42166</c:v>
                </c:pt>
                <c:pt idx="2515">
                  <c:v>42169</c:v>
                </c:pt>
                <c:pt idx="2516">
                  <c:v>42170</c:v>
                </c:pt>
                <c:pt idx="2517">
                  <c:v>42171</c:v>
                </c:pt>
                <c:pt idx="2518">
                  <c:v>42172</c:v>
                </c:pt>
                <c:pt idx="2519">
                  <c:v>42173</c:v>
                </c:pt>
                <c:pt idx="2520">
                  <c:v>42176</c:v>
                </c:pt>
                <c:pt idx="2521">
                  <c:v>42177</c:v>
                </c:pt>
                <c:pt idx="2522">
                  <c:v>42178</c:v>
                </c:pt>
                <c:pt idx="2523">
                  <c:v>42179</c:v>
                </c:pt>
                <c:pt idx="2524">
                  <c:v>42180</c:v>
                </c:pt>
                <c:pt idx="2525">
                  <c:v>42181</c:v>
                </c:pt>
                <c:pt idx="2526">
                  <c:v>42184</c:v>
                </c:pt>
                <c:pt idx="2527">
                  <c:v>42185</c:v>
                </c:pt>
                <c:pt idx="2528">
                  <c:v>42186</c:v>
                </c:pt>
                <c:pt idx="2529">
                  <c:v>42187</c:v>
                </c:pt>
                <c:pt idx="2530">
                  <c:v>42188</c:v>
                </c:pt>
                <c:pt idx="2531">
                  <c:v>42191</c:v>
                </c:pt>
                <c:pt idx="2532">
                  <c:v>42192</c:v>
                </c:pt>
                <c:pt idx="2533">
                  <c:v>42193</c:v>
                </c:pt>
                <c:pt idx="2534">
                  <c:v>42194</c:v>
                </c:pt>
                <c:pt idx="2535">
                  <c:v>42195</c:v>
                </c:pt>
                <c:pt idx="2536">
                  <c:v>42196</c:v>
                </c:pt>
                <c:pt idx="2537">
                  <c:v>42199</c:v>
                </c:pt>
                <c:pt idx="2538">
                  <c:v>42200</c:v>
                </c:pt>
                <c:pt idx="2539">
                  <c:v>42201</c:v>
                </c:pt>
                <c:pt idx="2540">
                  <c:v>42202</c:v>
                </c:pt>
                <c:pt idx="2541">
                  <c:v>42203</c:v>
                </c:pt>
                <c:pt idx="2542">
                  <c:v>42206</c:v>
                </c:pt>
                <c:pt idx="2543">
                  <c:v>42207</c:v>
                </c:pt>
                <c:pt idx="2544">
                  <c:v>42208</c:v>
                </c:pt>
                <c:pt idx="2545">
                  <c:v>42209</c:v>
                </c:pt>
                <c:pt idx="2546">
                  <c:v>42213</c:v>
                </c:pt>
                <c:pt idx="2547">
                  <c:v>42214</c:v>
                </c:pt>
                <c:pt idx="2548">
                  <c:v>42217</c:v>
                </c:pt>
                <c:pt idx="2549">
                  <c:v>42218</c:v>
                </c:pt>
                <c:pt idx="2550">
                  <c:v>42219</c:v>
                </c:pt>
                <c:pt idx="2551">
                  <c:v>42220</c:v>
                </c:pt>
                <c:pt idx="2552">
                  <c:v>42221</c:v>
                </c:pt>
                <c:pt idx="2553">
                  <c:v>42224</c:v>
                </c:pt>
                <c:pt idx="2554">
                  <c:v>42225</c:v>
                </c:pt>
                <c:pt idx="2555">
                  <c:v>42226</c:v>
                </c:pt>
                <c:pt idx="2556">
                  <c:v>42227</c:v>
                </c:pt>
                <c:pt idx="2557">
                  <c:v>42228</c:v>
                </c:pt>
                <c:pt idx="2558">
                  <c:v>42229</c:v>
                </c:pt>
                <c:pt idx="2559">
                  <c:v>42232</c:v>
                </c:pt>
                <c:pt idx="2560">
                  <c:v>42233</c:v>
                </c:pt>
                <c:pt idx="2561">
                  <c:v>42234</c:v>
                </c:pt>
                <c:pt idx="2562">
                  <c:v>42235</c:v>
                </c:pt>
                <c:pt idx="2563">
                  <c:v>42236</c:v>
                </c:pt>
                <c:pt idx="2564">
                  <c:v>42239</c:v>
                </c:pt>
                <c:pt idx="2565">
                  <c:v>42240</c:v>
                </c:pt>
                <c:pt idx="2566">
                  <c:v>42241</c:v>
                </c:pt>
                <c:pt idx="2567">
                  <c:v>42242</c:v>
                </c:pt>
                <c:pt idx="2568">
                  <c:v>42243</c:v>
                </c:pt>
                <c:pt idx="2569">
                  <c:v>42244</c:v>
                </c:pt>
                <c:pt idx="2570">
                  <c:v>42247</c:v>
                </c:pt>
                <c:pt idx="2571">
                  <c:v>42248</c:v>
                </c:pt>
                <c:pt idx="2572">
                  <c:v>42249</c:v>
                </c:pt>
                <c:pt idx="2573">
                  <c:v>42250</c:v>
                </c:pt>
                <c:pt idx="2574">
                  <c:v>42251</c:v>
                </c:pt>
                <c:pt idx="2575">
                  <c:v>42254</c:v>
                </c:pt>
                <c:pt idx="2576">
                  <c:v>42255</c:v>
                </c:pt>
                <c:pt idx="2577">
                  <c:v>42256</c:v>
                </c:pt>
                <c:pt idx="2578">
                  <c:v>42257</c:v>
                </c:pt>
                <c:pt idx="2579">
                  <c:v>42258</c:v>
                </c:pt>
                <c:pt idx="2580">
                  <c:v>42259</c:v>
                </c:pt>
                <c:pt idx="2581">
                  <c:v>42262</c:v>
                </c:pt>
                <c:pt idx="2582">
                  <c:v>42263</c:v>
                </c:pt>
                <c:pt idx="2583">
                  <c:v>42264</c:v>
                </c:pt>
                <c:pt idx="2584">
                  <c:v>42268</c:v>
                </c:pt>
                <c:pt idx="2585">
                  <c:v>42269</c:v>
                </c:pt>
                <c:pt idx="2586">
                  <c:v>42272</c:v>
                </c:pt>
                <c:pt idx="2587">
                  <c:v>42273</c:v>
                </c:pt>
                <c:pt idx="2588">
                  <c:v>42274</c:v>
                </c:pt>
                <c:pt idx="2589">
                  <c:v>42275</c:v>
                </c:pt>
                <c:pt idx="2590">
                  <c:v>42276</c:v>
                </c:pt>
                <c:pt idx="2591">
                  <c:v>42277</c:v>
                </c:pt>
                <c:pt idx="2592">
                  <c:v>42280</c:v>
                </c:pt>
                <c:pt idx="2593">
                  <c:v>42281</c:v>
                </c:pt>
                <c:pt idx="2594">
                  <c:v>42282</c:v>
                </c:pt>
                <c:pt idx="2595">
                  <c:v>42283</c:v>
                </c:pt>
                <c:pt idx="2596">
                  <c:v>42284</c:v>
                </c:pt>
                <c:pt idx="2597">
                  <c:v>42287</c:v>
                </c:pt>
                <c:pt idx="2598">
                  <c:v>42288</c:v>
                </c:pt>
                <c:pt idx="2599">
                  <c:v>42289</c:v>
                </c:pt>
                <c:pt idx="2600">
                  <c:v>42290</c:v>
                </c:pt>
                <c:pt idx="2601">
                  <c:v>42291</c:v>
                </c:pt>
                <c:pt idx="2602">
                  <c:v>42292</c:v>
                </c:pt>
                <c:pt idx="2603">
                  <c:v>42295</c:v>
                </c:pt>
                <c:pt idx="2604">
                  <c:v>42296</c:v>
                </c:pt>
                <c:pt idx="2605">
                  <c:v>42297</c:v>
                </c:pt>
                <c:pt idx="2606">
                  <c:v>42298</c:v>
                </c:pt>
                <c:pt idx="2607">
                  <c:v>42299</c:v>
                </c:pt>
                <c:pt idx="2608">
                  <c:v>42302</c:v>
                </c:pt>
                <c:pt idx="2609">
                  <c:v>42303</c:v>
                </c:pt>
                <c:pt idx="2610">
                  <c:v>42304</c:v>
                </c:pt>
                <c:pt idx="2611">
                  <c:v>42305</c:v>
                </c:pt>
                <c:pt idx="2612">
                  <c:v>42306</c:v>
                </c:pt>
                <c:pt idx="2613">
                  <c:v>42307</c:v>
                </c:pt>
                <c:pt idx="2614">
                  <c:v>42310</c:v>
                </c:pt>
                <c:pt idx="2615">
                  <c:v>42311</c:v>
                </c:pt>
                <c:pt idx="2616">
                  <c:v>42312</c:v>
                </c:pt>
                <c:pt idx="2617">
                  <c:v>42313</c:v>
                </c:pt>
                <c:pt idx="2618">
                  <c:v>42314</c:v>
                </c:pt>
                <c:pt idx="2619">
                  <c:v>42317</c:v>
                </c:pt>
                <c:pt idx="2620">
                  <c:v>42318</c:v>
                </c:pt>
                <c:pt idx="2621">
                  <c:v>42319</c:v>
                </c:pt>
                <c:pt idx="2622">
                  <c:v>42320</c:v>
                </c:pt>
                <c:pt idx="2623">
                  <c:v>42321</c:v>
                </c:pt>
                <c:pt idx="2624">
                  <c:v>42322</c:v>
                </c:pt>
                <c:pt idx="2625">
                  <c:v>42325</c:v>
                </c:pt>
                <c:pt idx="2626">
                  <c:v>42326</c:v>
                </c:pt>
                <c:pt idx="2627">
                  <c:v>42327</c:v>
                </c:pt>
                <c:pt idx="2628">
                  <c:v>42328</c:v>
                </c:pt>
                <c:pt idx="2629">
                  <c:v>42329</c:v>
                </c:pt>
                <c:pt idx="2630">
                  <c:v>42332</c:v>
                </c:pt>
                <c:pt idx="2631">
                  <c:v>42333</c:v>
                </c:pt>
                <c:pt idx="2632">
                  <c:v>42334</c:v>
                </c:pt>
                <c:pt idx="2633">
                  <c:v>42335</c:v>
                </c:pt>
                <c:pt idx="2634">
                  <c:v>42336</c:v>
                </c:pt>
                <c:pt idx="2635">
                  <c:v>42337</c:v>
                </c:pt>
                <c:pt idx="2636">
                  <c:v>42340</c:v>
                </c:pt>
                <c:pt idx="2637">
                  <c:v>42341</c:v>
                </c:pt>
                <c:pt idx="2638">
                  <c:v>42342</c:v>
                </c:pt>
                <c:pt idx="2639">
                  <c:v>42343</c:v>
                </c:pt>
                <c:pt idx="2640">
                  <c:v>42344</c:v>
                </c:pt>
                <c:pt idx="2641">
                  <c:v>42347</c:v>
                </c:pt>
                <c:pt idx="2642">
                  <c:v>42348</c:v>
                </c:pt>
                <c:pt idx="2643">
                  <c:v>42349</c:v>
                </c:pt>
                <c:pt idx="2644">
                  <c:v>42350</c:v>
                </c:pt>
                <c:pt idx="2645">
                  <c:v>42351</c:v>
                </c:pt>
                <c:pt idx="2646">
                  <c:v>42352</c:v>
                </c:pt>
                <c:pt idx="2647">
                  <c:v>42355</c:v>
                </c:pt>
                <c:pt idx="2648">
                  <c:v>42356</c:v>
                </c:pt>
                <c:pt idx="2649">
                  <c:v>42357</c:v>
                </c:pt>
                <c:pt idx="2650">
                  <c:v>42358</c:v>
                </c:pt>
                <c:pt idx="2651">
                  <c:v>42359</c:v>
                </c:pt>
                <c:pt idx="2652">
                  <c:v>42362</c:v>
                </c:pt>
                <c:pt idx="2653">
                  <c:v>42363</c:v>
                </c:pt>
                <c:pt idx="2654">
                  <c:v>42364</c:v>
                </c:pt>
                <c:pt idx="2655">
                  <c:v>42369</c:v>
                </c:pt>
                <c:pt idx="2656">
                  <c:v>42370</c:v>
                </c:pt>
                <c:pt idx="2657">
                  <c:v>42371</c:v>
                </c:pt>
                <c:pt idx="2658">
                  <c:v>42374</c:v>
                </c:pt>
                <c:pt idx="2659">
                  <c:v>42375</c:v>
                </c:pt>
                <c:pt idx="2660">
                  <c:v>42376</c:v>
                </c:pt>
                <c:pt idx="2661">
                  <c:v>42377</c:v>
                </c:pt>
                <c:pt idx="2662">
                  <c:v>42378</c:v>
                </c:pt>
                <c:pt idx="2663">
                  <c:v>42381</c:v>
                </c:pt>
                <c:pt idx="2664">
                  <c:v>42382</c:v>
                </c:pt>
                <c:pt idx="2665">
                  <c:v>42383</c:v>
                </c:pt>
                <c:pt idx="2666">
                  <c:v>42388</c:v>
                </c:pt>
                <c:pt idx="2667">
                  <c:v>42389</c:v>
                </c:pt>
                <c:pt idx="2668">
                  <c:v>42390</c:v>
                </c:pt>
                <c:pt idx="2669">
                  <c:v>42393</c:v>
                </c:pt>
                <c:pt idx="2670">
                  <c:v>42394</c:v>
                </c:pt>
                <c:pt idx="2671">
                  <c:v>42395</c:v>
                </c:pt>
                <c:pt idx="2672">
                  <c:v>42396</c:v>
                </c:pt>
                <c:pt idx="2673">
                  <c:v>42397</c:v>
                </c:pt>
                <c:pt idx="2674">
                  <c:v>42400</c:v>
                </c:pt>
                <c:pt idx="2675">
                  <c:v>42401</c:v>
                </c:pt>
                <c:pt idx="2676">
                  <c:v>42402</c:v>
                </c:pt>
                <c:pt idx="2677">
                  <c:v>42403</c:v>
                </c:pt>
                <c:pt idx="2678">
                  <c:v>42404</c:v>
                </c:pt>
                <c:pt idx="2679">
                  <c:v>42405</c:v>
                </c:pt>
                <c:pt idx="2680">
                  <c:v>42408</c:v>
                </c:pt>
                <c:pt idx="2681">
                  <c:v>42409</c:v>
                </c:pt>
                <c:pt idx="2682">
                  <c:v>42410</c:v>
                </c:pt>
                <c:pt idx="2683">
                  <c:v>42411</c:v>
                </c:pt>
                <c:pt idx="2684">
                  <c:v>42412</c:v>
                </c:pt>
                <c:pt idx="2685">
                  <c:v>42415</c:v>
                </c:pt>
                <c:pt idx="2686">
                  <c:v>42416</c:v>
                </c:pt>
                <c:pt idx="2687">
                  <c:v>42417</c:v>
                </c:pt>
                <c:pt idx="2688">
                  <c:v>42418</c:v>
                </c:pt>
                <c:pt idx="2689">
                  <c:v>42422</c:v>
                </c:pt>
                <c:pt idx="2690">
                  <c:v>42423</c:v>
                </c:pt>
                <c:pt idx="2691">
                  <c:v>42426</c:v>
                </c:pt>
                <c:pt idx="2692">
                  <c:v>42427</c:v>
                </c:pt>
                <c:pt idx="2693">
                  <c:v>42428</c:v>
                </c:pt>
                <c:pt idx="2694">
                  <c:v>42429</c:v>
                </c:pt>
                <c:pt idx="2695">
                  <c:v>42430</c:v>
                </c:pt>
                <c:pt idx="2696">
                  <c:v>42433</c:v>
                </c:pt>
                <c:pt idx="2697">
                  <c:v>42434</c:v>
                </c:pt>
                <c:pt idx="2698">
                  <c:v>42435</c:v>
                </c:pt>
                <c:pt idx="2699">
                  <c:v>42436</c:v>
                </c:pt>
                <c:pt idx="2700">
                  <c:v>42437</c:v>
                </c:pt>
                <c:pt idx="2701">
                  <c:v>42438</c:v>
                </c:pt>
                <c:pt idx="2702">
                  <c:v>42441</c:v>
                </c:pt>
                <c:pt idx="2703">
                  <c:v>42442</c:v>
                </c:pt>
                <c:pt idx="2704">
                  <c:v>42443</c:v>
                </c:pt>
                <c:pt idx="2705">
                  <c:v>42444</c:v>
                </c:pt>
                <c:pt idx="2706">
                  <c:v>42445</c:v>
                </c:pt>
                <c:pt idx="2707">
                  <c:v>42448</c:v>
                </c:pt>
                <c:pt idx="2708">
                  <c:v>42449</c:v>
                </c:pt>
                <c:pt idx="2709">
                  <c:v>42450</c:v>
                </c:pt>
                <c:pt idx="2710">
                  <c:v>42451</c:v>
                </c:pt>
                <c:pt idx="2711">
                  <c:v>42452</c:v>
                </c:pt>
                <c:pt idx="2712">
                  <c:v>42453</c:v>
                </c:pt>
                <c:pt idx="2713">
                  <c:v>42456</c:v>
                </c:pt>
                <c:pt idx="2714">
                  <c:v>42457</c:v>
                </c:pt>
                <c:pt idx="2715">
                  <c:v>42458</c:v>
                </c:pt>
                <c:pt idx="2716">
                  <c:v>42460</c:v>
                </c:pt>
                <c:pt idx="2717">
                  <c:v>42461</c:v>
                </c:pt>
                <c:pt idx="2718">
                  <c:v>42464</c:v>
                </c:pt>
                <c:pt idx="2719">
                  <c:v>42465</c:v>
                </c:pt>
                <c:pt idx="2720">
                  <c:v>42466</c:v>
                </c:pt>
                <c:pt idx="2721">
                  <c:v>42467</c:v>
                </c:pt>
                <c:pt idx="2722">
                  <c:v>42468</c:v>
                </c:pt>
                <c:pt idx="2723">
                  <c:v>42469</c:v>
                </c:pt>
                <c:pt idx="2724">
                  <c:v>42472</c:v>
                </c:pt>
                <c:pt idx="2725">
                  <c:v>42473</c:v>
                </c:pt>
                <c:pt idx="2726">
                  <c:v>42474</c:v>
                </c:pt>
                <c:pt idx="2727">
                  <c:v>42475</c:v>
                </c:pt>
                <c:pt idx="2728">
                  <c:v>42476</c:v>
                </c:pt>
                <c:pt idx="2729">
                  <c:v>42479</c:v>
                </c:pt>
                <c:pt idx="2730">
                  <c:v>42480</c:v>
                </c:pt>
                <c:pt idx="2731">
                  <c:v>42481</c:v>
                </c:pt>
                <c:pt idx="2732">
                  <c:v>42482</c:v>
                </c:pt>
                <c:pt idx="2733">
                  <c:v>42483</c:v>
                </c:pt>
                <c:pt idx="2734">
                  <c:v>42484</c:v>
                </c:pt>
                <c:pt idx="2735">
                  <c:v>42487</c:v>
                </c:pt>
                <c:pt idx="2736">
                  <c:v>42488</c:v>
                </c:pt>
                <c:pt idx="2737">
                  <c:v>42489</c:v>
                </c:pt>
                <c:pt idx="2738">
                  <c:v>42490</c:v>
                </c:pt>
                <c:pt idx="2739">
                  <c:v>42491</c:v>
                </c:pt>
                <c:pt idx="2740">
                  <c:v>42494</c:v>
                </c:pt>
                <c:pt idx="2741">
                  <c:v>42495</c:v>
                </c:pt>
                <c:pt idx="2742">
                  <c:v>42496</c:v>
                </c:pt>
                <c:pt idx="2743">
                  <c:v>42497</c:v>
                </c:pt>
                <c:pt idx="2744">
                  <c:v>42498</c:v>
                </c:pt>
                <c:pt idx="2745">
                  <c:v>42499</c:v>
                </c:pt>
                <c:pt idx="2746">
                  <c:v>42502</c:v>
                </c:pt>
                <c:pt idx="2747">
                  <c:v>42503</c:v>
                </c:pt>
                <c:pt idx="2748">
                  <c:v>42504</c:v>
                </c:pt>
                <c:pt idx="2749">
                  <c:v>42505</c:v>
                </c:pt>
                <c:pt idx="2750">
                  <c:v>42506</c:v>
                </c:pt>
                <c:pt idx="2751">
                  <c:v>42509</c:v>
                </c:pt>
                <c:pt idx="2752">
                  <c:v>42510</c:v>
                </c:pt>
                <c:pt idx="2753">
                  <c:v>42511</c:v>
                </c:pt>
                <c:pt idx="2754">
                  <c:v>42512</c:v>
                </c:pt>
                <c:pt idx="2755">
                  <c:v>42513</c:v>
                </c:pt>
                <c:pt idx="2756">
                  <c:v>42514</c:v>
                </c:pt>
                <c:pt idx="2757">
                  <c:v>42517</c:v>
                </c:pt>
                <c:pt idx="2758">
                  <c:v>42518</c:v>
                </c:pt>
                <c:pt idx="2759">
                  <c:v>42519</c:v>
                </c:pt>
                <c:pt idx="2760">
                  <c:v>42520</c:v>
                </c:pt>
                <c:pt idx="2761">
                  <c:v>42521</c:v>
                </c:pt>
                <c:pt idx="2762">
                  <c:v>42524</c:v>
                </c:pt>
                <c:pt idx="2763">
                  <c:v>42528</c:v>
                </c:pt>
                <c:pt idx="2764">
                  <c:v>42529</c:v>
                </c:pt>
                <c:pt idx="2765">
                  <c:v>42530</c:v>
                </c:pt>
                <c:pt idx="2766">
                  <c:v>42531</c:v>
                </c:pt>
                <c:pt idx="2767">
                  <c:v>42532</c:v>
                </c:pt>
                <c:pt idx="2768">
                  <c:v>42535</c:v>
                </c:pt>
                <c:pt idx="2769">
                  <c:v>42536</c:v>
                </c:pt>
                <c:pt idx="2770">
                  <c:v>42537</c:v>
                </c:pt>
                <c:pt idx="2771">
                  <c:v>42538</c:v>
                </c:pt>
                <c:pt idx="2772">
                  <c:v>42539</c:v>
                </c:pt>
                <c:pt idx="2773">
                  <c:v>42542</c:v>
                </c:pt>
                <c:pt idx="2774">
                  <c:v>42543</c:v>
                </c:pt>
                <c:pt idx="2775">
                  <c:v>42544</c:v>
                </c:pt>
                <c:pt idx="2776">
                  <c:v>42545</c:v>
                </c:pt>
                <c:pt idx="2777">
                  <c:v>42546</c:v>
                </c:pt>
                <c:pt idx="2778">
                  <c:v>42547</c:v>
                </c:pt>
                <c:pt idx="2779">
                  <c:v>42550</c:v>
                </c:pt>
                <c:pt idx="2780">
                  <c:v>42551</c:v>
                </c:pt>
                <c:pt idx="2781">
                  <c:v>42552</c:v>
                </c:pt>
                <c:pt idx="2782">
                  <c:v>42553</c:v>
                </c:pt>
                <c:pt idx="2783">
                  <c:v>42554</c:v>
                </c:pt>
                <c:pt idx="2784">
                  <c:v>42557</c:v>
                </c:pt>
                <c:pt idx="2785">
                  <c:v>42558</c:v>
                </c:pt>
                <c:pt idx="2786">
                  <c:v>42562</c:v>
                </c:pt>
                <c:pt idx="2787">
                  <c:v>42563</c:v>
                </c:pt>
                <c:pt idx="2788">
                  <c:v>42564</c:v>
                </c:pt>
                <c:pt idx="2789">
                  <c:v>42565</c:v>
                </c:pt>
                <c:pt idx="2790">
                  <c:v>42568</c:v>
                </c:pt>
                <c:pt idx="2791">
                  <c:v>42569</c:v>
                </c:pt>
                <c:pt idx="2792">
                  <c:v>42570</c:v>
                </c:pt>
                <c:pt idx="2793">
                  <c:v>42571</c:v>
                </c:pt>
                <c:pt idx="2794">
                  <c:v>42572</c:v>
                </c:pt>
                <c:pt idx="2795">
                  <c:v>42575</c:v>
                </c:pt>
                <c:pt idx="2796">
                  <c:v>42576</c:v>
                </c:pt>
                <c:pt idx="2797">
                  <c:v>42577</c:v>
                </c:pt>
                <c:pt idx="2798">
                  <c:v>42578</c:v>
                </c:pt>
                <c:pt idx="2799">
                  <c:v>42579</c:v>
                </c:pt>
                <c:pt idx="2800">
                  <c:v>42580</c:v>
                </c:pt>
                <c:pt idx="2801">
                  <c:v>42583</c:v>
                </c:pt>
                <c:pt idx="2802">
                  <c:v>42584</c:v>
                </c:pt>
                <c:pt idx="2803">
                  <c:v>42585</c:v>
                </c:pt>
                <c:pt idx="2804">
                  <c:v>42586</c:v>
                </c:pt>
                <c:pt idx="2805">
                  <c:v>42587</c:v>
                </c:pt>
                <c:pt idx="2806">
                  <c:v>42590</c:v>
                </c:pt>
                <c:pt idx="2807">
                  <c:v>42591</c:v>
                </c:pt>
                <c:pt idx="2808">
                  <c:v>42592</c:v>
                </c:pt>
                <c:pt idx="2809">
                  <c:v>42593</c:v>
                </c:pt>
                <c:pt idx="2810">
                  <c:v>42594</c:v>
                </c:pt>
                <c:pt idx="2811">
                  <c:v>42595</c:v>
                </c:pt>
                <c:pt idx="2812">
                  <c:v>42598</c:v>
                </c:pt>
                <c:pt idx="2813">
                  <c:v>42599</c:v>
                </c:pt>
                <c:pt idx="2814">
                  <c:v>42600</c:v>
                </c:pt>
                <c:pt idx="2815">
                  <c:v>42601</c:v>
                </c:pt>
                <c:pt idx="2816">
                  <c:v>42602</c:v>
                </c:pt>
                <c:pt idx="2817">
                  <c:v>42605</c:v>
                </c:pt>
                <c:pt idx="2818">
                  <c:v>42606</c:v>
                </c:pt>
                <c:pt idx="2819">
                  <c:v>42607</c:v>
                </c:pt>
                <c:pt idx="2820">
                  <c:v>42608</c:v>
                </c:pt>
                <c:pt idx="2821">
                  <c:v>42609</c:v>
                </c:pt>
                <c:pt idx="2822">
                  <c:v>42610</c:v>
                </c:pt>
                <c:pt idx="2823">
                  <c:v>42613</c:v>
                </c:pt>
                <c:pt idx="2824">
                  <c:v>42614</c:v>
                </c:pt>
                <c:pt idx="2825">
                  <c:v>42615</c:v>
                </c:pt>
                <c:pt idx="2826">
                  <c:v>42616</c:v>
                </c:pt>
                <c:pt idx="2827">
                  <c:v>42617</c:v>
                </c:pt>
                <c:pt idx="2828">
                  <c:v>42620</c:v>
                </c:pt>
                <c:pt idx="2829">
                  <c:v>42621</c:v>
                </c:pt>
                <c:pt idx="2830">
                  <c:v>42622</c:v>
                </c:pt>
                <c:pt idx="2831">
                  <c:v>42623</c:v>
                </c:pt>
                <c:pt idx="2832">
                  <c:v>42627</c:v>
                </c:pt>
                <c:pt idx="2833">
                  <c:v>42628</c:v>
                </c:pt>
                <c:pt idx="2834">
                  <c:v>42631</c:v>
                </c:pt>
                <c:pt idx="2835">
                  <c:v>42632</c:v>
                </c:pt>
                <c:pt idx="2836">
                  <c:v>42633</c:v>
                </c:pt>
                <c:pt idx="2837">
                  <c:v>42634</c:v>
                </c:pt>
                <c:pt idx="2838">
                  <c:v>42635</c:v>
                </c:pt>
                <c:pt idx="2839">
                  <c:v>42638</c:v>
                </c:pt>
                <c:pt idx="2840">
                  <c:v>42639</c:v>
                </c:pt>
                <c:pt idx="2841">
                  <c:v>42640</c:v>
                </c:pt>
                <c:pt idx="2842">
                  <c:v>42641</c:v>
                </c:pt>
                <c:pt idx="2843">
                  <c:v>42642</c:v>
                </c:pt>
                <c:pt idx="2844">
                  <c:v>42643</c:v>
                </c:pt>
                <c:pt idx="2845">
                  <c:v>42646</c:v>
                </c:pt>
                <c:pt idx="2846">
                  <c:v>42647</c:v>
                </c:pt>
                <c:pt idx="2847">
                  <c:v>42648</c:v>
                </c:pt>
                <c:pt idx="2848">
                  <c:v>42649</c:v>
                </c:pt>
                <c:pt idx="2849">
                  <c:v>42650</c:v>
                </c:pt>
                <c:pt idx="2850">
                  <c:v>42653</c:v>
                </c:pt>
                <c:pt idx="2851">
                  <c:v>42654</c:v>
                </c:pt>
                <c:pt idx="2852">
                  <c:v>42655</c:v>
                </c:pt>
                <c:pt idx="2853">
                  <c:v>42656</c:v>
                </c:pt>
                <c:pt idx="2854">
                  <c:v>42657</c:v>
                </c:pt>
                <c:pt idx="2855">
                  <c:v>42658</c:v>
                </c:pt>
                <c:pt idx="2856">
                  <c:v>42661</c:v>
                </c:pt>
                <c:pt idx="2857">
                  <c:v>42662</c:v>
                </c:pt>
                <c:pt idx="2858">
                  <c:v>42663</c:v>
                </c:pt>
                <c:pt idx="2859">
                  <c:v>42664</c:v>
                </c:pt>
                <c:pt idx="2860">
                  <c:v>42665</c:v>
                </c:pt>
                <c:pt idx="2861">
                  <c:v>42668</c:v>
                </c:pt>
                <c:pt idx="2862">
                  <c:v>42669</c:v>
                </c:pt>
                <c:pt idx="2863">
                  <c:v>42670</c:v>
                </c:pt>
                <c:pt idx="2864">
                  <c:v>42671</c:v>
                </c:pt>
                <c:pt idx="2865">
                  <c:v>42672</c:v>
                </c:pt>
                <c:pt idx="2866">
                  <c:v>42673</c:v>
                </c:pt>
                <c:pt idx="2867">
                  <c:v>42676</c:v>
                </c:pt>
                <c:pt idx="2868">
                  <c:v>42677</c:v>
                </c:pt>
                <c:pt idx="2869">
                  <c:v>42678</c:v>
                </c:pt>
                <c:pt idx="2870">
                  <c:v>42679</c:v>
                </c:pt>
                <c:pt idx="2871">
                  <c:v>42680</c:v>
                </c:pt>
                <c:pt idx="2872">
                  <c:v>42683</c:v>
                </c:pt>
                <c:pt idx="2873">
                  <c:v>42684</c:v>
                </c:pt>
                <c:pt idx="2874">
                  <c:v>42685</c:v>
                </c:pt>
                <c:pt idx="2875">
                  <c:v>42686</c:v>
                </c:pt>
                <c:pt idx="2876">
                  <c:v>42687</c:v>
                </c:pt>
                <c:pt idx="2877">
                  <c:v>42688</c:v>
                </c:pt>
                <c:pt idx="2878">
                  <c:v>42691</c:v>
                </c:pt>
                <c:pt idx="2879">
                  <c:v>42692</c:v>
                </c:pt>
                <c:pt idx="2880">
                  <c:v>42693</c:v>
                </c:pt>
                <c:pt idx="2881">
                  <c:v>42694</c:v>
                </c:pt>
                <c:pt idx="2882">
                  <c:v>42695</c:v>
                </c:pt>
                <c:pt idx="2883">
                  <c:v>42698</c:v>
                </c:pt>
                <c:pt idx="2884">
                  <c:v>42699</c:v>
                </c:pt>
                <c:pt idx="2885">
                  <c:v>42700</c:v>
                </c:pt>
                <c:pt idx="2886">
                  <c:v>42704</c:v>
                </c:pt>
                <c:pt idx="2887">
                  <c:v>42705</c:v>
                </c:pt>
                <c:pt idx="2888">
                  <c:v>42706</c:v>
                </c:pt>
                <c:pt idx="2889">
                  <c:v>42709</c:v>
                </c:pt>
                <c:pt idx="2890">
                  <c:v>42710</c:v>
                </c:pt>
                <c:pt idx="2891">
                  <c:v>42711</c:v>
                </c:pt>
                <c:pt idx="2892">
                  <c:v>42712</c:v>
                </c:pt>
                <c:pt idx="2893">
                  <c:v>42713</c:v>
                </c:pt>
                <c:pt idx="2894">
                  <c:v>42716</c:v>
                </c:pt>
                <c:pt idx="2895">
                  <c:v>42717</c:v>
                </c:pt>
                <c:pt idx="2896">
                  <c:v>42718</c:v>
                </c:pt>
                <c:pt idx="2897">
                  <c:v>42719</c:v>
                </c:pt>
                <c:pt idx="2898">
                  <c:v>42720</c:v>
                </c:pt>
                <c:pt idx="2899">
                  <c:v>42721</c:v>
                </c:pt>
                <c:pt idx="2900">
                  <c:v>42724</c:v>
                </c:pt>
                <c:pt idx="2901">
                  <c:v>42725</c:v>
                </c:pt>
                <c:pt idx="2902">
                  <c:v>42726</c:v>
                </c:pt>
                <c:pt idx="2903">
                  <c:v>42727</c:v>
                </c:pt>
                <c:pt idx="2904">
                  <c:v>42728</c:v>
                </c:pt>
                <c:pt idx="2905">
                  <c:v>42731</c:v>
                </c:pt>
                <c:pt idx="2906">
                  <c:v>42732</c:v>
                </c:pt>
                <c:pt idx="2907">
                  <c:v>42733</c:v>
                </c:pt>
                <c:pt idx="2908">
                  <c:v>42738</c:v>
                </c:pt>
                <c:pt idx="2909">
                  <c:v>42739</c:v>
                </c:pt>
                <c:pt idx="2910">
                  <c:v>42740</c:v>
                </c:pt>
                <c:pt idx="2911">
                  <c:v>42743</c:v>
                </c:pt>
                <c:pt idx="2912">
                  <c:v>42744</c:v>
                </c:pt>
                <c:pt idx="2913">
                  <c:v>42745</c:v>
                </c:pt>
                <c:pt idx="2914">
                  <c:v>42746</c:v>
                </c:pt>
                <c:pt idx="2915">
                  <c:v>42747</c:v>
                </c:pt>
                <c:pt idx="2916">
                  <c:v>42750</c:v>
                </c:pt>
                <c:pt idx="2917">
                  <c:v>42751</c:v>
                </c:pt>
                <c:pt idx="2918">
                  <c:v>42752</c:v>
                </c:pt>
                <c:pt idx="2919">
                  <c:v>42753</c:v>
                </c:pt>
                <c:pt idx="2920">
                  <c:v>42754</c:v>
                </c:pt>
                <c:pt idx="2921">
                  <c:v>42755</c:v>
                </c:pt>
                <c:pt idx="2922">
                  <c:v>42758</c:v>
                </c:pt>
                <c:pt idx="2923">
                  <c:v>42759</c:v>
                </c:pt>
                <c:pt idx="2924">
                  <c:v>42760</c:v>
                </c:pt>
                <c:pt idx="2925">
                  <c:v>42761</c:v>
                </c:pt>
                <c:pt idx="2926">
                  <c:v>42762</c:v>
                </c:pt>
                <c:pt idx="2927">
                  <c:v>42765</c:v>
                </c:pt>
                <c:pt idx="2928">
                  <c:v>42766</c:v>
                </c:pt>
                <c:pt idx="2929">
                  <c:v>42767</c:v>
                </c:pt>
                <c:pt idx="2930">
                  <c:v>42768</c:v>
                </c:pt>
                <c:pt idx="2931">
                  <c:v>42769</c:v>
                </c:pt>
                <c:pt idx="2932">
                  <c:v>42770</c:v>
                </c:pt>
                <c:pt idx="2933">
                  <c:v>42773</c:v>
                </c:pt>
                <c:pt idx="2934">
                  <c:v>42774</c:v>
                </c:pt>
                <c:pt idx="2935">
                  <c:v>42775</c:v>
                </c:pt>
                <c:pt idx="2936">
                  <c:v>42776</c:v>
                </c:pt>
                <c:pt idx="2937">
                  <c:v>42777</c:v>
                </c:pt>
                <c:pt idx="2938">
                  <c:v>42780</c:v>
                </c:pt>
                <c:pt idx="2939">
                  <c:v>42781</c:v>
                </c:pt>
                <c:pt idx="2940">
                  <c:v>42782</c:v>
                </c:pt>
                <c:pt idx="2941">
                  <c:v>42787</c:v>
                </c:pt>
                <c:pt idx="2942">
                  <c:v>42788</c:v>
                </c:pt>
                <c:pt idx="2943">
                  <c:v>42789</c:v>
                </c:pt>
                <c:pt idx="2944">
                  <c:v>42792</c:v>
                </c:pt>
                <c:pt idx="2945">
                  <c:v>42793</c:v>
                </c:pt>
                <c:pt idx="2946">
                  <c:v>42794</c:v>
                </c:pt>
                <c:pt idx="2947">
                  <c:v>42795</c:v>
                </c:pt>
                <c:pt idx="2948">
                  <c:v>42796</c:v>
                </c:pt>
                <c:pt idx="2949">
                  <c:v>42799</c:v>
                </c:pt>
                <c:pt idx="2950">
                  <c:v>42800</c:v>
                </c:pt>
                <c:pt idx="2951">
                  <c:v>42801</c:v>
                </c:pt>
                <c:pt idx="2952">
                  <c:v>42802</c:v>
                </c:pt>
                <c:pt idx="2953">
                  <c:v>42803</c:v>
                </c:pt>
                <c:pt idx="2954">
                  <c:v>42804</c:v>
                </c:pt>
                <c:pt idx="2955">
                  <c:v>42807</c:v>
                </c:pt>
                <c:pt idx="2956">
                  <c:v>42808</c:v>
                </c:pt>
                <c:pt idx="2957">
                  <c:v>42809</c:v>
                </c:pt>
                <c:pt idx="2958">
                  <c:v>42810</c:v>
                </c:pt>
                <c:pt idx="2959">
                  <c:v>42811</c:v>
                </c:pt>
                <c:pt idx="2960">
                  <c:v>42814</c:v>
                </c:pt>
                <c:pt idx="2961">
                  <c:v>42815</c:v>
                </c:pt>
                <c:pt idx="2962">
                  <c:v>42816</c:v>
                </c:pt>
                <c:pt idx="2963">
                  <c:v>42817</c:v>
                </c:pt>
                <c:pt idx="2964">
                  <c:v>42818</c:v>
                </c:pt>
                <c:pt idx="2965">
                  <c:v>42819</c:v>
                </c:pt>
                <c:pt idx="2966">
                  <c:v>42822</c:v>
                </c:pt>
                <c:pt idx="2967">
                  <c:v>42823</c:v>
                </c:pt>
                <c:pt idx="2968">
                  <c:v>42824</c:v>
                </c:pt>
                <c:pt idx="2969">
                  <c:v>42825</c:v>
                </c:pt>
                <c:pt idx="2970">
                  <c:v>42826</c:v>
                </c:pt>
                <c:pt idx="2971">
                  <c:v>42829</c:v>
                </c:pt>
                <c:pt idx="2972">
                  <c:v>42830</c:v>
                </c:pt>
                <c:pt idx="2973">
                  <c:v>42831</c:v>
                </c:pt>
                <c:pt idx="2974">
                  <c:v>42832</c:v>
                </c:pt>
                <c:pt idx="2975">
                  <c:v>42833</c:v>
                </c:pt>
                <c:pt idx="2976">
                  <c:v>42834</c:v>
                </c:pt>
                <c:pt idx="2977">
                  <c:v>42837</c:v>
                </c:pt>
                <c:pt idx="2978">
                  <c:v>42838</c:v>
                </c:pt>
                <c:pt idx="2979">
                  <c:v>42842</c:v>
                </c:pt>
                <c:pt idx="2980">
                  <c:v>42843</c:v>
                </c:pt>
                <c:pt idx="2981">
                  <c:v>42844</c:v>
                </c:pt>
                <c:pt idx="2982">
                  <c:v>42847</c:v>
                </c:pt>
                <c:pt idx="2983">
                  <c:v>42848</c:v>
                </c:pt>
                <c:pt idx="2984">
                  <c:v>42849</c:v>
                </c:pt>
                <c:pt idx="2985">
                  <c:v>42850</c:v>
                </c:pt>
                <c:pt idx="2986">
                  <c:v>42851</c:v>
                </c:pt>
                <c:pt idx="2987">
                  <c:v>42852</c:v>
                </c:pt>
                <c:pt idx="2988">
                  <c:v>42855</c:v>
                </c:pt>
                <c:pt idx="2989">
                  <c:v>42856</c:v>
                </c:pt>
                <c:pt idx="2990">
                  <c:v>42857</c:v>
                </c:pt>
                <c:pt idx="2991">
                  <c:v>42858</c:v>
                </c:pt>
                <c:pt idx="2992">
                  <c:v>42859</c:v>
                </c:pt>
                <c:pt idx="2993">
                  <c:v>42862</c:v>
                </c:pt>
                <c:pt idx="2994">
                  <c:v>42863</c:v>
                </c:pt>
                <c:pt idx="2995">
                  <c:v>42864</c:v>
                </c:pt>
                <c:pt idx="2996">
                  <c:v>42865</c:v>
                </c:pt>
                <c:pt idx="2997">
                  <c:v>42866</c:v>
                </c:pt>
                <c:pt idx="2998">
                  <c:v>42867</c:v>
                </c:pt>
                <c:pt idx="2999">
                  <c:v>42870</c:v>
                </c:pt>
                <c:pt idx="3000">
                  <c:v>42871</c:v>
                </c:pt>
                <c:pt idx="3001">
                  <c:v>42872</c:v>
                </c:pt>
                <c:pt idx="3002">
                  <c:v>42873</c:v>
                </c:pt>
                <c:pt idx="3003">
                  <c:v>42874</c:v>
                </c:pt>
                <c:pt idx="3004">
                  <c:v>42877</c:v>
                </c:pt>
                <c:pt idx="3005">
                  <c:v>42878</c:v>
                </c:pt>
                <c:pt idx="3006">
                  <c:v>42879</c:v>
                </c:pt>
                <c:pt idx="3007">
                  <c:v>42880</c:v>
                </c:pt>
                <c:pt idx="3008">
                  <c:v>42881</c:v>
                </c:pt>
                <c:pt idx="3009">
                  <c:v>42882</c:v>
                </c:pt>
                <c:pt idx="3010">
                  <c:v>42885</c:v>
                </c:pt>
                <c:pt idx="3011">
                  <c:v>42886</c:v>
                </c:pt>
                <c:pt idx="3012">
                  <c:v>42887</c:v>
                </c:pt>
                <c:pt idx="3013">
                  <c:v>42888</c:v>
                </c:pt>
                <c:pt idx="3014">
                  <c:v>42889</c:v>
                </c:pt>
                <c:pt idx="3015">
                  <c:v>42892</c:v>
                </c:pt>
                <c:pt idx="3016">
                  <c:v>42893</c:v>
                </c:pt>
                <c:pt idx="3017">
                  <c:v>42894</c:v>
                </c:pt>
                <c:pt idx="3018">
                  <c:v>42898</c:v>
                </c:pt>
                <c:pt idx="3019">
                  <c:v>42899</c:v>
                </c:pt>
                <c:pt idx="3020">
                  <c:v>42900</c:v>
                </c:pt>
                <c:pt idx="3021">
                  <c:v>42903</c:v>
                </c:pt>
                <c:pt idx="3022">
                  <c:v>42904</c:v>
                </c:pt>
                <c:pt idx="3023">
                  <c:v>42905</c:v>
                </c:pt>
                <c:pt idx="3024">
                  <c:v>42906</c:v>
                </c:pt>
                <c:pt idx="3025">
                  <c:v>42907</c:v>
                </c:pt>
                <c:pt idx="3026">
                  <c:v>42910</c:v>
                </c:pt>
                <c:pt idx="3027">
                  <c:v>42911</c:v>
                </c:pt>
                <c:pt idx="3028">
                  <c:v>42912</c:v>
                </c:pt>
                <c:pt idx="3029">
                  <c:v>42913</c:v>
                </c:pt>
                <c:pt idx="3030">
                  <c:v>42914</c:v>
                </c:pt>
                <c:pt idx="3031">
                  <c:v>42915</c:v>
                </c:pt>
                <c:pt idx="3032">
                  <c:v>42918</c:v>
                </c:pt>
                <c:pt idx="3033">
                  <c:v>42919</c:v>
                </c:pt>
                <c:pt idx="3034">
                  <c:v>42920</c:v>
                </c:pt>
                <c:pt idx="3035">
                  <c:v>42921</c:v>
                </c:pt>
                <c:pt idx="3036">
                  <c:v>42922</c:v>
                </c:pt>
                <c:pt idx="3037">
                  <c:v>42925</c:v>
                </c:pt>
                <c:pt idx="3038">
                  <c:v>42926</c:v>
                </c:pt>
                <c:pt idx="3039">
                  <c:v>42927</c:v>
                </c:pt>
                <c:pt idx="3040">
                  <c:v>42928</c:v>
                </c:pt>
                <c:pt idx="3041">
                  <c:v>42929</c:v>
                </c:pt>
                <c:pt idx="3042">
                  <c:v>42930</c:v>
                </c:pt>
                <c:pt idx="3043">
                  <c:v>42933</c:v>
                </c:pt>
                <c:pt idx="3044">
                  <c:v>42934</c:v>
                </c:pt>
                <c:pt idx="3045">
                  <c:v>42935</c:v>
                </c:pt>
                <c:pt idx="3046">
                  <c:v>42936</c:v>
                </c:pt>
                <c:pt idx="3047">
                  <c:v>42937</c:v>
                </c:pt>
                <c:pt idx="3048">
                  <c:v>42940</c:v>
                </c:pt>
                <c:pt idx="3049">
                  <c:v>42941</c:v>
                </c:pt>
                <c:pt idx="3050">
                  <c:v>42942</c:v>
                </c:pt>
                <c:pt idx="3051">
                  <c:v>42943</c:v>
                </c:pt>
                <c:pt idx="3052">
                  <c:v>42947</c:v>
                </c:pt>
                <c:pt idx="3053">
                  <c:v>42948</c:v>
                </c:pt>
                <c:pt idx="3054">
                  <c:v>42951</c:v>
                </c:pt>
                <c:pt idx="3055">
                  <c:v>42952</c:v>
                </c:pt>
                <c:pt idx="3056">
                  <c:v>42953</c:v>
                </c:pt>
                <c:pt idx="3057">
                  <c:v>42954</c:v>
                </c:pt>
                <c:pt idx="3058">
                  <c:v>42955</c:v>
                </c:pt>
                <c:pt idx="3059">
                  <c:v>42958</c:v>
                </c:pt>
                <c:pt idx="3060">
                  <c:v>42959</c:v>
                </c:pt>
                <c:pt idx="3061">
                  <c:v>42960</c:v>
                </c:pt>
                <c:pt idx="3062">
                  <c:v>42961</c:v>
                </c:pt>
                <c:pt idx="3063">
                  <c:v>42962</c:v>
                </c:pt>
                <c:pt idx="3064">
                  <c:v>42963</c:v>
                </c:pt>
                <c:pt idx="3065">
                  <c:v>42966</c:v>
                </c:pt>
                <c:pt idx="3066">
                  <c:v>42967</c:v>
                </c:pt>
                <c:pt idx="3067">
                  <c:v>42968</c:v>
                </c:pt>
                <c:pt idx="3068">
                  <c:v>42969</c:v>
                </c:pt>
                <c:pt idx="3069">
                  <c:v>42970</c:v>
                </c:pt>
                <c:pt idx="3070">
                  <c:v>42973</c:v>
                </c:pt>
                <c:pt idx="3071">
                  <c:v>42974</c:v>
                </c:pt>
                <c:pt idx="3072">
                  <c:v>42975</c:v>
                </c:pt>
                <c:pt idx="3073">
                  <c:v>42976</c:v>
                </c:pt>
                <c:pt idx="3074">
                  <c:v>42977</c:v>
                </c:pt>
                <c:pt idx="3075">
                  <c:v>42978</c:v>
                </c:pt>
                <c:pt idx="3076">
                  <c:v>42981</c:v>
                </c:pt>
                <c:pt idx="3077">
                  <c:v>42982</c:v>
                </c:pt>
                <c:pt idx="3078">
                  <c:v>42983</c:v>
                </c:pt>
                <c:pt idx="3079">
                  <c:v>42984</c:v>
                </c:pt>
                <c:pt idx="3080">
                  <c:v>42985</c:v>
                </c:pt>
                <c:pt idx="3081">
                  <c:v>42988</c:v>
                </c:pt>
                <c:pt idx="3082">
                  <c:v>42989</c:v>
                </c:pt>
                <c:pt idx="3083">
                  <c:v>42990</c:v>
                </c:pt>
                <c:pt idx="3084">
                  <c:v>42991</c:v>
                </c:pt>
                <c:pt idx="3085">
                  <c:v>42992</c:v>
                </c:pt>
                <c:pt idx="3086">
                  <c:v>42996</c:v>
                </c:pt>
                <c:pt idx="3087">
                  <c:v>42999</c:v>
                </c:pt>
                <c:pt idx="3088">
                  <c:v>43000</c:v>
                </c:pt>
                <c:pt idx="3089">
                  <c:v>43001</c:v>
                </c:pt>
                <c:pt idx="3090">
                  <c:v>43002</c:v>
                </c:pt>
                <c:pt idx="3091">
                  <c:v>43003</c:v>
                </c:pt>
                <c:pt idx="3092">
                  <c:v>43006</c:v>
                </c:pt>
                <c:pt idx="3093">
                  <c:v>43007</c:v>
                </c:pt>
                <c:pt idx="3094">
                  <c:v>43008</c:v>
                </c:pt>
                <c:pt idx="3095">
                  <c:v>43009</c:v>
                </c:pt>
                <c:pt idx="3096">
                  <c:v>43010</c:v>
                </c:pt>
                <c:pt idx="3097">
                  <c:v>43011</c:v>
                </c:pt>
                <c:pt idx="3098">
                  <c:v>43014</c:v>
                </c:pt>
                <c:pt idx="3099">
                  <c:v>43015</c:v>
                </c:pt>
                <c:pt idx="3100">
                  <c:v>43016</c:v>
                </c:pt>
                <c:pt idx="3101">
                  <c:v>43017</c:v>
                </c:pt>
                <c:pt idx="3102">
                  <c:v>43018</c:v>
                </c:pt>
                <c:pt idx="3103">
                  <c:v>43021</c:v>
                </c:pt>
                <c:pt idx="3104">
                  <c:v>43022</c:v>
                </c:pt>
                <c:pt idx="3105">
                  <c:v>43023</c:v>
                </c:pt>
                <c:pt idx="3106">
                  <c:v>43024</c:v>
                </c:pt>
                <c:pt idx="3107">
                  <c:v>43025</c:v>
                </c:pt>
                <c:pt idx="3108">
                  <c:v>43026</c:v>
                </c:pt>
                <c:pt idx="3109">
                  <c:v>43029</c:v>
                </c:pt>
                <c:pt idx="3110">
                  <c:v>43030</c:v>
                </c:pt>
                <c:pt idx="3111">
                  <c:v>43031</c:v>
                </c:pt>
                <c:pt idx="3112">
                  <c:v>43032</c:v>
                </c:pt>
                <c:pt idx="3113">
                  <c:v>43033</c:v>
                </c:pt>
                <c:pt idx="3114">
                  <c:v>43036</c:v>
                </c:pt>
                <c:pt idx="3115">
                  <c:v>43037</c:v>
                </c:pt>
                <c:pt idx="3116">
                  <c:v>43038</c:v>
                </c:pt>
                <c:pt idx="3117">
                  <c:v>43039</c:v>
                </c:pt>
                <c:pt idx="3118">
                  <c:v>43040</c:v>
                </c:pt>
                <c:pt idx="3119">
                  <c:v>43041</c:v>
                </c:pt>
                <c:pt idx="3120">
                  <c:v>43044</c:v>
                </c:pt>
                <c:pt idx="3121">
                  <c:v>43045</c:v>
                </c:pt>
                <c:pt idx="3122">
                  <c:v>43046</c:v>
                </c:pt>
                <c:pt idx="3123">
                  <c:v>43047</c:v>
                </c:pt>
                <c:pt idx="3124">
                  <c:v>43048</c:v>
                </c:pt>
                <c:pt idx="3125">
                  <c:v>43051</c:v>
                </c:pt>
                <c:pt idx="3126">
                  <c:v>43052</c:v>
                </c:pt>
                <c:pt idx="3127">
                  <c:v>43053</c:v>
                </c:pt>
                <c:pt idx="3128">
                  <c:v>43054</c:v>
                </c:pt>
                <c:pt idx="3129">
                  <c:v>43055</c:v>
                </c:pt>
                <c:pt idx="3130">
                  <c:v>43056</c:v>
                </c:pt>
                <c:pt idx="3131">
                  <c:v>43059</c:v>
                </c:pt>
                <c:pt idx="3132">
                  <c:v>43060</c:v>
                </c:pt>
                <c:pt idx="3133">
                  <c:v>43061</c:v>
                </c:pt>
                <c:pt idx="3134">
                  <c:v>43062</c:v>
                </c:pt>
                <c:pt idx="3135">
                  <c:v>43063</c:v>
                </c:pt>
                <c:pt idx="3136">
                  <c:v>43066</c:v>
                </c:pt>
                <c:pt idx="3137">
                  <c:v>43067</c:v>
                </c:pt>
                <c:pt idx="3138">
                  <c:v>43068</c:v>
                </c:pt>
                <c:pt idx="3139">
                  <c:v>43070</c:v>
                </c:pt>
                <c:pt idx="3140">
                  <c:v>43071</c:v>
                </c:pt>
                <c:pt idx="3141">
                  <c:v>43072</c:v>
                </c:pt>
                <c:pt idx="3142">
                  <c:v>43075</c:v>
                </c:pt>
                <c:pt idx="3143">
                  <c:v>43076</c:v>
                </c:pt>
                <c:pt idx="3144">
                  <c:v>43077</c:v>
                </c:pt>
                <c:pt idx="3145">
                  <c:v>43078</c:v>
                </c:pt>
                <c:pt idx="3146">
                  <c:v>43079</c:v>
                </c:pt>
                <c:pt idx="3147">
                  <c:v>43082</c:v>
                </c:pt>
                <c:pt idx="3148">
                  <c:v>43083</c:v>
                </c:pt>
                <c:pt idx="3149">
                  <c:v>43084</c:v>
                </c:pt>
                <c:pt idx="3150">
                  <c:v>43085</c:v>
                </c:pt>
                <c:pt idx="3151">
                  <c:v>43086</c:v>
                </c:pt>
                <c:pt idx="3152">
                  <c:v>43087</c:v>
                </c:pt>
                <c:pt idx="3153">
                  <c:v>43090</c:v>
                </c:pt>
                <c:pt idx="3154">
                  <c:v>43091</c:v>
                </c:pt>
                <c:pt idx="3155">
                  <c:v>43095</c:v>
                </c:pt>
                <c:pt idx="3156">
                  <c:v>43096</c:v>
                </c:pt>
                <c:pt idx="3157">
                  <c:v>43097</c:v>
                </c:pt>
                <c:pt idx="3158">
                  <c:v>43100</c:v>
                </c:pt>
                <c:pt idx="3159">
                  <c:v>43101</c:v>
                </c:pt>
                <c:pt idx="3160">
                  <c:v>43102</c:v>
                </c:pt>
                <c:pt idx="3161">
                  <c:v>43103</c:v>
                </c:pt>
                <c:pt idx="3162">
                  <c:v>43104</c:v>
                </c:pt>
                <c:pt idx="3163">
                  <c:v>43105</c:v>
                </c:pt>
                <c:pt idx="3164">
                  <c:v>43108</c:v>
                </c:pt>
                <c:pt idx="3165">
                  <c:v>43109</c:v>
                </c:pt>
                <c:pt idx="3166">
                  <c:v>43110</c:v>
                </c:pt>
                <c:pt idx="3167">
                  <c:v>43111</c:v>
                </c:pt>
                <c:pt idx="3168">
                  <c:v>43116</c:v>
                </c:pt>
                <c:pt idx="3169">
                  <c:v>43119</c:v>
                </c:pt>
                <c:pt idx="3170">
                  <c:v>43120</c:v>
                </c:pt>
                <c:pt idx="3171">
                  <c:v>43121</c:v>
                </c:pt>
                <c:pt idx="3172">
                  <c:v>43122</c:v>
                </c:pt>
                <c:pt idx="3173">
                  <c:v>43123</c:v>
                </c:pt>
                <c:pt idx="3174">
                  <c:v>43124</c:v>
                </c:pt>
                <c:pt idx="3175">
                  <c:v>43127</c:v>
                </c:pt>
                <c:pt idx="3176">
                  <c:v>43128</c:v>
                </c:pt>
                <c:pt idx="3177">
                  <c:v>43129</c:v>
                </c:pt>
                <c:pt idx="3178">
                  <c:v>43130</c:v>
                </c:pt>
                <c:pt idx="3179">
                  <c:v>43131</c:v>
                </c:pt>
                <c:pt idx="3180">
                  <c:v>43134</c:v>
                </c:pt>
                <c:pt idx="3181">
                  <c:v>43135</c:v>
                </c:pt>
                <c:pt idx="3182">
                  <c:v>43136</c:v>
                </c:pt>
                <c:pt idx="3183">
                  <c:v>43137</c:v>
                </c:pt>
                <c:pt idx="3184">
                  <c:v>43138</c:v>
                </c:pt>
                <c:pt idx="3185">
                  <c:v>43139</c:v>
                </c:pt>
                <c:pt idx="3186">
                  <c:v>43142</c:v>
                </c:pt>
                <c:pt idx="3187">
                  <c:v>43143</c:v>
                </c:pt>
                <c:pt idx="3188">
                  <c:v>43144</c:v>
                </c:pt>
                <c:pt idx="3189">
                  <c:v>43145</c:v>
                </c:pt>
                <c:pt idx="3190">
                  <c:v>43146</c:v>
                </c:pt>
                <c:pt idx="3191">
                  <c:v>43149</c:v>
                </c:pt>
                <c:pt idx="3192">
                  <c:v>43150</c:v>
                </c:pt>
                <c:pt idx="3193">
                  <c:v>43151</c:v>
                </c:pt>
                <c:pt idx="3194">
                  <c:v>43152</c:v>
                </c:pt>
                <c:pt idx="3195">
                  <c:v>43153</c:v>
                </c:pt>
                <c:pt idx="3196">
                  <c:v>43154</c:v>
                </c:pt>
                <c:pt idx="3197">
                  <c:v>43157</c:v>
                </c:pt>
                <c:pt idx="3198">
                  <c:v>43158</c:v>
                </c:pt>
                <c:pt idx="3199">
                  <c:v>43160</c:v>
                </c:pt>
                <c:pt idx="3200">
                  <c:v>43161</c:v>
                </c:pt>
                <c:pt idx="3201">
                  <c:v>43162</c:v>
                </c:pt>
                <c:pt idx="3202">
                  <c:v>43165</c:v>
                </c:pt>
                <c:pt idx="3203">
                  <c:v>43166</c:v>
                </c:pt>
                <c:pt idx="3204">
                  <c:v>43167</c:v>
                </c:pt>
                <c:pt idx="3205">
                  <c:v>43168</c:v>
                </c:pt>
                <c:pt idx="3206">
                  <c:v>43169</c:v>
                </c:pt>
                <c:pt idx="3207">
                  <c:v>43170</c:v>
                </c:pt>
                <c:pt idx="3208">
                  <c:v>43173</c:v>
                </c:pt>
                <c:pt idx="3209">
                  <c:v>43174</c:v>
                </c:pt>
                <c:pt idx="3210">
                  <c:v>43175</c:v>
                </c:pt>
                <c:pt idx="3211">
                  <c:v>43176</c:v>
                </c:pt>
                <c:pt idx="3212">
                  <c:v>43177</c:v>
                </c:pt>
                <c:pt idx="3213">
                  <c:v>43180</c:v>
                </c:pt>
                <c:pt idx="3214">
                  <c:v>43181</c:v>
                </c:pt>
                <c:pt idx="3215">
                  <c:v>43182</c:v>
                </c:pt>
                <c:pt idx="3216">
                  <c:v>43183</c:v>
                </c:pt>
                <c:pt idx="3217">
                  <c:v>43184</c:v>
                </c:pt>
                <c:pt idx="3218">
                  <c:v>43185</c:v>
                </c:pt>
                <c:pt idx="3219">
                  <c:v>43188</c:v>
                </c:pt>
                <c:pt idx="3220">
                  <c:v>43192</c:v>
                </c:pt>
                <c:pt idx="3221">
                  <c:v>43193</c:v>
                </c:pt>
                <c:pt idx="3222">
                  <c:v>43194</c:v>
                </c:pt>
                <c:pt idx="3223">
                  <c:v>43195</c:v>
                </c:pt>
                <c:pt idx="3224">
                  <c:v>43198</c:v>
                </c:pt>
                <c:pt idx="3225">
                  <c:v>43199</c:v>
                </c:pt>
                <c:pt idx="3226">
                  <c:v>43200</c:v>
                </c:pt>
                <c:pt idx="3227">
                  <c:v>43201</c:v>
                </c:pt>
                <c:pt idx="3228">
                  <c:v>43202</c:v>
                </c:pt>
                <c:pt idx="3229">
                  <c:v>43203</c:v>
                </c:pt>
                <c:pt idx="3230">
                  <c:v>43206</c:v>
                </c:pt>
                <c:pt idx="3231">
                  <c:v>43207</c:v>
                </c:pt>
                <c:pt idx="3232">
                  <c:v>43208</c:v>
                </c:pt>
                <c:pt idx="3233">
                  <c:v>43209</c:v>
                </c:pt>
                <c:pt idx="3234">
                  <c:v>43210</c:v>
                </c:pt>
                <c:pt idx="3235">
                  <c:v>43213</c:v>
                </c:pt>
                <c:pt idx="3236">
                  <c:v>43214</c:v>
                </c:pt>
                <c:pt idx="3237">
                  <c:v>43215</c:v>
                </c:pt>
                <c:pt idx="3238">
                  <c:v>43216</c:v>
                </c:pt>
                <c:pt idx="3239">
                  <c:v>43217</c:v>
                </c:pt>
                <c:pt idx="3240">
                  <c:v>43218</c:v>
                </c:pt>
                <c:pt idx="3241">
                  <c:v>43221</c:v>
                </c:pt>
                <c:pt idx="3242">
                  <c:v>43222</c:v>
                </c:pt>
                <c:pt idx="3243">
                  <c:v>43223</c:v>
                </c:pt>
                <c:pt idx="3244">
                  <c:v>43224</c:v>
                </c:pt>
                <c:pt idx="3245">
                  <c:v>43225</c:v>
                </c:pt>
                <c:pt idx="3246">
                  <c:v>43228</c:v>
                </c:pt>
                <c:pt idx="3247">
                  <c:v>43229</c:v>
                </c:pt>
                <c:pt idx="3248">
                  <c:v>43230</c:v>
                </c:pt>
                <c:pt idx="3249">
                  <c:v>43231</c:v>
                </c:pt>
                <c:pt idx="3250">
                  <c:v>43232</c:v>
                </c:pt>
                <c:pt idx="3251">
                  <c:v>43233</c:v>
                </c:pt>
                <c:pt idx="3252">
                  <c:v>43236</c:v>
                </c:pt>
                <c:pt idx="3253">
                  <c:v>43237</c:v>
                </c:pt>
                <c:pt idx="3254">
                  <c:v>43238</c:v>
                </c:pt>
                <c:pt idx="3255">
                  <c:v>43239</c:v>
                </c:pt>
                <c:pt idx="3256">
                  <c:v>43240</c:v>
                </c:pt>
                <c:pt idx="3257">
                  <c:v>43243</c:v>
                </c:pt>
                <c:pt idx="3258">
                  <c:v>43244</c:v>
                </c:pt>
                <c:pt idx="3259">
                  <c:v>43245</c:v>
                </c:pt>
                <c:pt idx="3260">
                  <c:v>43246</c:v>
                </c:pt>
                <c:pt idx="3261">
                  <c:v>43247</c:v>
                </c:pt>
                <c:pt idx="3262">
                  <c:v>43248</c:v>
                </c:pt>
                <c:pt idx="3263">
                  <c:v>43251</c:v>
                </c:pt>
                <c:pt idx="3264">
                  <c:v>43255</c:v>
                </c:pt>
                <c:pt idx="3265">
                  <c:v>43256</c:v>
                </c:pt>
                <c:pt idx="3266">
                  <c:v>43257</c:v>
                </c:pt>
                <c:pt idx="3267">
                  <c:v>43258</c:v>
                </c:pt>
                <c:pt idx="3268">
                  <c:v>43261</c:v>
                </c:pt>
                <c:pt idx="3269">
                  <c:v>43262</c:v>
                </c:pt>
                <c:pt idx="3270">
                  <c:v>43263</c:v>
                </c:pt>
                <c:pt idx="3271">
                  <c:v>43264</c:v>
                </c:pt>
                <c:pt idx="3272">
                  <c:v>43265</c:v>
                </c:pt>
                <c:pt idx="3273">
                  <c:v>43266</c:v>
                </c:pt>
                <c:pt idx="3274">
                  <c:v>43269</c:v>
                </c:pt>
                <c:pt idx="3275">
                  <c:v>43270</c:v>
                </c:pt>
                <c:pt idx="3276">
                  <c:v>43271</c:v>
                </c:pt>
                <c:pt idx="3277">
                  <c:v>43272</c:v>
                </c:pt>
                <c:pt idx="3278">
                  <c:v>43273</c:v>
                </c:pt>
                <c:pt idx="3279">
                  <c:v>43276</c:v>
                </c:pt>
                <c:pt idx="3280">
                  <c:v>43277</c:v>
                </c:pt>
                <c:pt idx="3281">
                  <c:v>43278</c:v>
                </c:pt>
                <c:pt idx="3282">
                  <c:v>43279</c:v>
                </c:pt>
                <c:pt idx="3283">
                  <c:v>43280</c:v>
                </c:pt>
                <c:pt idx="3284">
                  <c:v>43281</c:v>
                </c:pt>
                <c:pt idx="3285">
                  <c:v>43284</c:v>
                </c:pt>
                <c:pt idx="3286">
                  <c:v>43285</c:v>
                </c:pt>
                <c:pt idx="3287">
                  <c:v>43286</c:v>
                </c:pt>
                <c:pt idx="3288">
                  <c:v>43287</c:v>
                </c:pt>
                <c:pt idx="3289">
                  <c:v>43288</c:v>
                </c:pt>
                <c:pt idx="3290">
                  <c:v>43291</c:v>
                </c:pt>
                <c:pt idx="3291">
                  <c:v>43292</c:v>
                </c:pt>
                <c:pt idx="3292">
                  <c:v>43297</c:v>
                </c:pt>
                <c:pt idx="3293">
                  <c:v>43298</c:v>
                </c:pt>
                <c:pt idx="3294">
                  <c:v>43299</c:v>
                </c:pt>
                <c:pt idx="3295">
                  <c:v>43300</c:v>
                </c:pt>
                <c:pt idx="3296">
                  <c:v>43303</c:v>
                </c:pt>
                <c:pt idx="3297">
                  <c:v>43304</c:v>
                </c:pt>
                <c:pt idx="3298">
                  <c:v>43305</c:v>
                </c:pt>
                <c:pt idx="3299">
                  <c:v>43306</c:v>
                </c:pt>
                <c:pt idx="3300">
                  <c:v>43307</c:v>
                </c:pt>
                <c:pt idx="3301">
                  <c:v>43310</c:v>
                </c:pt>
                <c:pt idx="3302">
                  <c:v>43311</c:v>
                </c:pt>
                <c:pt idx="3303">
                  <c:v>43312</c:v>
                </c:pt>
                <c:pt idx="3304">
                  <c:v>43313</c:v>
                </c:pt>
                <c:pt idx="3305">
                  <c:v>43314</c:v>
                </c:pt>
                <c:pt idx="3306">
                  <c:v>43315</c:v>
                </c:pt>
                <c:pt idx="3307">
                  <c:v>43318</c:v>
                </c:pt>
                <c:pt idx="3308">
                  <c:v>43319</c:v>
                </c:pt>
                <c:pt idx="3309">
                  <c:v>43320</c:v>
                </c:pt>
                <c:pt idx="3310">
                  <c:v>43321</c:v>
                </c:pt>
                <c:pt idx="3311">
                  <c:v>43322</c:v>
                </c:pt>
                <c:pt idx="3312">
                  <c:v>43325</c:v>
                </c:pt>
                <c:pt idx="3313">
                  <c:v>43326</c:v>
                </c:pt>
                <c:pt idx="3314">
                  <c:v>43327</c:v>
                </c:pt>
                <c:pt idx="3315">
                  <c:v>43328</c:v>
                </c:pt>
                <c:pt idx="3316">
                  <c:v>43329</c:v>
                </c:pt>
                <c:pt idx="3317">
                  <c:v>43330</c:v>
                </c:pt>
                <c:pt idx="3318">
                  <c:v>43333</c:v>
                </c:pt>
                <c:pt idx="3319">
                  <c:v>43334</c:v>
                </c:pt>
                <c:pt idx="3320">
                  <c:v>43335</c:v>
                </c:pt>
                <c:pt idx="3321">
                  <c:v>43336</c:v>
                </c:pt>
                <c:pt idx="3322">
                  <c:v>43337</c:v>
                </c:pt>
                <c:pt idx="3323">
                  <c:v>43340</c:v>
                </c:pt>
                <c:pt idx="3324">
                  <c:v>43341</c:v>
                </c:pt>
                <c:pt idx="3325">
                  <c:v>43342</c:v>
                </c:pt>
                <c:pt idx="3326">
                  <c:v>43343</c:v>
                </c:pt>
                <c:pt idx="3327">
                  <c:v>43344</c:v>
                </c:pt>
                <c:pt idx="3328">
                  <c:v>43345</c:v>
                </c:pt>
                <c:pt idx="3329">
                  <c:v>43348</c:v>
                </c:pt>
                <c:pt idx="3330">
                  <c:v>43349</c:v>
                </c:pt>
                <c:pt idx="3331">
                  <c:v>43350</c:v>
                </c:pt>
                <c:pt idx="3332">
                  <c:v>43351</c:v>
                </c:pt>
                <c:pt idx="3333">
                  <c:v>43352</c:v>
                </c:pt>
                <c:pt idx="3334">
                  <c:v>43355</c:v>
                </c:pt>
                <c:pt idx="3335">
                  <c:v>43356</c:v>
                </c:pt>
                <c:pt idx="3336">
                  <c:v>43357</c:v>
                </c:pt>
                <c:pt idx="3337">
                  <c:v>43360</c:v>
                </c:pt>
                <c:pt idx="3338">
                  <c:v>43361</c:v>
                </c:pt>
                <c:pt idx="3339">
                  <c:v>43362</c:v>
                </c:pt>
                <c:pt idx="3340">
                  <c:v>43365</c:v>
                </c:pt>
                <c:pt idx="3341">
                  <c:v>43366</c:v>
                </c:pt>
                <c:pt idx="3342">
                  <c:v>43367</c:v>
                </c:pt>
                <c:pt idx="3343">
                  <c:v>43368</c:v>
                </c:pt>
                <c:pt idx="3344">
                  <c:v>43369</c:v>
                </c:pt>
                <c:pt idx="3345">
                  <c:v>43372</c:v>
                </c:pt>
                <c:pt idx="3346">
                  <c:v>43373</c:v>
                </c:pt>
                <c:pt idx="3347">
                  <c:v>43374</c:v>
                </c:pt>
                <c:pt idx="3348">
                  <c:v>43375</c:v>
                </c:pt>
                <c:pt idx="3349">
                  <c:v>43376</c:v>
                </c:pt>
                <c:pt idx="3350">
                  <c:v>43377</c:v>
                </c:pt>
                <c:pt idx="3351">
                  <c:v>43380</c:v>
                </c:pt>
                <c:pt idx="3352">
                  <c:v>43381</c:v>
                </c:pt>
                <c:pt idx="3353">
                  <c:v>43382</c:v>
                </c:pt>
                <c:pt idx="3354">
                  <c:v>43383</c:v>
                </c:pt>
                <c:pt idx="3355">
                  <c:v>43384</c:v>
                </c:pt>
                <c:pt idx="3356">
                  <c:v>43387</c:v>
                </c:pt>
                <c:pt idx="3357">
                  <c:v>43388</c:v>
                </c:pt>
                <c:pt idx="3358">
                  <c:v>43389</c:v>
                </c:pt>
                <c:pt idx="3359">
                  <c:v>43390</c:v>
                </c:pt>
                <c:pt idx="3360">
                  <c:v>43391</c:v>
                </c:pt>
                <c:pt idx="3361">
                  <c:v>43392</c:v>
                </c:pt>
                <c:pt idx="3362">
                  <c:v>43395</c:v>
                </c:pt>
                <c:pt idx="3363">
                  <c:v>43396</c:v>
                </c:pt>
                <c:pt idx="3364">
                  <c:v>43397</c:v>
                </c:pt>
                <c:pt idx="3365">
                  <c:v>43398</c:v>
                </c:pt>
                <c:pt idx="3366">
                  <c:v>43399</c:v>
                </c:pt>
                <c:pt idx="3367">
                  <c:v>43402</c:v>
                </c:pt>
                <c:pt idx="3368">
                  <c:v>43403</c:v>
                </c:pt>
                <c:pt idx="3369">
                  <c:v>43404</c:v>
                </c:pt>
                <c:pt idx="3370">
                  <c:v>43405</c:v>
                </c:pt>
                <c:pt idx="3371">
                  <c:v>43406</c:v>
                </c:pt>
                <c:pt idx="3372">
                  <c:v>43407</c:v>
                </c:pt>
                <c:pt idx="3373">
                  <c:v>43410</c:v>
                </c:pt>
                <c:pt idx="3374">
                  <c:v>43411</c:v>
                </c:pt>
                <c:pt idx="3375">
                  <c:v>43412</c:v>
                </c:pt>
                <c:pt idx="3376">
                  <c:v>43413</c:v>
                </c:pt>
                <c:pt idx="3377">
                  <c:v>43414</c:v>
                </c:pt>
                <c:pt idx="3378">
                  <c:v>43417</c:v>
                </c:pt>
                <c:pt idx="3379">
                  <c:v>43418</c:v>
                </c:pt>
                <c:pt idx="3380">
                  <c:v>43419</c:v>
                </c:pt>
                <c:pt idx="3381">
                  <c:v>43420</c:v>
                </c:pt>
                <c:pt idx="3382">
                  <c:v>43421</c:v>
                </c:pt>
                <c:pt idx="3383">
                  <c:v>43422</c:v>
                </c:pt>
                <c:pt idx="3384">
                  <c:v>43425</c:v>
                </c:pt>
                <c:pt idx="3385">
                  <c:v>43426</c:v>
                </c:pt>
                <c:pt idx="3386">
                  <c:v>43427</c:v>
                </c:pt>
                <c:pt idx="3387">
                  <c:v>43428</c:v>
                </c:pt>
                <c:pt idx="3388">
                  <c:v>43429</c:v>
                </c:pt>
                <c:pt idx="3389">
                  <c:v>43432</c:v>
                </c:pt>
                <c:pt idx="3390">
                  <c:v>43433</c:v>
                </c:pt>
                <c:pt idx="3391">
                  <c:v>43437</c:v>
                </c:pt>
                <c:pt idx="3392">
                  <c:v>43438</c:v>
                </c:pt>
                <c:pt idx="3393">
                  <c:v>43439</c:v>
                </c:pt>
                <c:pt idx="3394">
                  <c:v>43440</c:v>
                </c:pt>
                <c:pt idx="3395">
                  <c:v>43443</c:v>
                </c:pt>
                <c:pt idx="3396">
                  <c:v>43444</c:v>
                </c:pt>
                <c:pt idx="3397">
                  <c:v>43445</c:v>
                </c:pt>
                <c:pt idx="3398">
                  <c:v>43446</c:v>
                </c:pt>
                <c:pt idx="3399">
                  <c:v>43447</c:v>
                </c:pt>
                <c:pt idx="3400">
                  <c:v>43450</c:v>
                </c:pt>
                <c:pt idx="3401">
                  <c:v>43451</c:v>
                </c:pt>
                <c:pt idx="3402">
                  <c:v>43452</c:v>
                </c:pt>
                <c:pt idx="3403">
                  <c:v>43453</c:v>
                </c:pt>
                <c:pt idx="3404">
                  <c:v>43454</c:v>
                </c:pt>
                <c:pt idx="3405">
                  <c:v>43455</c:v>
                </c:pt>
                <c:pt idx="3406">
                  <c:v>43458</c:v>
                </c:pt>
                <c:pt idx="3407">
                  <c:v>43459</c:v>
                </c:pt>
                <c:pt idx="3408">
                  <c:v>43460</c:v>
                </c:pt>
                <c:pt idx="3409">
                  <c:v>43465</c:v>
                </c:pt>
                <c:pt idx="3410">
                  <c:v>43466</c:v>
                </c:pt>
                <c:pt idx="3411">
                  <c:v>43469</c:v>
                </c:pt>
                <c:pt idx="3412">
                  <c:v>43470</c:v>
                </c:pt>
                <c:pt idx="3413">
                  <c:v>43471</c:v>
                </c:pt>
                <c:pt idx="3414">
                  <c:v>43472</c:v>
                </c:pt>
                <c:pt idx="3415">
                  <c:v>43473</c:v>
                </c:pt>
                <c:pt idx="3416">
                  <c:v>43474</c:v>
                </c:pt>
                <c:pt idx="3417">
                  <c:v>43477</c:v>
                </c:pt>
                <c:pt idx="3418">
                  <c:v>43478</c:v>
                </c:pt>
                <c:pt idx="3419">
                  <c:v>43479</c:v>
                </c:pt>
                <c:pt idx="3420">
                  <c:v>43480</c:v>
                </c:pt>
                <c:pt idx="3421">
                  <c:v>43481</c:v>
                </c:pt>
                <c:pt idx="3422">
                  <c:v>43484</c:v>
                </c:pt>
                <c:pt idx="3423">
                  <c:v>43485</c:v>
                </c:pt>
                <c:pt idx="3424">
                  <c:v>43486</c:v>
                </c:pt>
                <c:pt idx="3425">
                  <c:v>43487</c:v>
                </c:pt>
                <c:pt idx="3426">
                  <c:v>43488</c:v>
                </c:pt>
                <c:pt idx="3427">
                  <c:v>43489</c:v>
                </c:pt>
                <c:pt idx="3428">
                  <c:v>43492</c:v>
                </c:pt>
                <c:pt idx="3429">
                  <c:v>43493</c:v>
                </c:pt>
                <c:pt idx="3430">
                  <c:v>43496</c:v>
                </c:pt>
                <c:pt idx="3431">
                  <c:v>43497</c:v>
                </c:pt>
                <c:pt idx="3432">
                  <c:v>43498</c:v>
                </c:pt>
                <c:pt idx="3433">
                  <c:v>43501</c:v>
                </c:pt>
                <c:pt idx="3434">
                  <c:v>43502</c:v>
                </c:pt>
                <c:pt idx="3435">
                  <c:v>43503</c:v>
                </c:pt>
                <c:pt idx="3436">
                  <c:v>43504</c:v>
                </c:pt>
                <c:pt idx="3437">
                  <c:v>43505</c:v>
                </c:pt>
                <c:pt idx="3438">
                  <c:v>43506</c:v>
                </c:pt>
                <c:pt idx="3439">
                  <c:v>43509</c:v>
                </c:pt>
                <c:pt idx="3440">
                  <c:v>43510</c:v>
                </c:pt>
                <c:pt idx="3441">
                  <c:v>43511</c:v>
                </c:pt>
                <c:pt idx="3442">
                  <c:v>43515</c:v>
                </c:pt>
                <c:pt idx="3443">
                  <c:v>43516</c:v>
                </c:pt>
                <c:pt idx="3444">
                  <c:v>43519</c:v>
                </c:pt>
                <c:pt idx="3445">
                  <c:v>43520</c:v>
                </c:pt>
                <c:pt idx="3446">
                  <c:v>43521</c:v>
                </c:pt>
                <c:pt idx="3447">
                  <c:v>43522</c:v>
                </c:pt>
                <c:pt idx="3448">
                  <c:v>43523</c:v>
                </c:pt>
                <c:pt idx="3449">
                  <c:v>43524</c:v>
                </c:pt>
                <c:pt idx="3450">
                  <c:v>43527</c:v>
                </c:pt>
                <c:pt idx="3451">
                  <c:v>43528</c:v>
                </c:pt>
                <c:pt idx="3452">
                  <c:v>43529</c:v>
                </c:pt>
                <c:pt idx="3453">
                  <c:v>43530</c:v>
                </c:pt>
                <c:pt idx="3454">
                  <c:v>43531</c:v>
                </c:pt>
                <c:pt idx="3455">
                  <c:v>43534</c:v>
                </c:pt>
                <c:pt idx="3456">
                  <c:v>43535</c:v>
                </c:pt>
                <c:pt idx="3457">
                  <c:v>43536</c:v>
                </c:pt>
                <c:pt idx="3458">
                  <c:v>43537</c:v>
                </c:pt>
                <c:pt idx="3459">
                  <c:v>43538</c:v>
                </c:pt>
                <c:pt idx="3460">
                  <c:v>43539</c:v>
                </c:pt>
                <c:pt idx="3461">
                  <c:v>43542</c:v>
                </c:pt>
                <c:pt idx="3462">
                  <c:v>43543</c:v>
                </c:pt>
                <c:pt idx="3463">
                  <c:v>43544</c:v>
                </c:pt>
                <c:pt idx="3464">
                  <c:v>43545</c:v>
                </c:pt>
                <c:pt idx="3465">
                  <c:v>43546</c:v>
                </c:pt>
                <c:pt idx="3466">
                  <c:v>43549</c:v>
                </c:pt>
                <c:pt idx="3467">
                  <c:v>43550</c:v>
                </c:pt>
                <c:pt idx="3468">
                  <c:v>43551</c:v>
                </c:pt>
                <c:pt idx="3469">
                  <c:v>43552</c:v>
                </c:pt>
                <c:pt idx="3470">
                  <c:v>43553</c:v>
                </c:pt>
                <c:pt idx="3471">
                  <c:v>43554</c:v>
                </c:pt>
                <c:pt idx="3472">
                  <c:v>43557</c:v>
                </c:pt>
                <c:pt idx="3473">
                  <c:v>43558</c:v>
                </c:pt>
                <c:pt idx="3474">
                  <c:v>43559</c:v>
                </c:pt>
                <c:pt idx="3475">
                  <c:v>43560</c:v>
                </c:pt>
                <c:pt idx="3476">
                  <c:v>43561</c:v>
                </c:pt>
                <c:pt idx="3477">
                  <c:v>43564</c:v>
                </c:pt>
                <c:pt idx="3478">
                  <c:v>43565</c:v>
                </c:pt>
                <c:pt idx="3479">
                  <c:v>43566</c:v>
                </c:pt>
                <c:pt idx="3480">
                  <c:v>43567</c:v>
                </c:pt>
                <c:pt idx="3481">
                  <c:v>43568</c:v>
                </c:pt>
                <c:pt idx="3482">
                  <c:v>43569</c:v>
                </c:pt>
                <c:pt idx="3483">
                  <c:v>43572</c:v>
                </c:pt>
                <c:pt idx="3484">
                  <c:v>43573</c:v>
                </c:pt>
                <c:pt idx="3485">
                  <c:v>43574</c:v>
                </c:pt>
                <c:pt idx="3486">
                  <c:v>43575</c:v>
                </c:pt>
                <c:pt idx="3487">
                  <c:v>43576</c:v>
                </c:pt>
                <c:pt idx="3488">
                  <c:v>43579</c:v>
                </c:pt>
                <c:pt idx="3489">
                  <c:v>43580</c:v>
                </c:pt>
                <c:pt idx="3490">
                  <c:v>43581</c:v>
                </c:pt>
                <c:pt idx="3491">
                  <c:v>43582</c:v>
                </c:pt>
                <c:pt idx="3492">
                  <c:v>43583</c:v>
                </c:pt>
                <c:pt idx="3493">
                  <c:v>43584</c:v>
                </c:pt>
                <c:pt idx="3494">
                  <c:v>43587</c:v>
                </c:pt>
                <c:pt idx="3495">
                  <c:v>43588</c:v>
                </c:pt>
                <c:pt idx="3496">
                  <c:v>43591</c:v>
                </c:pt>
                <c:pt idx="3497">
                  <c:v>43592</c:v>
                </c:pt>
                <c:pt idx="3498">
                  <c:v>43593</c:v>
                </c:pt>
                <c:pt idx="3499">
                  <c:v>43596</c:v>
                </c:pt>
                <c:pt idx="3500">
                  <c:v>43597</c:v>
                </c:pt>
                <c:pt idx="3501">
                  <c:v>43598</c:v>
                </c:pt>
                <c:pt idx="3502">
                  <c:v>43599</c:v>
                </c:pt>
                <c:pt idx="3503">
                  <c:v>43600</c:v>
                </c:pt>
                <c:pt idx="3504">
                  <c:v>43601</c:v>
                </c:pt>
                <c:pt idx="3505">
                  <c:v>43604</c:v>
                </c:pt>
                <c:pt idx="3506">
                  <c:v>43605</c:v>
                </c:pt>
                <c:pt idx="3507">
                  <c:v>43606</c:v>
                </c:pt>
                <c:pt idx="3508">
                  <c:v>43607</c:v>
                </c:pt>
                <c:pt idx="3509">
                  <c:v>43608</c:v>
                </c:pt>
                <c:pt idx="3510">
                  <c:v>43611</c:v>
                </c:pt>
                <c:pt idx="3511">
                  <c:v>43612</c:v>
                </c:pt>
                <c:pt idx="3512">
                  <c:v>43613</c:v>
                </c:pt>
                <c:pt idx="3513">
                  <c:v>43614</c:v>
                </c:pt>
                <c:pt idx="3514">
                  <c:v>43615</c:v>
                </c:pt>
                <c:pt idx="3515">
                  <c:v>43616</c:v>
                </c:pt>
                <c:pt idx="3516">
                  <c:v>43619</c:v>
                </c:pt>
                <c:pt idx="3517">
                  <c:v>43620</c:v>
                </c:pt>
                <c:pt idx="3518">
                  <c:v>43621</c:v>
                </c:pt>
                <c:pt idx="3519">
                  <c:v>43622</c:v>
                </c:pt>
                <c:pt idx="3520">
                  <c:v>43623</c:v>
                </c:pt>
                <c:pt idx="3521">
                  <c:v>43626</c:v>
                </c:pt>
                <c:pt idx="3522">
                  <c:v>43627</c:v>
                </c:pt>
                <c:pt idx="3523">
                  <c:v>43628</c:v>
                </c:pt>
                <c:pt idx="3524">
                  <c:v>43629</c:v>
                </c:pt>
                <c:pt idx="3525">
                  <c:v>43633</c:v>
                </c:pt>
                <c:pt idx="3526">
                  <c:v>43634</c:v>
                </c:pt>
                <c:pt idx="3527">
                  <c:v>43637</c:v>
                </c:pt>
                <c:pt idx="3528">
                  <c:v>43638</c:v>
                </c:pt>
                <c:pt idx="3529">
                  <c:v>43639</c:v>
                </c:pt>
                <c:pt idx="3530">
                  <c:v>43640</c:v>
                </c:pt>
                <c:pt idx="3531">
                  <c:v>43641</c:v>
                </c:pt>
                <c:pt idx="3532">
                  <c:v>43644</c:v>
                </c:pt>
                <c:pt idx="3533">
                  <c:v>43645</c:v>
                </c:pt>
                <c:pt idx="3534">
                  <c:v>43646</c:v>
                </c:pt>
                <c:pt idx="3535">
                  <c:v>43647</c:v>
                </c:pt>
                <c:pt idx="3536">
                  <c:v>43648</c:v>
                </c:pt>
                <c:pt idx="3537">
                  <c:v>43649</c:v>
                </c:pt>
                <c:pt idx="3538">
                  <c:v>43652</c:v>
                </c:pt>
                <c:pt idx="3539">
                  <c:v>43653</c:v>
                </c:pt>
                <c:pt idx="3540">
                  <c:v>43654</c:v>
                </c:pt>
                <c:pt idx="3541">
                  <c:v>43656</c:v>
                </c:pt>
                <c:pt idx="3542">
                  <c:v>43657</c:v>
                </c:pt>
                <c:pt idx="3543">
                  <c:v>43660</c:v>
                </c:pt>
                <c:pt idx="3544">
                  <c:v>43661</c:v>
                </c:pt>
                <c:pt idx="3545">
                  <c:v>43662</c:v>
                </c:pt>
                <c:pt idx="3546">
                  <c:v>43663</c:v>
                </c:pt>
                <c:pt idx="3547">
                  <c:v>43664</c:v>
                </c:pt>
                <c:pt idx="3548">
                  <c:v>43665</c:v>
                </c:pt>
                <c:pt idx="3549">
                  <c:v>43668</c:v>
                </c:pt>
                <c:pt idx="3550">
                  <c:v>43669</c:v>
                </c:pt>
                <c:pt idx="3551">
                  <c:v>43670</c:v>
                </c:pt>
                <c:pt idx="3552">
                  <c:v>43671</c:v>
                </c:pt>
                <c:pt idx="3553">
                  <c:v>43672</c:v>
                </c:pt>
                <c:pt idx="3554">
                  <c:v>43675</c:v>
                </c:pt>
                <c:pt idx="3555">
                  <c:v>43676</c:v>
                </c:pt>
                <c:pt idx="3556">
                  <c:v>43677</c:v>
                </c:pt>
                <c:pt idx="3557">
                  <c:v>43678</c:v>
                </c:pt>
                <c:pt idx="3558">
                  <c:v>43679</c:v>
                </c:pt>
                <c:pt idx="3559">
                  <c:v>43680</c:v>
                </c:pt>
                <c:pt idx="3560">
                  <c:v>43683</c:v>
                </c:pt>
                <c:pt idx="3561">
                  <c:v>43684</c:v>
                </c:pt>
                <c:pt idx="3562">
                  <c:v>43685</c:v>
                </c:pt>
                <c:pt idx="3563">
                  <c:v>43686</c:v>
                </c:pt>
                <c:pt idx="3564">
                  <c:v>43687</c:v>
                </c:pt>
                <c:pt idx="3565">
                  <c:v>43690</c:v>
                </c:pt>
                <c:pt idx="3566">
                  <c:v>43691</c:v>
                </c:pt>
                <c:pt idx="3567">
                  <c:v>43692</c:v>
                </c:pt>
                <c:pt idx="3568">
                  <c:v>43693</c:v>
                </c:pt>
                <c:pt idx="3569">
                  <c:v>43694</c:v>
                </c:pt>
                <c:pt idx="3570">
                  <c:v>43695</c:v>
                </c:pt>
                <c:pt idx="3571">
                  <c:v>43698</c:v>
                </c:pt>
                <c:pt idx="3572">
                  <c:v>43699</c:v>
                </c:pt>
                <c:pt idx="3573">
                  <c:v>43700</c:v>
                </c:pt>
                <c:pt idx="3574">
                  <c:v>43701</c:v>
                </c:pt>
                <c:pt idx="3575">
                  <c:v>43702</c:v>
                </c:pt>
                <c:pt idx="3576">
                  <c:v>43705</c:v>
                </c:pt>
                <c:pt idx="3577">
                  <c:v>43706</c:v>
                </c:pt>
                <c:pt idx="3578">
                  <c:v>43707</c:v>
                </c:pt>
                <c:pt idx="3579">
                  <c:v>43708</c:v>
                </c:pt>
                <c:pt idx="3580">
                  <c:v>43709</c:v>
                </c:pt>
                <c:pt idx="3581">
                  <c:v>43710</c:v>
                </c:pt>
                <c:pt idx="3582">
                  <c:v>43713</c:v>
                </c:pt>
                <c:pt idx="3583">
                  <c:v>43714</c:v>
                </c:pt>
                <c:pt idx="3584">
                  <c:v>43718</c:v>
                </c:pt>
                <c:pt idx="3585">
                  <c:v>43719</c:v>
                </c:pt>
                <c:pt idx="3586">
                  <c:v>43720</c:v>
                </c:pt>
                <c:pt idx="3587">
                  <c:v>43723</c:v>
                </c:pt>
                <c:pt idx="3588">
                  <c:v>43724</c:v>
                </c:pt>
                <c:pt idx="3589">
                  <c:v>43725</c:v>
                </c:pt>
                <c:pt idx="3590">
                  <c:v>43726</c:v>
                </c:pt>
                <c:pt idx="3591">
                  <c:v>43727</c:v>
                </c:pt>
                <c:pt idx="3592">
                  <c:v>43728</c:v>
                </c:pt>
                <c:pt idx="3593">
                  <c:v>43731</c:v>
                </c:pt>
                <c:pt idx="3594">
                  <c:v>43732</c:v>
                </c:pt>
                <c:pt idx="3595">
                  <c:v>43733</c:v>
                </c:pt>
                <c:pt idx="3596">
                  <c:v>43734</c:v>
                </c:pt>
                <c:pt idx="3597">
                  <c:v>43735</c:v>
                </c:pt>
                <c:pt idx="3598">
                  <c:v>43738</c:v>
                </c:pt>
                <c:pt idx="3599">
                  <c:v>43739</c:v>
                </c:pt>
                <c:pt idx="3600">
                  <c:v>43740</c:v>
                </c:pt>
                <c:pt idx="3601">
                  <c:v>43741</c:v>
                </c:pt>
                <c:pt idx="3602">
                  <c:v>43742</c:v>
                </c:pt>
                <c:pt idx="3603">
                  <c:v>43743</c:v>
                </c:pt>
                <c:pt idx="3604">
                  <c:v>43746</c:v>
                </c:pt>
                <c:pt idx="3605">
                  <c:v>43747</c:v>
                </c:pt>
                <c:pt idx="3606">
                  <c:v>43748</c:v>
                </c:pt>
                <c:pt idx="3607">
                  <c:v>43749</c:v>
                </c:pt>
                <c:pt idx="3608">
                  <c:v>43750</c:v>
                </c:pt>
                <c:pt idx="3609">
                  <c:v>43753</c:v>
                </c:pt>
                <c:pt idx="3610">
                  <c:v>43754</c:v>
                </c:pt>
                <c:pt idx="3611">
                  <c:v>43755</c:v>
                </c:pt>
                <c:pt idx="3612">
                  <c:v>43756</c:v>
                </c:pt>
                <c:pt idx="3613">
                  <c:v>43759</c:v>
                </c:pt>
                <c:pt idx="3614">
                  <c:v>43760</c:v>
                </c:pt>
                <c:pt idx="3615">
                  <c:v>43763</c:v>
                </c:pt>
                <c:pt idx="3616">
                  <c:v>43764</c:v>
                </c:pt>
                <c:pt idx="3617">
                  <c:v>43765</c:v>
                </c:pt>
                <c:pt idx="3618">
                  <c:v>43766</c:v>
                </c:pt>
                <c:pt idx="3619">
                  <c:v>43767</c:v>
                </c:pt>
                <c:pt idx="3620">
                  <c:v>43770</c:v>
                </c:pt>
                <c:pt idx="3621">
                  <c:v>43771</c:v>
                </c:pt>
                <c:pt idx="3622">
                  <c:v>43772</c:v>
                </c:pt>
                <c:pt idx="3623">
                  <c:v>43773</c:v>
                </c:pt>
                <c:pt idx="3624">
                  <c:v>43774</c:v>
                </c:pt>
                <c:pt idx="3625">
                  <c:v>43775</c:v>
                </c:pt>
                <c:pt idx="3626">
                  <c:v>43778</c:v>
                </c:pt>
                <c:pt idx="3627">
                  <c:v>43779</c:v>
                </c:pt>
                <c:pt idx="3628">
                  <c:v>43780</c:v>
                </c:pt>
                <c:pt idx="3629">
                  <c:v>43781</c:v>
                </c:pt>
                <c:pt idx="3630">
                  <c:v>43782</c:v>
                </c:pt>
                <c:pt idx="3631">
                  <c:v>43785</c:v>
                </c:pt>
                <c:pt idx="3632">
                  <c:v>43786</c:v>
                </c:pt>
                <c:pt idx="3633">
                  <c:v>43787</c:v>
                </c:pt>
                <c:pt idx="3634">
                  <c:v>43788</c:v>
                </c:pt>
                <c:pt idx="3635">
                  <c:v>43789</c:v>
                </c:pt>
                <c:pt idx="3636">
                  <c:v>43790</c:v>
                </c:pt>
                <c:pt idx="3637">
                  <c:v>43793</c:v>
                </c:pt>
                <c:pt idx="3638">
                  <c:v>43794</c:v>
                </c:pt>
                <c:pt idx="3639">
                  <c:v>43795</c:v>
                </c:pt>
                <c:pt idx="3640">
                  <c:v>43796</c:v>
                </c:pt>
                <c:pt idx="3641">
                  <c:v>43797</c:v>
                </c:pt>
                <c:pt idx="3642">
                  <c:v>43800</c:v>
                </c:pt>
                <c:pt idx="3643">
                  <c:v>43801</c:v>
                </c:pt>
                <c:pt idx="3644">
                  <c:v>43802</c:v>
                </c:pt>
                <c:pt idx="3645">
                  <c:v>43803</c:v>
                </c:pt>
                <c:pt idx="3646">
                  <c:v>43804</c:v>
                </c:pt>
                <c:pt idx="3647">
                  <c:v>43805</c:v>
                </c:pt>
                <c:pt idx="3648">
                  <c:v>43808</c:v>
                </c:pt>
                <c:pt idx="3649">
                  <c:v>43809</c:v>
                </c:pt>
                <c:pt idx="3650">
                  <c:v>43810</c:v>
                </c:pt>
                <c:pt idx="3651">
                  <c:v>43811</c:v>
                </c:pt>
                <c:pt idx="3652">
                  <c:v>43812</c:v>
                </c:pt>
                <c:pt idx="3653">
                  <c:v>43815</c:v>
                </c:pt>
                <c:pt idx="3654">
                  <c:v>43816</c:v>
                </c:pt>
                <c:pt idx="3655">
                  <c:v>43817</c:v>
                </c:pt>
                <c:pt idx="3656">
                  <c:v>43819</c:v>
                </c:pt>
                <c:pt idx="3657">
                  <c:v>43820</c:v>
                </c:pt>
                <c:pt idx="3658">
                  <c:v>43821</c:v>
                </c:pt>
                <c:pt idx="3659">
                  <c:v>43824</c:v>
                </c:pt>
                <c:pt idx="3660">
                  <c:v>43825</c:v>
                </c:pt>
                <c:pt idx="3661">
                  <c:v>43826</c:v>
                </c:pt>
                <c:pt idx="3662">
                  <c:v>43827</c:v>
                </c:pt>
                <c:pt idx="3663">
                  <c:v>43828</c:v>
                </c:pt>
                <c:pt idx="3664">
                  <c:v>43831</c:v>
                </c:pt>
                <c:pt idx="3665">
                  <c:v>43836</c:v>
                </c:pt>
                <c:pt idx="3666">
                  <c:v>43837</c:v>
                </c:pt>
                <c:pt idx="3667">
                  <c:v>43838</c:v>
                </c:pt>
                <c:pt idx="3668">
                  <c:v>43839</c:v>
                </c:pt>
                <c:pt idx="3669">
                  <c:v>43840</c:v>
                </c:pt>
                <c:pt idx="3670">
                  <c:v>43843</c:v>
                </c:pt>
                <c:pt idx="3671">
                  <c:v>43844</c:v>
                </c:pt>
                <c:pt idx="3672">
                  <c:v>43845</c:v>
                </c:pt>
                <c:pt idx="3673">
                  <c:v>43846</c:v>
                </c:pt>
                <c:pt idx="3674">
                  <c:v>43847</c:v>
                </c:pt>
                <c:pt idx="3675">
                  <c:v>43850</c:v>
                </c:pt>
                <c:pt idx="3676">
                  <c:v>43851</c:v>
                </c:pt>
                <c:pt idx="3677">
                  <c:v>43852</c:v>
                </c:pt>
                <c:pt idx="3678">
                  <c:v>43853</c:v>
                </c:pt>
                <c:pt idx="3679">
                  <c:v>43857</c:v>
                </c:pt>
                <c:pt idx="3680">
                  <c:v>43858</c:v>
                </c:pt>
                <c:pt idx="3681">
                  <c:v>43861</c:v>
                </c:pt>
                <c:pt idx="3682">
                  <c:v>43862</c:v>
                </c:pt>
                <c:pt idx="3683">
                  <c:v>43863</c:v>
                </c:pt>
                <c:pt idx="3684">
                  <c:v>43864</c:v>
                </c:pt>
                <c:pt idx="3685">
                  <c:v>43865</c:v>
                </c:pt>
                <c:pt idx="3686">
                  <c:v>43868</c:v>
                </c:pt>
                <c:pt idx="3687">
                  <c:v>43869</c:v>
                </c:pt>
                <c:pt idx="3688">
                  <c:v>43870</c:v>
                </c:pt>
                <c:pt idx="3689">
                  <c:v>43871</c:v>
                </c:pt>
                <c:pt idx="3690">
                  <c:v>43872</c:v>
                </c:pt>
                <c:pt idx="3691">
                  <c:v>43873</c:v>
                </c:pt>
                <c:pt idx="3692">
                  <c:v>43876</c:v>
                </c:pt>
                <c:pt idx="3693">
                  <c:v>43877</c:v>
                </c:pt>
                <c:pt idx="3694">
                  <c:v>43878</c:v>
                </c:pt>
                <c:pt idx="3695">
                  <c:v>43879</c:v>
                </c:pt>
                <c:pt idx="3696">
                  <c:v>43880</c:v>
                </c:pt>
                <c:pt idx="3697">
                  <c:v>43883</c:v>
                </c:pt>
                <c:pt idx="3698">
                  <c:v>43884</c:v>
                </c:pt>
                <c:pt idx="3699">
                  <c:v>43885</c:v>
                </c:pt>
                <c:pt idx="3700">
                  <c:v>43886</c:v>
                </c:pt>
                <c:pt idx="3701">
                  <c:v>43887</c:v>
                </c:pt>
                <c:pt idx="3702">
                  <c:v>43888</c:v>
                </c:pt>
                <c:pt idx="3703">
                  <c:v>43891</c:v>
                </c:pt>
                <c:pt idx="3704">
                  <c:v>43892</c:v>
                </c:pt>
                <c:pt idx="3705">
                  <c:v>43893</c:v>
                </c:pt>
                <c:pt idx="3706">
                  <c:v>43894</c:v>
                </c:pt>
                <c:pt idx="3707">
                  <c:v>43895</c:v>
                </c:pt>
                <c:pt idx="3708">
                  <c:v>43898</c:v>
                </c:pt>
                <c:pt idx="3709">
                  <c:v>43899</c:v>
                </c:pt>
                <c:pt idx="3710">
                  <c:v>43900</c:v>
                </c:pt>
                <c:pt idx="3711">
                  <c:v>43901</c:v>
                </c:pt>
                <c:pt idx="3712">
                  <c:v>43902</c:v>
                </c:pt>
                <c:pt idx="3713">
                  <c:v>43903</c:v>
                </c:pt>
                <c:pt idx="3714">
                  <c:v>43906</c:v>
                </c:pt>
                <c:pt idx="3715">
                  <c:v>43907</c:v>
                </c:pt>
                <c:pt idx="3716">
                  <c:v>43908</c:v>
                </c:pt>
                <c:pt idx="3717">
                  <c:v>43909</c:v>
                </c:pt>
                <c:pt idx="3718">
                  <c:v>43910</c:v>
                </c:pt>
                <c:pt idx="3719">
                  <c:v>43913</c:v>
                </c:pt>
                <c:pt idx="3720">
                  <c:v>43914</c:v>
                </c:pt>
                <c:pt idx="3721">
                  <c:v>43916</c:v>
                </c:pt>
                <c:pt idx="3722">
                  <c:v>43917</c:v>
                </c:pt>
                <c:pt idx="3723">
                  <c:v>43918</c:v>
                </c:pt>
                <c:pt idx="3724">
                  <c:v>43919</c:v>
                </c:pt>
                <c:pt idx="3725">
                  <c:v>43922</c:v>
                </c:pt>
                <c:pt idx="3726">
                  <c:v>43923</c:v>
                </c:pt>
                <c:pt idx="3727">
                  <c:v>43924</c:v>
                </c:pt>
                <c:pt idx="3728">
                  <c:v>43925</c:v>
                </c:pt>
                <c:pt idx="3729">
                  <c:v>43926</c:v>
                </c:pt>
                <c:pt idx="3730">
                  <c:v>43929</c:v>
                </c:pt>
                <c:pt idx="3731">
                  <c:v>43930</c:v>
                </c:pt>
                <c:pt idx="3732">
                  <c:v>43931</c:v>
                </c:pt>
                <c:pt idx="3733">
                  <c:v>43932</c:v>
                </c:pt>
                <c:pt idx="3734">
                  <c:v>43933</c:v>
                </c:pt>
                <c:pt idx="3735">
                  <c:v>43934</c:v>
                </c:pt>
                <c:pt idx="3736">
                  <c:v>43937</c:v>
                </c:pt>
                <c:pt idx="3737">
                  <c:v>43938</c:v>
                </c:pt>
                <c:pt idx="3738">
                  <c:v>43939</c:v>
                </c:pt>
                <c:pt idx="3739">
                  <c:v>43940</c:v>
                </c:pt>
                <c:pt idx="3740">
                  <c:v>43941</c:v>
                </c:pt>
                <c:pt idx="3741">
                  <c:v>43944</c:v>
                </c:pt>
                <c:pt idx="3742">
                  <c:v>43945</c:v>
                </c:pt>
                <c:pt idx="3743">
                  <c:v>43946</c:v>
                </c:pt>
                <c:pt idx="3744">
                  <c:v>43950</c:v>
                </c:pt>
                <c:pt idx="3745">
                  <c:v>43951</c:v>
                </c:pt>
                <c:pt idx="3746">
                  <c:v>43952</c:v>
                </c:pt>
                <c:pt idx="3747">
                  <c:v>43955</c:v>
                </c:pt>
                <c:pt idx="3748">
                  <c:v>43956</c:v>
                </c:pt>
                <c:pt idx="3749">
                  <c:v>43957</c:v>
                </c:pt>
                <c:pt idx="3750">
                  <c:v>43958</c:v>
                </c:pt>
                <c:pt idx="3751">
                  <c:v>43959</c:v>
                </c:pt>
                <c:pt idx="3752">
                  <c:v>43962</c:v>
                </c:pt>
                <c:pt idx="3753">
                  <c:v>43963</c:v>
                </c:pt>
                <c:pt idx="3754">
                  <c:v>43964</c:v>
                </c:pt>
                <c:pt idx="3755">
                  <c:v>43965</c:v>
                </c:pt>
                <c:pt idx="3756">
                  <c:v>43966</c:v>
                </c:pt>
                <c:pt idx="3757">
                  <c:v>43967</c:v>
                </c:pt>
                <c:pt idx="3758">
                  <c:v>43970</c:v>
                </c:pt>
                <c:pt idx="3759">
                  <c:v>43971</c:v>
                </c:pt>
                <c:pt idx="3760">
                  <c:v>43972</c:v>
                </c:pt>
                <c:pt idx="3761">
                  <c:v>43973</c:v>
                </c:pt>
                <c:pt idx="3762">
                  <c:v>43974</c:v>
                </c:pt>
                <c:pt idx="3763">
                  <c:v>43977</c:v>
                </c:pt>
                <c:pt idx="3764">
                  <c:v>43978</c:v>
                </c:pt>
                <c:pt idx="3765">
                  <c:v>43979</c:v>
                </c:pt>
                <c:pt idx="3766">
                  <c:v>43980</c:v>
                </c:pt>
                <c:pt idx="3767">
                  <c:v>43981</c:v>
                </c:pt>
                <c:pt idx="3768">
                  <c:v>43982</c:v>
                </c:pt>
                <c:pt idx="3769">
                  <c:v>43985</c:v>
                </c:pt>
                <c:pt idx="3770">
                  <c:v>43986</c:v>
                </c:pt>
                <c:pt idx="3771">
                  <c:v>43987</c:v>
                </c:pt>
                <c:pt idx="3772">
                  <c:v>43988</c:v>
                </c:pt>
                <c:pt idx="3773">
                  <c:v>43989</c:v>
                </c:pt>
                <c:pt idx="3774">
                  <c:v>43992</c:v>
                </c:pt>
                <c:pt idx="3775">
                  <c:v>43993</c:v>
                </c:pt>
                <c:pt idx="3776">
                  <c:v>43997</c:v>
                </c:pt>
                <c:pt idx="3777">
                  <c:v>43998</c:v>
                </c:pt>
                <c:pt idx="3778">
                  <c:v>43999</c:v>
                </c:pt>
                <c:pt idx="3779">
                  <c:v>44000</c:v>
                </c:pt>
                <c:pt idx="3780">
                  <c:v>44003</c:v>
                </c:pt>
                <c:pt idx="3781">
                  <c:v>44004</c:v>
                </c:pt>
                <c:pt idx="3782">
                  <c:v>44005</c:v>
                </c:pt>
                <c:pt idx="3783">
                  <c:v>44006</c:v>
                </c:pt>
                <c:pt idx="3784">
                  <c:v>44007</c:v>
                </c:pt>
                <c:pt idx="3785">
                  <c:v>44010</c:v>
                </c:pt>
                <c:pt idx="3786">
                  <c:v>44011</c:v>
                </c:pt>
                <c:pt idx="3787">
                  <c:v>44012</c:v>
                </c:pt>
                <c:pt idx="3788">
                  <c:v>44013</c:v>
                </c:pt>
                <c:pt idx="3789">
                  <c:v>44014</c:v>
                </c:pt>
                <c:pt idx="3790">
                  <c:v>44015</c:v>
                </c:pt>
                <c:pt idx="3791">
                  <c:v>44018</c:v>
                </c:pt>
                <c:pt idx="3792">
                  <c:v>44019</c:v>
                </c:pt>
                <c:pt idx="3793">
                  <c:v>44020</c:v>
                </c:pt>
                <c:pt idx="3794">
                  <c:v>44021</c:v>
                </c:pt>
                <c:pt idx="3795">
                  <c:v>44022</c:v>
                </c:pt>
                <c:pt idx="3796">
                  <c:v>44025</c:v>
                </c:pt>
                <c:pt idx="3797">
                  <c:v>44026</c:v>
                </c:pt>
                <c:pt idx="3798">
                  <c:v>44027</c:v>
                </c:pt>
                <c:pt idx="3799">
                  <c:v>44028</c:v>
                </c:pt>
                <c:pt idx="3800">
                  <c:v>44029</c:v>
                </c:pt>
                <c:pt idx="3801">
                  <c:v>44030</c:v>
                </c:pt>
                <c:pt idx="3802">
                  <c:v>44033</c:v>
                </c:pt>
                <c:pt idx="3803">
                  <c:v>44034</c:v>
                </c:pt>
                <c:pt idx="3804">
                  <c:v>44035</c:v>
                </c:pt>
                <c:pt idx="3805">
                  <c:v>44036</c:v>
                </c:pt>
                <c:pt idx="3806">
                  <c:v>44037</c:v>
                </c:pt>
                <c:pt idx="3807">
                  <c:v>44040</c:v>
                </c:pt>
                <c:pt idx="3808">
                  <c:v>44041</c:v>
                </c:pt>
                <c:pt idx="3809">
                  <c:v>44042</c:v>
                </c:pt>
                <c:pt idx="3810">
                  <c:v>44043</c:v>
                </c:pt>
                <c:pt idx="3811">
                  <c:v>44044</c:v>
                </c:pt>
                <c:pt idx="3812">
                  <c:v>44045</c:v>
                </c:pt>
                <c:pt idx="3813">
                  <c:v>44048</c:v>
                </c:pt>
                <c:pt idx="3814">
                  <c:v>44049</c:v>
                </c:pt>
                <c:pt idx="3815">
                  <c:v>44050</c:v>
                </c:pt>
                <c:pt idx="3816">
                  <c:v>44051</c:v>
                </c:pt>
                <c:pt idx="3817">
                  <c:v>44052</c:v>
                </c:pt>
                <c:pt idx="3818">
                  <c:v>44055</c:v>
                </c:pt>
                <c:pt idx="3819">
                  <c:v>44056</c:v>
                </c:pt>
                <c:pt idx="3820">
                  <c:v>44057</c:v>
                </c:pt>
                <c:pt idx="3821">
                  <c:v>44058</c:v>
                </c:pt>
                <c:pt idx="3822">
                  <c:v>44059</c:v>
                </c:pt>
                <c:pt idx="3823">
                  <c:v>44060</c:v>
                </c:pt>
                <c:pt idx="3824">
                  <c:v>44063</c:v>
                </c:pt>
                <c:pt idx="3825">
                  <c:v>44064</c:v>
                </c:pt>
                <c:pt idx="3826">
                  <c:v>44067</c:v>
                </c:pt>
                <c:pt idx="3827">
                  <c:v>44068</c:v>
                </c:pt>
                <c:pt idx="3828">
                  <c:v>44069</c:v>
                </c:pt>
                <c:pt idx="3829">
                  <c:v>44072</c:v>
                </c:pt>
                <c:pt idx="3830">
                  <c:v>44073</c:v>
                </c:pt>
                <c:pt idx="3831">
                  <c:v>44074</c:v>
                </c:pt>
                <c:pt idx="3832">
                  <c:v>44075</c:v>
                </c:pt>
                <c:pt idx="3833">
                  <c:v>44076</c:v>
                </c:pt>
                <c:pt idx="3834">
                  <c:v>44077</c:v>
                </c:pt>
                <c:pt idx="3835">
                  <c:v>44080</c:v>
                </c:pt>
                <c:pt idx="3836">
                  <c:v>44081</c:v>
                </c:pt>
                <c:pt idx="3837">
                  <c:v>44082</c:v>
                </c:pt>
                <c:pt idx="3838">
                  <c:v>44083</c:v>
                </c:pt>
                <c:pt idx="3839">
                  <c:v>44084</c:v>
                </c:pt>
                <c:pt idx="3840">
                  <c:v>44087</c:v>
                </c:pt>
                <c:pt idx="3841">
                  <c:v>44088</c:v>
                </c:pt>
                <c:pt idx="3842">
                  <c:v>44089</c:v>
                </c:pt>
                <c:pt idx="3843">
                  <c:v>44090</c:v>
                </c:pt>
                <c:pt idx="3844">
                  <c:v>44091</c:v>
                </c:pt>
                <c:pt idx="3845">
                  <c:v>44095</c:v>
                </c:pt>
                <c:pt idx="3846">
                  <c:v>44098</c:v>
                </c:pt>
                <c:pt idx="3847">
                  <c:v>44099</c:v>
                </c:pt>
                <c:pt idx="3848">
                  <c:v>44100</c:v>
                </c:pt>
                <c:pt idx="3849">
                  <c:v>44101</c:v>
                </c:pt>
                <c:pt idx="3850">
                  <c:v>44102</c:v>
                </c:pt>
                <c:pt idx="3851">
                  <c:v>44105</c:v>
                </c:pt>
                <c:pt idx="3852">
                  <c:v>44106</c:v>
                </c:pt>
                <c:pt idx="3853">
                  <c:v>44107</c:v>
                </c:pt>
                <c:pt idx="3854">
                  <c:v>44108</c:v>
                </c:pt>
                <c:pt idx="3855">
                  <c:v>44109</c:v>
                </c:pt>
                <c:pt idx="3856">
                  <c:v>44110</c:v>
                </c:pt>
                <c:pt idx="3857">
                  <c:v>44113</c:v>
                </c:pt>
                <c:pt idx="3858">
                  <c:v>44114</c:v>
                </c:pt>
                <c:pt idx="3859">
                  <c:v>44115</c:v>
                </c:pt>
                <c:pt idx="3860">
                  <c:v>44116</c:v>
                </c:pt>
                <c:pt idx="3861">
                  <c:v>44117</c:v>
                </c:pt>
                <c:pt idx="3862">
                  <c:v>44120</c:v>
                </c:pt>
                <c:pt idx="3863">
                  <c:v>44121</c:v>
                </c:pt>
                <c:pt idx="3864">
                  <c:v>44122</c:v>
                </c:pt>
                <c:pt idx="3865">
                  <c:v>44123</c:v>
                </c:pt>
                <c:pt idx="3866">
                  <c:v>44124</c:v>
                </c:pt>
                <c:pt idx="3867">
                  <c:v>44125</c:v>
                </c:pt>
                <c:pt idx="3868">
                  <c:v>44128</c:v>
                </c:pt>
                <c:pt idx="3869">
                  <c:v>44129</c:v>
                </c:pt>
                <c:pt idx="3870">
                  <c:v>44130</c:v>
                </c:pt>
                <c:pt idx="3871">
                  <c:v>44131</c:v>
                </c:pt>
                <c:pt idx="3872">
                  <c:v>44132</c:v>
                </c:pt>
                <c:pt idx="3873">
                  <c:v>44135</c:v>
                </c:pt>
                <c:pt idx="3874">
                  <c:v>44136</c:v>
                </c:pt>
                <c:pt idx="3875">
                  <c:v>44137</c:v>
                </c:pt>
                <c:pt idx="3876">
                  <c:v>44138</c:v>
                </c:pt>
                <c:pt idx="3877">
                  <c:v>44139</c:v>
                </c:pt>
                <c:pt idx="3878">
                  <c:v>44140</c:v>
                </c:pt>
                <c:pt idx="3879">
                  <c:v>44143</c:v>
                </c:pt>
                <c:pt idx="3880">
                  <c:v>44144</c:v>
                </c:pt>
                <c:pt idx="3881">
                  <c:v>44145</c:v>
                </c:pt>
                <c:pt idx="3882">
                  <c:v>44146</c:v>
                </c:pt>
                <c:pt idx="3883">
                  <c:v>44147</c:v>
                </c:pt>
                <c:pt idx="3884">
                  <c:v>44150</c:v>
                </c:pt>
                <c:pt idx="3885">
                  <c:v>44151</c:v>
                </c:pt>
                <c:pt idx="3886">
                  <c:v>44152</c:v>
                </c:pt>
                <c:pt idx="3887">
                  <c:v>44153</c:v>
                </c:pt>
                <c:pt idx="3888">
                  <c:v>44154</c:v>
                </c:pt>
                <c:pt idx="3889">
                  <c:v>44155</c:v>
                </c:pt>
                <c:pt idx="3890">
                  <c:v>44158</c:v>
                </c:pt>
                <c:pt idx="3891">
                  <c:v>44159</c:v>
                </c:pt>
                <c:pt idx="3892">
                  <c:v>44160</c:v>
                </c:pt>
                <c:pt idx="3893">
                  <c:v>44161</c:v>
                </c:pt>
                <c:pt idx="3894">
                  <c:v>44162</c:v>
                </c:pt>
                <c:pt idx="3895">
                  <c:v>44165</c:v>
                </c:pt>
                <c:pt idx="3896">
                  <c:v>44166</c:v>
                </c:pt>
                <c:pt idx="3897">
                  <c:v>44167</c:v>
                </c:pt>
                <c:pt idx="3898">
                  <c:v>44168</c:v>
                </c:pt>
                <c:pt idx="3899">
                  <c:v>44169</c:v>
                </c:pt>
                <c:pt idx="3900">
                  <c:v>44170</c:v>
                </c:pt>
                <c:pt idx="3901">
                  <c:v>44173</c:v>
                </c:pt>
                <c:pt idx="3902">
                  <c:v>44174</c:v>
                </c:pt>
                <c:pt idx="3903">
                  <c:v>44175</c:v>
                </c:pt>
                <c:pt idx="3904">
                  <c:v>44176</c:v>
                </c:pt>
                <c:pt idx="3905">
                  <c:v>44177</c:v>
                </c:pt>
                <c:pt idx="3906">
                  <c:v>44180</c:v>
                </c:pt>
                <c:pt idx="3907">
                  <c:v>44181</c:v>
                </c:pt>
                <c:pt idx="3908">
                  <c:v>44182</c:v>
                </c:pt>
                <c:pt idx="3909">
                  <c:v>44183</c:v>
                </c:pt>
                <c:pt idx="3910">
                  <c:v>44184</c:v>
                </c:pt>
                <c:pt idx="3911">
                  <c:v>44185</c:v>
                </c:pt>
                <c:pt idx="3912">
                  <c:v>44188</c:v>
                </c:pt>
                <c:pt idx="3913">
                  <c:v>44189</c:v>
                </c:pt>
                <c:pt idx="3914">
                  <c:v>44190</c:v>
                </c:pt>
                <c:pt idx="3915">
                  <c:v>44191</c:v>
                </c:pt>
                <c:pt idx="3916">
                  <c:v>44192</c:v>
                </c:pt>
                <c:pt idx="3917">
                  <c:v>44195</c:v>
                </c:pt>
                <c:pt idx="3918">
                  <c:v>44196</c:v>
                </c:pt>
                <c:pt idx="3919">
                  <c:v>44200</c:v>
                </c:pt>
                <c:pt idx="3920">
                  <c:v>44201</c:v>
                </c:pt>
                <c:pt idx="3921">
                  <c:v>44202</c:v>
                </c:pt>
                <c:pt idx="3922">
                  <c:v>44203</c:v>
                </c:pt>
                <c:pt idx="3923">
                  <c:v>44206</c:v>
                </c:pt>
                <c:pt idx="3924">
                  <c:v>44207</c:v>
                </c:pt>
                <c:pt idx="3925">
                  <c:v>44208</c:v>
                </c:pt>
                <c:pt idx="3926">
                  <c:v>44209</c:v>
                </c:pt>
                <c:pt idx="3927">
                  <c:v>44210</c:v>
                </c:pt>
                <c:pt idx="3928">
                  <c:v>44213</c:v>
                </c:pt>
                <c:pt idx="3929">
                  <c:v>44214</c:v>
                </c:pt>
                <c:pt idx="3930">
                  <c:v>44215</c:v>
                </c:pt>
                <c:pt idx="3931">
                  <c:v>44216</c:v>
                </c:pt>
                <c:pt idx="3932">
                  <c:v>44217</c:v>
                </c:pt>
                <c:pt idx="3933">
                  <c:v>44218</c:v>
                </c:pt>
                <c:pt idx="3934">
                  <c:v>44221</c:v>
                </c:pt>
                <c:pt idx="3935">
                  <c:v>44222</c:v>
                </c:pt>
                <c:pt idx="3936">
                  <c:v>44223</c:v>
                </c:pt>
                <c:pt idx="3937">
                  <c:v>44224</c:v>
                </c:pt>
                <c:pt idx="3938">
                  <c:v>44225</c:v>
                </c:pt>
                <c:pt idx="3939">
                  <c:v>44228</c:v>
                </c:pt>
                <c:pt idx="3940">
                  <c:v>44229</c:v>
                </c:pt>
                <c:pt idx="3941">
                  <c:v>44230</c:v>
                </c:pt>
                <c:pt idx="3942">
                  <c:v>44231</c:v>
                </c:pt>
                <c:pt idx="3943">
                  <c:v>44232</c:v>
                </c:pt>
                <c:pt idx="3944">
                  <c:v>44233</c:v>
                </c:pt>
                <c:pt idx="3945">
                  <c:v>44236</c:v>
                </c:pt>
                <c:pt idx="3946">
                  <c:v>44237</c:v>
                </c:pt>
                <c:pt idx="3947">
                  <c:v>44238</c:v>
                </c:pt>
                <c:pt idx="3948">
                  <c:v>44239</c:v>
                </c:pt>
                <c:pt idx="3949">
                  <c:v>44240</c:v>
                </c:pt>
                <c:pt idx="3950">
                  <c:v>44243</c:v>
                </c:pt>
                <c:pt idx="3951">
                  <c:v>44244</c:v>
                </c:pt>
                <c:pt idx="3952">
                  <c:v>44245</c:v>
                </c:pt>
                <c:pt idx="3953">
                  <c:v>44246</c:v>
                </c:pt>
                <c:pt idx="3954">
                  <c:v>44247</c:v>
                </c:pt>
                <c:pt idx="3955">
                  <c:v>44248</c:v>
                </c:pt>
                <c:pt idx="3956">
                  <c:v>44251</c:v>
                </c:pt>
                <c:pt idx="3957">
                  <c:v>44252</c:v>
                </c:pt>
                <c:pt idx="3958">
                  <c:v>44253</c:v>
                </c:pt>
                <c:pt idx="3959">
                  <c:v>44254</c:v>
                </c:pt>
                <c:pt idx="3960">
                  <c:v>44255</c:v>
                </c:pt>
                <c:pt idx="3961">
                  <c:v>44260</c:v>
                </c:pt>
                <c:pt idx="3962">
                  <c:v>44261</c:v>
                </c:pt>
                <c:pt idx="3963">
                  <c:v>44262</c:v>
                </c:pt>
                <c:pt idx="3964">
                  <c:v>44263</c:v>
                </c:pt>
                <c:pt idx="3965">
                  <c:v>44264</c:v>
                </c:pt>
                <c:pt idx="3966">
                  <c:v>44265</c:v>
                </c:pt>
                <c:pt idx="3967">
                  <c:v>44268</c:v>
                </c:pt>
                <c:pt idx="3968">
                  <c:v>44269</c:v>
                </c:pt>
                <c:pt idx="3969">
                  <c:v>44270</c:v>
                </c:pt>
                <c:pt idx="3970">
                  <c:v>44271</c:v>
                </c:pt>
                <c:pt idx="3971">
                  <c:v>44272</c:v>
                </c:pt>
                <c:pt idx="3972">
                  <c:v>44275</c:v>
                </c:pt>
                <c:pt idx="3973">
                  <c:v>44276</c:v>
                </c:pt>
                <c:pt idx="3974">
                  <c:v>44277</c:v>
                </c:pt>
                <c:pt idx="3975">
                  <c:v>44278</c:v>
                </c:pt>
                <c:pt idx="3976">
                  <c:v>44279</c:v>
                </c:pt>
                <c:pt idx="3977">
                  <c:v>44280</c:v>
                </c:pt>
                <c:pt idx="3978">
                  <c:v>44283</c:v>
                </c:pt>
                <c:pt idx="3979">
                  <c:v>44284</c:v>
                </c:pt>
                <c:pt idx="3980">
                  <c:v>44285</c:v>
                </c:pt>
                <c:pt idx="3981">
                  <c:v>44286</c:v>
                </c:pt>
                <c:pt idx="3982">
                  <c:v>44287</c:v>
                </c:pt>
                <c:pt idx="3983">
                  <c:v>44290</c:v>
                </c:pt>
                <c:pt idx="3984">
                  <c:v>44291</c:v>
                </c:pt>
                <c:pt idx="3985">
                  <c:v>44294</c:v>
                </c:pt>
                <c:pt idx="3986">
                  <c:v>44295</c:v>
                </c:pt>
                <c:pt idx="3987">
                  <c:v>44296</c:v>
                </c:pt>
                <c:pt idx="3988">
                  <c:v>44297</c:v>
                </c:pt>
                <c:pt idx="3989">
                  <c:v>44300</c:v>
                </c:pt>
                <c:pt idx="3990">
                  <c:v>44301</c:v>
                </c:pt>
                <c:pt idx="3991">
                  <c:v>44302</c:v>
                </c:pt>
                <c:pt idx="3992">
                  <c:v>44303</c:v>
                </c:pt>
                <c:pt idx="3993">
                  <c:v>44304</c:v>
                </c:pt>
                <c:pt idx="3994">
                  <c:v>44307</c:v>
                </c:pt>
                <c:pt idx="3995">
                  <c:v>44308</c:v>
                </c:pt>
                <c:pt idx="3996">
                  <c:v>44309</c:v>
                </c:pt>
                <c:pt idx="3997">
                  <c:v>44310</c:v>
                </c:pt>
                <c:pt idx="3998">
                  <c:v>44311</c:v>
                </c:pt>
                <c:pt idx="3999">
                  <c:v>44312</c:v>
                </c:pt>
                <c:pt idx="4000">
                  <c:v>44315</c:v>
                </c:pt>
                <c:pt idx="4001">
                  <c:v>44316</c:v>
                </c:pt>
                <c:pt idx="4002">
                  <c:v>44317</c:v>
                </c:pt>
                <c:pt idx="4003">
                  <c:v>44318</c:v>
                </c:pt>
                <c:pt idx="4004">
                  <c:v>44319</c:v>
                </c:pt>
                <c:pt idx="4005">
                  <c:v>44322</c:v>
                </c:pt>
                <c:pt idx="4006">
                  <c:v>44323</c:v>
                </c:pt>
                <c:pt idx="4007">
                  <c:v>44324</c:v>
                </c:pt>
                <c:pt idx="4008">
                  <c:v>44325</c:v>
                </c:pt>
                <c:pt idx="4009">
                  <c:v>44326</c:v>
                </c:pt>
                <c:pt idx="4010">
                  <c:v>44329</c:v>
                </c:pt>
                <c:pt idx="4011">
                  <c:v>44332</c:v>
                </c:pt>
                <c:pt idx="4012">
                  <c:v>44333</c:v>
                </c:pt>
                <c:pt idx="4013">
                  <c:v>44334</c:v>
                </c:pt>
                <c:pt idx="4014">
                  <c:v>44335</c:v>
                </c:pt>
                <c:pt idx="4015">
                  <c:v>44336</c:v>
                </c:pt>
                <c:pt idx="4016">
                  <c:v>44339</c:v>
                </c:pt>
                <c:pt idx="4017">
                  <c:v>44340</c:v>
                </c:pt>
                <c:pt idx="4018">
                  <c:v>44341</c:v>
                </c:pt>
                <c:pt idx="4019">
                  <c:v>44342</c:v>
                </c:pt>
                <c:pt idx="4020">
                  <c:v>44343</c:v>
                </c:pt>
                <c:pt idx="4021">
                  <c:v>44344</c:v>
                </c:pt>
                <c:pt idx="4022">
                  <c:v>44348</c:v>
                </c:pt>
                <c:pt idx="4023">
                  <c:v>44349</c:v>
                </c:pt>
                <c:pt idx="4024">
                  <c:v>44350</c:v>
                </c:pt>
                <c:pt idx="4025">
                  <c:v>44351</c:v>
                </c:pt>
                <c:pt idx="4026">
                  <c:v>44352</c:v>
                </c:pt>
                <c:pt idx="4027">
                  <c:v>44355</c:v>
                </c:pt>
                <c:pt idx="4028">
                  <c:v>44356</c:v>
                </c:pt>
                <c:pt idx="4029">
                  <c:v>44357</c:v>
                </c:pt>
                <c:pt idx="4030">
                  <c:v>44358</c:v>
                </c:pt>
                <c:pt idx="4031">
                  <c:v>44359</c:v>
                </c:pt>
                <c:pt idx="4032">
                  <c:v>44360</c:v>
                </c:pt>
                <c:pt idx="4033">
                  <c:v>44363</c:v>
                </c:pt>
                <c:pt idx="4034">
                  <c:v>44364</c:v>
                </c:pt>
                <c:pt idx="4035">
                  <c:v>44365</c:v>
                </c:pt>
                <c:pt idx="4036">
                  <c:v>44368</c:v>
                </c:pt>
                <c:pt idx="4037">
                  <c:v>44369</c:v>
                </c:pt>
                <c:pt idx="4038">
                  <c:v>44372</c:v>
                </c:pt>
                <c:pt idx="4039">
                  <c:v>44373</c:v>
                </c:pt>
                <c:pt idx="4040">
                  <c:v>44374</c:v>
                </c:pt>
                <c:pt idx="4041">
                  <c:v>44375</c:v>
                </c:pt>
                <c:pt idx="4042">
                  <c:v>44376</c:v>
                </c:pt>
                <c:pt idx="4043">
                  <c:v>44377</c:v>
                </c:pt>
                <c:pt idx="4044">
                  <c:v>44380</c:v>
                </c:pt>
                <c:pt idx="4045">
                  <c:v>44381</c:v>
                </c:pt>
                <c:pt idx="4046">
                  <c:v>44383</c:v>
                </c:pt>
                <c:pt idx="4047">
                  <c:v>44384</c:v>
                </c:pt>
                <c:pt idx="4048">
                  <c:v>44385</c:v>
                </c:pt>
                <c:pt idx="4049">
                  <c:v>44388</c:v>
                </c:pt>
                <c:pt idx="4050">
                  <c:v>44389</c:v>
                </c:pt>
                <c:pt idx="4051">
                  <c:v>44390</c:v>
                </c:pt>
                <c:pt idx="4052">
                  <c:v>44391</c:v>
                </c:pt>
                <c:pt idx="4053">
                  <c:v>44392</c:v>
                </c:pt>
              </c:numCache>
            </c:numRef>
          </c:cat>
          <c:val>
            <c:numRef>
              <c:f>Hoja2!$J$2:$J$4055</c:f>
              <c:numCache>
                <c:formatCode>0.00</c:formatCode>
                <c:ptCount val="4054"/>
                <c:pt idx="0">
                  <c:v>11.22</c:v>
                </c:pt>
                <c:pt idx="1">
                  <c:v>11.24</c:v>
                </c:pt>
                <c:pt idx="2">
                  <c:v>10.83</c:v>
                </c:pt>
                <c:pt idx="3">
                  <c:v>12.51</c:v>
                </c:pt>
                <c:pt idx="4">
                  <c:v>11.52</c:v>
                </c:pt>
                <c:pt idx="5">
                  <c:v>10.96</c:v>
                </c:pt>
                <c:pt idx="6">
                  <c:v>11.19</c:v>
                </c:pt>
                <c:pt idx="7">
                  <c:v>12.27</c:v>
                </c:pt>
                <c:pt idx="8">
                  <c:v>12.73</c:v>
                </c:pt>
                <c:pt idx="9">
                  <c:v>12.31</c:v>
                </c:pt>
                <c:pt idx="10">
                  <c:v>11.54</c:v>
                </c:pt>
                <c:pt idx="11">
                  <c:v>11.72</c:v>
                </c:pt>
                <c:pt idx="12">
                  <c:v>11.75</c:v>
                </c:pt>
                <c:pt idx="13">
                  <c:v>12.41</c:v>
                </c:pt>
                <c:pt idx="14">
                  <c:v>11.67</c:v>
                </c:pt>
                <c:pt idx="15">
                  <c:v>13.91</c:v>
                </c:pt>
                <c:pt idx="16">
                  <c:v>12.24</c:v>
                </c:pt>
                <c:pt idx="17">
                  <c:v>10.96</c:v>
                </c:pt>
                <c:pt idx="18">
                  <c:v>11.03</c:v>
                </c:pt>
                <c:pt idx="19">
                  <c:v>11.09</c:v>
                </c:pt>
                <c:pt idx="20">
                  <c:v>10.87</c:v>
                </c:pt>
                <c:pt idx="21">
                  <c:v>10.61</c:v>
                </c:pt>
                <c:pt idx="22">
                  <c:v>11.09</c:v>
                </c:pt>
                <c:pt idx="23">
                  <c:v>10.63</c:v>
                </c:pt>
                <c:pt idx="24">
                  <c:v>10.8</c:v>
                </c:pt>
                <c:pt idx="25">
                  <c:v>10.23</c:v>
                </c:pt>
                <c:pt idx="26">
                  <c:v>11.01</c:v>
                </c:pt>
                <c:pt idx="27">
                  <c:v>11.12</c:v>
                </c:pt>
                <c:pt idx="28">
                  <c:v>11.11</c:v>
                </c:pt>
                <c:pt idx="29">
                  <c:v>11.03</c:v>
                </c:pt>
                <c:pt idx="30">
                  <c:v>10.4</c:v>
                </c:pt>
                <c:pt idx="31">
                  <c:v>10.24</c:v>
                </c:pt>
                <c:pt idx="32">
                  <c:v>11.75</c:v>
                </c:pt>
                <c:pt idx="33">
                  <c:v>12</c:v>
                </c:pt>
                <c:pt idx="34">
                  <c:v>11.9</c:v>
                </c:pt>
                <c:pt idx="35">
                  <c:v>12.12</c:v>
                </c:pt>
                <c:pt idx="36">
                  <c:v>11.82</c:v>
                </c:pt>
                <c:pt idx="37">
                  <c:v>12.56</c:v>
                </c:pt>
                <c:pt idx="38">
                  <c:v>12.25</c:v>
                </c:pt>
                <c:pt idx="39">
                  <c:v>12.03</c:v>
                </c:pt>
                <c:pt idx="40">
                  <c:v>12.34</c:v>
                </c:pt>
                <c:pt idx="41">
                  <c:v>12.36</c:v>
                </c:pt>
                <c:pt idx="42">
                  <c:v>12.87</c:v>
                </c:pt>
                <c:pt idx="43">
                  <c:v>12.37</c:v>
                </c:pt>
                <c:pt idx="44">
                  <c:v>13.35</c:v>
                </c:pt>
                <c:pt idx="45">
                  <c:v>13.47</c:v>
                </c:pt>
                <c:pt idx="46">
                  <c:v>12.84</c:v>
                </c:pt>
                <c:pt idx="47">
                  <c:v>13.67</c:v>
                </c:pt>
                <c:pt idx="48">
                  <c:v>13.63</c:v>
                </c:pt>
                <c:pt idx="49">
                  <c:v>13.56</c:v>
                </c:pt>
                <c:pt idx="50">
                  <c:v>13.92</c:v>
                </c:pt>
                <c:pt idx="51">
                  <c:v>13.79</c:v>
                </c:pt>
                <c:pt idx="52">
                  <c:v>14.34</c:v>
                </c:pt>
                <c:pt idx="53">
                  <c:v>13.49</c:v>
                </c:pt>
                <c:pt idx="54">
                  <c:v>13.37</c:v>
                </c:pt>
                <c:pt idx="55">
                  <c:v>12.86</c:v>
                </c:pt>
                <c:pt idx="56">
                  <c:v>13.21</c:v>
                </c:pt>
                <c:pt idx="57">
                  <c:v>14.17</c:v>
                </c:pt>
                <c:pt idx="58">
                  <c:v>13.06</c:v>
                </c:pt>
                <c:pt idx="59">
                  <c:v>12.72</c:v>
                </c:pt>
                <c:pt idx="60">
                  <c:v>12.46</c:v>
                </c:pt>
                <c:pt idx="61">
                  <c:v>11.66</c:v>
                </c:pt>
                <c:pt idx="62">
                  <c:v>11.76</c:v>
                </c:pt>
                <c:pt idx="63">
                  <c:v>12.79</c:v>
                </c:pt>
                <c:pt idx="64">
                  <c:v>12.72</c:v>
                </c:pt>
                <c:pt idx="65">
                  <c:v>11.89</c:v>
                </c:pt>
                <c:pt idx="66">
                  <c:v>12.17</c:v>
                </c:pt>
                <c:pt idx="67">
                  <c:v>12.23</c:v>
                </c:pt>
                <c:pt idx="68">
                  <c:v>13.07</c:v>
                </c:pt>
                <c:pt idx="69">
                  <c:v>13.85</c:v>
                </c:pt>
                <c:pt idx="70">
                  <c:v>13.64</c:v>
                </c:pt>
                <c:pt idx="71">
                  <c:v>13.27</c:v>
                </c:pt>
                <c:pt idx="72">
                  <c:v>13.06</c:v>
                </c:pt>
                <c:pt idx="73">
                  <c:v>12.6</c:v>
                </c:pt>
                <c:pt idx="74">
                  <c:v>12.92</c:v>
                </c:pt>
                <c:pt idx="75">
                  <c:v>12.42</c:v>
                </c:pt>
                <c:pt idx="76">
                  <c:v>12.37</c:v>
                </c:pt>
                <c:pt idx="77">
                  <c:v>12.5</c:v>
                </c:pt>
                <c:pt idx="78">
                  <c:v>13.15</c:v>
                </c:pt>
                <c:pt idx="79">
                  <c:v>14.53</c:v>
                </c:pt>
                <c:pt idx="80">
                  <c:v>14.56</c:v>
                </c:pt>
                <c:pt idx="81">
                  <c:v>14.93</c:v>
                </c:pt>
                <c:pt idx="82">
                  <c:v>15.35</c:v>
                </c:pt>
                <c:pt idx="83">
                  <c:v>15.56</c:v>
                </c:pt>
                <c:pt idx="84">
                  <c:v>16.32</c:v>
                </c:pt>
                <c:pt idx="85">
                  <c:v>15.99</c:v>
                </c:pt>
                <c:pt idx="86">
                  <c:v>15.3</c:v>
                </c:pt>
                <c:pt idx="87">
                  <c:v>14.92</c:v>
                </c:pt>
                <c:pt idx="88">
                  <c:v>15.63</c:v>
                </c:pt>
                <c:pt idx="89">
                  <c:v>14.18</c:v>
                </c:pt>
                <c:pt idx="90">
                  <c:v>15.53</c:v>
                </c:pt>
                <c:pt idx="91">
                  <c:v>16.18</c:v>
                </c:pt>
                <c:pt idx="92">
                  <c:v>14.96</c:v>
                </c:pt>
                <c:pt idx="93">
                  <c:v>14.8</c:v>
                </c:pt>
                <c:pt idx="94">
                  <c:v>14.73</c:v>
                </c:pt>
                <c:pt idx="95">
                  <c:v>15.45</c:v>
                </c:pt>
                <c:pt idx="96">
                  <c:v>14.04</c:v>
                </c:pt>
                <c:pt idx="97">
                  <c:v>14.85</c:v>
                </c:pt>
                <c:pt idx="98">
                  <c:v>14.99</c:v>
                </c:pt>
                <c:pt idx="99">
                  <c:v>13.12</c:v>
                </c:pt>
                <c:pt idx="100">
                  <c:v>12.88</c:v>
                </c:pt>
                <c:pt idx="101">
                  <c:v>13.11</c:v>
                </c:pt>
                <c:pt idx="102">
                  <c:v>13.61</c:v>
                </c:pt>
                <c:pt idx="103">
                  <c:v>13.14</c:v>
                </c:pt>
                <c:pt idx="104">
                  <c:v>12.68</c:v>
                </c:pt>
                <c:pt idx="105">
                  <c:v>11.82</c:v>
                </c:pt>
                <c:pt idx="106">
                  <c:v>11.99</c:v>
                </c:pt>
                <c:pt idx="107">
                  <c:v>12.16</c:v>
                </c:pt>
                <c:pt idx="108">
                  <c:v>12.22</c:v>
                </c:pt>
                <c:pt idx="109">
                  <c:v>11.92</c:v>
                </c:pt>
                <c:pt idx="110">
                  <c:v>11.19</c:v>
                </c:pt>
                <c:pt idx="111">
                  <c:v>11.18</c:v>
                </c:pt>
                <c:pt idx="112">
                  <c:v>11.01</c:v>
                </c:pt>
                <c:pt idx="113">
                  <c:v>10.96</c:v>
                </c:pt>
                <c:pt idx="114">
                  <c:v>11.04</c:v>
                </c:pt>
                <c:pt idx="115">
                  <c:v>11.34</c:v>
                </c:pt>
                <c:pt idx="116">
                  <c:v>11.77</c:v>
                </c:pt>
                <c:pt idx="117">
                  <c:v>11.84</c:v>
                </c:pt>
                <c:pt idx="118">
                  <c:v>12.09</c:v>
                </c:pt>
                <c:pt idx="119">
                  <c:v>11.1</c:v>
                </c:pt>
                <c:pt idx="120">
                  <c:v>11.45</c:v>
                </c:pt>
                <c:pt idx="121">
                  <c:v>11.16</c:v>
                </c:pt>
                <c:pt idx="122">
                  <c:v>11.49</c:v>
                </c:pt>
                <c:pt idx="123">
                  <c:v>11.88</c:v>
                </c:pt>
                <c:pt idx="124">
                  <c:v>11.91</c:v>
                </c:pt>
                <c:pt idx="125">
                  <c:v>10.86</c:v>
                </c:pt>
                <c:pt idx="126">
                  <c:v>10.57</c:v>
                </c:pt>
                <c:pt idx="127">
                  <c:v>10.75</c:v>
                </c:pt>
                <c:pt idx="128">
                  <c:v>10.66</c:v>
                </c:pt>
                <c:pt idx="129">
                  <c:v>10.7</c:v>
                </c:pt>
                <c:pt idx="130">
                  <c:v>11.11</c:v>
                </c:pt>
                <c:pt idx="131">
                  <c:v>11.32</c:v>
                </c:pt>
                <c:pt idx="132">
                  <c:v>10.71</c:v>
                </c:pt>
                <c:pt idx="133">
                  <c:v>10.82</c:v>
                </c:pt>
                <c:pt idx="134">
                  <c:v>10.37</c:v>
                </c:pt>
                <c:pt idx="135">
                  <c:v>10.97</c:v>
                </c:pt>
                <c:pt idx="136">
                  <c:v>11.55</c:v>
                </c:pt>
                <c:pt idx="137">
                  <c:v>11.36</c:v>
                </c:pt>
                <c:pt idx="138">
                  <c:v>11.96</c:v>
                </c:pt>
                <c:pt idx="139">
                  <c:v>12.25</c:v>
                </c:pt>
                <c:pt idx="140">
                  <c:v>11.22</c:v>
                </c:pt>
                <c:pt idx="141">
                  <c:v>11.43</c:v>
                </c:pt>
                <c:pt idx="142">
                  <c:v>11.23</c:v>
                </c:pt>
                <c:pt idx="143">
                  <c:v>11.35</c:v>
                </c:pt>
                <c:pt idx="144">
                  <c:v>11.39</c:v>
                </c:pt>
                <c:pt idx="145">
                  <c:v>11.03</c:v>
                </c:pt>
                <c:pt idx="146">
                  <c:v>10.98</c:v>
                </c:pt>
                <c:pt idx="147">
                  <c:v>11.4</c:v>
                </c:pt>
                <c:pt idx="148">
                  <c:v>12.13</c:v>
                </c:pt>
                <c:pt idx="149">
                  <c:v>12.62</c:v>
                </c:pt>
                <c:pt idx="150">
                  <c:v>12.12</c:v>
                </c:pt>
                <c:pt idx="151">
                  <c:v>12.1</c:v>
                </c:pt>
                <c:pt idx="152">
                  <c:v>14.44</c:v>
                </c:pt>
                <c:pt idx="153">
                  <c:v>13.79</c:v>
                </c:pt>
                <c:pt idx="154">
                  <c:v>12.95</c:v>
                </c:pt>
                <c:pt idx="155">
                  <c:v>12.89</c:v>
                </c:pt>
                <c:pt idx="156">
                  <c:v>12.27</c:v>
                </c:pt>
                <c:pt idx="157">
                  <c:v>12.22</c:v>
                </c:pt>
                <c:pt idx="158">
                  <c:v>12.45</c:v>
                </c:pt>
                <c:pt idx="159">
                  <c:v>13.03</c:v>
                </c:pt>
                <c:pt idx="160">
                  <c:v>12.54</c:v>
                </c:pt>
                <c:pt idx="161">
                  <c:v>13.37</c:v>
                </c:pt>
                <c:pt idx="162">
                  <c:v>13.43</c:v>
                </c:pt>
                <c:pt idx="163">
                  <c:v>13.2</c:v>
                </c:pt>
                <c:pt idx="164">
                  <c:v>13.41</c:v>
                </c:pt>
                <c:pt idx="165">
                  <c:v>12.56</c:v>
                </c:pt>
                <c:pt idx="166">
                  <c:v>13.35</c:v>
                </c:pt>
                <c:pt idx="167">
                  <c:v>13.34</c:v>
                </c:pt>
                <c:pt idx="168">
                  <c:v>13.09</c:v>
                </c:pt>
                <c:pt idx="169">
                  <c:v>12.43</c:v>
                </c:pt>
                <c:pt idx="170">
                  <c:v>12.19</c:v>
                </c:pt>
                <c:pt idx="171">
                  <c:v>11.64</c:v>
                </c:pt>
                <c:pt idx="172">
                  <c:v>12.36</c:v>
                </c:pt>
                <c:pt idx="173">
                  <c:v>12.27</c:v>
                </c:pt>
                <c:pt idx="174">
                  <c:v>11.86</c:v>
                </c:pt>
                <c:pt idx="175">
                  <c:v>11.94</c:v>
                </c:pt>
                <c:pt idx="176">
                  <c:v>11.79</c:v>
                </c:pt>
                <c:pt idx="177">
                  <c:v>11.74</c:v>
                </c:pt>
                <c:pt idx="178">
                  <c:v>12.05</c:v>
                </c:pt>
                <c:pt idx="179">
                  <c:v>11.79</c:v>
                </c:pt>
                <c:pt idx="180">
                  <c:v>12.03</c:v>
                </c:pt>
                <c:pt idx="181">
                  <c:v>12.22</c:v>
                </c:pt>
                <c:pt idx="182">
                  <c:v>12.92</c:v>
                </c:pt>
                <c:pt idx="183">
                  <c:v>12.83</c:v>
                </c:pt>
                <c:pt idx="184">
                  <c:v>12.21</c:v>
                </c:pt>
                <c:pt idx="185">
                  <c:v>12.52</c:v>
                </c:pt>
                <c:pt idx="186">
                  <c:v>11.72</c:v>
                </c:pt>
                <c:pt idx="187">
                  <c:v>11.61</c:v>
                </c:pt>
                <c:pt idx="188">
                  <c:v>11.17</c:v>
                </c:pt>
                <c:pt idx="189">
                  <c:v>10.59</c:v>
                </c:pt>
                <c:pt idx="190">
                  <c:v>11.56</c:v>
                </c:pt>
                <c:pt idx="191">
                  <c:v>12.11</c:v>
                </c:pt>
                <c:pt idx="192">
                  <c:v>11.71</c:v>
                </c:pt>
                <c:pt idx="193">
                  <c:v>11.71</c:v>
                </c:pt>
                <c:pt idx="194">
                  <c:v>11.19</c:v>
                </c:pt>
                <c:pt idx="195">
                  <c:v>11.23</c:v>
                </c:pt>
                <c:pt idx="196">
                  <c:v>11.46</c:v>
                </c:pt>
                <c:pt idx="197">
                  <c:v>11.69</c:v>
                </c:pt>
                <c:pt idx="198">
                  <c:v>11.46</c:v>
                </c:pt>
                <c:pt idx="199">
                  <c:v>11.03</c:v>
                </c:pt>
                <c:pt idx="200">
                  <c:v>11.42</c:v>
                </c:pt>
                <c:pt idx="201">
                  <c:v>11.47</c:v>
                </c:pt>
                <c:pt idx="202">
                  <c:v>11.66</c:v>
                </c:pt>
                <c:pt idx="203">
                  <c:v>11.24</c:v>
                </c:pt>
                <c:pt idx="204">
                  <c:v>11.34</c:v>
                </c:pt>
                <c:pt idx="205">
                  <c:v>11.44</c:v>
                </c:pt>
                <c:pt idx="206">
                  <c:v>12.44</c:v>
                </c:pt>
                <c:pt idx="207">
                  <c:v>12.09</c:v>
                </c:pt>
                <c:pt idx="208">
                  <c:v>13.08</c:v>
                </c:pt>
                <c:pt idx="209">
                  <c:v>12.93</c:v>
                </c:pt>
                <c:pt idx="210">
                  <c:v>12.8</c:v>
                </c:pt>
                <c:pt idx="211">
                  <c:v>12.55</c:v>
                </c:pt>
                <c:pt idx="212">
                  <c:v>11.52</c:v>
                </c:pt>
                <c:pt idx="213">
                  <c:v>11.3</c:v>
                </c:pt>
                <c:pt idx="214">
                  <c:v>11.24</c:v>
                </c:pt>
                <c:pt idx="215">
                  <c:v>12.26</c:v>
                </c:pt>
                <c:pt idx="216">
                  <c:v>11.71</c:v>
                </c:pt>
                <c:pt idx="217">
                  <c:v>11.76</c:v>
                </c:pt>
                <c:pt idx="218">
                  <c:v>12.27</c:v>
                </c:pt>
                <c:pt idx="219">
                  <c:v>12.13</c:v>
                </c:pt>
                <c:pt idx="220">
                  <c:v>11.83</c:v>
                </c:pt>
                <c:pt idx="221">
                  <c:v>12.2</c:v>
                </c:pt>
                <c:pt idx="222">
                  <c:v>12.21</c:v>
                </c:pt>
                <c:pt idx="223">
                  <c:v>11.92</c:v>
                </c:pt>
                <c:pt idx="224">
                  <c:v>11.39</c:v>
                </c:pt>
                <c:pt idx="225">
                  <c:v>11.98</c:v>
                </c:pt>
                <c:pt idx="226">
                  <c:v>12.1</c:v>
                </c:pt>
                <c:pt idx="227">
                  <c:v>12.22</c:v>
                </c:pt>
                <c:pt idx="228">
                  <c:v>12.33</c:v>
                </c:pt>
                <c:pt idx="229">
                  <c:v>12.71</c:v>
                </c:pt>
                <c:pt idx="230">
                  <c:v>15.12</c:v>
                </c:pt>
                <c:pt idx="231">
                  <c:v>13.49</c:v>
                </c:pt>
                <c:pt idx="232">
                  <c:v>13.83</c:v>
                </c:pt>
                <c:pt idx="233">
                  <c:v>15.54</c:v>
                </c:pt>
                <c:pt idx="234">
                  <c:v>16.16</c:v>
                </c:pt>
                <c:pt idx="235">
                  <c:v>18.55</c:v>
                </c:pt>
                <c:pt idx="236">
                  <c:v>16.7</c:v>
                </c:pt>
                <c:pt idx="237">
                  <c:v>17.87</c:v>
                </c:pt>
                <c:pt idx="238">
                  <c:v>16.670000000000002</c:v>
                </c:pt>
                <c:pt idx="239">
                  <c:v>14.92</c:v>
                </c:pt>
                <c:pt idx="240">
                  <c:v>15.39</c:v>
                </c:pt>
                <c:pt idx="241">
                  <c:v>18.09</c:v>
                </c:pt>
                <c:pt idx="242">
                  <c:v>16.47</c:v>
                </c:pt>
                <c:pt idx="243">
                  <c:v>14.17</c:v>
                </c:pt>
                <c:pt idx="244">
                  <c:v>14.97</c:v>
                </c:pt>
                <c:pt idx="245">
                  <c:v>16.72</c:v>
                </c:pt>
                <c:pt idx="246">
                  <c:v>17.21</c:v>
                </c:pt>
                <c:pt idx="247">
                  <c:v>17.920000000000002</c:v>
                </c:pt>
                <c:pt idx="248">
                  <c:v>17.899999999999999</c:v>
                </c:pt>
                <c:pt idx="249">
                  <c:v>18.13</c:v>
                </c:pt>
                <c:pt idx="250">
                  <c:v>20.95</c:v>
                </c:pt>
                <c:pt idx="251">
                  <c:v>23.45</c:v>
                </c:pt>
                <c:pt idx="252">
                  <c:v>21.05</c:v>
                </c:pt>
                <c:pt idx="253">
                  <c:v>16.559999999999999</c:v>
                </c:pt>
                <c:pt idx="254">
                  <c:v>16.059999999999999</c:v>
                </c:pt>
                <c:pt idx="255">
                  <c:v>17.52</c:v>
                </c:pt>
                <c:pt idx="256">
                  <c:v>16.670000000000002</c:v>
                </c:pt>
                <c:pt idx="257">
                  <c:v>15.95</c:v>
                </c:pt>
                <c:pt idx="258">
                  <c:v>16.41</c:v>
                </c:pt>
                <c:pt idx="259">
                  <c:v>16.55</c:v>
                </c:pt>
                <c:pt idx="260">
                  <c:v>15.58</c:v>
                </c:pt>
                <c:pt idx="261">
                  <c:v>16.02</c:v>
                </c:pt>
                <c:pt idx="262">
                  <c:v>15.28</c:v>
                </c:pt>
                <c:pt idx="263">
                  <c:v>12.9</c:v>
                </c:pt>
                <c:pt idx="264">
                  <c:v>13.29</c:v>
                </c:pt>
                <c:pt idx="265">
                  <c:v>13.92</c:v>
                </c:pt>
                <c:pt idx="266">
                  <c:v>14.04</c:v>
                </c:pt>
                <c:pt idx="267">
                  <c:v>13.9</c:v>
                </c:pt>
                <c:pt idx="268">
                  <c:v>14.17</c:v>
                </c:pt>
                <c:pt idx="269">
                  <c:v>14.31</c:v>
                </c:pt>
                <c:pt idx="270">
                  <c:v>13.39</c:v>
                </c:pt>
                <c:pt idx="271">
                  <c:v>15.17</c:v>
                </c:pt>
                <c:pt idx="272">
                  <c:v>17.57</c:v>
                </c:pt>
                <c:pt idx="273">
                  <c:v>18.73</c:v>
                </c:pt>
                <c:pt idx="274">
                  <c:v>18.2</c:v>
                </c:pt>
                <c:pt idx="275">
                  <c:v>17.62</c:v>
                </c:pt>
                <c:pt idx="276">
                  <c:v>15.1</c:v>
                </c:pt>
                <c:pt idx="277">
                  <c:v>16.23</c:v>
                </c:pt>
                <c:pt idx="278">
                  <c:v>17.079999999999998</c:v>
                </c:pt>
                <c:pt idx="279">
                  <c:v>15.44</c:v>
                </c:pt>
                <c:pt idx="280">
                  <c:v>15.04</c:v>
                </c:pt>
                <c:pt idx="281">
                  <c:v>14.26</c:v>
                </c:pt>
                <c:pt idx="282">
                  <c:v>14.73</c:v>
                </c:pt>
                <c:pt idx="283">
                  <c:v>15.01</c:v>
                </c:pt>
                <c:pt idx="284">
                  <c:v>15.49</c:v>
                </c:pt>
                <c:pt idx="285">
                  <c:v>14.93</c:v>
                </c:pt>
                <c:pt idx="286">
                  <c:v>15.1</c:v>
                </c:pt>
                <c:pt idx="287">
                  <c:v>14.03</c:v>
                </c:pt>
                <c:pt idx="288">
                  <c:v>14.98</c:v>
                </c:pt>
                <c:pt idx="289">
                  <c:v>15.2</c:v>
                </c:pt>
                <c:pt idx="290">
                  <c:v>14.76</c:v>
                </c:pt>
                <c:pt idx="291">
                  <c:v>15.56</c:v>
                </c:pt>
                <c:pt idx="292">
                  <c:v>14.72</c:v>
                </c:pt>
                <c:pt idx="293">
                  <c:v>14.15</c:v>
                </c:pt>
                <c:pt idx="294">
                  <c:v>13.57</c:v>
                </c:pt>
                <c:pt idx="295">
                  <c:v>12.69</c:v>
                </c:pt>
                <c:pt idx="296">
                  <c:v>12.69</c:v>
                </c:pt>
                <c:pt idx="297">
                  <c:v>12.11</c:v>
                </c:pt>
                <c:pt idx="298">
                  <c:v>12.4</c:v>
                </c:pt>
                <c:pt idx="299">
                  <c:v>12.42</c:v>
                </c:pt>
                <c:pt idx="300">
                  <c:v>12.26</c:v>
                </c:pt>
                <c:pt idx="301">
                  <c:v>12.24</c:v>
                </c:pt>
                <c:pt idx="302">
                  <c:v>12.41</c:v>
                </c:pt>
                <c:pt idx="303">
                  <c:v>12.92</c:v>
                </c:pt>
                <c:pt idx="304">
                  <c:v>12.27</c:v>
                </c:pt>
                <c:pt idx="305">
                  <c:v>12.14</c:v>
                </c:pt>
                <c:pt idx="306">
                  <c:v>12.23</c:v>
                </c:pt>
                <c:pt idx="307">
                  <c:v>12.14</c:v>
                </c:pt>
                <c:pt idx="308">
                  <c:v>12.8</c:v>
                </c:pt>
                <c:pt idx="309">
                  <c:v>13.06</c:v>
                </c:pt>
                <c:pt idx="310">
                  <c:v>14.07</c:v>
                </c:pt>
                <c:pt idx="311">
                  <c:v>13.79</c:v>
                </c:pt>
                <c:pt idx="312">
                  <c:v>13.95</c:v>
                </c:pt>
                <c:pt idx="313">
                  <c:v>13.04</c:v>
                </c:pt>
                <c:pt idx="314">
                  <c:v>11.4</c:v>
                </c:pt>
                <c:pt idx="315">
                  <c:v>11.36</c:v>
                </c:pt>
                <c:pt idx="316">
                  <c:v>11.49</c:v>
                </c:pt>
                <c:pt idx="317">
                  <c:v>12.28</c:v>
                </c:pt>
                <c:pt idx="318">
                  <c:v>11.96</c:v>
                </c:pt>
                <c:pt idx="319">
                  <c:v>11.75</c:v>
                </c:pt>
                <c:pt idx="320">
                  <c:v>11.43</c:v>
                </c:pt>
                <c:pt idx="321">
                  <c:v>12.47</c:v>
                </c:pt>
                <c:pt idx="322">
                  <c:v>12.97</c:v>
                </c:pt>
                <c:pt idx="323">
                  <c:v>12.23</c:v>
                </c:pt>
                <c:pt idx="324">
                  <c:v>11.65</c:v>
                </c:pt>
                <c:pt idx="325">
                  <c:v>11.64</c:v>
                </c:pt>
                <c:pt idx="326">
                  <c:v>11.75</c:v>
                </c:pt>
                <c:pt idx="327">
                  <c:v>12.45</c:v>
                </c:pt>
                <c:pt idx="328">
                  <c:v>12.68</c:v>
                </c:pt>
                <c:pt idx="329">
                  <c:v>12.64</c:v>
                </c:pt>
                <c:pt idx="330">
                  <c:v>11.94</c:v>
                </c:pt>
                <c:pt idx="331">
                  <c:v>11.99</c:v>
                </c:pt>
                <c:pt idx="332">
                  <c:v>12.07</c:v>
                </c:pt>
                <c:pt idx="333">
                  <c:v>11.77</c:v>
                </c:pt>
                <c:pt idx="334">
                  <c:v>11.75</c:v>
                </c:pt>
                <c:pt idx="335">
                  <c:v>11.5</c:v>
                </c:pt>
                <c:pt idx="336">
                  <c:v>11.17</c:v>
                </c:pt>
                <c:pt idx="337">
                  <c:v>11.07</c:v>
                </c:pt>
                <c:pt idx="338">
                  <c:v>11.36</c:v>
                </c:pt>
                <c:pt idx="339">
                  <c:v>11.44</c:v>
                </c:pt>
                <c:pt idx="340">
                  <c:v>11.51</c:v>
                </c:pt>
                <c:pt idx="341">
                  <c:v>11.06</c:v>
                </c:pt>
                <c:pt idx="342">
                  <c:v>11.15</c:v>
                </c:pt>
                <c:pt idx="343">
                  <c:v>11.25</c:v>
                </c:pt>
                <c:pt idx="344">
                  <c:v>10.88</c:v>
                </c:pt>
                <c:pt idx="345">
                  <c:v>10.56</c:v>
                </c:pt>
                <c:pt idx="346">
                  <c:v>10.66</c:v>
                </c:pt>
                <c:pt idx="347">
                  <c:v>11.36</c:v>
                </c:pt>
                <c:pt idx="348">
                  <c:v>11.1</c:v>
                </c:pt>
                <c:pt idx="349">
                  <c:v>10.93</c:v>
                </c:pt>
                <c:pt idx="350">
                  <c:v>11.61</c:v>
                </c:pt>
                <c:pt idx="351">
                  <c:v>11.16</c:v>
                </c:pt>
                <c:pt idx="352">
                  <c:v>11.39</c:v>
                </c:pt>
                <c:pt idx="353">
                  <c:v>11.06</c:v>
                </c:pt>
                <c:pt idx="354">
                  <c:v>11.41</c:v>
                </c:pt>
                <c:pt idx="355">
                  <c:v>10.65</c:v>
                </c:pt>
                <c:pt idx="356">
                  <c:v>11.01</c:v>
                </c:pt>
                <c:pt idx="357">
                  <c:v>11.19</c:v>
                </c:pt>
                <c:pt idx="358">
                  <c:v>10.89</c:v>
                </c:pt>
                <c:pt idx="359">
                  <c:v>10.47</c:v>
                </c:pt>
                <c:pt idx="360">
                  <c:v>10.130000000000001</c:v>
                </c:pt>
                <c:pt idx="361">
                  <c:v>10.37</c:v>
                </c:pt>
                <c:pt idx="362">
                  <c:v>10.42</c:v>
                </c:pt>
                <c:pt idx="363">
                  <c:v>10.050000000000001</c:v>
                </c:pt>
                <c:pt idx="364">
                  <c:v>10.02</c:v>
                </c:pt>
                <c:pt idx="365">
                  <c:v>10.81</c:v>
                </c:pt>
                <c:pt idx="366">
                  <c:v>11.26</c:v>
                </c:pt>
                <c:pt idx="367">
                  <c:v>12.48</c:v>
                </c:pt>
                <c:pt idx="368">
                  <c:v>11.41</c:v>
                </c:pt>
                <c:pt idx="369">
                  <c:v>10.88</c:v>
                </c:pt>
                <c:pt idx="370">
                  <c:v>11.07</c:v>
                </c:pt>
                <c:pt idx="371">
                  <c:v>12.01</c:v>
                </c:pt>
                <c:pt idx="372">
                  <c:v>11.13</c:v>
                </c:pt>
                <c:pt idx="373">
                  <c:v>11.39</c:v>
                </c:pt>
                <c:pt idx="374">
                  <c:v>11.35</c:v>
                </c:pt>
                <c:pt idx="375">
                  <c:v>12.58</c:v>
                </c:pt>
                <c:pt idx="376">
                  <c:v>11.88</c:v>
                </c:pt>
                <c:pt idx="377">
                  <c:v>11.2</c:v>
                </c:pt>
                <c:pt idx="378">
                  <c:v>10.45</c:v>
                </c:pt>
                <c:pt idx="379">
                  <c:v>10.74</c:v>
                </c:pt>
                <c:pt idx="380">
                  <c:v>9.68</c:v>
                </c:pt>
                <c:pt idx="381">
                  <c:v>10.64</c:v>
                </c:pt>
                <c:pt idx="382">
                  <c:v>11.06</c:v>
                </c:pt>
                <c:pt idx="383">
                  <c:v>10.3</c:v>
                </c:pt>
                <c:pt idx="384">
                  <c:v>10.36</c:v>
                </c:pt>
                <c:pt idx="385">
                  <c:v>10.59</c:v>
                </c:pt>
                <c:pt idx="386">
                  <c:v>12.03</c:v>
                </c:pt>
                <c:pt idx="387">
                  <c:v>11.12</c:v>
                </c:pt>
                <c:pt idx="388">
                  <c:v>10.84</c:v>
                </c:pt>
                <c:pt idx="389">
                  <c:v>10.95</c:v>
                </c:pt>
                <c:pt idx="390">
                  <c:v>12.16</c:v>
                </c:pt>
                <c:pt idx="391">
                  <c:v>12.4</c:v>
                </c:pt>
                <c:pt idx="392">
                  <c:v>11.84</c:v>
                </c:pt>
                <c:pt idx="393">
                  <c:v>12.48</c:v>
                </c:pt>
                <c:pt idx="394">
                  <c:v>11.86</c:v>
                </c:pt>
                <c:pt idx="395">
                  <c:v>12.34</c:v>
                </c:pt>
                <c:pt idx="396">
                  <c:v>11.42</c:v>
                </c:pt>
                <c:pt idx="397">
                  <c:v>10.93</c:v>
                </c:pt>
                <c:pt idx="398">
                  <c:v>10.64</c:v>
                </c:pt>
                <c:pt idx="399">
                  <c:v>10.9</c:v>
                </c:pt>
                <c:pt idx="400">
                  <c:v>10.65</c:v>
                </c:pt>
                <c:pt idx="401">
                  <c:v>10.8</c:v>
                </c:pt>
                <c:pt idx="402">
                  <c:v>10.77</c:v>
                </c:pt>
                <c:pt idx="403">
                  <c:v>10.77</c:v>
                </c:pt>
                <c:pt idx="404">
                  <c:v>10.41</c:v>
                </c:pt>
                <c:pt idx="405">
                  <c:v>9.99</c:v>
                </c:pt>
                <c:pt idx="406">
                  <c:v>10.95</c:v>
                </c:pt>
                <c:pt idx="407">
                  <c:v>11.5</c:v>
                </c:pt>
                <c:pt idx="408">
                  <c:v>11.28</c:v>
                </c:pt>
                <c:pt idx="409">
                  <c:v>11.09</c:v>
                </c:pt>
                <c:pt idx="410">
                  <c:v>10.32</c:v>
                </c:pt>
                <c:pt idx="411">
                  <c:v>10.3</c:v>
                </c:pt>
                <c:pt idx="412">
                  <c:v>10.53</c:v>
                </c:pt>
                <c:pt idx="413">
                  <c:v>10.55</c:v>
                </c:pt>
                <c:pt idx="414">
                  <c:v>10.31</c:v>
                </c:pt>
                <c:pt idx="415">
                  <c:v>10.49</c:v>
                </c:pt>
                <c:pt idx="416">
                  <c:v>10.42</c:v>
                </c:pt>
                <c:pt idx="417">
                  <c:v>11.33</c:v>
                </c:pt>
                <c:pt idx="418">
                  <c:v>11.42</c:v>
                </c:pt>
                <c:pt idx="419">
                  <c:v>10.19</c:v>
                </c:pt>
                <c:pt idx="420">
                  <c:v>10.28</c:v>
                </c:pt>
                <c:pt idx="421">
                  <c:v>10.42</c:v>
                </c:pt>
                <c:pt idx="422">
                  <c:v>10.62</c:v>
                </c:pt>
                <c:pt idx="423">
                  <c:v>10.48</c:v>
                </c:pt>
                <c:pt idx="424">
                  <c:v>10.23</c:v>
                </c:pt>
                <c:pt idx="425">
                  <c:v>10.41</c:v>
                </c:pt>
                <c:pt idx="426">
                  <c:v>10.59</c:v>
                </c:pt>
                <c:pt idx="427">
                  <c:v>12.12</c:v>
                </c:pt>
                <c:pt idx="428">
                  <c:v>17.21</c:v>
                </c:pt>
                <c:pt idx="429">
                  <c:v>17.760000000000002</c:v>
                </c:pt>
                <c:pt idx="430">
                  <c:v>16.7</c:v>
                </c:pt>
                <c:pt idx="431">
                  <c:v>20.399999999999999</c:v>
                </c:pt>
                <c:pt idx="432">
                  <c:v>18.309999999999999</c:v>
                </c:pt>
                <c:pt idx="433">
                  <c:v>16.25</c:v>
                </c:pt>
                <c:pt idx="434">
                  <c:v>14.34</c:v>
                </c:pt>
                <c:pt idx="435">
                  <c:v>13.7</c:v>
                </c:pt>
                <c:pt idx="436">
                  <c:v>14.96</c:v>
                </c:pt>
                <c:pt idx="437">
                  <c:v>14.87</c:v>
                </c:pt>
                <c:pt idx="438">
                  <c:v>17.63</c:v>
                </c:pt>
                <c:pt idx="439">
                  <c:v>16.91</c:v>
                </c:pt>
                <c:pt idx="440">
                  <c:v>15.38</c:v>
                </c:pt>
                <c:pt idx="441">
                  <c:v>15.82</c:v>
                </c:pt>
                <c:pt idx="442">
                  <c:v>15.01</c:v>
                </c:pt>
                <c:pt idx="443">
                  <c:v>13.27</c:v>
                </c:pt>
                <c:pt idx="444">
                  <c:v>12.29</c:v>
                </c:pt>
                <c:pt idx="445">
                  <c:v>13.13</c:v>
                </c:pt>
                <c:pt idx="446">
                  <c:v>13.39</c:v>
                </c:pt>
                <c:pt idx="447">
                  <c:v>13.35</c:v>
                </c:pt>
                <c:pt idx="448">
                  <c:v>14.28</c:v>
                </c:pt>
                <c:pt idx="449">
                  <c:v>14.45</c:v>
                </c:pt>
                <c:pt idx="450">
                  <c:v>14.94</c:v>
                </c:pt>
                <c:pt idx="451">
                  <c:v>14.91</c:v>
                </c:pt>
                <c:pt idx="452">
                  <c:v>14.02</c:v>
                </c:pt>
                <c:pt idx="453">
                  <c:v>13.82</c:v>
                </c:pt>
                <c:pt idx="454">
                  <c:v>13.57</c:v>
                </c:pt>
                <c:pt idx="455">
                  <c:v>13.26</c:v>
                </c:pt>
                <c:pt idx="456">
                  <c:v>13.33</c:v>
                </c:pt>
                <c:pt idx="457">
                  <c:v>12.72</c:v>
                </c:pt>
                <c:pt idx="458">
                  <c:v>13.65</c:v>
                </c:pt>
                <c:pt idx="459">
                  <c:v>12.67</c:v>
                </c:pt>
                <c:pt idx="460">
                  <c:v>11.86</c:v>
                </c:pt>
                <c:pt idx="461">
                  <c:v>11.7</c:v>
                </c:pt>
                <c:pt idx="462">
                  <c:v>12.48</c:v>
                </c:pt>
                <c:pt idx="463">
                  <c:v>13.16</c:v>
                </c:pt>
                <c:pt idx="464">
                  <c:v>12.03</c:v>
                </c:pt>
                <c:pt idx="465">
                  <c:v>12.6</c:v>
                </c:pt>
                <c:pt idx="466">
                  <c:v>13.12</c:v>
                </c:pt>
                <c:pt idx="467">
                  <c:v>12.74</c:v>
                </c:pt>
                <c:pt idx="468">
                  <c:v>13.16</c:v>
                </c:pt>
                <c:pt idx="469">
                  <c:v>13.12</c:v>
                </c:pt>
                <c:pt idx="470">
                  <c:v>12.9</c:v>
                </c:pt>
                <c:pt idx="471">
                  <c:v>14.1</c:v>
                </c:pt>
                <c:pt idx="472">
                  <c:v>13.52</c:v>
                </c:pt>
                <c:pt idx="473">
                  <c:v>13.01</c:v>
                </c:pt>
                <c:pt idx="474">
                  <c:v>12.91</c:v>
                </c:pt>
                <c:pt idx="475">
                  <c:v>13.34</c:v>
                </c:pt>
                <c:pt idx="476">
                  <c:v>13.48</c:v>
                </c:pt>
                <c:pt idx="477">
                  <c:v>13.43</c:v>
                </c:pt>
                <c:pt idx="478">
                  <c:v>13.31</c:v>
                </c:pt>
                <c:pt idx="479">
                  <c:v>13.47</c:v>
                </c:pt>
                <c:pt idx="480">
                  <c:v>13.26</c:v>
                </c:pt>
                <c:pt idx="481">
                  <c:v>13.88</c:v>
                </c:pt>
                <c:pt idx="482">
                  <c:v>14.02</c:v>
                </c:pt>
                <c:pt idx="483">
                  <c:v>13.62</c:v>
                </c:pt>
                <c:pt idx="484">
                  <c:v>13.01</c:v>
                </c:pt>
                <c:pt idx="485">
                  <c:v>13.24</c:v>
                </c:pt>
                <c:pt idx="486">
                  <c:v>12.09</c:v>
                </c:pt>
                <c:pt idx="487">
                  <c:v>12.77</c:v>
                </c:pt>
                <c:pt idx="488">
                  <c:v>13.15</c:v>
                </c:pt>
                <c:pt idx="489">
                  <c:v>13.81</c:v>
                </c:pt>
                <c:pt idx="490">
                  <c:v>13.86</c:v>
                </c:pt>
                <c:pt idx="491">
                  <c:v>14.18</c:v>
                </c:pt>
                <c:pt idx="492">
                  <c:v>12.78</c:v>
                </c:pt>
                <c:pt idx="493">
                  <c:v>12.77</c:v>
                </c:pt>
                <c:pt idx="494">
                  <c:v>13.47</c:v>
                </c:pt>
                <c:pt idx="495">
                  <c:v>13.58</c:v>
                </c:pt>
                <c:pt idx="496">
                  <c:v>14.07</c:v>
                </c:pt>
                <c:pt idx="497">
                  <c:v>15.08</c:v>
                </c:pt>
                <c:pt idx="498">
                  <c:v>16.75</c:v>
                </c:pt>
                <c:pt idx="499">
                  <c:v>15.31</c:v>
                </c:pt>
                <c:pt idx="500">
                  <c:v>15.46</c:v>
                </c:pt>
                <c:pt idx="501">
                  <c:v>16.05</c:v>
                </c:pt>
                <c:pt idx="502">
                  <c:v>14.76</c:v>
                </c:pt>
                <c:pt idx="503">
                  <c:v>13.01</c:v>
                </c:pt>
                <c:pt idx="504">
                  <c:v>14.42</c:v>
                </c:pt>
                <c:pt idx="505">
                  <c:v>13.78</c:v>
                </c:pt>
                <c:pt idx="506">
                  <c:v>12.77</c:v>
                </c:pt>
                <c:pt idx="507">
                  <c:v>14.8</c:v>
                </c:pt>
                <c:pt idx="508">
                  <c:v>14.45</c:v>
                </c:pt>
                <c:pt idx="509">
                  <c:v>16.5</c:v>
                </c:pt>
                <c:pt idx="510">
                  <c:v>16.46</c:v>
                </c:pt>
                <c:pt idx="511">
                  <c:v>18.87</c:v>
                </c:pt>
                <c:pt idx="512">
                  <c:v>15.7</c:v>
                </c:pt>
                <c:pt idx="513">
                  <c:v>15.25</c:v>
                </c:pt>
                <c:pt idx="514">
                  <c:v>16.48</c:v>
                </c:pt>
                <c:pt idx="515">
                  <c:v>14.96</c:v>
                </c:pt>
                <c:pt idx="516">
                  <c:v>15.37</c:v>
                </c:pt>
                <c:pt idx="517">
                  <c:v>15.36</c:v>
                </c:pt>
                <c:pt idx="518">
                  <c:v>15.34</c:v>
                </c:pt>
                <c:pt idx="519">
                  <c:v>15.88</c:v>
                </c:pt>
                <c:pt idx="520">
                  <c:v>17.690000000000001</c:v>
                </c:pt>
                <c:pt idx="521">
                  <c:v>16.39</c:v>
                </c:pt>
                <c:pt idx="522">
                  <c:v>15.39</c:v>
                </c:pt>
                <c:pt idx="523">
                  <c:v>15.57</c:v>
                </c:pt>
                <c:pt idx="524">
                  <c:v>15.58</c:v>
                </c:pt>
                <c:pt idx="525">
                  <c:v>16.38</c:v>
                </c:pt>
                <c:pt idx="526">
                  <c:v>15.43</c:v>
                </c:pt>
                <c:pt idx="527">
                  <c:v>15.39</c:v>
                </c:pt>
                <c:pt idx="528">
                  <c:v>16.62</c:v>
                </c:pt>
                <c:pt idx="529">
                  <c:v>17.63</c:v>
                </c:pt>
                <c:pt idx="530">
                  <c:v>17.77</c:v>
                </c:pt>
                <c:pt idx="531">
                  <c:v>19.41</c:v>
                </c:pt>
                <c:pt idx="532">
                  <c:v>20.34</c:v>
                </c:pt>
                <c:pt idx="533">
                  <c:v>23.64</c:v>
                </c:pt>
                <c:pt idx="534">
                  <c:v>20.079999999999998</c:v>
                </c:pt>
                <c:pt idx="535">
                  <c:v>23.71</c:v>
                </c:pt>
                <c:pt idx="536">
                  <c:v>22.94</c:v>
                </c:pt>
                <c:pt idx="537">
                  <c:v>21.52</c:v>
                </c:pt>
                <c:pt idx="538">
                  <c:v>25.32</c:v>
                </c:pt>
                <c:pt idx="539">
                  <c:v>23.33</c:v>
                </c:pt>
                <c:pt idx="540">
                  <c:v>20.97</c:v>
                </c:pt>
                <c:pt idx="541">
                  <c:v>24.46</c:v>
                </c:pt>
                <c:pt idx="542">
                  <c:v>28.04</c:v>
                </c:pt>
                <c:pt idx="543">
                  <c:v>28.02</c:v>
                </c:pt>
                <c:pt idx="544">
                  <c:v>25.56</c:v>
                </c:pt>
                <c:pt idx="545">
                  <c:v>28.22</c:v>
                </c:pt>
                <c:pt idx="546">
                  <c:v>32.68</c:v>
                </c:pt>
                <c:pt idx="547">
                  <c:v>25.25</c:v>
                </c:pt>
                <c:pt idx="548">
                  <c:v>29.87</c:v>
                </c:pt>
                <c:pt idx="549">
                  <c:v>26.39</c:v>
                </c:pt>
                <c:pt idx="550">
                  <c:v>24.33</c:v>
                </c:pt>
                <c:pt idx="551">
                  <c:v>22.47</c:v>
                </c:pt>
                <c:pt idx="552">
                  <c:v>22.75</c:v>
                </c:pt>
                <c:pt idx="553">
                  <c:v>22.24</c:v>
                </c:pt>
                <c:pt idx="554">
                  <c:v>23.87</c:v>
                </c:pt>
                <c:pt idx="555">
                  <c:v>25.87</c:v>
                </c:pt>
                <c:pt idx="556">
                  <c:v>25.4</c:v>
                </c:pt>
                <c:pt idx="557">
                  <c:v>23.53</c:v>
                </c:pt>
                <c:pt idx="558">
                  <c:v>21.93</c:v>
                </c:pt>
                <c:pt idx="559">
                  <c:v>24.03</c:v>
                </c:pt>
                <c:pt idx="560">
                  <c:v>24.43</c:v>
                </c:pt>
                <c:pt idx="561">
                  <c:v>25.98</c:v>
                </c:pt>
                <c:pt idx="562">
                  <c:v>26.91</c:v>
                </c:pt>
                <c:pt idx="563">
                  <c:v>27.11</c:v>
                </c:pt>
                <c:pt idx="564">
                  <c:v>25.97</c:v>
                </c:pt>
                <c:pt idx="565">
                  <c:v>25.01</c:v>
                </c:pt>
                <c:pt idx="566">
                  <c:v>26.38</c:v>
                </c:pt>
                <c:pt idx="567">
                  <c:v>26.45</c:v>
                </c:pt>
                <c:pt idx="568">
                  <c:v>25.79</c:v>
                </c:pt>
                <c:pt idx="569">
                  <c:v>19.96</c:v>
                </c:pt>
                <c:pt idx="570">
                  <c:v>20.47</c:v>
                </c:pt>
                <c:pt idx="571">
                  <c:v>19.440000000000001</c:v>
                </c:pt>
                <c:pt idx="572">
                  <c:v>19.04</c:v>
                </c:pt>
                <c:pt idx="573">
                  <c:v>20.25</c:v>
                </c:pt>
                <c:pt idx="574">
                  <c:v>17.920000000000002</c:v>
                </c:pt>
                <c:pt idx="575">
                  <c:v>17.12</c:v>
                </c:pt>
                <c:pt idx="576">
                  <c:v>17.23</c:v>
                </c:pt>
                <c:pt idx="577">
                  <c:v>18.440000000000001</c:v>
                </c:pt>
                <c:pt idx="578">
                  <c:v>17.670000000000002</c:v>
                </c:pt>
                <c:pt idx="579">
                  <c:v>18.88</c:v>
                </c:pt>
                <c:pt idx="580">
                  <c:v>18.649999999999999</c:v>
                </c:pt>
                <c:pt idx="581">
                  <c:v>17.55</c:v>
                </c:pt>
                <c:pt idx="582">
                  <c:v>17.73</c:v>
                </c:pt>
                <c:pt idx="583">
                  <c:v>17.149999999999999</c:v>
                </c:pt>
                <c:pt idx="584">
                  <c:v>16.420000000000002</c:v>
                </c:pt>
                <c:pt idx="585">
                  <c:v>16.149999999999999</c:v>
                </c:pt>
                <c:pt idx="586">
                  <c:v>18.68</c:v>
                </c:pt>
                <c:pt idx="587">
                  <c:v>18.14</c:v>
                </c:pt>
                <c:pt idx="588">
                  <c:v>20.07</c:v>
                </c:pt>
                <c:pt idx="589">
                  <c:v>18.760000000000002</c:v>
                </c:pt>
                <c:pt idx="590">
                  <c:v>19.16</c:v>
                </c:pt>
                <c:pt idx="591">
                  <c:v>19.149999999999999</c:v>
                </c:pt>
                <c:pt idx="592">
                  <c:v>23.89</c:v>
                </c:pt>
                <c:pt idx="593">
                  <c:v>21.29</c:v>
                </c:pt>
                <c:pt idx="594">
                  <c:v>21.16</c:v>
                </c:pt>
                <c:pt idx="595">
                  <c:v>20.84</c:v>
                </c:pt>
                <c:pt idx="596">
                  <c:v>19.84</c:v>
                </c:pt>
                <c:pt idx="597">
                  <c:v>19.93</c:v>
                </c:pt>
                <c:pt idx="598">
                  <c:v>20.46</c:v>
                </c:pt>
                <c:pt idx="599">
                  <c:v>20.53</c:v>
                </c:pt>
                <c:pt idx="600">
                  <c:v>19.89</c:v>
                </c:pt>
                <c:pt idx="601">
                  <c:v>22.56</c:v>
                </c:pt>
                <c:pt idx="602">
                  <c:v>25.25</c:v>
                </c:pt>
                <c:pt idx="603">
                  <c:v>23.5</c:v>
                </c:pt>
                <c:pt idx="604">
                  <c:v>23.15</c:v>
                </c:pt>
                <c:pt idx="605">
                  <c:v>26.45</c:v>
                </c:pt>
                <c:pt idx="606">
                  <c:v>27.96</c:v>
                </c:pt>
                <c:pt idx="607">
                  <c:v>30.57</c:v>
                </c:pt>
                <c:pt idx="608">
                  <c:v>27.47</c:v>
                </c:pt>
                <c:pt idx="609">
                  <c:v>23.35</c:v>
                </c:pt>
                <c:pt idx="610">
                  <c:v>26.96</c:v>
                </c:pt>
                <c:pt idx="611">
                  <c:v>27.04</c:v>
                </c:pt>
                <c:pt idx="612">
                  <c:v>26.74</c:v>
                </c:pt>
                <c:pt idx="613">
                  <c:v>26.12</c:v>
                </c:pt>
                <c:pt idx="614">
                  <c:v>26.3</c:v>
                </c:pt>
                <c:pt idx="615">
                  <c:v>26.42</c:v>
                </c:pt>
                <c:pt idx="616">
                  <c:v>26.46</c:v>
                </c:pt>
                <c:pt idx="617">
                  <c:v>28.14</c:v>
                </c:pt>
                <c:pt idx="618">
                  <c:v>25.14</c:v>
                </c:pt>
                <c:pt idx="619">
                  <c:v>24.59</c:v>
                </c:pt>
                <c:pt idx="620">
                  <c:v>22.67</c:v>
                </c:pt>
                <c:pt idx="621">
                  <c:v>23.59</c:v>
                </c:pt>
                <c:pt idx="622">
                  <c:v>24.3</c:v>
                </c:pt>
                <c:pt idx="623">
                  <c:v>22.72</c:v>
                </c:pt>
                <c:pt idx="624">
                  <c:v>22.68</c:v>
                </c:pt>
                <c:pt idx="625">
                  <c:v>20.69</c:v>
                </c:pt>
                <c:pt idx="626">
                  <c:v>21.16</c:v>
                </c:pt>
                <c:pt idx="627">
                  <c:v>20.69</c:v>
                </c:pt>
                <c:pt idx="628">
                  <c:v>20.82</c:v>
                </c:pt>
                <c:pt idx="629">
                  <c:v>23.53</c:v>
                </c:pt>
                <c:pt idx="630">
                  <c:v>23.53</c:v>
                </c:pt>
                <c:pt idx="631">
                  <c:v>24.13</c:v>
                </c:pt>
                <c:pt idx="632">
                  <c:v>23.7</c:v>
                </c:pt>
                <c:pt idx="633">
                  <c:v>22.62</c:v>
                </c:pt>
                <c:pt idx="634">
                  <c:v>21.02</c:v>
                </c:pt>
                <c:pt idx="635">
                  <c:v>19.82</c:v>
                </c:pt>
                <c:pt idx="636">
                  <c:v>19.079999999999998</c:v>
                </c:pt>
                <c:pt idx="637">
                  <c:v>19.37</c:v>
                </c:pt>
                <c:pt idx="638">
                  <c:v>19.149999999999999</c:v>
                </c:pt>
                <c:pt idx="639">
                  <c:v>19.59</c:v>
                </c:pt>
                <c:pt idx="640">
                  <c:v>21.87</c:v>
                </c:pt>
                <c:pt idx="641">
                  <c:v>22.58</c:v>
                </c:pt>
                <c:pt idx="642">
                  <c:v>23.11</c:v>
                </c:pt>
                <c:pt idx="643">
                  <c:v>23.5</c:v>
                </c:pt>
                <c:pt idx="644">
                  <c:v>24.62</c:v>
                </c:pt>
                <c:pt idx="645">
                  <c:v>23.27</c:v>
                </c:pt>
                <c:pt idx="646">
                  <c:v>25.61</c:v>
                </c:pt>
                <c:pt idx="647">
                  <c:v>24.56</c:v>
                </c:pt>
                <c:pt idx="648">
                  <c:v>24.04</c:v>
                </c:pt>
                <c:pt idx="649">
                  <c:v>23.76</c:v>
                </c:pt>
                <c:pt idx="650">
                  <c:v>24.1</c:v>
                </c:pt>
                <c:pt idx="651">
                  <c:v>23.9</c:v>
                </c:pt>
                <c:pt idx="652">
                  <c:v>24.11</c:v>
                </c:pt>
                <c:pt idx="653">
                  <c:v>27.55</c:v>
                </c:pt>
                <c:pt idx="654">
                  <c:v>35.119999999999997</c:v>
                </c:pt>
                <c:pt idx="655">
                  <c:v>33.840000000000003</c:v>
                </c:pt>
                <c:pt idx="656">
                  <c:v>28.07</c:v>
                </c:pt>
                <c:pt idx="657">
                  <c:v>26.19</c:v>
                </c:pt>
                <c:pt idx="658">
                  <c:v>29.67</c:v>
                </c:pt>
                <c:pt idx="659">
                  <c:v>26.61</c:v>
                </c:pt>
                <c:pt idx="660">
                  <c:v>27.53</c:v>
                </c:pt>
                <c:pt idx="661">
                  <c:v>28.78</c:v>
                </c:pt>
                <c:pt idx="662">
                  <c:v>25.66</c:v>
                </c:pt>
                <c:pt idx="663">
                  <c:v>25.09</c:v>
                </c:pt>
                <c:pt idx="664">
                  <c:v>27.2</c:v>
                </c:pt>
                <c:pt idx="665">
                  <c:v>27.75</c:v>
                </c:pt>
                <c:pt idx="666">
                  <c:v>29.51</c:v>
                </c:pt>
                <c:pt idx="667">
                  <c:v>27.98</c:v>
                </c:pt>
                <c:pt idx="668">
                  <c:v>29.14</c:v>
                </c:pt>
                <c:pt idx="669">
                  <c:v>26.56</c:v>
                </c:pt>
                <c:pt idx="670">
                  <c:v>25.67</c:v>
                </c:pt>
                <c:pt idx="671">
                  <c:v>24.64</c:v>
                </c:pt>
                <c:pt idx="672">
                  <c:v>25.58</c:v>
                </c:pt>
                <c:pt idx="673">
                  <c:v>25.39</c:v>
                </c:pt>
                <c:pt idx="674">
                  <c:v>25.6</c:v>
                </c:pt>
                <c:pt idx="675">
                  <c:v>24.42</c:v>
                </c:pt>
                <c:pt idx="676">
                  <c:v>24.99</c:v>
                </c:pt>
                <c:pt idx="677">
                  <c:v>24.06</c:v>
                </c:pt>
                <c:pt idx="678">
                  <c:v>23.44</c:v>
                </c:pt>
                <c:pt idx="679">
                  <c:v>21.9</c:v>
                </c:pt>
                <c:pt idx="680">
                  <c:v>22.69</c:v>
                </c:pt>
                <c:pt idx="681">
                  <c:v>23.54</c:v>
                </c:pt>
                <c:pt idx="682">
                  <c:v>27.54</c:v>
                </c:pt>
                <c:pt idx="683">
                  <c:v>27.19</c:v>
                </c:pt>
                <c:pt idx="684">
                  <c:v>25.52</c:v>
                </c:pt>
                <c:pt idx="685">
                  <c:v>25.45</c:v>
                </c:pt>
                <c:pt idx="686">
                  <c:v>28.52</c:v>
                </c:pt>
                <c:pt idx="687">
                  <c:v>28.13</c:v>
                </c:pt>
                <c:pt idx="688">
                  <c:v>27.25</c:v>
                </c:pt>
                <c:pt idx="689">
                  <c:v>26.39</c:v>
                </c:pt>
                <c:pt idx="690">
                  <c:v>27.22</c:v>
                </c:pt>
                <c:pt idx="691">
                  <c:v>27.31</c:v>
                </c:pt>
                <c:pt idx="692">
                  <c:v>35.14</c:v>
                </c:pt>
                <c:pt idx="693">
                  <c:v>32.24</c:v>
                </c:pt>
                <c:pt idx="694">
                  <c:v>25.78</c:v>
                </c:pt>
                <c:pt idx="695">
                  <c:v>29.84</c:v>
                </c:pt>
                <c:pt idx="696">
                  <c:v>26.64</c:v>
                </c:pt>
                <c:pt idx="697">
                  <c:v>25.75</c:v>
                </c:pt>
                <c:pt idx="698">
                  <c:v>25.75</c:v>
                </c:pt>
                <c:pt idx="699">
                  <c:v>25.55</c:v>
                </c:pt>
                <c:pt idx="700">
                  <c:v>25.81</c:v>
                </c:pt>
                <c:pt idx="701">
                  <c:v>25.71</c:v>
                </c:pt>
                <c:pt idx="702">
                  <c:v>25.61</c:v>
                </c:pt>
                <c:pt idx="703">
                  <c:v>22.64</c:v>
                </c:pt>
                <c:pt idx="704">
                  <c:v>23.84</c:v>
                </c:pt>
                <c:pt idx="705">
                  <c:v>23</c:v>
                </c:pt>
                <c:pt idx="706">
                  <c:v>22.45</c:v>
                </c:pt>
                <c:pt idx="707">
                  <c:v>22.42</c:v>
                </c:pt>
                <c:pt idx="708">
                  <c:v>22.36</c:v>
                </c:pt>
                <c:pt idx="709">
                  <c:v>22.8</c:v>
                </c:pt>
                <c:pt idx="710">
                  <c:v>23.03</c:v>
                </c:pt>
                <c:pt idx="711">
                  <c:v>23.46</c:v>
                </c:pt>
                <c:pt idx="712">
                  <c:v>23.84</c:v>
                </c:pt>
                <c:pt idx="713">
                  <c:v>22.03</c:v>
                </c:pt>
                <c:pt idx="714">
                  <c:v>21.13</c:v>
                </c:pt>
                <c:pt idx="715">
                  <c:v>20.37</c:v>
                </c:pt>
                <c:pt idx="716">
                  <c:v>20.149999999999999</c:v>
                </c:pt>
                <c:pt idx="717">
                  <c:v>20.47</c:v>
                </c:pt>
                <c:pt idx="718">
                  <c:v>20.63</c:v>
                </c:pt>
                <c:pt idx="719">
                  <c:v>20.260000000000002</c:v>
                </c:pt>
                <c:pt idx="720">
                  <c:v>19.600000000000001</c:v>
                </c:pt>
                <c:pt idx="721">
                  <c:v>20.14</c:v>
                </c:pt>
                <c:pt idx="722">
                  <c:v>19.86</c:v>
                </c:pt>
                <c:pt idx="723">
                  <c:v>20.239999999999998</c:v>
                </c:pt>
                <c:pt idx="724">
                  <c:v>20.78</c:v>
                </c:pt>
                <c:pt idx="725">
                  <c:v>18.87</c:v>
                </c:pt>
                <c:pt idx="726">
                  <c:v>18.68</c:v>
                </c:pt>
                <c:pt idx="727">
                  <c:v>18.899999999999999</c:v>
                </c:pt>
                <c:pt idx="728">
                  <c:v>18.48</c:v>
                </c:pt>
                <c:pt idx="729">
                  <c:v>19.73</c:v>
                </c:pt>
                <c:pt idx="730">
                  <c:v>19.98</c:v>
                </c:pt>
                <c:pt idx="731">
                  <c:v>19.170000000000002</c:v>
                </c:pt>
                <c:pt idx="732">
                  <c:v>17.79</c:v>
                </c:pt>
                <c:pt idx="733">
                  <c:v>17.98</c:v>
                </c:pt>
                <c:pt idx="734">
                  <c:v>17.649999999999999</c:v>
                </c:pt>
                <c:pt idx="735">
                  <c:v>16.3</c:v>
                </c:pt>
                <c:pt idx="736">
                  <c:v>16.47</c:v>
                </c:pt>
                <c:pt idx="737">
                  <c:v>17.02</c:v>
                </c:pt>
                <c:pt idx="738">
                  <c:v>17.64</c:v>
                </c:pt>
                <c:pt idx="739">
                  <c:v>18.920000000000002</c:v>
                </c:pt>
                <c:pt idx="740">
                  <c:v>18.579999999999998</c:v>
                </c:pt>
                <c:pt idx="741">
                  <c:v>20.78</c:v>
                </c:pt>
                <c:pt idx="742">
                  <c:v>19.64</c:v>
                </c:pt>
                <c:pt idx="743">
                  <c:v>19.079999999999998</c:v>
                </c:pt>
                <c:pt idx="744">
                  <c:v>18.14</c:v>
                </c:pt>
                <c:pt idx="745">
                  <c:v>17.829999999999998</c:v>
                </c:pt>
                <c:pt idx="746">
                  <c:v>19.8</c:v>
                </c:pt>
                <c:pt idx="747">
                  <c:v>20.64</c:v>
                </c:pt>
                <c:pt idx="748">
                  <c:v>20.54</c:v>
                </c:pt>
                <c:pt idx="749">
                  <c:v>18.63</c:v>
                </c:pt>
                <c:pt idx="750">
                  <c:v>23.56</c:v>
                </c:pt>
                <c:pt idx="751">
                  <c:v>24.37</c:v>
                </c:pt>
                <c:pt idx="752">
                  <c:v>23.44</c:v>
                </c:pt>
                <c:pt idx="753">
                  <c:v>23.61</c:v>
                </c:pt>
                <c:pt idx="754">
                  <c:v>23.02</c:v>
                </c:pt>
                <c:pt idx="755">
                  <c:v>21.22</c:v>
                </c:pt>
                <c:pt idx="756">
                  <c:v>20.96</c:v>
                </c:pt>
                <c:pt idx="757">
                  <c:v>21.67</c:v>
                </c:pt>
                <c:pt idx="758">
                  <c:v>22.24</c:v>
                </c:pt>
                <c:pt idx="759">
                  <c:v>21.58</c:v>
                </c:pt>
                <c:pt idx="760">
                  <c:v>22.89</c:v>
                </c:pt>
                <c:pt idx="761">
                  <c:v>22.69</c:v>
                </c:pt>
                <c:pt idx="762">
                  <c:v>22.42</c:v>
                </c:pt>
                <c:pt idx="763">
                  <c:v>22.23</c:v>
                </c:pt>
                <c:pt idx="764">
                  <c:v>23.75</c:v>
                </c:pt>
                <c:pt idx="765">
                  <c:v>24.25</c:v>
                </c:pt>
                <c:pt idx="766">
                  <c:v>25.14</c:v>
                </c:pt>
                <c:pt idx="767">
                  <c:v>23.4</c:v>
                </c:pt>
                <c:pt idx="768">
                  <c:v>25.92</c:v>
                </c:pt>
                <c:pt idx="769">
                  <c:v>25.48</c:v>
                </c:pt>
                <c:pt idx="770">
                  <c:v>25.72</c:v>
                </c:pt>
                <c:pt idx="771">
                  <c:v>23.16</c:v>
                </c:pt>
                <c:pt idx="772">
                  <c:v>25.22</c:v>
                </c:pt>
                <c:pt idx="773">
                  <c:v>25.56</c:v>
                </c:pt>
                <c:pt idx="774">
                  <c:v>27.49</c:v>
                </c:pt>
                <c:pt idx="775">
                  <c:v>28.47</c:v>
                </c:pt>
                <c:pt idx="776">
                  <c:v>28.19</c:v>
                </c:pt>
                <c:pt idx="777">
                  <c:v>24.58</c:v>
                </c:pt>
                <c:pt idx="778">
                  <c:v>25.01</c:v>
                </c:pt>
                <c:pt idx="779">
                  <c:v>24.05</c:v>
                </c:pt>
                <c:pt idx="780">
                  <c:v>24.02</c:v>
                </c:pt>
                <c:pt idx="781">
                  <c:v>21.23</c:v>
                </c:pt>
                <c:pt idx="782">
                  <c:v>21.31</c:v>
                </c:pt>
                <c:pt idx="783">
                  <c:v>23.45</c:v>
                </c:pt>
                <c:pt idx="784">
                  <c:v>22.91</c:v>
                </c:pt>
                <c:pt idx="785">
                  <c:v>24.2</c:v>
                </c:pt>
                <c:pt idx="786">
                  <c:v>22.03</c:v>
                </c:pt>
                <c:pt idx="787">
                  <c:v>22.33</c:v>
                </c:pt>
                <c:pt idx="788">
                  <c:v>22.66</c:v>
                </c:pt>
                <c:pt idx="789">
                  <c:v>23.53</c:v>
                </c:pt>
                <c:pt idx="790">
                  <c:v>22.99</c:v>
                </c:pt>
                <c:pt idx="791">
                  <c:v>21.66</c:v>
                </c:pt>
                <c:pt idx="792">
                  <c:v>20.23</c:v>
                </c:pt>
                <c:pt idx="793">
                  <c:v>21.15</c:v>
                </c:pt>
                <c:pt idx="794">
                  <c:v>20.66</c:v>
                </c:pt>
                <c:pt idx="795">
                  <c:v>20.64</c:v>
                </c:pt>
                <c:pt idx="796">
                  <c:v>21.57</c:v>
                </c:pt>
                <c:pt idx="797">
                  <c:v>22.3</c:v>
                </c:pt>
                <c:pt idx="798">
                  <c:v>20.239999999999998</c:v>
                </c:pt>
                <c:pt idx="799">
                  <c:v>19.579999999999998</c:v>
                </c:pt>
                <c:pt idx="800">
                  <c:v>21.76</c:v>
                </c:pt>
                <c:pt idx="801">
                  <c:v>21.3</c:v>
                </c:pt>
                <c:pt idx="802">
                  <c:v>20.43</c:v>
                </c:pt>
                <c:pt idx="803">
                  <c:v>19.829999999999998</c:v>
                </c:pt>
                <c:pt idx="804">
                  <c:v>18.78</c:v>
                </c:pt>
                <c:pt idx="805">
                  <c:v>20.98</c:v>
                </c:pt>
                <c:pt idx="806">
                  <c:v>20.48</c:v>
                </c:pt>
                <c:pt idx="807">
                  <c:v>19.36</c:v>
                </c:pt>
                <c:pt idx="808">
                  <c:v>19.43</c:v>
                </c:pt>
                <c:pt idx="809">
                  <c:v>20.65</c:v>
                </c:pt>
                <c:pt idx="810">
                  <c:v>21.99</c:v>
                </c:pt>
                <c:pt idx="811">
                  <c:v>22.02</c:v>
                </c:pt>
                <c:pt idx="812">
                  <c:v>24.54</c:v>
                </c:pt>
                <c:pt idx="813">
                  <c:v>22.22</c:v>
                </c:pt>
                <c:pt idx="814">
                  <c:v>22.69</c:v>
                </c:pt>
                <c:pt idx="815">
                  <c:v>25.47</c:v>
                </c:pt>
                <c:pt idx="816">
                  <c:v>25.38</c:v>
                </c:pt>
                <c:pt idx="817">
                  <c:v>24.8</c:v>
                </c:pt>
                <c:pt idx="818">
                  <c:v>25.66</c:v>
                </c:pt>
                <c:pt idx="819">
                  <c:v>31.7</c:v>
                </c:pt>
                <c:pt idx="820">
                  <c:v>31.96</c:v>
                </c:pt>
                <c:pt idx="821">
                  <c:v>36.1</c:v>
                </c:pt>
                <c:pt idx="822">
                  <c:v>33.07</c:v>
                </c:pt>
                <c:pt idx="823">
                  <c:v>32.4</c:v>
                </c:pt>
                <c:pt idx="824">
                  <c:v>33.85</c:v>
                </c:pt>
                <c:pt idx="825">
                  <c:v>35.700000000000003</c:v>
                </c:pt>
                <c:pt idx="826">
                  <c:v>35.19</c:v>
                </c:pt>
                <c:pt idx="827">
                  <c:v>32.82</c:v>
                </c:pt>
                <c:pt idx="828">
                  <c:v>36.92</c:v>
                </c:pt>
                <c:pt idx="829">
                  <c:v>43.77</c:v>
                </c:pt>
                <c:pt idx="830">
                  <c:v>39.39</c:v>
                </c:pt>
                <c:pt idx="831">
                  <c:v>39.82</c:v>
                </c:pt>
                <c:pt idx="832">
                  <c:v>45.22</c:v>
                </c:pt>
                <c:pt idx="833">
                  <c:v>45.12</c:v>
                </c:pt>
                <c:pt idx="834">
                  <c:v>52.05</c:v>
                </c:pt>
                <c:pt idx="835">
                  <c:v>53.68</c:v>
                </c:pt>
                <c:pt idx="836">
                  <c:v>57.57</c:v>
                </c:pt>
                <c:pt idx="837">
                  <c:v>65.849999999999994</c:v>
                </c:pt>
                <c:pt idx="838">
                  <c:v>69.95</c:v>
                </c:pt>
                <c:pt idx="839">
                  <c:v>55.1</c:v>
                </c:pt>
                <c:pt idx="840">
                  <c:v>55.69</c:v>
                </c:pt>
                <c:pt idx="841">
                  <c:v>69.209999999999994</c:v>
                </c:pt>
                <c:pt idx="842">
                  <c:v>67.650000000000006</c:v>
                </c:pt>
                <c:pt idx="843">
                  <c:v>70.400000000000006</c:v>
                </c:pt>
                <c:pt idx="844">
                  <c:v>52.95</c:v>
                </c:pt>
                <c:pt idx="845">
                  <c:v>63.12</c:v>
                </c:pt>
                <c:pt idx="846">
                  <c:v>68.03</c:v>
                </c:pt>
                <c:pt idx="847">
                  <c:v>67.8</c:v>
                </c:pt>
                <c:pt idx="848">
                  <c:v>79.13</c:v>
                </c:pt>
                <c:pt idx="849">
                  <c:v>73.3</c:v>
                </c:pt>
                <c:pt idx="850">
                  <c:v>66.959999999999994</c:v>
                </c:pt>
                <c:pt idx="851">
                  <c:v>69.83</c:v>
                </c:pt>
                <c:pt idx="852">
                  <c:v>62.93</c:v>
                </c:pt>
                <c:pt idx="853">
                  <c:v>60.17</c:v>
                </c:pt>
                <c:pt idx="854">
                  <c:v>53.68</c:v>
                </c:pt>
                <c:pt idx="855">
                  <c:v>47.73</c:v>
                </c:pt>
                <c:pt idx="856">
                  <c:v>56.71</c:v>
                </c:pt>
                <c:pt idx="857">
                  <c:v>63.68</c:v>
                </c:pt>
                <c:pt idx="858">
                  <c:v>56.09</c:v>
                </c:pt>
                <c:pt idx="859">
                  <c:v>59.98</c:v>
                </c:pt>
                <c:pt idx="860">
                  <c:v>61.52</c:v>
                </c:pt>
                <c:pt idx="861">
                  <c:v>66.45</c:v>
                </c:pt>
                <c:pt idx="862">
                  <c:v>62.6</c:v>
                </c:pt>
                <c:pt idx="863">
                  <c:v>69.569999999999993</c:v>
                </c:pt>
                <c:pt idx="864">
                  <c:v>70.09</c:v>
                </c:pt>
                <c:pt idx="865">
                  <c:v>68.459999999999994</c:v>
                </c:pt>
                <c:pt idx="866">
                  <c:v>74.260000000000005</c:v>
                </c:pt>
                <c:pt idx="867">
                  <c:v>80.739999999999995</c:v>
                </c:pt>
                <c:pt idx="868">
                  <c:v>71.19</c:v>
                </c:pt>
                <c:pt idx="869">
                  <c:v>64.760000000000005</c:v>
                </c:pt>
                <c:pt idx="870">
                  <c:v>60.9</c:v>
                </c:pt>
                <c:pt idx="871">
                  <c:v>56.02</c:v>
                </c:pt>
                <c:pt idx="872">
                  <c:v>60.47</c:v>
                </c:pt>
                <c:pt idx="873">
                  <c:v>66.680000000000007</c:v>
                </c:pt>
                <c:pt idx="874">
                  <c:v>62.98</c:v>
                </c:pt>
                <c:pt idx="875">
                  <c:v>62.19</c:v>
                </c:pt>
                <c:pt idx="876">
                  <c:v>63.64</c:v>
                </c:pt>
                <c:pt idx="877">
                  <c:v>58.86</c:v>
                </c:pt>
                <c:pt idx="878">
                  <c:v>59.48</c:v>
                </c:pt>
                <c:pt idx="879">
                  <c:v>58.91</c:v>
                </c:pt>
                <c:pt idx="880">
                  <c:v>55.08</c:v>
                </c:pt>
                <c:pt idx="881">
                  <c:v>55.78</c:v>
                </c:pt>
                <c:pt idx="882">
                  <c:v>55.68</c:v>
                </c:pt>
                <c:pt idx="883">
                  <c:v>56.76</c:v>
                </c:pt>
                <c:pt idx="884">
                  <c:v>52</c:v>
                </c:pt>
                <c:pt idx="885">
                  <c:v>49.84</c:v>
                </c:pt>
                <c:pt idx="886">
                  <c:v>46.01</c:v>
                </c:pt>
                <c:pt idx="887">
                  <c:v>44.93</c:v>
                </c:pt>
                <c:pt idx="888">
                  <c:v>43.19</c:v>
                </c:pt>
                <c:pt idx="889">
                  <c:v>45.02</c:v>
                </c:pt>
                <c:pt idx="890">
                  <c:v>44.27</c:v>
                </c:pt>
                <c:pt idx="891">
                  <c:v>43.35</c:v>
                </c:pt>
                <c:pt idx="892">
                  <c:v>43.99</c:v>
                </c:pt>
                <c:pt idx="893">
                  <c:v>41.63</c:v>
                </c:pt>
                <c:pt idx="894">
                  <c:v>39.58</c:v>
                </c:pt>
                <c:pt idx="895">
                  <c:v>39.24</c:v>
                </c:pt>
                <c:pt idx="896">
                  <c:v>38.06</c:v>
                </c:pt>
                <c:pt idx="897">
                  <c:v>40.29</c:v>
                </c:pt>
                <c:pt idx="898">
                  <c:v>43.38</c:v>
                </c:pt>
                <c:pt idx="899">
                  <c:v>41.18</c:v>
                </c:pt>
                <c:pt idx="900">
                  <c:v>42.06</c:v>
                </c:pt>
                <c:pt idx="901">
                  <c:v>45.84</c:v>
                </c:pt>
                <c:pt idx="902">
                  <c:v>46.24</c:v>
                </c:pt>
                <c:pt idx="903">
                  <c:v>49.14</c:v>
                </c:pt>
                <c:pt idx="904">
                  <c:v>51</c:v>
                </c:pt>
                <c:pt idx="905">
                  <c:v>50.12</c:v>
                </c:pt>
                <c:pt idx="906">
                  <c:v>51.52</c:v>
                </c:pt>
                <c:pt idx="907">
                  <c:v>50.65</c:v>
                </c:pt>
                <c:pt idx="908">
                  <c:v>50.39</c:v>
                </c:pt>
                <c:pt idx="909">
                  <c:v>47.89</c:v>
                </c:pt>
                <c:pt idx="910">
                  <c:v>45.11</c:v>
                </c:pt>
                <c:pt idx="911">
                  <c:v>42.25</c:v>
                </c:pt>
                <c:pt idx="912">
                  <c:v>41.34</c:v>
                </c:pt>
                <c:pt idx="913">
                  <c:v>42.63</c:v>
                </c:pt>
                <c:pt idx="914">
                  <c:v>49.42</c:v>
                </c:pt>
                <c:pt idx="915">
                  <c:v>45.52</c:v>
                </c:pt>
                <c:pt idx="916">
                  <c:v>43.06</c:v>
                </c:pt>
                <c:pt idx="917">
                  <c:v>43.83</c:v>
                </c:pt>
                <c:pt idx="918">
                  <c:v>43.71</c:v>
                </c:pt>
                <c:pt idx="919">
                  <c:v>45.4</c:v>
                </c:pt>
                <c:pt idx="920">
                  <c:v>45.14</c:v>
                </c:pt>
                <c:pt idx="921">
                  <c:v>46.67</c:v>
                </c:pt>
                <c:pt idx="922">
                  <c:v>44.52</c:v>
                </c:pt>
                <c:pt idx="923">
                  <c:v>41.6</c:v>
                </c:pt>
                <c:pt idx="924">
                  <c:v>48.14</c:v>
                </c:pt>
                <c:pt idx="925">
                  <c:v>48.66</c:v>
                </c:pt>
                <c:pt idx="926">
                  <c:v>48.54</c:v>
                </c:pt>
                <c:pt idx="927">
                  <c:v>47.08</c:v>
                </c:pt>
                <c:pt idx="928">
                  <c:v>49.3</c:v>
                </c:pt>
                <c:pt idx="929">
                  <c:v>52.5</c:v>
                </c:pt>
                <c:pt idx="930">
                  <c:v>45.73</c:v>
                </c:pt>
                <c:pt idx="931">
                  <c:v>43.75</c:v>
                </c:pt>
                <c:pt idx="932">
                  <c:v>44.66</c:v>
                </c:pt>
                <c:pt idx="933">
                  <c:v>49.96</c:v>
                </c:pt>
                <c:pt idx="934">
                  <c:v>52.65</c:v>
                </c:pt>
                <c:pt idx="935">
                  <c:v>48.02</c:v>
                </c:pt>
                <c:pt idx="936">
                  <c:v>47.56</c:v>
                </c:pt>
                <c:pt idx="937">
                  <c:v>50.17</c:v>
                </c:pt>
                <c:pt idx="938">
                  <c:v>49.35</c:v>
                </c:pt>
                <c:pt idx="939">
                  <c:v>49.68</c:v>
                </c:pt>
                <c:pt idx="940">
                  <c:v>43.35</c:v>
                </c:pt>
                <c:pt idx="941">
                  <c:v>43.53</c:v>
                </c:pt>
                <c:pt idx="942">
                  <c:v>40.99</c:v>
                </c:pt>
                <c:pt idx="943">
                  <c:v>42.36</c:v>
                </c:pt>
                <c:pt idx="944">
                  <c:v>44.23</c:v>
                </c:pt>
                <c:pt idx="945">
                  <c:v>41.14</c:v>
                </c:pt>
                <c:pt idx="946">
                  <c:v>40.06</c:v>
                </c:pt>
                <c:pt idx="947">
                  <c:v>43.6</c:v>
                </c:pt>
                <c:pt idx="948">
                  <c:v>45.89</c:v>
                </c:pt>
                <c:pt idx="949">
                  <c:v>43.24</c:v>
                </c:pt>
                <c:pt idx="950">
                  <c:v>42.35</c:v>
                </c:pt>
                <c:pt idx="951">
                  <c:v>42.25</c:v>
                </c:pt>
                <c:pt idx="952">
                  <c:v>40.36</c:v>
                </c:pt>
                <c:pt idx="953">
                  <c:v>44.86</c:v>
                </c:pt>
                <c:pt idx="954">
                  <c:v>45.54</c:v>
                </c:pt>
                <c:pt idx="955">
                  <c:v>45.42</c:v>
                </c:pt>
                <c:pt idx="956">
                  <c:v>42.28</c:v>
                </c:pt>
                <c:pt idx="957">
                  <c:v>42.03</c:v>
                </c:pt>
                <c:pt idx="958">
                  <c:v>41.96</c:v>
                </c:pt>
                <c:pt idx="959">
                  <c:v>41.48</c:v>
                </c:pt>
                <c:pt idx="960">
                  <c:v>40.39</c:v>
                </c:pt>
                <c:pt idx="961">
                  <c:v>37.22</c:v>
                </c:pt>
                <c:pt idx="962">
                  <c:v>38.32</c:v>
                </c:pt>
                <c:pt idx="963">
                  <c:v>37.950000000000003</c:v>
                </c:pt>
                <c:pt idx="964">
                  <c:v>37.85</c:v>
                </c:pt>
                <c:pt idx="965">
                  <c:v>36.04</c:v>
                </c:pt>
                <c:pt idx="966">
                  <c:v>35.36</c:v>
                </c:pt>
                <c:pt idx="967">
                  <c:v>33.94</c:v>
                </c:pt>
                <c:pt idx="968">
                  <c:v>40.270000000000003</c:v>
                </c:pt>
                <c:pt idx="969">
                  <c:v>37.14</c:v>
                </c:pt>
                <c:pt idx="970">
                  <c:v>38.1</c:v>
                </c:pt>
                <c:pt idx="971">
                  <c:v>36.86</c:v>
                </c:pt>
                <c:pt idx="972">
                  <c:v>39.46</c:v>
                </c:pt>
                <c:pt idx="973">
                  <c:v>39.43</c:v>
                </c:pt>
                <c:pt idx="974">
                  <c:v>37.950000000000003</c:v>
                </c:pt>
                <c:pt idx="975">
                  <c:v>36.090000000000003</c:v>
                </c:pt>
                <c:pt idx="976">
                  <c:v>36.5</c:v>
                </c:pt>
                <c:pt idx="977">
                  <c:v>35.299999999999997</c:v>
                </c:pt>
                <c:pt idx="978">
                  <c:v>34.54</c:v>
                </c:pt>
                <c:pt idx="979">
                  <c:v>33.36</c:v>
                </c:pt>
                <c:pt idx="980">
                  <c:v>32.1</c:v>
                </c:pt>
                <c:pt idx="981">
                  <c:v>32.36</c:v>
                </c:pt>
                <c:pt idx="982">
                  <c:v>32.049999999999997</c:v>
                </c:pt>
                <c:pt idx="983">
                  <c:v>32.68</c:v>
                </c:pt>
                <c:pt idx="984">
                  <c:v>32.97</c:v>
                </c:pt>
                <c:pt idx="985">
                  <c:v>33.65</c:v>
                </c:pt>
                <c:pt idx="986">
                  <c:v>31.36</c:v>
                </c:pt>
                <c:pt idx="987">
                  <c:v>32.909999999999997</c:v>
                </c:pt>
                <c:pt idx="988">
                  <c:v>30.23</c:v>
                </c:pt>
                <c:pt idx="989">
                  <c:v>27.47</c:v>
                </c:pt>
                <c:pt idx="990">
                  <c:v>29.03</c:v>
                </c:pt>
                <c:pt idx="991">
                  <c:v>31.36</c:v>
                </c:pt>
                <c:pt idx="992">
                  <c:v>34.57</c:v>
                </c:pt>
                <c:pt idx="993">
                  <c:v>30.8</c:v>
                </c:pt>
                <c:pt idx="994">
                  <c:v>31.54</c:v>
                </c:pt>
                <c:pt idx="995">
                  <c:v>31.67</c:v>
                </c:pt>
                <c:pt idx="996">
                  <c:v>28.7</c:v>
                </c:pt>
                <c:pt idx="997">
                  <c:v>30.04</c:v>
                </c:pt>
                <c:pt idx="998">
                  <c:v>29.62</c:v>
                </c:pt>
                <c:pt idx="999">
                  <c:v>31.02</c:v>
                </c:pt>
                <c:pt idx="1000">
                  <c:v>29.39</c:v>
                </c:pt>
                <c:pt idx="1001">
                  <c:v>30.88</c:v>
                </c:pt>
                <c:pt idx="1002">
                  <c:v>29.77</c:v>
                </c:pt>
                <c:pt idx="1003">
                  <c:v>26.9</c:v>
                </c:pt>
                <c:pt idx="1004">
                  <c:v>27.36</c:v>
                </c:pt>
                <c:pt idx="1005">
                  <c:v>28.08</c:v>
                </c:pt>
                <c:pt idx="1006">
                  <c:v>29.7</c:v>
                </c:pt>
                <c:pt idx="1007">
                  <c:v>30.81</c:v>
                </c:pt>
                <c:pt idx="1008">
                  <c:v>31.19</c:v>
                </c:pt>
                <c:pt idx="1009">
                  <c:v>31.54</c:v>
                </c:pt>
                <c:pt idx="1010">
                  <c:v>29.16</c:v>
                </c:pt>
                <c:pt idx="1011">
                  <c:v>30.4</c:v>
                </c:pt>
                <c:pt idx="1012">
                  <c:v>31.3</c:v>
                </c:pt>
                <c:pt idx="1013">
                  <c:v>30.58</c:v>
                </c:pt>
                <c:pt idx="1014">
                  <c:v>29.45</c:v>
                </c:pt>
                <c:pt idx="1015">
                  <c:v>27.09</c:v>
                </c:pt>
                <c:pt idx="1016">
                  <c:v>25.93</c:v>
                </c:pt>
                <c:pt idx="1017">
                  <c:v>25.36</c:v>
                </c:pt>
                <c:pt idx="1018">
                  <c:v>25.73</c:v>
                </c:pt>
                <c:pt idx="1019">
                  <c:v>26.22</c:v>
                </c:pt>
                <c:pt idx="1020">
                  <c:v>30.32</c:v>
                </c:pt>
                <c:pt idx="1021">
                  <c:v>29</c:v>
                </c:pt>
                <c:pt idx="1022">
                  <c:v>30.85</c:v>
                </c:pt>
                <c:pt idx="1023">
                  <c:v>30.23</c:v>
                </c:pt>
                <c:pt idx="1024">
                  <c:v>29.78</c:v>
                </c:pt>
                <c:pt idx="1025">
                  <c:v>28.36</c:v>
                </c:pt>
                <c:pt idx="1026">
                  <c:v>26.31</c:v>
                </c:pt>
                <c:pt idx="1027">
                  <c:v>25.05</c:v>
                </c:pt>
                <c:pt idx="1028">
                  <c:v>25.96</c:v>
                </c:pt>
                <c:pt idx="1029">
                  <c:v>25.42</c:v>
                </c:pt>
                <c:pt idx="1030">
                  <c:v>25.06</c:v>
                </c:pt>
                <c:pt idx="1031">
                  <c:v>24.28</c:v>
                </c:pt>
                <c:pt idx="1032">
                  <c:v>24.05</c:v>
                </c:pt>
                <c:pt idx="1033">
                  <c:v>23.71</c:v>
                </c:pt>
                <c:pt idx="1034">
                  <c:v>23.87</c:v>
                </c:pt>
                <c:pt idx="1035">
                  <c:v>24.06</c:v>
                </c:pt>
                <c:pt idx="1036">
                  <c:v>24.28</c:v>
                </c:pt>
                <c:pt idx="1037">
                  <c:v>25.47</c:v>
                </c:pt>
                <c:pt idx="1038">
                  <c:v>25.4</c:v>
                </c:pt>
                <c:pt idx="1039">
                  <c:v>25.4</c:v>
                </c:pt>
                <c:pt idx="1040">
                  <c:v>25.92</c:v>
                </c:pt>
                <c:pt idx="1041">
                  <c:v>25.55</c:v>
                </c:pt>
                <c:pt idx="1042">
                  <c:v>24.91</c:v>
                </c:pt>
                <c:pt idx="1043">
                  <c:v>24.9</c:v>
                </c:pt>
                <c:pt idx="1044">
                  <c:v>24.71</c:v>
                </c:pt>
                <c:pt idx="1045">
                  <c:v>24.76</c:v>
                </c:pt>
                <c:pt idx="1046">
                  <c:v>24.98</c:v>
                </c:pt>
                <c:pt idx="1047">
                  <c:v>25.99</c:v>
                </c:pt>
                <c:pt idx="1048">
                  <c:v>25.34</c:v>
                </c:pt>
                <c:pt idx="1049">
                  <c:v>24.77</c:v>
                </c:pt>
                <c:pt idx="1050">
                  <c:v>24.27</c:v>
                </c:pt>
                <c:pt idx="1051">
                  <c:v>27.89</c:v>
                </c:pt>
                <c:pt idx="1052">
                  <c:v>28.08</c:v>
                </c:pt>
                <c:pt idx="1053">
                  <c:v>26.45</c:v>
                </c:pt>
                <c:pt idx="1054">
                  <c:v>24.49</c:v>
                </c:pt>
                <c:pt idx="1055">
                  <c:v>25.01</c:v>
                </c:pt>
                <c:pt idx="1056">
                  <c:v>25.13</c:v>
                </c:pt>
                <c:pt idx="1057">
                  <c:v>24.91</c:v>
                </c:pt>
                <c:pt idx="1058">
                  <c:v>25.13</c:v>
                </c:pt>
                <c:pt idx="1059">
                  <c:v>24.44</c:v>
                </c:pt>
                <c:pt idx="1060">
                  <c:v>24.76</c:v>
                </c:pt>
                <c:pt idx="1061">
                  <c:v>26.01</c:v>
                </c:pt>
                <c:pt idx="1062">
                  <c:v>29.14</c:v>
                </c:pt>
                <c:pt idx="1063">
                  <c:v>28.9</c:v>
                </c:pt>
                <c:pt idx="1064">
                  <c:v>26.98</c:v>
                </c:pt>
                <c:pt idx="1065">
                  <c:v>25.26</c:v>
                </c:pt>
                <c:pt idx="1066">
                  <c:v>25.66</c:v>
                </c:pt>
                <c:pt idx="1067">
                  <c:v>24.4</c:v>
                </c:pt>
                <c:pt idx="1068">
                  <c:v>23.49</c:v>
                </c:pt>
                <c:pt idx="1069">
                  <c:v>25.39</c:v>
                </c:pt>
                <c:pt idx="1070">
                  <c:v>23.9</c:v>
                </c:pt>
                <c:pt idx="1071">
                  <c:v>23.29</c:v>
                </c:pt>
                <c:pt idx="1072">
                  <c:v>23.99</c:v>
                </c:pt>
                <c:pt idx="1073">
                  <c:v>23.65</c:v>
                </c:pt>
                <c:pt idx="1074">
                  <c:v>25.34</c:v>
                </c:pt>
                <c:pt idx="1075">
                  <c:v>23.81</c:v>
                </c:pt>
                <c:pt idx="1076">
                  <c:v>22.9</c:v>
                </c:pt>
                <c:pt idx="1077">
                  <c:v>23.67</c:v>
                </c:pt>
                <c:pt idx="1078">
                  <c:v>25.18</c:v>
                </c:pt>
                <c:pt idx="1079">
                  <c:v>26.26</c:v>
                </c:pt>
                <c:pt idx="1080">
                  <c:v>24.88</c:v>
                </c:pt>
                <c:pt idx="1081">
                  <c:v>25.19</c:v>
                </c:pt>
                <c:pt idx="1082">
                  <c:v>25.98</c:v>
                </c:pt>
                <c:pt idx="1083">
                  <c:v>29.34</c:v>
                </c:pt>
                <c:pt idx="1084">
                  <c:v>29.34</c:v>
                </c:pt>
                <c:pt idx="1085">
                  <c:v>26.39</c:v>
                </c:pt>
                <c:pt idx="1086">
                  <c:v>25.78</c:v>
                </c:pt>
                <c:pt idx="1087">
                  <c:v>24.68</c:v>
                </c:pt>
                <c:pt idx="1088">
                  <c:v>24.39</c:v>
                </c:pt>
                <c:pt idx="1089">
                  <c:v>23.12</c:v>
                </c:pt>
                <c:pt idx="1090">
                  <c:v>23</c:v>
                </c:pt>
                <c:pt idx="1091">
                  <c:v>22.08</c:v>
                </c:pt>
                <c:pt idx="1092">
                  <c:v>23.51</c:v>
                </c:pt>
                <c:pt idx="1093">
                  <c:v>21.72</c:v>
                </c:pt>
                <c:pt idx="1094">
                  <c:v>21.41</c:v>
                </c:pt>
                <c:pt idx="1095">
                  <c:v>21.55</c:v>
                </c:pt>
                <c:pt idx="1096">
                  <c:v>20.9</c:v>
                </c:pt>
                <c:pt idx="1097">
                  <c:v>22.22</c:v>
                </c:pt>
                <c:pt idx="1098">
                  <c:v>20.7</c:v>
                </c:pt>
                <c:pt idx="1099">
                  <c:v>23.06</c:v>
                </c:pt>
                <c:pt idx="1100">
                  <c:v>24.38</c:v>
                </c:pt>
                <c:pt idx="1101">
                  <c:v>24.83</c:v>
                </c:pt>
                <c:pt idx="1102">
                  <c:v>27.16</c:v>
                </c:pt>
                <c:pt idx="1103">
                  <c:v>24.76</c:v>
                </c:pt>
                <c:pt idx="1104">
                  <c:v>30.7</c:v>
                </c:pt>
                <c:pt idx="1105">
                  <c:v>30.62</c:v>
                </c:pt>
                <c:pt idx="1106">
                  <c:v>28.81</c:v>
                </c:pt>
                <c:pt idx="1107">
                  <c:v>27.28</c:v>
                </c:pt>
                <c:pt idx="1108">
                  <c:v>26.17</c:v>
                </c:pt>
                <c:pt idx="1109">
                  <c:v>24.19</c:v>
                </c:pt>
                <c:pt idx="1110">
                  <c:v>23.15</c:v>
                </c:pt>
                <c:pt idx="1111">
                  <c:v>22.84</c:v>
                </c:pt>
                <c:pt idx="1112">
                  <c:v>23.04</c:v>
                </c:pt>
                <c:pt idx="1113">
                  <c:v>24.25</c:v>
                </c:pt>
                <c:pt idx="1114">
                  <c:v>23.36</c:v>
                </c:pt>
                <c:pt idx="1115">
                  <c:v>22.81</c:v>
                </c:pt>
                <c:pt idx="1116">
                  <c:v>22.35</c:v>
                </c:pt>
                <c:pt idx="1117">
                  <c:v>21.63</c:v>
                </c:pt>
                <c:pt idx="1118">
                  <c:v>23.45</c:v>
                </c:pt>
                <c:pt idx="1119">
                  <c:v>21.98</c:v>
                </c:pt>
                <c:pt idx="1120">
                  <c:v>21.28</c:v>
                </c:pt>
                <c:pt idx="1121">
                  <c:v>20.23</c:v>
                </c:pt>
                <c:pt idx="1122">
                  <c:v>25.75</c:v>
                </c:pt>
                <c:pt idx="1123">
                  <c:v>24.95</c:v>
                </c:pt>
                <c:pt idx="1124">
                  <c:v>24.51</c:v>
                </c:pt>
                <c:pt idx="1125">
                  <c:v>21.89</c:v>
                </c:pt>
                <c:pt idx="1126">
                  <c:v>21.15</c:v>
                </c:pt>
                <c:pt idx="1127">
                  <c:v>21.18</c:v>
                </c:pt>
                <c:pt idx="1128">
                  <c:v>22.32</c:v>
                </c:pt>
                <c:pt idx="1129">
                  <c:v>23.28</c:v>
                </c:pt>
                <c:pt idx="1130">
                  <c:v>23.21</c:v>
                </c:pt>
                <c:pt idx="1131">
                  <c:v>22.66</c:v>
                </c:pt>
                <c:pt idx="1132">
                  <c:v>21.45</c:v>
                </c:pt>
                <c:pt idx="1133">
                  <c:v>21.59</c:v>
                </c:pt>
                <c:pt idx="1134">
                  <c:v>21.09</c:v>
                </c:pt>
                <c:pt idx="1135">
                  <c:v>20.89</c:v>
                </c:pt>
                <c:pt idx="1136">
                  <c:v>21.89</c:v>
                </c:pt>
                <c:pt idx="1137">
                  <c:v>21.84</c:v>
                </c:pt>
                <c:pt idx="1138">
                  <c:v>21.46</c:v>
                </c:pt>
                <c:pt idx="1139">
                  <c:v>20.39</c:v>
                </c:pt>
                <c:pt idx="1140">
                  <c:v>19.54</c:v>
                </c:pt>
                <c:pt idx="1141">
                  <c:v>19.670000000000002</c:v>
                </c:pt>
                <c:pt idx="1142">
                  <c:v>20.29</c:v>
                </c:pt>
                <c:pt idx="1143">
                  <c:v>19.87</c:v>
                </c:pt>
                <c:pt idx="1144">
                  <c:v>20.36</c:v>
                </c:pt>
                <c:pt idx="1145">
                  <c:v>19.96</c:v>
                </c:pt>
                <c:pt idx="1146">
                  <c:v>21.68</c:v>
                </c:pt>
                <c:pt idx="1147">
                  <c:v>20.05</c:v>
                </c:pt>
                <c:pt idx="1148">
                  <c:v>19.59</c:v>
                </c:pt>
                <c:pt idx="1149">
                  <c:v>19.68</c:v>
                </c:pt>
                <c:pt idx="1150">
                  <c:v>19.27</c:v>
                </c:pt>
                <c:pt idx="1151">
                  <c:v>16.93</c:v>
                </c:pt>
                <c:pt idx="1152">
                  <c:v>17.95</c:v>
                </c:pt>
                <c:pt idx="1153">
                  <c:v>17.940000000000001</c:v>
                </c:pt>
                <c:pt idx="1154">
                  <c:v>18.16</c:v>
                </c:pt>
                <c:pt idx="1155">
                  <c:v>17.63</c:v>
                </c:pt>
                <c:pt idx="1156">
                  <c:v>18.63</c:v>
                </c:pt>
                <c:pt idx="1157">
                  <c:v>18.510000000000002</c:v>
                </c:pt>
                <c:pt idx="1158">
                  <c:v>18.59</c:v>
                </c:pt>
                <c:pt idx="1159">
                  <c:v>22.27</c:v>
                </c:pt>
                <c:pt idx="1160">
                  <c:v>27.32</c:v>
                </c:pt>
                <c:pt idx="1161">
                  <c:v>26.03</c:v>
                </c:pt>
                <c:pt idx="1162">
                  <c:v>24.81</c:v>
                </c:pt>
                <c:pt idx="1163">
                  <c:v>22.79</c:v>
                </c:pt>
                <c:pt idx="1164">
                  <c:v>23.73</c:v>
                </c:pt>
                <c:pt idx="1165">
                  <c:v>24.33</c:v>
                </c:pt>
                <c:pt idx="1166">
                  <c:v>22.59</c:v>
                </c:pt>
                <c:pt idx="1167">
                  <c:v>22.11</c:v>
                </c:pt>
                <c:pt idx="1168">
                  <c:v>22.63</c:v>
                </c:pt>
                <c:pt idx="1169">
                  <c:v>25.69</c:v>
                </c:pt>
                <c:pt idx="1170">
                  <c:v>26.11</c:v>
                </c:pt>
                <c:pt idx="1171">
                  <c:v>26.51</c:v>
                </c:pt>
                <c:pt idx="1172">
                  <c:v>26.36</c:v>
                </c:pt>
                <c:pt idx="1173">
                  <c:v>25.82</c:v>
                </c:pt>
                <c:pt idx="1174">
                  <c:v>23.96</c:v>
                </c:pt>
                <c:pt idx="1175">
                  <c:v>23.51</c:v>
                </c:pt>
                <c:pt idx="1176">
                  <c:v>22.25</c:v>
                </c:pt>
                <c:pt idx="1177">
                  <c:v>21.72</c:v>
                </c:pt>
                <c:pt idx="1178">
                  <c:v>21.07</c:v>
                </c:pt>
                <c:pt idx="1179">
                  <c:v>20.16</c:v>
                </c:pt>
                <c:pt idx="1180">
                  <c:v>20.39</c:v>
                </c:pt>
                <c:pt idx="1181">
                  <c:v>21.23</c:v>
                </c:pt>
                <c:pt idx="1182">
                  <c:v>22.03</c:v>
                </c:pt>
                <c:pt idx="1183">
                  <c:v>19.88</c:v>
                </c:pt>
                <c:pt idx="1184">
                  <c:v>19.93</c:v>
                </c:pt>
                <c:pt idx="1185">
                  <c:v>18.829999999999998</c:v>
                </c:pt>
                <c:pt idx="1186">
                  <c:v>18.95</c:v>
                </c:pt>
                <c:pt idx="1187">
                  <c:v>18.86</c:v>
                </c:pt>
                <c:pt idx="1188">
                  <c:v>18.059999999999999</c:v>
                </c:pt>
                <c:pt idx="1189">
                  <c:v>17.95</c:v>
                </c:pt>
                <c:pt idx="1190">
                  <c:v>18.18</c:v>
                </c:pt>
                <c:pt idx="1191">
                  <c:v>18</c:v>
                </c:pt>
                <c:pt idx="1192">
                  <c:v>18.899999999999999</c:v>
                </c:pt>
                <c:pt idx="1193">
                  <c:v>17.97</c:v>
                </c:pt>
                <c:pt idx="1194">
                  <c:v>18.28</c:v>
                </c:pt>
                <c:pt idx="1195">
                  <c:v>17.78</c:v>
                </c:pt>
                <c:pt idx="1196">
                  <c:v>16.97</c:v>
                </c:pt>
                <c:pt idx="1197">
                  <c:v>16.96</c:v>
                </c:pt>
                <c:pt idx="1198">
                  <c:v>16.170000000000002</c:v>
                </c:pt>
                <c:pt idx="1199">
                  <c:v>18.3</c:v>
                </c:pt>
                <c:pt idx="1200">
                  <c:v>16.84</c:v>
                </c:pt>
                <c:pt idx="1201">
                  <c:v>16.850000000000001</c:v>
                </c:pt>
                <c:pt idx="1202">
                  <c:v>17.07</c:v>
                </c:pt>
                <c:pt idx="1203">
                  <c:v>18.27</c:v>
                </c:pt>
                <c:pt idx="1204">
                  <c:v>18.170000000000002</c:v>
                </c:pt>
                <c:pt idx="1205">
                  <c:v>17.64</c:v>
                </c:pt>
                <c:pt idx="1206">
                  <c:v>17.66</c:v>
                </c:pt>
                <c:pt idx="1207">
                  <c:v>17.010000000000002</c:v>
                </c:pt>
                <c:pt idx="1208">
                  <c:v>17.96</c:v>
                </c:pt>
                <c:pt idx="1209">
                  <c:v>17.39</c:v>
                </c:pt>
                <c:pt idx="1210">
                  <c:v>16.72</c:v>
                </c:pt>
                <c:pt idx="1211">
                  <c:v>17.21</c:v>
                </c:pt>
                <c:pt idx="1212">
                  <c:v>16.32</c:v>
                </c:pt>
                <c:pt idx="1213">
                  <c:v>15.67</c:v>
                </c:pt>
                <c:pt idx="1214">
                  <c:v>15.98</c:v>
                </c:pt>
                <c:pt idx="1215">
                  <c:v>15.8</c:v>
                </c:pt>
                <c:pt idx="1216">
                  <c:v>15.87</c:v>
                </c:pt>
                <c:pt idx="1217">
                  <c:v>16.190000000000001</c:v>
                </c:pt>
                <c:pt idx="1218">
                  <c:v>19.14</c:v>
                </c:pt>
                <c:pt idx="1219">
                  <c:v>16.84</c:v>
                </c:pt>
                <c:pt idx="1220">
                  <c:v>15.94</c:v>
                </c:pt>
                <c:pt idx="1221">
                  <c:v>17.48</c:v>
                </c:pt>
                <c:pt idx="1222">
                  <c:v>16.62</c:v>
                </c:pt>
                <c:pt idx="1223">
                  <c:v>17.52</c:v>
                </c:pt>
                <c:pt idx="1224">
                  <c:v>18.13</c:v>
                </c:pt>
                <c:pt idx="1225">
                  <c:v>22.08</c:v>
                </c:pt>
                <c:pt idx="1226">
                  <c:v>20.37</c:v>
                </c:pt>
                <c:pt idx="1227">
                  <c:v>18.75</c:v>
                </c:pt>
                <c:pt idx="1228">
                  <c:v>22.41</c:v>
                </c:pt>
                <c:pt idx="1229">
                  <c:v>22.46</c:v>
                </c:pt>
                <c:pt idx="1230">
                  <c:v>25.96</c:v>
                </c:pt>
                <c:pt idx="1231">
                  <c:v>25.88</c:v>
                </c:pt>
                <c:pt idx="1232">
                  <c:v>32.76</c:v>
                </c:pt>
                <c:pt idx="1233">
                  <c:v>28.65</c:v>
                </c:pt>
                <c:pt idx="1234">
                  <c:v>31.04</c:v>
                </c:pt>
                <c:pt idx="1235">
                  <c:v>26.56</c:v>
                </c:pt>
                <c:pt idx="1236">
                  <c:v>26.17</c:v>
                </c:pt>
                <c:pt idx="1237">
                  <c:v>28.4</c:v>
                </c:pt>
                <c:pt idx="1238">
                  <c:v>31.33</c:v>
                </c:pt>
                <c:pt idx="1239">
                  <c:v>28.67</c:v>
                </c:pt>
                <c:pt idx="1240">
                  <c:v>34.65</c:v>
                </c:pt>
                <c:pt idx="1241">
                  <c:v>41.79</c:v>
                </c:pt>
                <c:pt idx="1242">
                  <c:v>47.66</c:v>
                </c:pt>
                <c:pt idx="1243">
                  <c:v>41.74</c:v>
                </c:pt>
                <c:pt idx="1244">
                  <c:v>43.15</c:v>
                </c:pt>
                <c:pt idx="1245">
                  <c:v>32.54</c:v>
                </c:pt>
                <c:pt idx="1246">
                  <c:v>30.24</c:v>
                </c:pt>
                <c:pt idx="1247">
                  <c:v>30.23</c:v>
                </c:pt>
                <c:pt idx="1248">
                  <c:v>34.869999999999997</c:v>
                </c:pt>
                <c:pt idx="1249">
                  <c:v>34.39</c:v>
                </c:pt>
                <c:pt idx="1250">
                  <c:v>29.65</c:v>
                </c:pt>
                <c:pt idx="1251">
                  <c:v>32.93</c:v>
                </c:pt>
                <c:pt idx="1252">
                  <c:v>35.659999999999997</c:v>
                </c:pt>
                <c:pt idx="1253">
                  <c:v>36.53</c:v>
                </c:pt>
                <c:pt idx="1254">
                  <c:v>32.33</c:v>
                </c:pt>
                <c:pt idx="1255">
                  <c:v>31</c:v>
                </c:pt>
                <c:pt idx="1256">
                  <c:v>31.79</c:v>
                </c:pt>
                <c:pt idx="1257">
                  <c:v>27.94</c:v>
                </c:pt>
                <c:pt idx="1258">
                  <c:v>27.68</c:v>
                </c:pt>
                <c:pt idx="1259">
                  <c:v>26.72</c:v>
                </c:pt>
                <c:pt idx="1260">
                  <c:v>25.59</c:v>
                </c:pt>
                <c:pt idx="1261">
                  <c:v>24.87</c:v>
                </c:pt>
                <c:pt idx="1262">
                  <c:v>22.9</c:v>
                </c:pt>
                <c:pt idx="1263">
                  <c:v>25.14</c:v>
                </c:pt>
                <c:pt idx="1264">
                  <c:v>26.93</c:v>
                </c:pt>
                <c:pt idx="1265">
                  <c:v>27.61</c:v>
                </c:pt>
                <c:pt idx="1266">
                  <c:v>29.64</c:v>
                </c:pt>
                <c:pt idx="1267">
                  <c:v>29.2</c:v>
                </c:pt>
                <c:pt idx="1268">
                  <c:v>31.22</c:v>
                </c:pt>
                <c:pt idx="1269">
                  <c:v>33.950000000000003</c:v>
                </c:pt>
                <c:pt idx="1270">
                  <c:v>34.409999999999997</c:v>
                </c:pt>
                <c:pt idx="1271">
                  <c:v>31.71</c:v>
                </c:pt>
                <c:pt idx="1272">
                  <c:v>28.82</c:v>
                </c:pt>
                <c:pt idx="1273">
                  <c:v>29.56</c:v>
                </c:pt>
                <c:pt idx="1274">
                  <c:v>26.5</c:v>
                </c:pt>
                <c:pt idx="1275">
                  <c:v>25.35</c:v>
                </c:pt>
                <c:pt idx="1276">
                  <c:v>24.66</c:v>
                </c:pt>
                <c:pt idx="1277">
                  <c:v>23.29</c:v>
                </c:pt>
                <c:pt idx="1278">
                  <c:v>24.61</c:v>
                </c:pt>
                <c:pt idx="1279">
                  <c:v>25.08</c:v>
                </c:pt>
                <c:pt idx="1280">
                  <c:v>25.77</c:v>
                </c:pt>
                <c:pt idx="1281">
                  <c:v>27.02</c:v>
                </c:pt>
                <c:pt idx="1282">
                  <c:v>27.35</c:v>
                </c:pt>
                <c:pt idx="1283">
                  <c:v>23.61</c:v>
                </c:pt>
                <c:pt idx="1284">
                  <c:v>24.37</c:v>
                </c:pt>
                <c:pt idx="1285">
                  <c:v>24.79</c:v>
                </c:pt>
                <c:pt idx="1286">
                  <c:v>24.37</c:v>
                </c:pt>
                <c:pt idx="1287">
                  <c:v>21.89</c:v>
                </c:pt>
                <c:pt idx="1288">
                  <c:v>23.93</c:v>
                </c:pt>
                <c:pt idx="1289">
                  <c:v>23.4</c:v>
                </c:pt>
                <c:pt idx="1290">
                  <c:v>25.47</c:v>
                </c:pt>
                <c:pt idx="1291">
                  <c:v>23.07</c:v>
                </c:pt>
                <c:pt idx="1292">
                  <c:v>22.44</c:v>
                </c:pt>
                <c:pt idx="1293">
                  <c:v>22.69</c:v>
                </c:pt>
                <c:pt idx="1294">
                  <c:v>23.04</c:v>
                </c:pt>
                <c:pt idx="1295">
                  <c:v>23.34</c:v>
                </c:pt>
                <c:pt idx="1296">
                  <c:v>21.85</c:v>
                </c:pt>
                <c:pt idx="1297">
                  <c:v>23.3</c:v>
                </c:pt>
                <c:pt idx="1298">
                  <c:v>24.96</c:v>
                </c:pt>
                <c:pt idx="1299">
                  <c:v>27.21</c:v>
                </c:pt>
                <c:pt idx="1300">
                  <c:v>26.08</c:v>
                </c:pt>
                <c:pt idx="1301">
                  <c:v>27.41</c:v>
                </c:pt>
                <c:pt idx="1302">
                  <c:v>24.72</c:v>
                </c:pt>
                <c:pt idx="1303">
                  <c:v>24.3</c:v>
                </c:pt>
                <c:pt idx="1304">
                  <c:v>24.48</c:v>
                </c:pt>
                <c:pt idx="1305">
                  <c:v>26.73</c:v>
                </c:pt>
                <c:pt idx="1306">
                  <c:v>25.97</c:v>
                </c:pt>
                <c:pt idx="1307">
                  <c:v>27.91</c:v>
                </c:pt>
                <c:pt idx="1308">
                  <c:v>28.3</c:v>
                </c:pt>
                <c:pt idx="1309">
                  <c:v>26.45</c:v>
                </c:pt>
                <c:pt idx="1310">
                  <c:v>26.5</c:v>
                </c:pt>
                <c:pt idx="1311">
                  <c:v>25.88</c:v>
                </c:pt>
                <c:pt idx="1312">
                  <c:v>27.58</c:v>
                </c:pt>
                <c:pt idx="1313">
                  <c:v>25.13</c:v>
                </c:pt>
                <c:pt idx="1314">
                  <c:v>24.23</c:v>
                </c:pt>
                <c:pt idx="1315">
                  <c:v>21.99</c:v>
                </c:pt>
                <c:pt idx="1316">
                  <c:v>22.77</c:v>
                </c:pt>
                <c:pt idx="1317">
                  <c:v>23.51</c:v>
                </c:pt>
                <c:pt idx="1318">
                  <c:v>22.22</c:v>
                </c:pt>
                <c:pt idx="1319">
                  <c:v>22.64</c:v>
                </c:pt>
                <c:pt idx="1320">
                  <c:v>21.06</c:v>
                </c:pt>
                <c:pt idx="1321">
                  <c:v>21.69</c:v>
                </c:pt>
                <c:pt idx="1322">
                  <c:v>22.55</c:v>
                </c:pt>
                <c:pt idx="1323">
                  <c:v>22.65</c:v>
                </c:pt>
                <c:pt idx="1324">
                  <c:v>21.65</c:v>
                </c:pt>
                <c:pt idx="1325">
                  <c:v>22.47</c:v>
                </c:pt>
                <c:pt idx="1326">
                  <c:v>21.54</c:v>
                </c:pt>
                <c:pt idx="1327">
                  <c:v>22.56</c:v>
                </c:pt>
                <c:pt idx="1328">
                  <c:v>23.91</c:v>
                </c:pt>
                <c:pt idx="1329">
                  <c:v>22.61</c:v>
                </c:pt>
                <c:pt idx="1330">
                  <c:v>22.58</c:v>
                </c:pt>
                <c:pt idx="1331">
                  <c:v>22.92</c:v>
                </c:pt>
                <c:pt idx="1332">
                  <c:v>23.14</c:v>
                </c:pt>
                <c:pt idx="1333">
                  <c:v>22.85</c:v>
                </c:pt>
                <c:pt idx="1334">
                  <c:v>22.9</c:v>
                </c:pt>
                <c:pt idx="1335">
                  <c:v>23.63</c:v>
                </c:pt>
                <c:pt idx="1336">
                  <c:v>22.52</c:v>
                </c:pt>
                <c:pt idx="1337">
                  <c:v>21.82</c:v>
                </c:pt>
                <c:pt idx="1338">
                  <c:v>21.31</c:v>
                </c:pt>
                <c:pt idx="1339">
                  <c:v>21.58</c:v>
                </c:pt>
                <c:pt idx="1340">
                  <c:v>19.329999999999998</c:v>
                </c:pt>
                <c:pt idx="1341">
                  <c:v>20</c:v>
                </c:pt>
                <c:pt idx="1342">
                  <c:v>17.920000000000002</c:v>
                </c:pt>
                <c:pt idx="1343">
                  <c:v>19.59</c:v>
                </c:pt>
                <c:pt idx="1344">
                  <c:v>20.2</c:v>
                </c:pt>
                <c:pt idx="1345">
                  <c:v>20.43</c:v>
                </c:pt>
                <c:pt idx="1346">
                  <c:v>20.7</c:v>
                </c:pt>
                <c:pt idx="1347">
                  <c:v>21.2</c:v>
                </c:pt>
                <c:pt idx="1348">
                  <c:v>19.7</c:v>
                </c:pt>
                <c:pt idx="1349">
                  <c:v>19.36</c:v>
                </c:pt>
                <c:pt idx="1350">
                  <c:v>19.22</c:v>
                </c:pt>
                <c:pt idx="1351">
                  <c:v>20.52</c:v>
                </c:pt>
                <c:pt idx="1352">
                  <c:v>21.11</c:v>
                </c:pt>
                <c:pt idx="1353">
                  <c:v>20.28</c:v>
                </c:pt>
                <c:pt idx="1354">
                  <c:v>21.2</c:v>
                </c:pt>
                <c:pt idx="1355">
                  <c:v>21.65</c:v>
                </c:pt>
                <c:pt idx="1356">
                  <c:v>21.34</c:v>
                </c:pt>
                <c:pt idx="1357">
                  <c:v>21.66</c:v>
                </c:pt>
                <c:pt idx="1358">
                  <c:v>18.03</c:v>
                </c:pt>
                <c:pt idx="1359">
                  <c:v>18.07</c:v>
                </c:pt>
                <c:pt idx="1360">
                  <c:v>19.329999999999998</c:v>
                </c:pt>
                <c:pt idx="1361">
                  <c:v>18.510000000000002</c:v>
                </c:pt>
                <c:pt idx="1362">
                  <c:v>18.940000000000001</c:v>
                </c:pt>
                <c:pt idx="1363">
                  <c:v>19.440000000000001</c:v>
                </c:pt>
                <c:pt idx="1364">
                  <c:v>19.59</c:v>
                </c:pt>
                <c:pt idx="1365">
                  <c:v>20.329999999999998</c:v>
                </c:pt>
                <c:pt idx="1366">
                  <c:v>21.26</c:v>
                </c:pt>
                <c:pt idx="1367">
                  <c:v>22.19</c:v>
                </c:pt>
                <c:pt idx="1368">
                  <c:v>20.309999999999999</c:v>
                </c:pt>
                <c:pt idx="1369">
                  <c:v>19.149999999999999</c:v>
                </c:pt>
                <c:pt idx="1370">
                  <c:v>19.45</c:v>
                </c:pt>
                <c:pt idx="1371">
                  <c:v>20.25</c:v>
                </c:pt>
                <c:pt idx="1372">
                  <c:v>19.420000000000002</c:v>
                </c:pt>
                <c:pt idx="1373">
                  <c:v>21.17</c:v>
                </c:pt>
                <c:pt idx="1374">
                  <c:v>23.15</c:v>
                </c:pt>
                <c:pt idx="1375">
                  <c:v>23.27</c:v>
                </c:pt>
                <c:pt idx="1376">
                  <c:v>21.19</c:v>
                </c:pt>
                <c:pt idx="1377">
                  <c:v>21.13</c:v>
                </c:pt>
                <c:pt idx="1378">
                  <c:v>19.260000000000002</c:v>
                </c:pt>
                <c:pt idx="1379">
                  <c:v>18.8</c:v>
                </c:pt>
                <c:pt idx="1380">
                  <c:v>17.13</c:v>
                </c:pt>
                <c:pt idx="1381">
                  <c:v>17.97</c:v>
                </c:pt>
                <c:pt idx="1382">
                  <c:v>17.32</c:v>
                </c:pt>
                <c:pt idx="1383">
                  <c:v>17.059999999999999</c:v>
                </c:pt>
                <c:pt idx="1384">
                  <c:v>16.82</c:v>
                </c:pt>
                <c:pt idx="1385">
                  <c:v>17.600000000000001</c:v>
                </c:pt>
                <c:pt idx="1386">
                  <c:v>17.989999999999998</c:v>
                </c:pt>
                <c:pt idx="1387">
                  <c:v>18.03</c:v>
                </c:pt>
                <c:pt idx="1388">
                  <c:v>17.62</c:v>
                </c:pt>
                <c:pt idx="1389">
                  <c:v>16.22</c:v>
                </c:pt>
                <c:pt idx="1390">
                  <c:v>16.2</c:v>
                </c:pt>
                <c:pt idx="1391">
                  <c:v>16.52</c:v>
                </c:pt>
                <c:pt idx="1392">
                  <c:v>15.44</c:v>
                </c:pt>
                <c:pt idx="1393">
                  <c:v>18.260000000000002</c:v>
                </c:pt>
                <c:pt idx="1394">
                  <c:v>17.3</c:v>
                </c:pt>
                <c:pt idx="1395">
                  <c:v>17.489999999999998</c:v>
                </c:pt>
                <c:pt idx="1396">
                  <c:v>17.649999999999999</c:v>
                </c:pt>
                <c:pt idx="1397">
                  <c:v>17.91</c:v>
                </c:pt>
                <c:pt idx="1398">
                  <c:v>17.940000000000001</c:v>
                </c:pt>
                <c:pt idx="1399">
                  <c:v>17.34</c:v>
                </c:pt>
                <c:pt idx="1400">
                  <c:v>17.809999999999999</c:v>
                </c:pt>
                <c:pt idx="1401">
                  <c:v>16.8</c:v>
                </c:pt>
                <c:pt idx="1402">
                  <c:v>17.309999999999999</c:v>
                </c:pt>
                <c:pt idx="1403">
                  <c:v>18.350000000000001</c:v>
                </c:pt>
                <c:pt idx="1404">
                  <c:v>16.61</c:v>
                </c:pt>
                <c:pt idx="1405">
                  <c:v>16.260000000000002</c:v>
                </c:pt>
                <c:pt idx="1406">
                  <c:v>16.510000000000002</c:v>
                </c:pt>
                <c:pt idx="1407">
                  <c:v>16.670000000000002</c:v>
                </c:pt>
                <c:pt idx="1408">
                  <c:v>16.190000000000001</c:v>
                </c:pt>
                <c:pt idx="1409">
                  <c:v>15.89</c:v>
                </c:pt>
                <c:pt idx="1410">
                  <c:v>17.809999999999999</c:v>
                </c:pt>
                <c:pt idx="1411">
                  <c:v>17.03</c:v>
                </c:pt>
                <c:pt idx="1412">
                  <c:v>18.78</c:v>
                </c:pt>
                <c:pt idx="1413">
                  <c:v>18.22</c:v>
                </c:pt>
                <c:pt idx="1414">
                  <c:v>17</c:v>
                </c:pt>
                <c:pt idx="1415">
                  <c:v>16.84</c:v>
                </c:pt>
                <c:pt idx="1416">
                  <c:v>15.94</c:v>
                </c:pt>
                <c:pt idx="1417">
                  <c:v>19.61</c:v>
                </c:pt>
                <c:pt idx="1418">
                  <c:v>18.59</c:v>
                </c:pt>
                <c:pt idx="1419">
                  <c:v>17.82</c:v>
                </c:pt>
                <c:pt idx="1420">
                  <c:v>17.53</c:v>
                </c:pt>
                <c:pt idx="1421">
                  <c:v>16.64</c:v>
                </c:pt>
                <c:pt idx="1422">
                  <c:v>16.14</c:v>
                </c:pt>
                <c:pt idx="1423">
                  <c:v>16.29</c:v>
                </c:pt>
                <c:pt idx="1424">
                  <c:v>16.27</c:v>
                </c:pt>
                <c:pt idx="1425">
                  <c:v>16.739999999999998</c:v>
                </c:pt>
                <c:pt idx="1426">
                  <c:v>16.53</c:v>
                </c:pt>
                <c:pt idx="1427">
                  <c:v>16.07</c:v>
                </c:pt>
                <c:pt idx="1428">
                  <c:v>16.3</c:v>
                </c:pt>
                <c:pt idx="1429">
                  <c:v>16.309999999999999</c:v>
                </c:pt>
                <c:pt idx="1430">
                  <c:v>17.010000000000002</c:v>
                </c:pt>
                <c:pt idx="1431">
                  <c:v>16.59</c:v>
                </c:pt>
                <c:pt idx="1432">
                  <c:v>19.46</c:v>
                </c:pt>
                <c:pt idx="1433">
                  <c:v>20.84</c:v>
                </c:pt>
                <c:pt idx="1434">
                  <c:v>22.28</c:v>
                </c:pt>
                <c:pt idx="1435">
                  <c:v>20.41</c:v>
                </c:pt>
                <c:pt idx="1436">
                  <c:v>19.12</c:v>
                </c:pt>
                <c:pt idx="1437">
                  <c:v>17.63</c:v>
                </c:pt>
                <c:pt idx="1438">
                  <c:v>20.73</c:v>
                </c:pt>
                <c:pt idx="1439">
                  <c:v>19.27</c:v>
                </c:pt>
                <c:pt idx="1440">
                  <c:v>18.559999999999999</c:v>
                </c:pt>
                <c:pt idx="1441">
                  <c:v>19.37</c:v>
                </c:pt>
                <c:pt idx="1442">
                  <c:v>20.58</c:v>
                </c:pt>
                <c:pt idx="1443">
                  <c:v>20.05</c:v>
                </c:pt>
                <c:pt idx="1444">
                  <c:v>21.37</c:v>
                </c:pt>
                <c:pt idx="1445">
                  <c:v>21.72</c:v>
                </c:pt>
                <c:pt idx="1446">
                  <c:v>21.79</c:v>
                </c:pt>
                <c:pt idx="1447">
                  <c:v>25.66</c:v>
                </c:pt>
                <c:pt idx="1448">
                  <c:v>24.65</c:v>
                </c:pt>
                <c:pt idx="1449">
                  <c:v>26.94</c:v>
                </c:pt>
                <c:pt idx="1450">
                  <c:v>23.9</c:v>
                </c:pt>
                <c:pt idx="1451">
                  <c:v>22.1</c:v>
                </c:pt>
                <c:pt idx="1452">
                  <c:v>20.53</c:v>
                </c:pt>
                <c:pt idx="1453">
                  <c:v>20.59</c:v>
                </c:pt>
                <c:pt idx="1454">
                  <c:v>18.45</c:v>
                </c:pt>
                <c:pt idx="1455">
                  <c:v>17.87</c:v>
                </c:pt>
                <c:pt idx="1456">
                  <c:v>18.309999999999999</c:v>
                </c:pt>
                <c:pt idx="1457">
                  <c:v>19.170000000000002</c:v>
                </c:pt>
                <c:pt idx="1458">
                  <c:v>17.82</c:v>
                </c:pt>
                <c:pt idx="1459">
                  <c:v>17.899999999999999</c:v>
                </c:pt>
                <c:pt idx="1460">
                  <c:v>16.68</c:v>
                </c:pt>
                <c:pt idx="1461">
                  <c:v>17.63</c:v>
                </c:pt>
                <c:pt idx="1462">
                  <c:v>17.87</c:v>
                </c:pt>
                <c:pt idx="1463">
                  <c:v>16.75</c:v>
                </c:pt>
                <c:pt idx="1464">
                  <c:v>16.920000000000002</c:v>
                </c:pt>
                <c:pt idx="1465">
                  <c:v>16.510000000000002</c:v>
                </c:pt>
                <c:pt idx="1466">
                  <c:v>16.739999999999998</c:v>
                </c:pt>
                <c:pt idx="1467">
                  <c:v>17.579999999999998</c:v>
                </c:pt>
                <c:pt idx="1468">
                  <c:v>16.329999999999998</c:v>
                </c:pt>
                <c:pt idx="1469">
                  <c:v>17.77</c:v>
                </c:pt>
                <c:pt idx="1470">
                  <c:v>15.97</c:v>
                </c:pt>
                <c:pt idx="1471">
                  <c:v>18.3</c:v>
                </c:pt>
                <c:pt idx="1472">
                  <c:v>16.62</c:v>
                </c:pt>
                <c:pt idx="1473">
                  <c:v>14.31</c:v>
                </c:pt>
                <c:pt idx="1474">
                  <c:v>14.71</c:v>
                </c:pt>
                <c:pt idx="1475">
                  <c:v>15.64</c:v>
                </c:pt>
                <c:pt idx="1476">
                  <c:v>15.36</c:v>
                </c:pt>
                <c:pt idx="1477">
                  <c:v>15.37</c:v>
                </c:pt>
                <c:pt idx="1478">
                  <c:v>15.54</c:v>
                </c:pt>
                <c:pt idx="1479">
                  <c:v>14.56</c:v>
                </c:pt>
                <c:pt idx="1480">
                  <c:v>15.07</c:v>
                </c:pt>
                <c:pt idx="1481">
                  <c:v>16.350000000000001</c:v>
                </c:pt>
                <c:pt idx="1482">
                  <c:v>16.84</c:v>
                </c:pt>
                <c:pt idx="1483">
                  <c:v>17.68</c:v>
                </c:pt>
                <c:pt idx="1484">
                  <c:v>17.170000000000002</c:v>
                </c:pt>
                <c:pt idx="1485">
                  <c:v>18.59</c:v>
                </c:pt>
                <c:pt idx="1486">
                  <c:v>16.84</c:v>
                </c:pt>
                <c:pt idx="1487">
                  <c:v>16.27</c:v>
                </c:pt>
                <c:pt idx="1488">
                  <c:v>17.27</c:v>
                </c:pt>
                <c:pt idx="1489">
                  <c:v>16.02</c:v>
                </c:pt>
                <c:pt idx="1490">
                  <c:v>17.86</c:v>
                </c:pt>
                <c:pt idx="1491">
                  <c:v>18.54</c:v>
                </c:pt>
                <c:pt idx="1492">
                  <c:v>17.559999999999999</c:v>
                </c:pt>
                <c:pt idx="1493">
                  <c:v>15.9</c:v>
                </c:pt>
                <c:pt idx="1494">
                  <c:v>15.88</c:v>
                </c:pt>
                <c:pt idx="1495">
                  <c:v>20.03</c:v>
                </c:pt>
                <c:pt idx="1496">
                  <c:v>18.07</c:v>
                </c:pt>
                <c:pt idx="1497">
                  <c:v>18.260000000000002</c:v>
                </c:pt>
                <c:pt idx="1498">
                  <c:v>17.170000000000002</c:v>
                </c:pt>
                <c:pt idx="1499">
                  <c:v>16.11</c:v>
                </c:pt>
                <c:pt idx="1500">
                  <c:v>15.85</c:v>
                </c:pt>
                <c:pt idx="1501">
                  <c:v>15.95</c:v>
                </c:pt>
                <c:pt idx="1502">
                  <c:v>17.920000000000002</c:v>
                </c:pt>
                <c:pt idx="1503">
                  <c:v>18.23</c:v>
                </c:pt>
                <c:pt idx="1504">
                  <c:v>18.420000000000002</c:v>
                </c:pt>
                <c:pt idx="1505">
                  <c:v>18.13</c:v>
                </c:pt>
                <c:pt idx="1506">
                  <c:v>18.149999999999999</c:v>
                </c:pt>
                <c:pt idx="1507">
                  <c:v>18.2</c:v>
                </c:pt>
                <c:pt idx="1508">
                  <c:v>17.93</c:v>
                </c:pt>
                <c:pt idx="1509">
                  <c:v>19.100000000000001</c:v>
                </c:pt>
                <c:pt idx="1510">
                  <c:v>18.559999999999999</c:v>
                </c:pt>
                <c:pt idx="1511">
                  <c:v>19.309999999999999</c:v>
                </c:pt>
                <c:pt idx="1512">
                  <c:v>21.37</c:v>
                </c:pt>
                <c:pt idx="1513">
                  <c:v>21.56</c:v>
                </c:pt>
                <c:pt idx="1514">
                  <c:v>22.99</c:v>
                </c:pt>
                <c:pt idx="1515">
                  <c:v>19.46</c:v>
                </c:pt>
                <c:pt idx="1516">
                  <c:v>18.86</c:v>
                </c:pt>
                <c:pt idx="1517">
                  <c:v>20.23</c:v>
                </c:pt>
                <c:pt idx="1518">
                  <c:v>19.2</c:v>
                </c:pt>
                <c:pt idx="1519">
                  <c:v>21.6</c:v>
                </c:pt>
                <c:pt idx="1520">
                  <c:v>20.3</c:v>
                </c:pt>
                <c:pt idx="1521">
                  <c:v>18.62</c:v>
                </c:pt>
                <c:pt idx="1522">
                  <c:v>16.670000000000002</c:v>
                </c:pt>
                <c:pt idx="1523">
                  <c:v>16.059999999999999</c:v>
                </c:pt>
                <c:pt idx="1524">
                  <c:v>16.32</c:v>
                </c:pt>
                <c:pt idx="1525">
                  <c:v>16.46</c:v>
                </c:pt>
                <c:pt idx="1526">
                  <c:v>15.3</c:v>
                </c:pt>
                <c:pt idx="1527">
                  <c:v>17.14</c:v>
                </c:pt>
                <c:pt idx="1528">
                  <c:v>17.440000000000001</c:v>
                </c:pt>
                <c:pt idx="1529">
                  <c:v>19.55</c:v>
                </c:pt>
                <c:pt idx="1530">
                  <c:v>19.079999999999998</c:v>
                </c:pt>
                <c:pt idx="1531">
                  <c:v>20.079999999999998</c:v>
                </c:pt>
                <c:pt idx="1532">
                  <c:v>20.25</c:v>
                </c:pt>
                <c:pt idx="1533">
                  <c:v>21.25</c:v>
                </c:pt>
                <c:pt idx="1534">
                  <c:v>20.14</c:v>
                </c:pt>
                <c:pt idx="1535">
                  <c:v>18.809999999999999</c:v>
                </c:pt>
                <c:pt idx="1536">
                  <c:v>18.61</c:v>
                </c:pt>
                <c:pt idx="1537">
                  <c:v>17.22</c:v>
                </c:pt>
                <c:pt idx="1538">
                  <c:v>19.260000000000002</c:v>
                </c:pt>
                <c:pt idx="1539">
                  <c:v>19.75</c:v>
                </c:pt>
                <c:pt idx="1540">
                  <c:v>20.87</c:v>
                </c:pt>
                <c:pt idx="1541">
                  <c:v>22.83</c:v>
                </c:pt>
                <c:pt idx="1542">
                  <c:v>25.28</c:v>
                </c:pt>
                <c:pt idx="1543">
                  <c:v>22.63</c:v>
                </c:pt>
                <c:pt idx="1544">
                  <c:v>24.22</c:v>
                </c:pt>
                <c:pt idx="1545">
                  <c:v>23.58</c:v>
                </c:pt>
                <c:pt idx="1546">
                  <c:v>24.57</c:v>
                </c:pt>
                <c:pt idx="1547">
                  <c:v>28.48</c:v>
                </c:pt>
                <c:pt idx="1548">
                  <c:v>36.9</c:v>
                </c:pt>
                <c:pt idx="1549">
                  <c:v>42.12</c:v>
                </c:pt>
                <c:pt idx="1550">
                  <c:v>39.33</c:v>
                </c:pt>
                <c:pt idx="1551">
                  <c:v>41.94</c:v>
                </c:pt>
                <c:pt idx="1552">
                  <c:v>37.08</c:v>
                </c:pt>
                <c:pt idx="1553">
                  <c:v>34.729999999999997</c:v>
                </c:pt>
                <c:pt idx="1554">
                  <c:v>33.36</c:v>
                </c:pt>
                <c:pt idx="1555">
                  <c:v>32.090000000000003</c:v>
                </c:pt>
                <c:pt idx="1556">
                  <c:v>36.770000000000003</c:v>
                </c:pt>
                <c:pt idx="1557">
                  <c:v>45.34</c:v>
                </c:pt>
                <c:pt idx="1558">
                  <c:v>38.799999999999997</c:v>
                </c:pt>
                <c:pt idx="1559">
                  <c:v>41.89</c:v>
                </c:pt>
                <c:pt idx="1560">
                  <c:v>37.119999999999997</c:v>
                </c:pt>
                <c:pt idx="1561">
                  <c:v>34.43</c:v>
                </c:pt>
                <c:pt idx="1562">
                  <c:v>41.18</c:v>
                </c:pt>
                <c:pt idx="1563">
                  <c:v>33.81</c:v>
                </c:pt>
                <c:pt idx="1564">
                  <c:v>32.97</c:v>
                </c:pt>
                <c:pt idx="1565">
                  <c:v>31.2</c:v>
                </c:pt>
                <c:pt idx="1566">
                  <c:v>31.91</c:v>
                </c:pt>
                <c:pt idx="1567">
                  <c:v>34.29</c:v>
                </c:pt>
                <c:pt idx="1568">
                  <c:v>39.840000000000003</c:v>
                </c:pt>
                <c:pt idx="1569">
                  <c:v>34.24</c:v>
                </c:pt>
                <c:pt idx="1570">
                  <c:v>34.409999999999997</c:v>
                </c:pt>
                <c:pt idx="1571">
                  <c:v>35.53</c:v>
                </c:pt>
                <c:pt idx="1572">
                  <c:v>42.56</c:v>
                </c:pt>
                <c:pt idx="1573">
                  <c:v>38.68</c:v>
                </c:pt>
                <c:pt idx="1574">
                  <c:v>36.590000000000003</c:v>
                </c:pt>
                <c:pt idx="1575">
                  <c:v>33.43</c:v>
                </c:pt>
                <c:pt idx="1576">
                  <c:v>31.81</c:v>
                </c:pt>
                <c:pt idx="1577">
                  <c:v>34.799999999999997</c:v>
                </c:pt>
                <c:pt idx="1578">
                  <c:v>32.42</c:v>
                </c:pt>
                <c:pt idx="1579">
                  <c:v>33</c:v>
                </c:pt>
                <c:pt idx="1580">
                  <c:v>41</c:v>
                </c:pt>
                <c:pt idx="1581">
                  <c:v>42.17</c:v>
                </c:pt>
                <c:pt idx="1582">
                  <c:v>40.99</c:v>
                </c:pt>
                <c:pt idx="1583">
                  <c:v>36.590000000000003</c:v>
                </c:pt>
                <c:pt idx="1584">
                  <c:v>37.700000000000003</c:v>
                </c:pt>
                <c:pt idx="1585">
                  <c:v>38.619999999999997</c:v>
                </c:pt>
                <c:pt idx="1586">
                  <c:v>40.93</c:v>
                </c:pt>
                <c:pt idx="1587">
                  <c:v>44.25</c:v>
                </c:pt>
                <c:pt idx="1588">
                  <c:v>46.18</c:v>
                </c:pt>
                <c:pt idx="1589">
                  <c:v>40.729999999999997</c:v>
                </c:pt>
                <c:pt idx="1590">
                  <c:v>38.24</c:v>
                </c:pt>
                <c:pt idx="1591">
                  <c:v>35.67</c:v>
                </c:pt>
                <c:pt idx="1592">
                  <c:v>35.450000000000003</c:v>
                </c:pt>
                <c:pt idx="1593">
                  <c:v>33.950000000000003</c:v>
                </c:pt>
                <c:pt idx="1594">
                  <c:v>31.57</c:v>
                </c:pt>
                <c:pt idx="1595">
                  <c:v>31.99</c:v>
                </c:pt>
                <c:pt idx="1596">
                  <c:v>29.07</c:v>
                </c:pt>
                <c:pt idx="1597">
                  <c:v>30.35</c:v>
                </c:pt>
                <c:pt idx="1598">
                  <c:v>33.369999999999997</c:v>
                </c:pt>
                <c:pt idx="1599">
                  <c:v>32.92</c:v>
                </c:pt>
                <c:pt idx="1600">
                  <c:v>34.44</c:v>
                </c:pt>
                <c:pt idx="1601">
                  <c:v>32.76</c:v>
                </c:pt>
                <c:pt idx="1602">
                  <c:v>31.67</c:v>
                </c:pt>
                <c:pt idx="1603">
                  <c:v>30.68</c:v>
                </c:pt>
                <c:pt idx="1604">
                  <c:v>30.44</c:v>
                </c:pt>
                <c:pt idx="1605">
                  <c:v>24.72</c:v>
                </c:pt>
                <c:pt idx="1606">
                  <c:v>26.02</c:v>
                </c:pt>
                <c:pt idx="1607">
                  <c:v>27.09</c:v>
                </c:pt>
                <c:pt idx="1608">
                  <c:v>36.03</c:v>
                </c:pt>
                <c:pt idx="1609">
                  <c:v>33.53</c:v>
                </c:pt>
                <c:pt idx="1610">
                  <c:v>31.38</c:v>
                </c:pt>
                <c:pt idx="1611">
                  <c:v>31.46</c:v>
                </c:pt>
                <c:pt idx="1612">
                  <c:v>31.4</c:v>
                </c:pt>
                <c:pt idx="1613">
                  <c:v>29.34</c:v>
                </c:pt>
                <c:pt idx="1614">
                  <c:v>31.32</c:v>
                </c:pt>
                <c:pt idx="1615">
                  <c:v>33.090000000000003</c:v>
                </c:pt>
                <c:pt idx="1616">
                  <c:v>29.91</c:v>
                </c:pt>
                <c:pt idx="1617">
                  <c:v>31.42</c:v>
                </c:pt>
                <c:pt idx="1618">
                  <c:v>31.74</c:v>
                </c:pt>
                <c:pt idx="1619">
                  <c:v>32.659999999999997</c:v>
                </c:pt>
                <c:pt idx="1620">
                  <c:v>33.15</c:v>
                </c:pt>
                <c:pt idx="1621">
                  <c:v>33.159999999999997</c:v>
                </c:pt>
                <c:pt idx="1622">
                  <c:v>34.590000000000003</c:v>
                </c:pt>
                <c:pt idx="1623">
                  <c:v>33.119999999999997</c:v>
                </c:pt>
                <c:pt idx="1624">
                  <c:v>32.909999999999997</c:v>
                </c:pt>
                <c:pt idx="1625">
                  <c:v>34.61</c:v>
                </c:pt>
                <c:pt idx="1626">
                  <c:v>31.93</c:v>
                </c:pt>
                <c:pt idx="1627">
                  <c:v>31.76</c:v>
                </c:pt>
                <c:pt idx="1628">
                  <c:v>27.72</c:v>
                </c:pt>
                <c:pt idx="1629">
                  <c:v>27.63</c:v>
                </c:pt>
                <c:pt idx="1630">
                  <c:v>26.26</c:v>
                </c:pt>
                <c:pt idx="1631">
                  <c:v>26.74</c:v>
                </c:pt>
                <c:pt idx="1632">
                  <c:v>27.91</c:v>
                </c:pt>
                <c:pt idx="1633">
                  <c:v>28.61</c:v>
                </c:pt>
                <c:pt idx="1634">
                  <c:v>29.63</c:v>
                </c:pt>
                <c:pt idx="1635">
                  <c:v>29.61</c:v>
                </c:pt>
                <c:pt idx="1636">
                  <c:v>26.78</c:v>
                </c:pt>
                <c:pt idx="1637">
                  <c:v>24.72</c:v>
                </c:pt>
                <c:pt idx="1638">
                  <c:v>26.16</c:v>
                </c:pt>
                <c:pt idx="1639">
                  <c:v>24.38</c:v>
                </c:pt>
                <c:pt idx="1640">
                  <c:v>24.16</c:v>
                </c:pt>
                <c:pt idx="1641">
                  <c:v>25.14</c:v>
                </c:pt>
                <c:pt idx="1642">
                  <c:v>23.56</c:v>
                </c:pt>
                <c:pt idx="1643">
                  <c:v>22.52</c:v>
                </c:pt>
                <c:pt idx="1644">
                  <c:v>21.08</c:v>
                </c:pt>
                <c:pt idx="1645">
                  <c:v>21.1</c:v>
                </c:pt>
                <c:pt idx="1646">
                  <c:v>22.58</c:v>
                </c:pt>
                <c:pt idx="1647">
                  <c:v>22.12</c:v>
                </c:pt>
                <c:pt idx="1648">
                  <c:v>23.52</c:v>
                </c:pt>
                <c:pt idx="1649">
                  <c:v>22.86</c:v>
                </c:pt>
                <c:pt idx="1650">
                  <c:v>22.95</c:v>
                </c:pt>
                <c:pt idx="1651">
                  <c:v>23.44</c:v>
                </c:pt>
                <c:pt idx="1652">
                  <c:v>22.75</c:v>
                </c:pt>
                <c:pt idx="1653">
                  <c:v>21.24</c:v>
                </c:pt>
                <c:pt idx="1654">
                  <c:v>21.67</c:v>
                </c:pt>
                <c:pt idx="1655">
                  <c:v>20.14</c:v>
                </c:pt>
                <c:pt idx="1656">
                  <c:v>21.18</c:v>
                </c:pt>
                <c:pt idx="1657">
                  <c:v>21.01</c:v>
                </c:pt>
                <c:pt idx="1658">
                  <c:v>21.41</c:v>
                </c:pt>
                <c:pt idx="1659">
                  <c:v>20.9</c:v>
                </c:pt>
                <c:pt idx="1660">
                  <c:v>23.2</c:v>
                </c:pt>
                <c:pt idx="1661">
                  <c:v>20.49</c:v>
                </c:pt>
                <c:pt idx="1662">
                  <c:v>19.91</c:v>
                </c:pt>
                <c:pt idx="1663">
                  <c:v>19.22</c:v>
                </c:pt>
                <c:pt idx="1664">
                  <c:v>19.760000000000002</c:v>
                </c:pt>
                <c:pt idx="1665">
                  <c:v>19.350000000000001</c:v>
                </c:pt>
                <c:pt idx="1666">
                  <c:v>17.96</c:v>
                </c:pt>
                <c:pt idx="1667">
                  <c:v>19.16</c:v>
                </c:pt>
                <c:pt idx="1668">
                  <c:v>20.329999999999998</c:v>
                </c:pt>
                <c:pt idx="1669">
                  <c:v>19.07</c:v>
                </c:pt>
                <c:pt idx="1670">
                  <c:v>18.68</c:v>
                </c:pt>
                <c:pt idx="1671">
                  <c:v>18.38</c:v>
                </c:pt>
                <c:pt idx="1672">
                  <c:v>16.84</c:v>
                </c:pt>
                <c:pt idx="1673">
                  <c:v>17.98</c:v>
                </c:pt>
                <c:pt idx="1674">
                  <c:v>17.93</c:v>
                </c:pt>
                <c:pt idx="1675">
                  <c:v>17.79</c:v>
                </c:pt>
                <c:pt idx="1676">
                  <c:v>18.12</c:v>
                </c:pt>
                <c:pt idx="1677">
                  <c:v>20.100000000000001</c:v>
                </c:pt>
                <c:pt idx="1678">
                  <c:v>19.64</c:v>
                </c:pt>
                <c:pt idx="1679">
                  <c:v>19.45</c:v>
                </c:pt>
                <c:pt idx="1680">
                  <c:v>19.739999999999998</c:v>
                </c:pt>
                <c:pt idx="1681">
                  <c:v>21.59</c:v>
                </c:pt>
                <c:pt idx="1682">
                  <c:v>18.73</c:v>
                </c:pt>
                <c:pt idx="1683">
                  <c:v>18.41</c:v>
                </c:pt>
                <c:pt idx="1684">
                  <c:v>18.850000000000001</c:v>
                </c:pt>
                <c:pt idx="1685">
                  <c:v>18.73</c:v>
                </c:pt>
                <c:pt idx="1686">
                  <c:v>16.68</c:v>
                </c:pt>
                <c:pt idx="1687">
                  <c:v>19.100000000000001</c:v>
                </c:pt>
                <c:pt idx="1688">
                  <c:v>18.670000000000002</c:v>
                </c:pt>
                <c:pt idx="1689">
                  <c:v>17.8</c:v>
                </c:pt>
                <c:pt idx="1690">
                  <c:v>18.02</c:v>
                </c:pt>
                <c:pt idx="1691">
                  <c:v>17.649999999999999</c:v>
                </c:pt>
                <c:pt idx="1692">
                  <c:v>18.27</c:v>
                </c:pt>
                <c:pt idx="1693">
                  <c:v>20.57</c:v>
                </c:pt>
                <c:pt idx="1694">
                  <c:v>20.43</c:v>
                </c:pt>
                <c:pt idx="1695">
                  <c:v>18.079999999999998</c:v>
                </c:pt>
                <c:pt idx="1696">
                  <c:v>17.16</c:v>
                </c:pt>
                <c:pt idx="1697">
                  <c:v>15.79</c:v>
                </c:pt>
                <c:pt idx="1698">
                  <c:v>14</c:v>
                </c:pt>
                <c:pt idx="1699">
                  <c:v>14.42</c:v>
                </c:pt>
                <c:pt idx="1700">
                  <c:v>15.32</c:v>
                </c:pt>
                <c:pt idx="1701">
                  <c:v>14.43</c:v>
                </c:pt>
                <c:pt idx="1702">
                  <c:v>15.42</c:v>
                </c:pt>
                <c:pt idx="1703">
                  <c:v>15.82</c:v>
                </c:pt>
                <c:pt idx="1704">
                  <c:v>14.72</c:v>
                </c:pt>
                <c:pt idx="1705">
                  <c:v>16.04</c:v>
                </c:pt>
                <c:pt idx="1706">
                  <c:v>15.65</c:v>
                </c:pt>
                <c:pt idx="1707">
                  <c:v>14.51</c:v>
                </c:pt>
                <c:pt idx="1708">
                  <c:v>14.52</c:v>
                </c:pt>
                <c:pt idx="1709">
                  <c:v>15.58</c:v>
                </c:pt>
                <c:pt idx="1710">
                  <c:v>16.84</c:v>
                </c:pt>
                <c:pt idx="1711">
                  <c:v>14.88</c:v>
                </c:pt>
                <c:pt idx="1712">
                  <c:v>16.350000000000001</c:v>
                </c:pt>
                <c:pt idx="1713">
                  <c:v>15.61</c:v>
                </c:pt>
                <c:pt idx="1714">
                  <c:v>17.07</c:v>
                </c:pt>
                <c:pt idx="1715">
                  <c:v>17.02</c:v>
                </c:pt>
                <c:pt idx="1716">
                  <c:v>18.940000000000001</c:v>
                </c:pt>
                <c:pt idx="1717">
                  <c:v>19.100000000000001</c:v>
                </c:pt>
                <c:pt idx="1718">
                  <c:v>19.22</c:v>
                </c:pt>
                <c:pt idx="1719">
                  <c:v>19.63</c:v>
                </c:pt>
                <c:pt idx="1720">
                  <c:v>17.95</c:v>
                </c:pt>
                <c:pt idx="1721">
                  <c:v>18.87</c:v>
                </c:pt>
                <c:pt idx="1722">
                  <c:v>18.66</c:v>
                </c:pt>
                <c:pt idx="1723">
                  <c:v>19.02</c:v>
                </c:pt>
                <c:pt idx="1724">
                  <c:v>18.510000000000002</c:v>
                </c:pt>
                <c:pt idx="1725">
                  <c:v>17.920000000000002</c:v>
                </c:pt>
                <c:pt idx="1726">
                  <c:v>20.22</c:v>
                </c:pt>
                <c:pt idx="1727">
                  <c:v>19.22</c:v>
                </c:pt>
                <c:pt idx="1728">
                  <c:v>17.05</c:v>
                </c:pt>
                <c:pt idx="1729">
                  <c:v>16.97</c:v>
                </c:pt>
                <c:pt idx="1730">
                  <c:v>15.83</c:v>
                </c:pt>
                <c:pt idx="1731">
                  <c:v>17.04</c:v>
                </c:pt>
                <c:pt idx="1732">
                  <c:v>17.27</c:v>
                </c:pt>
                <c:pt idx="1733">
                  <c:v>17.25</c:v>
                </c:pt>
                <c:pt idx="1734">
                  <c:v>16.899999999999999</c:v>
                </c:pt>
                <c:pt idx="1735">
                  <c:v>18.03</c:v>
                </c:pt>
                <c:pt idx="1736">
                  <c:v>19.8</c:v>
                </c:pt>
                <c:pt idx="1737">
                  <c:v>19.440000000000001</c:v>
                </c:pt>
                <c:pt idx="1738">
                  <c:v>20.65</c:v>
                </c:pt>
                <c:pt idx="1739">
                  <c:v>19.25</c:v>
                </c:pt>
                <c:pt idx="1740">
                  <c:v>19.93</c:v>
                </c:pt>
                <c:pt idx="1741">
                  <c:v>21.47</c:v>
                </c:pt>
                <c:pt idx="1742">
                  <c:v>21.43</c:v>
                </c:pt>
                <c:pt idx="1743">
                  <c:v>21.54</c:v>
                </c:pt>
                <c:pt idx="1744">
                  <c:v>21.99</c:v>
                </c:pt>
                <c:pt idx="1745">
                  <c:v>23.27</c:v>
                </c:pt>
                <c:pt idx="1746">
                  <c:v>24.88</c:v>
                </c:pt>
                <c:pt idx="1747">
                  <c:v>21.76</c:v>
                </c:pt>
                <c:pt idx="1748">
                  <c:v>23.32</c:v>
                </c:pt>
                <c:pt idx="1749">
                  <c:v>22</c:v>
                </c:pt>
                <c:pt idx="1750">
                  <c:v>22.05</c:v>
                </c:pt>
                <c:pt idx="1751">
                  <c:v>21.7</c:v>
                </c:pt>
                <c:pt idx="1752">
                  <c:v>22.68</c:v>
                </c:pt>
                <c:pt idx="1753">
                  <c:v>23.83</c:v>
                </c:pt>
                <c:pt idx="1754">
                  <c:v>25.87</c:v>
                </c:pt>
                <c:pt idx="1755">
                  <c:v>26.35</c:v>
                </c:pt>
                <c:pt idx="1756">
                  <c:v>25.9</c:v>
                </c:pt>
                <c:pt idx="1757">
                  <c:v>23.76</c:v>
                </c:pt>
                <c:pt idx="1758">
                  <c:v>21</c:v>
                </c:pt>
                <c:pt idx="1759">
                  <c:v>22.54</c:v>
                </c:pt>
                <c:pt idx="1760">
                  <c:v>19.87</c:v>
                </c:pt>
                <c:pt idx="1761">
                  <c:v>23.15</c:v>
                </c:pt>
                <c:pt idx="1762">
                  <c:v>22.93</c:v>
                </c:pt>
                <c:pt idx="1763">
                  <c:v>24.19</c:v>
                </c:pt>
                <c:pt idx="1764">
                  <c:v>22.47</c:v>
                </c:pt>
                <c:pt idx="1765">
                  <c:v>21.76</c:v>
                </c:pt>
                <c:pt idx="1766">
                  <c:v>17.66</c:v>
                </c:pt>
                <c:pt idx="1767">
                  <c:v>17.96</c:v>
                </c:pt>
                <c:pt idx="1768">
                  <c:v>16.89</c:v>
                </c:pt>
                <c:pt idx="1769">
                  <c:v>18.649999999999999</c:v>
                </c:pt>
                <c:pt idx="1770">
                  <c:v>20.47</c:v>
                </c:pt>
                <c:pt idx="1771">
                  <c:v>20.010000000000002</c:v>
                </c:pt>
                <c:pt idx="1772">
                  <c:v>19.55</c:v>
                </c:pt>
                <c:pt idx="1773">
                  <c:v>20.329999999999998</c:v>
                </c:pt>
                <c:pt idx="1774">
                  <c:v>17.52</c:v>
                </c:pt>
                <c:pt idx="1775">
                  <c:v>17.62</c:v>
                </c:pt>
                <c:pt idx="1776">
                  <c:v>16.670000000000002</c:v>
                </c:pt>
                <c:pt idx="1777">
                  <c:v>17.61</c:v>
                </c:pt>
                <c:pt idx="1778">
                  <c:v>18.2</c:v>
                </c:pt>
                <c:pt idx="1779">
                  <c:v>18.170000000000002</c:v>
                </c:pt>
                <c:pt idx="1780">
                  <c:v>17.510000000000002</c:v>
                </c:pt>
                <c:pt idx="1781">
                  <c:v>17.98</c:v>
                </c:pt>
                <c:pt idx="1782">
                  <c:v>18.82</c:v>
                </c:pt>
                <c:pt idx="1783">
                  <c:v>17.78</c:v>
                </c:pt>
                <c:pt idx="1784">
                  <c:v>17.309999999999999</c:v>
                </c:pt>
                <c:pt idx="1785">
                  <c:v>16.72</c:v>
                </c:pt>
                <c:pt idx="1786">
                  <c:v>16.809999999999999</c:v>
                </c:pt>
                <c:pt idx="1787">
                  <c:v>16.059999999999999</c:v>
                </c:pt>
                <c:pt idx="1788">
                  <c:v>16.649999999999999</c:v>
                </c:pt>
                <c:pt idx="1789">
                  <c:v>20.41</c:v>
                </c:pt>
                <c:pt idx="1790">
                  <c:v>18.38</c:v>
                </c:pt>
                <c:pt idx="1791">
                  <c:v>19.79</c:v>
                </c:pt>
                <c:pt idx="1792">
                  <c:v>17.68</c:v>
                </c:pt>
                <c:pt idx="1793">
                  <c:v>17.11</c:v>
                </c:pt>
                <c:pt idx="1794">
                  <c:v>17.55</c:v>
                </c:pt>
                <c:pt idx="1795">
                  <c:v>18.399999999999999</c:v>
                </c:pt>
                <c:pt idx="1796">
                  <c:v>18.8</c:v>
                </c:pt>
                <c:pt idx="1797">
                  <c:v>19.05</c:v>
                </c:pt>
                <c:pt idx="1798">
                  <c:v>16.05</c:v>
                </c:pt>
                <c:pt idx="1799">
                  <c:v>15.85</c:v>
                </c:pt>
                <c:pt idx="1800">
                  <c:v>15.55</c:v>
                </c:pt>
                <c:pt idx="1801">
                  <c:v>16.46</c:v>
                </c:pt>
                <c:pt idx="1802">
                  <c:v>15.39</c:v>
                </c:pt>
                <c:pt idx="1803">
                  <c:v>15.34</c:v>
                </c:pt>
                <c:pt idx="1804">
                  <c:v>14.09</c:v>
                </c:pt>
                <c:pt idx="1805">
                  <c:v>13.91</c:v>
                </c:pt>
                <c:pt idx="1806">
                  <c:v>14.82</c:v>
                </c:pt>
                <c:pt idx="1807">
                  <c:v>14.88</c:v>
                </c:pt>
                <c:pt idx="1808">
                  <c:v>14.23</c:v>
                </c:pt>
                <c:pt idx="1809">
                  <c:v>14.11</c:v>
                </c:pt>
                <c:pt idx="1810">
                  <c:v>14.1</c:v>
                </c:pt>
                <c:pt idx="1811">
                  <c:v>15.32</c:v>
                </c:pt>
                <c:pt idx="1812">
                  <c:v>15</c:v>
                </c:pt>
                <c:pt idx="1813">
                  <c:v>15.99</c:v>
                </c:pt>
                <c:pt idx="1814">
                  <c:v>16.149999999999999</c:v>
                </c:pt>
                <c:pt idx="1815">
                  <c:v>16.32</c:v>
                </c:pt>
                <c:pt idx="1816">
                  <c:v>16.61</c:v>
                </c:pt>
                <c:pt idx="1817">
                  <c:v>17.48</c:v>
                </c:pt>
                <c:pt idx="1818">
                  <c:v>17.25</c:v>
                </c:pt>
                <c:pt idx="1819">
                  <c:v>18.649999999999999</c:v>
                </c:pt>
                <c:pt idx="1820">
                  <c:v>17.38</c:v>
                </c:pt>
                <c:pt idx="1821">
                  <c:v>17.3</c:v>
                </c:pt>
                <c:pt idx="1822">
                  <c:v>15.6</c:v>
                </c:pt>
                <c:pt idx="1823">
                  <c:v>14.27</c:v>
                </c:pt>
                <c:pt idx="1824">
                  <c:v>16.11</c:v>
                </c:pt>
                <c:pt idx="1825">
                  <c:v>15.59</c:v>
                </c:pt>
                <c:pt idx="1826">
                  <c:v>15.6</c:v>
                </c:pt>
                <c:pt idx="1827">
                  <c:v>13.82</c:v>
                </c:pt>
                <c:pt idx="1828">
                  <c:v>14.67</c:v>
                </c:pt>
                <c:pt idx="1829">
                  <c:v>14.51</c:v>
                </c:pt>
                <c:pt idx="1830">
                  <c:v>13.95</c:v>
                </c:pt>
                <c:pt idx="1831">
                  <c:v>14.63</c:v>
                </c:pt>
                <c:pt idx="1832">
                  <c:v>13.94</c:v>
                </c:pt>
                <c:pt idx="1833">
                  <c:v>15.06</c:v>
                </c:pt>
                <c:pt idx="1834">
                  <c:v>14.19</c:v>
                </c:pt>
                <c:pt idx="1835">
                  <c:v>15.83</c:v>
                </c:pt>
                <c:pt idx="1836">
                  <c:v>16.38</c:v>
                </c:pt>
                <c:pt idx="1837">
                  <c:v>15.23</c:v>
                </c:pt>
                <c:pt idx="1838">
                  <c:v>16.03</c:v>
                </c:pt>
                <c:pt idx="1839">
                  <c:v>15.85</c:v>
                </c:pt>
                <c:pt idx="1840">
                  <c:v>15.63</c:v>
                </c:pt>
                <c:pt idx="1841">
                  <c:v>15.23</c:v>
                </c:pt>
                <c:pt idx="1842">
                  <c:v>13.68</c:v>
                </c:pt>
                <c:pt idx="1843">
                  <c:v>15.19</c:v>
                </c:pt>
                <c:pt idx="1844">
                  <c:v>15.28</c:v>
                </c:pt>
                <c:pt idx="1845">
                  <c:v>16.52</c:v>
                </c:pt>
                <c:pt idx="1846">
                  <c:v>15.33</c:v>
                </c:pt>
                <c:pt idx="1847">
                  <c:v>15.41</c:v>
                </c:pt>
                <c:pt idx="1848">
                  <c:v>16.05</c:v>
                </c:pt>
                <c:pt idx="1849">
                  <c:v>14.84</c:v>
                </c:pt>
                <c:pt idx="1850">
                  <c:v>15.43</c:v>
                </c:pt>
                <c:pt idx="1851">
                  <c:v>15.25</c:v>
                </c:pt>
                <c:pt idx="1852">
                  <c:v>14.91</c:v>
                </c:pt>
                <c:pt idx="1853">
                  <c:v>17.440000000000001</c:v>
                </c:pt>
                <c:pt idx="1854">
                  <c:v>18.23</c:v>
                </c:pt>
                <c:pt idx="1855">
                  <c:v>18.22</c:v>
                </c:pt>
                <c:pt idx="1856">
                  <c:v>17.559999999999999</c:v>
                </c:pt>
                <c:pt idx="1857">
                  <c:v>18.03</c:v>
                </c:pt>
                <c:pt idx="1858">
                  <c:v>17.68</c:v>
                </c:pt>
                <c:pt idx="1859">
                  <c:v>17.77</c:v>
                </c:pt>
                <c:pt idx="1860">
                  <c:v>16.059999999999999</c:v>
                </c:pt>
                <c:pt idx="1861">
                  <c:v>18.329999999999998</c:v>
                </c:pt>
                <c:pt idx="1862">
                  <c:v>18.16</c:v>
                </c:pt>
                <c:pt idx="1863">
                  <c:v>17.72</c:v>
                </c:pt>
                <c:pt idx="1864">
                  <c:v>18.690000000000001</c:v>
                </c:pt>
                <c:pt idx="1865">
                  <c:v>18.8</c:v>
                </c:pt>
                <c:pt idx="1866">
                  <c:v>18.149999999999999</c:v>
                </c:pt>
                <c:pt idx="1867">
                  <c:v>17.36</c:v>
                </c:pt>
                <c:pt idx="1868">
                  <c:v>16.32</c:v>
                </c:pt>
                <c:pt idx="1869">
                  <c:v>17.739999999999998</c:v>
                </c:pt>
                <c:pt idx="1870">
                  <c:v>17.649999999999999</c:v>
                </c:pt>
                <c:pt idx="1871">
                  <c:v>15.88</c:v>
                </c:pt>
                <c:pt idx="1872">
                  <c:v>15.11</c:v>
                </c:pt>
                <c:pt idx="1873">
                  <c:v>14.96</c:v>
                </c:pt>
                <c:pt idx="1874">
                  <c:v>15</c:v>
                </c:pt>
                <c:pt idx="1875">
                  <c:v>15.63</c:v>
                </c:pt>
                <c:pt idx="1876">
                  <c:v>15.3</c:v>
                </c:pt>
                <c:pt idx="1877">
                  <c:v>16.43</c:v>
                </c:pt>
                <c:pt idx="1878">
                  <c:v>15.21</c:v>
                </c:pt>
                <c:pt idx="1879">
                  <c:v>15.26</c:v>
                </c:pt>
                <c:pt idx="1880">
                  <c:v>15.81</c:v>
                </c:pt>
                <c:pt idx="1881">
                  <c:v>16.66</c:v>
                </c:pt>
                <c:pt idx="1882">
                  <c:v>16.95</c:v>
                </c:pt>
                <c:pt idx="1883">
                  <c:v>16.59</c:v>
                </c:pt>
                <c:pt idx="1884">
                  <c:v>16.12</c:v>
                </c:pt>
                <c:pt idx="1885">
                  <c:v>16.47</c:v>
                </c:pt>
                <c:pt idx="1886">
                  <c:v>15.94</c:v>
                </c:pt>
                <c:pt idx="1887">
                  <c:v>15.6</c:v>
                </c:pt>
                <c:pt idx="1888">
                  <c:v>15.87</c:v>
                </c:pt>
                <c:pt idx="1889">
                  <c:v>16.68</c:v>
                </c:pt>
                <c:pt idx="1890">
                  <c:v>17.2</c:v>
                </c:pt>
                <c:pt idx="1891">
                  <c:v>16.39</c:v>
                </c:pt>
                <c:pt idx="1892">
                  <c:v>16.05</c:v>
                </c:pt>
                <c:pt idx="1893">
                  <c:v>17.260000000000002</c:v>
                </c:pt>
                <c:pt idx="1894">
                  <c:v>19.850000000000001</c:v>
                </c:pt>
                <c:pt idx="1895">
                  <c:v>18.46</c:v>
                </c:pt>
                <c:pt idx="1896">
                  <c:v>18.71</c:v>
                </c:pt>
                <c:pt idx="1897">
                  <c:v>19.39</c:v>
                </c:pt>
                <c:pt idx="1898">
                  <c:v>20.32</c:v>
                </c:pt>
                <c:pt idx="1899">
                  <c:v>22.14</c:v>
                </c:pt>
                <c:pt idx="1900">
                  <c:v>15.24</c:v>
                </c:pt>
                <c:pt idx="1901">
                  <c:v>14.77</c:v>
                </c:pt>
                <c:pt idx="1902">
                  <c:v>14.23</c:v>
                </c:pt>
                <c:pt idx="1903">
                  <c:v>14.53</c:v>
                </c:pt>
                <c:pt idx="1904">
                  <c:v>13.88</c:v>
                </c:pt>
                <c:pt idx="1905">
                  <c:v>13.32</c:v>
                </c:pt>
                <c:pt idx="1906">
                  <c:v>13.33</c:v>
                </c:pt>
                <c:pt idx="1907">
                  <c:v>13.55</c:v>
                </c:pt>
                <c:pt idx="1908">
                  <c:v>13.66</c:v>
                </c:pt>
                <c:pt idx="1909">
                  <c:v>13.97</c:v>
                </c:pt>
                <c:pt idx="1910">
                  <c:v>13.7</c:v>
                </c:pt>
                <c:pt idx="1911">
                  <c:v>13.45</c:v>
                </c:pt>
                <c:pt idx="1912">
                  <c:v>13.52</c:v>
                </c:pt>
                <c:pt idx="1913">
                  <c:v>13.28</c:v>
                </c:pt>
                <c:pt idx="1914">
                  <c:v>12.67</c:v>
                </c:pt>
                <c:pt idx="1915">
                  <c:v>12.73</c:v>
                </c:pt>
                <c:pt idx="1916">
                  <c:v>12.63</c:v>
                </c:pt>
                <c:pt idx="1917">
                  <c:v>13.29</c:v>
                </c:pt>
                <c:pt idx="1918">
                  <c:v>13.87</c:v>
                </c:pt>
                <c:pt idx="1919">
                  <c:v>13.64</c:v>
                </c:pt>
                <c:pt idx="1920">
                  <c:v>14.43</c:v>
                </c:pt>
                <c:pt idx="1921">
                  <c:v>13.37</c:v>
                </c:pt>
                <c:pt idx="1922">
                  <c:v>14</c:v>
                </c:pt>
                <c:pt idx="1923">
                  <c:v>14.21</c:v>
                </c:pt>
                <c:pt idx="1924">
                  <c:v>14.06</c:v>
                </c:pt>
                <c:pt idx="1925">
                  <c:v>13.47</c:v>
                </c:pt>
                <c:pt idx="1926">
                  <c:v>13.2</c:v>
                </c:pt>
                <c:pt idx="1927">
                  <c:v>13.37</c:v>
                </c:pt>
                <c:pt idx="1928">
                  <c:v>12.82</c:v>
                </c:pt>
                <c:pt idx="1929">
                  <c:v>12.88</c:v>
                </c:pt>
                <c:pt idx="1930">
                  <c:v>13.3</c:v>
                </c:pt>
                <c:pt idx="1931">
                  <c:v>12.47</c:v>
                </c:pt>
                <c:pt idx="1932">
                  <c:v>12.81</c:v>
                </c:pt>
                <c:pt idx="1933">
                  <c:v>12.32</c:v>
                </c:pt>
                <c:pt idx="1934">
                  <c:v>14.68</c:v>
                </c:pt>
                <c:pt idx="1935">
                  <c:v>14.6</c:v>
                </c:pt>
                <c:pt idx="1936">
                  <c:v>13.69</c:v>
                </c:pt>
                <c:pt idx="1937">
                  <c:v>17.5</c:v>
                </c:pt>
                <c:pt idx="1938">
                  <c:v>16.57</c:v>
                </c:pt>
                <c:pt idx="1939">
                  <c:v>15</c:v>
                </c:pt>
                <c:pt idx="1940">
                  <c:v>16.100000000000001</c:v>
                </c:pt>
                <c:pt idx="1941">
                  <c:v>16.16</c:v>
                </c:pt>
                <c:pt idx="1942">
                  <c:v>13.44</c:v>
                </c:pt>
                <c:pt idx="1943">
                  <c:v>13.18</c:v>
                </c:pt>
                <c:pt idx="1944">
                  <c:v>13.45</c:v>
                </c:pt>
                <c:pt idx="1945">
                  <c:v>12.67</c:v>
                </c:pt>
                <c:pt idx="1946">
                  <c:v>12.31</c:v>
                </c:pt>
                <c:pt idx="1947">
                  <c:v>11.79</c:v>
                </c:pt>
                <c:pt idx="1948">
                  <c:v>12.18</c:v>
                </c:pt>
                <c:pt idx="1949">
                  <c:v>11.7</c:v>
                </c:pt>
                <c:pt idx="1950">
                  <c:v>11.52</c:v>
                </c:pt>
                <c:pt idx="1951">
                  <c:v>13.47</c:v>
                </c:pt>
                <c:pt idx="1952">
                  <c:v>13.03</c:v>
                </c:pt>
                <c:pt idx="1953">
                  <c:v>13.18</c:v>
                </c:pt>
                <c:pt idx="1954">
                  <c:v>13.07</c:v>
                </c:pt>
                <c:pt idx="1955">
                  <c:v>13.34</c:v>
                </c:pt>
                <c:pt idx="1956">
                  <c:v>12.85</c:v>
                </c:pt>
                <c:pt idx="1957">
                  <c:v>12.95</c:v>
                </c:pt>
                <c:pt idx="1958">
                  <c:v>13.72</c:v>
                </c:pt>
                <c:pt idx="1959">
                  <c:v>12.91</c:v>
                </c:pt>
                <c:pt idx="1960">
                  <c:v>13.46</c:v>
                </c:pt>
                <c:pt idx="1961">
                  <c:v>13.11</c:v>
                </c:pt>
                <c:pt idx="1962">
                  <c:v>12.65</c:v>
                </c:pt>
                <c:pt idx="1963">
                  <c:v>14.1</c:v>
                </c:pt>
                <c:pt idx="1964">
                  <c:v>15.64</c:v>
                </c:pt>
                <c:pt idx="1965">
                  <c:v>14.04</c:v>
                </c:pt>
                <c:pt idx="1966">
                  <c:v>13.11</c:v>
                </c:pt>
                <c:pt idx="1967">
                  <c:v>12.66</c:v>
                </c:pt>
                <c:pt idx="1968">
                  <c:v>12.55</c:v>
                </c:pt>
                <c:pt idx="1969">
                  <c:v>12.61</c:v>
                </c:pt>
                <c:pt idx="1970">
                  <c:v>13.12</c:v>
                </c:pt>
                <c:pt idx="1971">
                  <c:v>14.72</c:v>
                </c:pt>
                <c:pt idx="1972">
                  <c:v>15.35</c:v>
                </c:pt>
                <c:pt idx="1973">
                  <c:v>16.34</c:v>
                </c:pt>
                <c:pt idx="1974">
                  <c:v>16.670000000000002</c:v>
                </c:pt>
                <c:pt idx="1975">
                  <c:v>15.08</c:v>
                </c:pt>
                <c:pt idx="1976">
                  <c:v>13.81</c:v>
                </c:pt>
                <c:pt idx="1977">
                  <c:v>13.57</c:v>
                </c:pt>
                <c:pt idx="1978">
                  <c:v>13.61</c:v>
                </c:pt>
                <c:pt idx="1979">
                  <c:v>13.94</c:v>
                </c:pt>
                <c:pt idx="1980">
                  <c:v>13.72</c:v>
                </c:pt>
                <c:pt idx="1981">
                  <c:v>13.71</c:v>
                </c:pt>
                <c:pt idx="1982">
                  <c:v>13.88</c:v>
                </c:pt>
                <c:pt idx="1983">
                  <c:v>14.48</c:v>
                </c:pt>
                <c:pt idx="1984">
                  <c:v>12.92</c:v>
                </c:pt>
                <c:pt idx="1985">
                  <c:v>13.06</c:v>
                </c:pt>
                <c:pt idx="1986">
                  <c:v>12.63</c:v>
                </c:pt>
                <c:pt idx="1987">
                  <c:v>12.87</c:v>
                </c:pt>
                <c:pt idx="1988">
                  <c:v>12.91</c:v>
                </c:pt>
                <c:pt idx="1989">
                  <c:v>13.08</c:v>
                </c:pt>
                <c:pt idx="1990">
                  <c:v>12.57</c:v>
                </c:pt>
                <c:pt idx="1991">
                  <c:v>12.61</c:v>
                </c:pt>
                <c:pt idx="1992">
                  <c:v>12.98</c:v>
                </c:pt>
                <c:pt idx="1993">
                  <c:v>13.07</c:v>
                </c:pt>
                <c:pt idx="1994">
                  <c:v>12.73</c:v>
                </c:pt>
                <c:pt idx="1995">
                  <c:v>13.28</c:v>
                </c:pt>
                <c:pt idx="1996">
                  <c:v>13.08</c:v>
                </c:pt>
                <c:pt idx="1997">
                  <c:v>13.45</c:v>
                </c:pt>
                <c:pt idx="1998">
                  <c:v>14.94</c:v>
                </c:pt>
                <c:pt idx="1999">
                  <c:v>14.59</c:v>
                </c:pt>
                <c:pt idx="2000">
                  <c:v>13.67</c:v>
                </c:pt>
                <c:pt idx="2001">
                  <c:v>15.3</c:v>
                </c:pt>
                <c:pt idx="2002">
                  <c:v>14.9</c:v>
                </c:pt>
                <c:pt idx="2003">
                  <c:v>15.02</c:v>
                </c:pt>
                <c:pt idx="2004">
                  <c:v>16.399999999999999</c:v>
                </c:pt>
                <c:pt idx="2005">
                  <c:v>16.16</c:v>
                </c:pt>
                <c:pt idx="2006">
                  <c:v>16.86</c:v>
                </c:pt>
                <c:pt idx="2007">
                  <c:v>17.7</c:v>
                </c:pt>
                <c:pt idx="2008">
                  <c:v>15.9</c:v>
                </c:pt>
                <c:pt idx="2009">
                  <c:v>15.16</c:v>
                </c:pt>
                <c:pt idx="2010">
                  <c:v>16.91</c:v>
                </c:pt>
                <c:pt idx="2011">
                  <c:v>16.510000000000002</c:v>
                </c:pt>
                <c:pt idx="2012">
                  <c:v>18.38</c:v>
                </c:pt>
                <c:pt idx="2013">
                  <c:v>16.63</c:v>
                </c:pt>
                <c:pt idx="2014">
                  <c:v>16.53</c:v>
                </c:pt>
                <c:pt idx="2015">
                  <c:v>16.809999999999999</c:v>
                </c:pt>
                <c:pt idx="2016">
                  <c:v>16.89</c:v>
                </c:pt>
                <c:pt idx="2017">
                  <c:v>18.399999999999999</c:v>
                </c:pt>
                <c:pt idx="2018">
                  <c:v>18.97</c:v>
                </c:pt>
                <c:pt idx="2019">
                  <c:v>20.87</c:v>
                </c:pt>
                <c:pt idx="2020">
                  <c:v>18.649999999999999</c:v>
                </c:pt>
                <c:pt idx="2021">
                  <c:v>17.23</c:v>
                </c:pt>
                <c:pt idx="2022">
                  <c:v>16.600000000000001</c:v>
                </c:pt>
                <c:pt idx="2023">
                  <c:v>17.25</c:v>
                </c:pt>
                <c:pt idx="2024">
                  <c:v>16.899999999999999</c:v>
                </c:pt>
                <c:pt idx="2025">
                  <c:v>16.489999999999998</c:v>
                </c:pt>
                <c:pt idx="2026">
                  <c:v>17.22</c:v>
                </c:pt>
                <c:pt idx="2027">
                  <c:v>15.59</c:v>
                </c:pt>
                <c:pt idx="2028">
                  <c:v>14.66</c:v>
                </c:pt>
                <c:pt idx="2029">
                  <c:v>14.33</c:v>
                </c:pt>
                <c:pt idx="2030">
                  <c:v>14.46</c:v>
                </c:pt>
                <c:pt idx="2031">
                  <c:v>13.57</c:v>
                </c:pt>
                <c:pt idx="2032">
                  <c:v>13.9</c:v>
                </c:pt>
                <c:pt idx="2033">
                  <c:v>13.98</c:v>
                </c:pt>
                <c:pt idx="2034">
                  <c:v>13.78</c:v>
                </c:pt>
                <c:pt idx="2035">
                  <c:v>14.2</c:v>
                </c:pt>
                <c:pt idx="2036">
                  <c:v>13.63</c:v>
                </c:pt>
                <c:pt idx="2037">
                  <c:v>13.89</c:v>
                </c:pt>
                <c:pt idx="2038">
                  <c:v>13.23</c:v>
                </c:pt>
                <c:pt idx="2039">
                  <c:v>12.15</c:v>
                </c:pt>
                <c:pt idx="2040">
                  <c:v>12.69</c:v>
                </c:pt>
                <c:pt idx="2041">
                  <c:v>13.47</c:v>
                </c:pt>
                <c:pt idx="2042">
                  <c:v>13.41</c:v>
                </c:pt>
                <c:pt idx="2043">
                  <c:v>13.54</c:v>
                </c:pt>
                <c:pt idx="2044">
                  <c:v>13.45</c:v>
                </c:pt>
                <c:pt idx="2045">
                  <c:v>13.55</c:v>
                </c:pt>
                <c:pt idx="2046">
                  <c:v>12.89</c:v>
                </c:pt>
                <c:pt idx="2047">
                  <c:v>12.66</c:v>
                </c:pt>
                <c:pt idx="2048">
                  <c:v>12.29</c:v>
                </c:pt>
                <c:pt idx="2049">
                  <c:v>12.19</c:v>
                </c:pt>
                <c:pt idx="2050">
                  <c:v>13.17</c:v>
                </c:pt>
                <c:pt idx="2051">
                  <c:v>12.5</c:v>
                </c:pt>
                <c:pt idx="2052">
                  <c:v>12.88</c:v>
                </c:pt>
                <c:pt idx="2053">
                  <c:v>13.52</c:v>
                </c:pt>
                <c:pt idx="2054">
                  <c:v>12.86</c:v>
                </c:pt>
                <c:pt idx="2055">
                  <c:v>12.48</c:v>
                </c:pt>
                <c:pt idx="2056">
                  <c:v>14.14</c:v>
                </c:pt>
                <c:pt idx="2057">
                  <c:v>14.56</c:v>
                </c:pt>
                <c:pt idx="2058">
                  <c:v>14.94</c:v>
                </c:pt>
                <c:pt idx="2059">
                  <c:v>15.22</c:v>
                </c:pt>
                <c:pt idx="2060">
                  <c:v>16</c:v>
                </c:pt>
                <c:pt idx="2061">
                  <c:v>15.26</c:v>
                </c:pt>
                <c:pt idx="2062">
                  <c:v>14.29</c:v>
                </c:pt>
                <c:pt idx="2063">
                  <c:v>14.37</c:v>
                </c:pt>
                <c:pt idx="2064">
                  <c:v>16.559999999999999</c:v>
                </c:pt>
                <c:pt idx="2065">
                  <c:v>16.96</c:v>
                </c:pt>
                <c:pt idx="2066">
                  <c:v>16.79</c:v>
                </c:pt>
                <c:pt idx="2067">
                  <c:v>16.75</c:v>
                </c:pt>
                <c:pt idx="2068">
                  <c:v>16.47</c:v>
                </c:pt>
                <c:pt idx="2069">
                  <c:v>16.88</c:v>
                </c:pt>
                <c:pt idx="2070">
                  <c:v>16.12</c:v>
                </c:pt>
                <c:pt idx="2071">
                  <c:v>15.35</c:v>
                </c:pt>
                <c:pt idx="2072">
                  <c:v>15.86</c:v>
                </c:pt>
                <c:pt idx="2073">
                  <c:v>14.89</c:v>
                </c:pt>
                <c:pt idx="2074">
                  <c:v>14.74</c:v>
                </c:pt>
                <c:pt idx="2075">
                  <c:v>13.93</c:v>
                </c:pt>
                <c:pt idx="2076">
                  <c:v>14.27</c:v>
                </c:pt>
                <c:pt idx="2077">
                  <c:v>14.1</c:v>
                </c:pt>
                <c:pt idx="2078">
                  <c:v>14.44</c:v>
                </c:pt>
                <c:pt idx="2079">
                  <c:v>14.68</c:v>
                </c:pt>
                <c:pt idx="2080">
                  <c:v>13.02</c:v>
                </c:pt>
                <c:pt idx="2081">
                  <c:v>13.3</c:v>
                </c:pt>
                <c:pt idx="2082">
                  <c:v>14.04</c:v>
                </c:pt>
                <c:pt idx="2083">
                  <c:v>14.17</c:v>
                </c:pt>
                <c:pt idx="2084">
                  <c:v>14.24</c:v>
                </c:pt>
                <c:pt idx="2085">
                  <c:v>13.8</c:v>
                </c:pt>
                <c:pt idx="2086">
                  <c:v>14.62</c:v>
                </c:pt>
                <c:pt idx="2087">
                  <c:v>17.489999999999998</c:v>
                </c:pt>
                <c:pt idx="2088">
                  <c:v>16.309999999999999</c:v>
                </c:pt>
                <c:pt idx="2089">
                  <c:v>16.399999999999999</c:v>
                </c:pt>
                <c:pt idx="2090">
                  <c:v>16.63</c:v>
                </c:pt>
                <c:pt idx="2091">
                  <c:v>17.72</c:v>
                </c:pt>
                <c:pt idx="2092">
                  <c:v>18.760000000000002</c:v>
                </c:pt>
                <c:pt idx="2093">
                  <c:v>19.010000000000002</c:v>
                </c:pt>
                <c:pt idx="2094">
                  <c:v>20.190000000000001</c:v>
                </c:pt>
                <c:pt idx="2095">
                  <c:v>17.66</c:v>
                </c:pt>
                <c:pt idx="2096">
                  <c:v>16.309999999999999</c:v>
                </c:pt>
                <c:pt idx="2097">
                  <c:v>17.079999999999998</c:v>
                </c:pt>
                <c:pt idx="2098">
                  <c:v>16.41</c:v>
                </c:pt>
                <c:pt idx="2099">
                  <c:v>17.14</c:v>
                </c:pt>
                <c:pt idx="2100">
                  <c:v>14.52</c:v>
                </c:pt>
                <c:pt idx="2101">
                  <c:v>12.86</c:v>
                </c:pt>
                <c:pt idx="2102">
                  <c:v>13.34</c:v>
                </c:pt>
                <c:pt idx="2103">
                  <c:v>12.99</c:v>
                </c:pt>
                <c:pt idx="2104">
                  <c:v>13.71</c:v>
                </c:pt>
                <c:pt idx="2105">
                  <c:v>13.5</c:v>
                </c:pt>
                <c:pt idx="2106">
                  <c:v>13.16</c:v>
                </c:pt>
                <c:pt idx="2107">
                  <c:v>13.62</c:v>
                </c:pt>
                <c:pt idx="2108">
                  <c:v>13.25</c:v>
                </c:pt>
                <c:pt idx="2109">
                  <c:v>13.72</c:v>
                </c:pt>
                <c:pt idx="2110">
                  <c:v>13.83</c:v>
                </c:pt>
                <c:pt idx="2111">
                  <c:v>13.46</c:v>
                </c:pt>
                <c:pt idx="2112">
                  <c:v>13.35</c:v>
                </c:pt>
                <c:pt idx="2113">
                  <c:v>13.22</c:v>
                </c:pt>
                <c:pt idx="2114">
                  <c:v>13.01</c:v>
                </c:pt>
                <c:pt idx="2115">
                  <c:v>12.99</c:v>
                </c:pt>
                <c:pt idx="2116">
                  <c:v>13.76</c:v>
                </c:pt>
                <c:pt idx="2117">
                  <c:v>12.85</c:v>
                </c:pt>
                <c:pt idx="2118">
                  <c:v>12.8</c:v>
                </c:pt>
                <c:pt idx="2119">
                  <c:v>13.35</c:v>
                </c:pt>
                <c:pt idx="2120">
                  <c:v>12.8</c:v>
                </c:pt>
                <c:pt idx="2121">
                  <c:v>12.12</c:v>
                </c:pt>
                <c:pt idx="2122">
                  <c:v>12.41</c:v>
                </c:pt>
                <c:pt idx="2123">
                  <c:v>13.03</c:v>
                </c:pt>
                <c:pt idx="2124">
                  <c:v>13.56</c:v>
                </c:pt>
                <c:pt idx="2125">
                  <c:v>13.09</c:v>
                </c:pt>
                <c:pt idx="2126">
                  <c:v>12.69</c:v>
                </c:pt>
                <c:pt idx="2127">
                  <c:v>12.55</c:v>
                </c:pt>
                <c:pt idx="2128">
                  <c:v>12.84</c:v>
                </c:pt>
                <c:pt idx="2129">
                  <c:v>12.81</c:v>
                </c:pt>
                <c:pt idx="2130">
                  <c:v>13.06</c:v>
                </c:pt>
                <c:pt idx="2131">
                  <c:v>13.91</c:v>
                </c:pt>
                <c:pt idx="2132">
                  <c:v>14.74</c:v>
                </c:pt>
                <c:pt idx="2133">
                  <c:v>15.03</c:v>
                </c:pt>
                <c:pt idx="2134">
                  <c:v>14.82</c:v>
                </c:pt>
                <c:pt idx="2135">
                  <c:v>13.97</c:v>
                </c:pt>
                <c:pt idx="2136">
                  <c:v>13.97</c:v>
                </c:pt>
                <c:pt idx="2137">
                  <c:v>14.14</c:v>
                </c:pt>
                <c:pt idx="2138">
                  <c:v>13.98</c:v>
                </c:pt>
                <c:pt idx="2139">
                  <c:v>15.44</c:v>
                </c:pt>
                <c:pt idx="2140">
                  <c:v>15.17</c:v>
                </c:pt>
                <c:pt idx="2141">
                  <c:v>15.64</c:v>
                </c:pt>
                <c:pt idx="2142">
                  <c:v>16.04</c:v>
                </c:pt>
                <c:pt idx="2143">
                  <c:v>15.95</c:v>
                </c:pt>
                <c:pt idx="2144">
                  <c:v>13.59</c:v>
                </c:pt>
                <c:pt idx="2145">
                  <c:v>13.61</c:v>
                </c:pt>
                <c:pt idx="2146">
                  <c:v>13.37</c:v>
                </c:pt>
                <c:pt idx="2147">
                  <c:v>12.85</c:v>
                </c:pt>
                <c:pt idx="2148">
                  <c:v>12.48</c:v>
                </c:pt>
                <c:pt idx="2149">
                  <c:v>12.21</c:v>
                </c:pt>
                <c:pt idx="2150">
                  <c:v>12.87</c:v>
                </c:pt>
                <c:pt idx="2151">
                  <c:v>13.43</c:v>
                </c:pt>
                <c:pt idx="2152">
                  <c:v>14.32</c:v>
                </c:pt>
                <c:pt idx="2153">
                  <c:v>14.06</c:v>
                </c:pt>
                <c:pt idx="2154">
                  <c:v>13.41</c:v>
                </c:pt>
                <c:pt idx="2155">
                  <c:v>12.38</c:v>
                </c:pt>
                <c:pt idx="2156">
                  <c:v>13.04</c:v>
                </c:pt>
                <c:pt idx="2157">
                  <c:v>12.83</c:v>
                </c:pt>
                <c:pt idx="2158">
                  <c:v>12.6</c:v>
                </c:pt>
                <c:pt idx="2159">
                  <c:v>12.18</c:v>
                </c:pt>
                <c:pt idx="2160">
                  <c:v>12.89</c:v>
                </c:pt>
                <c:pt idx="2161">
                  <c:v>12.15</c:v>
                </c:pt>
                <c:pt idx="2162">
                  <c:v>12.32</c:v>
                </c:pt>
                <c:pt idx="2163">
                  <c:v>12.34</c:v>
                </c:pt>
                <c:pt idx="2164">
                  <c:v>12.63</c:v>
                </c:pt>
                <c:pt idx="2165">
                  <c:v>12.57</c:v>
                </c:pt>
                <c:pt idx="2166">
                  <c:v>13.67</c:v>
                </c:pt>
                <c:pt idx="2167">
                  <c:v>14.95</c:v>
                </c:pt>
                <c:pt idx="2168">
                  <c:v>17.29</c:v>
                </c:pt>
                <c:pt idx="2169">
                  <c:v>17.27</c:v>
                </c:pt>
                <c:pt idx="2170">
                  <c:v>17.95</c:v>
                </c:pt>
                <c:pt idx="2171">
                  <c:v>16.37</c:v>
                </c:pt>
                <c:pt idx="2172">
                  <c:v>18.71</c:v>
                </c:pt>
                <c:pt idx="2173">
                  <c:v>18.57</c:v>
                </c:pt>
                <c:pt idx="2174">
                  <c:v>19.989999999999998</c:v>
                </c:pt>
                <c:pt idx="2175">
                  <c:v>19.59</c:v>
                </c:pt>
                <c:pt idx="2176">
                  <c:v>19.09</c:v>
                </c:pt>
                <c:pt idx="2177">
                  <c:v>16.149999999999999</c:v>
                </c:pt>
                <c:pt idx="2178">
                  <c:v>15.63</c:v>
                </c:pt>
                <c:pt idx="2179">
                  <c:v>15.29</c:v>
                </c:pt>
                <c:pt idx="2180">
                  <c:v>14.31</c:v>
                </c:pt>
                <c:pt idx="2181">
                  <c:v>15.24</c:v>
                </c:pt>
                <c:pt idx="2182">
                  <c:v>14.21</c:v>
                </c:pt>
                <c:pt idx="2183">
                  <c:v>13.95</c:v>
                </c:pt>
                <c:pt idx="2184">
                  <c:v>14.85</c:v>
                </c:pt>
                <c:pt idx="2185">
                  <c:v>15.28</c:v>
                </c:pt>
                <c:pt idx="2186">
                  <c:v>14.74</c:v>
                </c:pt>
                <c:pt idx="2187">
                  <c:v>14.83</c:v>
                </c:pt>
                <c:pt idx="2188">
                  <c:v>14.17</c:v>
                </c:pt>
                <c:pt idx="2189">
                  <c:v>13.83</c:v>
                </c:pt>
                <c:pt idx="2190">
                  <c:v>14.56</c:v>
                </c:pt>
                <c:pt idx="2191">
                  <c:v>14.22</c:v>
                </c:pt>
                <c:pt idx="2192">
                  <c:v>16.47</c:v>
                </c:pt>
                <c:pt idx="2193">
                  <c:v>14.53</c:v>
                </c:pt>
                <c:pt idx="2194">
                  <c:v>14.13</c:v>
                </c:pt>
                <c:pt idx="2195">
                  <c:v>13.82</c:v>
                </c:pt>
                <c:pt idx="2196">
                  <c:v>13.51</c:v>
                </c:pt>
                <c:pt idx="2197">
                  <c:v>14.76</c:v>
                </c:pt>
                <c:pt idx="2198">
                  <c:v>14.22</c:v>
                </c:pt>
                <c:pt idx="2199">
                  <c:v>15.37</c:v>
                </c:pt>
                <c:pt idx="2200">
                  <c:v>14.28</c:v>
                </c:pt>
                <c:pt idx="2201">
                  <c:v>16.739999999999998</c:v>
                </c:pt>
                <c:pt idx="2202">
                  <c:v>16.39</c:v>
                </c:pt>
                <c:pt idx="2203">
                  <c:v>15.42</c:v>
                </c:pt>
                <c:pt idx="2204">
                  <c:v>14.56</c:v>
                </c:pt>
                <c:pt idx="2205">
                  <c:v>15.58</c:v>
                </c:pt>
                <c:pt idx="2206">
                  <c:v>13.96</c:v>
                </c:pt>
                <c:pt idx="2207">
                  <c:v>14.7</c:v>
                </c:pt>
                <c:pt idx="2208">
                  <c:v>14.16</c:v>
                </c:pt>
                <c:pt idx="2209">
                  <c:v>13.64</c:v>
                </c:pt>
                <c:pt idx="2210">
                  <c:v>15</c:v>
                </c:pt>
                <c:pt idx="2211">
                  <c:v>14.15</c:v>
                </c:pt>
                <c:pt idx="2212">
                  <c:v>13.88</c:v>
                </c:pt>
                <c:pt idx="2213">
                  <c:v>13.43</c:v>
                </c:pt>
                <c:pt idx="2214">
                  <c:v>13.17</c:v>
                </c:pt>
                <c:pt idx="2215">
                  <c:v>13.02</c:v>
                </c:pt>
                <c:pt idx="2216">
                  <c:v>12.88</c:v>
                </c:pt>
                <c:pt idx="2217">
                  <c:v>14.96</c:v>
                </c:pt>
                <c:pt idx="2218">
                  <c:v>15.59</c:v>
                </c:pt>
                <c:pt idx="2219">
                  <c:v>14.58</c:v>
                </c:pt>
                <c:pt idx="2220">
                  <c:v>13.98</c:v>
                </c:pt>
                <c:pt idx="2221">
                  <c:v>16.66</c:v>
                </c:pt>
                <c:pt idx="2222">
                  <c:v>16.14</c:v>
                </c:pt>
                <c:pt idx="2223">
                  <c:v>16.14</c:v>
                </c:pt>
                <c:pt idx="2224">
                  <c:v>14.89</c:v>
                </c:pt>
                <c:pt idx="2225">
                  <c:v>14.09</c:v>
                </c:pt>
                <c:pt idx="2226">
                  <c:v>14.1</c:v>
                </c:pt>
                <c:pt idx="2227">
                  <c:v>13.13</c:v>
                </c:pt>
                <c:pt idx="2228">
                  <c:v>13.35</c:v>
                </c:pt>
                <c:pt idx="2229">
                  <c:v>13.36</c:v>
                </c:pt>
                <c:pt idx="2230">
                  <c:v>13.93</c:v>
                </c:pt>
                <c:pt idx="2231">
                  <c:v>14.27</c:v>
                </c:pt>
                <c:pt idx="2232">
                  <c:v>13.88</c:v>
                </c:pt>
                <c:pt idx="2233">
                  <c:v>14.05</c:v>
                </c:pt>
                <c:pt idx="2234">
                  <c:v>13.64</c:v>
                </c:pt>
                <c:pt idx="2235">
                  <c:v>13.15</c:v>
                </c:pt>
                <c:pt idx="2236">
                  <c:v>13.95</c:v>
                </c:pt>
                <c:pt idx="2237">
                  <c:v>13.65</c:v>
                </c:pt>
                <c:pt idx="2238">
                  <c:v>13.64</c:v>
                </c:pt>
                <c:pt idx="2239">
                  <c:v>13.69</c:v>
                </c:pt>
                <c:pt idx="2240">
                  <c:v>13.55</c:v>
                </c:pt>
                <c:pt idx="2241">
                  <c:v>12.46</c:v>
                </c:pt>
                <c:pt idx="2242">
                  <c:v>12.36</c:v>
                </c:pt>
                <c:pt idx="2243">
                  <c:v>12.42</c:v>
                </c:pt>
                <c:pt idx="2244">
                  <c:v>12.73</c:v>
                </c:pt>
                <c:pt idx="2245">
                  <c:v>13.31</c:v>
                </c:pt>
                <c:pt idx="2246">
                  <c:v>13.17</c:v>
                </c:pt>
                <c:pt idx="2247">
                  <c:v>12.69</c:v>
                </c:pt>
                <c:pt idx="2248">
                  <c:v>12.38</c:v>
                </c:pt>
                <c:pt idx="2249">
                  <c:v>11.93</c:v>
                </c:pt>
                <c:pt idx="2250">
                  <c:v>11.96</c:v>
                </c:pt>
                <c:pt idx="2251">
                  <c:v>11.69</c:v>
                </c:pt>
                <c:pt idx="2252">
                  <c:v>11.6</c:v>
                </c:pt>
                <c:pt idx="2253">
                  <c:v>11.58</c:v>
                </c:pt>
                <c:pt idx="2254">
                  <c:v>11.66</c:v>
                </c:pt>
                <c:pt idx="2255">
                  <c:v>11.69</c:v>
                </c:pt>
                <c:pt idx="2256">
                  <c:v>12.03</c:v>
                </c:pt>
                <c:pt idx="2257">
                  <c:v>12.15</c:v>
                </c:pt>
                <c:pt idx="2258">
                  <c:v>12.09</c:v>
                </c:pt>
                <c:pt idx="2259">
                  <c:v>11.32</c:v>
                </c:pt>
                <c:pt idx="2260">
                  <c:v>11.23</c:v>
                </c:pt>
                <c:pt idx="2261">
                  <c:v>11.3</c:v>
                </c:pt>
                <c:pt idx="2262">
                  <c:v>11.42</c:v>
                </c:pt>
                <c:pt idx="2263">
                  <c:v>11.81</c:v>
                </c:pt>
                <c:pt idx="2264">
                  <c:v>12.45</c:v>
                </c:pt>
                <c:pt idx="2265">
                  <c:v>12.65</c:v>
                </c:pt>
                <c:pt idx="2266">
                  <c:v>12.81</c:v>
                </c:pt>
                <c:pt idx="2267">
                  <c:v>11.8</c:v>
                </c:pt>
                <c:pt idx="2268">
                  <c:v>10.53</c:v>
                </c:pt>
                <c:pt idx="2269">
                  <c:v>10.4</c:v>
                </c:pt>
                <c:pt idx="2270">
                  <c:v>11.26</c:v>
                </c:pt>
                <c:pt idx="2271">
                  <c:v>11.02</c:v>
                </c:pt>
                <c:pt idx="2272">
                  <c:v>12.31</c:v>
                </c:pt>
                <c:pt idx="2273">
                  <c:v>11.51</c:v>
                </c:pt>
                <c:pt idx="2274">
                  <c:v>11.72</c:v>
                </c:pt>
                <c:pt idx="2275">
                  <c:v>11.75</c:v>
                </c:pt>
                <c:pt idx="2276">
                  <c:v>11.28</c:v>
                </c:pt>
                <c:pt idx="2277">
                  <c:v>11.18</c:v>
                </c:pt>
                <c:pt idx="2278">
                  <c:v>10.47</c:v>
                </c:pt>
                <c:pt idx="2279">
                  <c:v>11.15</c:v>
                </c:pt>
                <c:pt idx="2280">
                  <c:v>11.72</c:v>
                </c:pt>
                <c:pt idx="2281">
                  <c:v>11.74</c:v>
                </c:pt>
                <c:pt idx="2282">
                  <c:v>13.22</c:v>
                </c:pt>
                <c:pt idx="2283">
                  <c:v>12.5</c:v>
                </c:pt>
                <c:pt idx="2284">
                  <c:v>11.6</c:v>
                </c:pt>
                <c:pt idx="2285">
                  <c:v>11.53</c:v>
                </c:pt>
                <c:pt idx="2286">
                  <c:v>10.81</c:v>
                </c:pt>
                <c:pt idx="2287">
                  <c:v>11.35</c:v>
                </c:pt>
                <c:pt idx="2288">
                  <c:v>13.34</c:v>
                </c:pt>
                <c:pt idx="2289">
                  <c:v>12.85</c:v>
                </c:pt>
                <c:pt idx="2290">
                  <c:v>11.97</c:v>
                </c:pt>
                <c:pt idx="2291">
                  <c:v>11.54</c:v>
                </c:pt>
                <c:pt idx="2292">
                  <c:v>11.43</c:v>
                </c:pt>
                <c:pt idx="2293">
                  <c:v>12.03</c:v>
                </c:pt>
                <c:pt idx="2294">
                  <c:v>12.93</c:v>
                </c:pt>
                <c:pt idx="2295">
                  <c:v>12.35</c:v>
                </c:pt>
                <c:pt idx="2296">
                  <c:v>12.63</c:v>
                </c:pt>
                <c:pt idx="2297">
                  <c:v>14.35</c:v>
                </c:pt>
                <c:pt idx="2298">
                  <c:v>16.670000000000002</c:v>
                </c:pt>
                <c:pt idx="2299">
                  <c:v>16.64</c:v>
                </c:pt>
                <c:pt idx="2300">
                  <c:v>15.54</c:v>
                </c:pt>
                <c:pt idx="2301">
                  <c:v>17.22</c:v>
                </c:pt>
                <c:pt idx="2302">
                  <c:v>15.5</c:v>
                </c:pt>
                <c:pt idx="2303">
                  <c:v>16.43</c:v>
                </c:pt>
                <c:pt idx="2304">
                  <c:v>15.16</c:v>
                </c:pt>
                <c:pt idx="2305">
                  <c:v>14.42</c:v>
                </c:pt>
                <c:pt idx="2306">
                  <c:v>13.57</c:v>
                </c:pt>
                <c:pt idx="2307">
                  <c:v>13.05</c:v>
                </c:pt>
                <c:pt idx="2308">
                  <c:v>11.91</c:v>
                </c:pt>
                <c:pt idx="2309">
                  <c:v>12.85</c:v>
                </c:pt>
                <c:pt idx="2310">
                  <c:v>12.14</c:v>
                </c:pt>
                <c:pt idx="2311">
                  <c:v>12.23</c:v>
                </c:pt>
                <c:pt idx="2312">
                  <c:v>11.93</c:v>
                </c:pt>
                <c:pt idx="2313">
                  <c:v>11.88</c:v>
                </c:pt>
                <c:pt idx="2314">
                  <c:v>11.58</c:v>
                </c:pt>
                <c:pt idx="2315">
                  <c:v>11.33</c:v>
                </c:pt>
                <c:pt idx="2316">
                  <c:v>11.69</c:v>
                </c:pt>
                <c:pt idx="2317">
                  <c:v>12.38</c:v>
                </c:pt>
                <c:pt idx="2318">
                  <c:v>11.86</c:v>
                </c:pt>
                <c:pt idx="2319">
                  <c:v>12.32</c:v>
                </c:pt>
                <c:pt idx="2320">
                  <c:v>12.03</c:v>
                </c:pt>
                <c:pt idx="2321">
                  <c:v>12.4</c:v>
                </c:pt>
                <c:pt idx="2322">
                  <c:v>12.37</c:v>
                </c:pt>
                <c:pt idx="2323">
                  <c:v>12.64</c:v>
                </c:pt>
                <c:pt idx="2324">
                  <c:v>12.7</c:v>
                </c:pt>
                <c:pt idx="2325">
                  <c:v>13.36</c:v>
                </c:pt>
                <c:pt idx="2326">
                  <c:v>13.53</c:v>
                </c:pt>
                <c:pt idx="2327">
                  <c:v>12.85</c:v>
                </c:pt>
                <c:pt idx="2328">
                  <c:v>13.54</c:v>
                </c:pt>
                <c:pt idx="2329">
                  <c:v>14.48</c:v>
                </c:pt>
                <c:pt idx="2330">
                  <c:v>13.06</c:v>
                </c:pt>
                <c:pt idx="2331">
                  <c:v>12.55</c:v>
                </c:pt>
                <c:pt idx="2332">
                  <c:v>11.73</c:v>
                </c:pt>
                <c:pt idx="2333">
                  <c:v>13.14</c:v>
                </c:pt>
                <c:pt idx="2334">
                  <c:v>14.82</c:v>
                </c:pt>
                <c:pt idx="2335">
                  <c:v>14.62</c:v>
                </c:pt>
                <c:pt idx="2336">
                  <c:v>14.11</c:v>
                </c:pt>
                <c:pt idx="2337">
                  <c:v>15.77</c:v>
                </c:pt>
                <c:pt idx="2338">
                  <c:v>16.96</c:v>
                </c:pt>
                <c:pt idx="2339">
                  <c:v>15.49</c:v>
                </c:pt>
                <c:pt idx="2340">
                  <c:v>16.440000000000001</c:v>
                </c:pt>
                <c:pt idx="2341">
                  <c:v>16.7</c:v>
                </c:pt>
                <c:pt idx="2342">
                  <c:v>15.16</c:v>
                </c:pt>
                <c:pt idx="2343">
                  <c:v>14.46</c:v>
                </c:pt>
                <c:pt idx="2344">
                  <c:v>16.18</c:v>
                </c:pt>
                <c:pt idx="2345">
                  <c:v>17.350000000000001</c:v>
                </c:pt>
                <c:pt idx="2346">
                  <c:v>15.64</c:v>
                </c:pt>
                <c:pt idx="2347">
                  <c:v>19.11</c:v>
                </c:pt>
                <c:pt idx="2348">
                  <c:v>21.16</c:v>
                </c:pt>
                <c:pt idx="2349">
                  <c:v>23.77</c:v>
                </c:pt>
                <c:pt idx="2350">
                  <c:v>26.36</c:v>
                </c:pt>
                <c:pt idx="2351">
                  <c:v>29.26</c:v>
                </c:pt>
                <c:pt idx="2352">
                  <c:v>21.68</c:v>
                </c:pt>
                <c:pt idx="2353">
                  <c:v>22.11</c:v>
                </c:pt>
                <c:pt idx="2354">
                  <c:v>17.72</c:v>
                </c:pt>
                <c:pt idx="2355">
                  <c:v>16.059999999999999</c:v>
                </c:pt>
                <c:pt idx="2356">
                  <c:v>16.07</c:v>
                </c:pt>
                <c:pt idx="2357">
                  <c:v>16.43</c:v>
                </c:pt>
                <c:pt idx="2358">
                  <c:v>17.239999999999998</c:v>
                </c:pt>
                <c:pt idx="2359">
                  <c:v>15.69</c:v>
                </c:pt>
                <c:pt idx="2360">
                  <c:v>14.61</c:v>
                </c:pt>
                <c:pt idx="2361">
                  <c:v>15.31</c:v>
                </c:pt>
                <c:pt idx="2362">
                  <c:v>13.84</c:v>
                </c:pt>
                <c:pt idx="2363">
                  <c:v>14.41</c:v>
                </c:pt>
                <c:pt idx="2364">
                  <c:v>15.05</c:v>
                </c:pt>
                <c:pt idx="2365">
                  <c:v>14.15</c:v>
                </c:pt>
                <c:pt idx="2366">
                  <c:v>14.46</c:v>
                </c:pt>
                <c:pt idx="2367">
                  <c:v>13.71</c:v>
                </c:pt>
                <c:pt idx="2368">
                  <c:v>13.16</c:v>
                </c:pt>
                <c:pt idx="2369">
                  <c:v>12.71</c:v>
                </c:pt>
                <c:pt idx="2370">
                  <c:v>13.76</c:v>
                </c:pt>
                <c:pt idx="2371">
                  <c:v>13.33</c:v>
                </c:pt>
                <c:pt idx="2372">
                  <c:v>13.79</c:v>
                </c:pt>
                <c:pt idx="2373">
                  <c:v>14.7</c:v>
                </c:pt>
                <c:pt idx="2374">
                  <c:v>13.86</c:v>
                </c:pt>
                <c:pt idx="2375">
                  <c:v>14.01</c:v>
                </c:pt>
                <c:pt idx="2376">
                  <c:v>14.66</c:v>
                </c:pt>
                <c:pt idx="2377">
                  <c:v>13.16</c:v>
                </c:pt>
                <c:pt idx="2378">
                  <c:v>12.92</c:v>
                </c:pt>
                <c:pt idx="2379">
                  <c:v>12.55</c:v>
                </c:pt>
                <c:pt idx="2380">
                  <c:v>12.27</c:v>
                </c:pt>
                <c:pt idx="2381">
                  <c:v>12.64</c:v>
                </c:pt>
                <c:pt idx="2382">
                  <c:v>14.16</c:v>
                </c:pt>
                <c:pt idx="2383">
                  <c:v>14.1</c:v>
                </c:pt>
                <c:pt idx="2384">
                  <c:v>12.75</c:v>
                </c:pt>
                <c:pt idx="2385">
                  <c:v>12.7</c:v>
                </c:pt>
                <c:pt idx="2386">
                  <c:v>12.08</c:v>
                </c:pt>
                <c:pt idx="2387">
                  <c:v>13.05</c:v>
                </c:pt>
                <c:pt idx="2388">
                  <c:v>16.23</c:v>
                </c:pt>
                <c:pt idx="2389">
                  <c:v>15.56</c:v>
                </c:pt>
                <c:pt idx="2390">
                  <c:v>17.68</c:v>
                </c:pt>
                <c:pt idx="2391">
                  <c:v>20.51</c:v>
                </c:pt>
                <c:pt idx="2392">
                  <c:v>19.59</c:v>
                </c:pt>
                <c:pt idx="2393">
                  <c:v>23.55</c:v>
                </c:pt>
                <c:pt idx="2394">
                  <c:v>23.9</c:v>
                </c:pt>
                <c:pt idx="2395">
                  <c:v>17.14</c:v>
                </c:pt>
                <c:pt idx="2396">
                  <c:v>16.57</c:v>
                </c:pt>
                <c:pt idx="2397">
                  <c:v>16.32</c:v>
                </c:pt>
                <c:pt idx="2398">
                  <c:v>14.47</c:v>
                </c:pt>
                <c:pt idx="2399">
                  <c:v>14.52</c:v>
                </c:pt>
                <c:pt idx="2400">
                  <c:v>14.6</c:v>
                </c:pt>
                <c:pt idx="2401">
                  <c:v>16.04</c:v>
                </c:pt>
                <c:pt idx="2402">
                  <c:v>15.9</c:v>
                </c:pt>
                <c:pt idx="2403">
                  <c:v>15.91</c:v>
                </c:pt>
                <c:pt idx="2404">
                  <c:v>17.760000000000002</c:v>
                </c:pt>
                <c:pt idx="2405">
                  <c:v>19.190000000000001</c:v>
                </c:pt>
                <c:pt idx="2406">
                  <c:v>20.329999999999998</c:v>
                </c:pt>
                <c:pt idx="2407">
                  <c:v>20.149999999999999</c:v>
                </c:pt>
                <c:pt idx="2408">
                  <c:v>17.93</c:v>
                </c:pt>
                <c:pt idx="2409">
                  <c:v>16.440000000000001</c:v>
                </c:pt>
                <c:pt idx="2410">
                  <c:v>18.02</c:v>
                </c:pt>
                <c:pt idx="2411">
                  <c:v>18.21</c:v>
                </c:pt>
                <c:pt idx="2412">
                  <c:v>22.87</c:v>
                </c:pt>
                <c:pt idx="2413">
                  <c:v>21.23</c:v>
                </c:pt>
                <c:pt idx="2414">
                  <c:v>22.8</c:v>
                </c:pt>
                <c:pt idx="2415">
                  <c:v>20.07</c:v>
                </c:pt>
                <c:pt idx="2416">
                  <c:v>20.92</c:v>
                </c:pt>
                <c:pt idx="2417">
                  <c:v>17.98</c:v>
                </c:pt>
                <c:pt idx="2418">
                  <c:v>16.79</c:v>
                </c:pt>
                <c:pt idx="2419">
                  <c:v>16.96</c:v>
                </c:pt>
                <c:pt idx="2420">
                  <c:v>17.600000000000001</c:v>
                </c:pt>
                <c:pt idx="2421">
                  <c:v>16.97</c:v>
                </c:pt>
                <c:pt idx="2422">
                  <c:v>20.46</c:v>
                </c:pt>
                <c:pt idx="2423">
                  <c:v>20.23</c:v>
                </c:pt>
                <c:pt idx="2424">
                  <c:v>20.89</c:v>
                </c:pt>
                <c:pt idx="2425">
                  <c:v>18.41</c:v>
                </c:pt>
                <c:pt idx="2426">
                  <c:v>17.82</c:v>
                </c:pt>
                <c:pt idx="2427">
                  <c:v>17.29</c:v>
                </c:pt>
                <c:pt idx="2428">
                  <c:v>16.29</c:v>
                </c:pt>
                <c:pt idx="2429">
                  <c:v>19.16</c:v>
                </c:pt>
                <c:pt idx="2430">
                  <c:v>17.72</c:v>
                </c:pt>
                <c:pt idx="2431">
                  <c:v>17.43</c:v>
                </c:pt>
                <c:pt idx="2432">
                  <c:v>16.39</c:v>
                </c:pt>
                <c:pt idx="2433">
                  <c:v>15.11</c:v>
                </c:pt>
                <c:pt idx="2434">
                  <c:v>15.86</c:v>
                </c:pt>
                <c:pt idx="2435">
                  <c:v>16.739999999999998</c:v>
                </c:pt>
                <c:pt idx="2436">
                  <c:v>16.11</c:v>
                </c:pt>
                <c:pt idx="2437">
                  <c:v>15.73</c:v>
                </c:pt>
                <c:pt idx="2438">
                  <c:v>15.05</c:v>
                </c:pt>
                <c:pt idx="2439">
                  <c:v>14.5</c:v>
                </c:pt>
                <c:pt idx="2440">
                  <c:v>13.64</c:v>
                </c:pt>
                <c:pt idx="2441">
                  <c:v>13.55</c:v>
                </c:pt>
                <c:pt idx="2442">
                  <c:v>14.07</c:v>
                </c:pt>
                <c:pt idx="2443">
                  <c:v>13.9</c:v>
                </c:pt>
                <c:pt idx="2444">
                  <c:v>13.35</c:v>
                </c:pt>
                <c:pt idx="2445">
                  <c:v>14.31</c:v>
                </c:pt>
                <c:pt idx="2446">
                  <c:v>14.01</c:v>
                </c:pt>
                <c:pt idx="2447">
                  <c:v>14.61</c:v>
                </c:pt>
                <c:pt idx="2448">
                  <c:v>15.72</c:v>
                </c:pt>
                <c:pt idx="2449">
                  <c:v>16.47</c:v>
                </c:pt>
                <c:pt idx="2450">
                  <c:v>16.440000000000001</c:v>
                </c:pt>
                <c:pt idx="2451">
                  <c:v>16.45</c:v>
                </c:pt>
                <c:pt idx="2452">
                  <c:v>15.47</c:v>
                </c:pt>
                <c:pt idx="2453">
                  <c:v>15.78</c:v>
                </c:pt>
                <c:pt idx="2454">
                  <c:v>16.309999999999999</c:v>
                </c:pt>
                <c:pt idx="2455">
                  <c:v>14.6</c:v>
                </c:pt>
                <c:pt idx="2456">
                  <c:v>14.68</c:v>
                </c:pt>
                <c:pt idx="2457">
                  <c:v>13.52</c:v>
                </c:pt>
                <c:pt idx="2458">
                  <c:v>13.52</c:v>
                </c:pt>
                <c:pt idx="2459">
                  <c:v>13.36</c:v>
                </c:pt>
                <c:pt idx="2460">
                  <c:v>13.26</c:v>
                </c:pt>
                <c:pt idx="2461">
                  <c:v>16.64</c:v>
                </c:pt>
                <c:pt idx="2462">
                  <c:v>15.73</c:v>
                </c:pt>
                <c:pt idx="2463">
                  <c:v>14.76</c:v>
                </c:pt>
                <c:pt idx="2464">
                  <c:v>14.97</c:v>
                </c:pt>
                <c:pt idx="2465">
                  <c:v>15.32</c:v>
                </c:pt>
                <c:pt idx="2466">
                  <c:v>15.3</c:v>
                </c:pt>
                <c:pt idx="2467">
                  <c:v>15.75</c:v>
                </c:pt>
                <c:pt idx="2468">
                  <c:v>14.57</c:v>
                </c:pt>
                <c:pt idx="2469">
                  <c:v>14.59</c:v>
                </c:pt>
                <c:pt idx="2470">
                  <c:v>14.14</c:v>
                </c:pt>
                <c:pt idx="2471">
                  <c:v>13.2</c:v>
                </c:pt>
                <c:pt idx="2472">
                  <c:v>13.17</c:v>
                </c:pt>
                <c:pt idx="2473">
                  <c:v>14.34</c:v>
                </c:pt>
                <c:pt idx="2474">
                  <c:v>13.58</c:v>
                </c:pt>
                <c:pt idx="2475">
                  <c:v>13.27</c:v>
                </c:pt>
                <c:pt idx="2476">
                  <c:v>13.97</c:v>
                </c:pt>
                <c:pt idx="2477">
                  <c:v>13.67</c:v>
                </c:pt>
                <c:pt idx="2478">
                  <c:v>12.75</c:v>
                </c:pt>
                <c:pt idx="2479">
                  <c:v>12.97</c:v>
                </c:pt>
                <c:pt idx="2480">
                  <c:v>12.96</c:v>
                </c:pt>
                <c:pt idx="2481">
                  <c:v>12.21</c:v>
                </c:pt>
                <c:pt idx="2482">
                  <c:v>12.34</c:v>
                </c:pt>
                <c:pt idx="2483">
                  <c:v>13.26</c:v>
                </c:pt>
                <c:pt idx="2484">
                  <c:v>13.44</c:v>
                </c:pt>
                <c:pt idx="2485">
                  <c:v>13.89</c:v>
                </c:pt>
                <c:pt idx="2486">
                  <c:v>13.98</c:v>
                </c:pt>
                <c:pt idx="2487">
                  <c:v>13.12</c:v>
                </c:pt>
                <c:pt idx="2488">
                  <c:v>13.21</c:v>
                </c:pt>
                <c:pt idx="2489">
                  <c:v>13.93</c:v>
                </c:pt>
                <c:pt idx="2490">
                  <c:v>15.48</c:v>
                </c:pt>
                <c:pt idx="2491">
                  <c:v>13.36</c:v>
                </c:pt>
                <c:pt idx="2492">
                  <c:v>13.35</c:v>
                </c:pt>
                <c:pt idx="2493">
                  <c:v>14.73</c:v>
                </c:pt>
                <c:pt idx="2494">
                  <c:v>13.63</c:v>
                </c:pt>
                <c:pt idx="2495">
                  <c:v>13.14</c:v>
                </c:pt>
                <c:pt idx="2496">
                  <c:v>12.46</c:v>
                </c:pt>
                <c:pt idx="2497">
                  <c:v>13.08</c:v>
                </c:pt>
                <c:pt idx="2498">
                  <c:v>12.95</c:v>
                </c:pt>
                <c:pt idx="2499">
                  <c:v>12.9</c:v>
                </c:pt>
                <c:pt idx="2500">
                  <c:v>13.03</c:v>
                </c:pt>
                <c:pt idx="2501">
                  <c:v>12.37</c:v>
                </c:pt>
                <c:pt idx="2502">
                  <c:v>13.45</c:v>
                </c:pt>
                <c:pt idx="2503">
                  <c:v>14.16</c:v>
                </c:pt>
                <c:pt idx="2504">
                  <c:v>13.49</c:v>
                </c:pt>
                <c:pt idx="2505">
                  <c:v>13.59</c:v>
                </c:pt>
                <c:pt idx="2506">
                  <c:v>13.92</c:v>
                </c:pt>
                <c:pt idx="2507">
                  <c:v>14.72</c:v>
                </c:pt>
                <c:pt idx="2508">
                  <c:v>13.73</c:v>
                </c:pt>
                <c:pt idx="2509">
                  <c:v>14.57</c:v>
                </c:pt>
                <c:pt idx="2510">
                  <c:v>15.01</c:v>
                </c:pt>
                <c:pt idx="2511">
                  <c:v>14.84</c:v>
                </c:pt>
                <c:pt idx="2512">
                  <c:v>15.18</c:v>
                </c:pt>
                <c:pt idx="2513">
                  <c:v>14.24</c:v>
                </c:pt>
                <c:pt idx="2514">
                  <c:v>13.04</c:v>
                </c:pt>
                <c:pt idx="2515">
                  <c:v>13.31</c:v>
                </c:pt>
                <c:pt idx="2516">
                  <c:v>15.48</c:v>
                </c:pt>
                <c:pt idx="2517">
                  <c:v>15.62</c:v>
                </c:pt>
                <c:pt idx="2518">
                  <c:v>14.66</c:v>
                </c:pt>
                <c:pt idx="2519">
                  <c:v>14.03</c:v>
                </c:pt>
                <c:pt idx="2520">
                  <c:v>13.35</c:v>
                </c:pt>
                <c:pt idx="2521">
                  <c:v>13.42</c:v>
                </c:pt>
                <c:pt idx="2522">
                  <c:v>12.5</c:v>
                </c:pt>
                <c:pt idx="2523">
                  <c:v>12.57</c:v>
                </c:pt>
                <c:pt idx="2524">
                  <c:v>12.96</c:v>
                </c:pt>
                <c:pt idx="2525">
                  <c:v>14.13</c:v>
                </c:pt>
                <c:pt idx="2526">
                  <c:v>16.7</c:v>
                </c:pt>
                <c:pt idx="2527">
                  <c:v>17.600000000000001</c:v>
                </c:pt>
                <c:pt idx="2528">
                  <c:v>16.63</c:v>
                </c:pt>
                <c:pt idx="2529">
                  <c:v>15.43</c:v>
                </c:pt>
                <c:pt idx="2530">
                  <c:v>18.649999999999999</c:v>
                </c:pt>
                <c:pt idx="2531">
                  <c:v>17.22</c:v>
                </c:pt>
                <c:pt idx="2532">
                  <c:v>17.38</c:v>
                </c:pt>
                <c:pt idx="2533">
                  <c:v>17.46</c:v>
                </c:pt>
                <c:pt idx="2534">
                  <c:v>17.45</c:v>
                </c:pt>
                <c:pt idx="2535">
                  <c:v>15.29</c:v>
                </c:pt>
                <c:pt idx="2536">
                  <c:v>13.91</c:v>
                </c:pt>
                <c:pt idx="2537">
                  <c:v>13.35</c:v>
                </c:pt>
                <c:pt idx="2538">
                  <c:v>12.59</c:v>
                </c:pt>
                <c:pt idx="2539">
                  <c:v>11.77</c:v>
                </c:pt>
                <c:pt idx="2540">
                  <c:v>12.25</c:v>
                </c:pt>
                <c:pt idx="2541">
                  <c:v>12.42</c:v>
                </c:pt>
                <c:pt idx="2542">
                  <c:v>12.77</c:v>
                </c:pt>
                <c:pt idx="2543">
                  <c:v>12.06</c:v>
                </c:pt>
                <c:pt idx="2544">
                  <c:v>12.87</c:v>
                </c:pt>
                <c:pt idx="2545">
                  <c:v>15.6</c:v>
                </c:pt>
                <c:pt idx="2546">
                  <c:v>14.87</c:v>
                </c:pt>
                <c:pt idx="2547">
                  <c:v>13.57</c:v>
                </c:pt>
                <c:pt idx="2548">
                  <c:v>12.72</c:v>
                </c:pt>
                <c:pt idx="2549">
                  <c:v>12.03</c:v>
                </c:pt>
                <c:pt idx="2550">
                  <c:v>12.85</c:v>
                </c:pt>
                <c:pt idx="2551">
                  <c:v>12.66</c:v>
                </c:pt>
                <c:pt idx="2552">
                  <c:v>12.02</c:v>
                </c:pt>
                <c:pt idx="2553">
                  <c:v>12.2</c:v>
                </c:pt>
                <c:pt idx="2554">
                  <c:v>13.57</c:v>
                </c:pt>
                <c:pt idx="2555">
                  <c:v>12.73</c:v>
                </c:pt>
                <c:pt idx="2556">
                  <c:v>13.24</c:v>
                </c:pt>
                <c:pt idx="2557">
                  <c:v>15.19</c:v>
                </c:pt>
                <c:pt idx="2558">
                  <c:v>13.87</c:v>
                </c:pt>
                <c:pt idx="2559">
                  <c:v>13.69</c:v>
                </c:pt>
                <c:pt idx="2560">
                  <c:v>14.32</c:v>
                </c:pt>
                <c:pt idx="2561">
                  <c:v>13.41</c:v>
                </c:pt>
                <c:pt idx="2562">
                  <c:v>14.84</c:v>
                </c:pt>
                <c:pt idx="2563">
                  <c:v>16.55</c:v>
                </c:pt>
                <c:pt idx="2564">
                  <c:v>22.55</c:v>
                </c:pt>
                <c:pt idx="2565">
                  <c:v>28.03</c:v>
                </c:pt>
                <c:pt idx="2566">
                  <c:v>31.13</c:v>
                </c:pt>
                <c:pt idx="2567">
                  <c:v>31.13</c:v>
                </c:pt>
                <c:pt idx="2568">
                  <c:v>27.11</c:v>
                </c:pt>
                <c:pt idx="2569">
                  <c:v>26.69</c:v>
                </c:pt>
                <c:pt idx="2570">
                  <c:v>27.03</c:v>
                </c:pt>
                <c:pt idx="2571">
                  <c:v>31.91</c:v>
                </c:pt>
                <c:pt idx="2572">
                  <c:v>29.14</c:v>
                </c:pt>
                <c:pt idx="2573">
                  <c:v>25.21</c:v>
                </c:pt>
                <c:pt idx="2574">
                  <c:v>27.43</c:v>
                </c:pt>
                <c:pt idx="2575">
                  <c:v>25.05</c:v>
                </c:pt>
                <c:pt idx="2576">
                  <c:v>22.39</c:v>
                </c:pt>
                <c:pt idx="2577">
                  <c:v>26.87</c:v>
                </c:pt>
                <c:pt idx="2578">
                  <c:v>25.38</c:v>
                </c:pt>
                <c:pt idx="2579">
                  <c:v>24.03</c:v>
                </c:pt>
                <c:pt idx="2580">
                  <c:v>23.28</c:v>
                </c:pt>
                <c:pt idx="2581">
                  <c:v>22.57</c:v>
                </c:pt>
                <c:pt idx="2582">
                  <c:v>21.54</c:v>
                </c:pt>
                <c:pt idx="2583">
                  <c:v>23.07</c:v>
                </c:pt>
                <c:pt idx="2584">
                  <c:v>21.97</c:v>
                </c:pt>
                <c:pt idx="2585">
                  <c:v>22.97</c:v>
                </c:pt>
                <c:pt idx="2586">
                  <c:v>22.09</c:v>
                </c:pt>
                <c:pt idx="2587">
                  <c:v>23.53</c:v>
                </c:pt>
                <c:pt idx="2588">
                  <c:v>21.12</c:v>
                </c:pt>
                <c:pt idx="2589">
                  <c:v>25.02</c:v>
                </c:pt>
                <c:pt idx="2590">
                  <c:v>26.57</c:v>
                </c:pt>
                <c:pt idx="2591">
                  <c:v>24.64</c:v>
                </c:pt>
                <c:pt idx="2592">
                  <c:v>23.14</c:v>
                </c:pt>
                <c:pt idx="2593">
                  <c:v>23.99</c:v>
                </c:pt>
                <c:pt idx="2594">
                  <c:v>20.309999999999999</c:v>
                </c:pt>
                <c:pt idx="2595">
                  <c:v>19.54</c:v>
                </c:pt>
                <c:pt idx="2596">
                  <c:v>18.96</c:v>
                </c:pt>
                <c:pt idx="2597">
                  <c:v>18.62</c:v>
                </c:pt>
                <c:pt idx="2598">
                  <c:v>17.149999999999999</c:v>
                </c:pt>
                <c:pt idx="2599">
                  <c:v>17.68</c:v>
                </c:pt>
                <c:pt idx="2600">
                  <c:v>17.079999999999998</c:v>
                </c:pt>
                <c:pt idx="2601">
                  <c:v>17.670000000000002</c:v>
                </c:pt>
                <c:pt idx="2602">
                  <c:v>17.62</c:v>
                </c:pt>
                <c:pt idx="2603">
                  <c:v>15.64</c:v>
                </c:pt>
                <c:pt idx="2604">
                  <c:v>15.68</c:v>
                </c:pt>
                <c:pt idx="2605">
                  <c:v>15.17</c:v>
                </c:pt>
                <c:pt idx="2606">
                  <c:v>14.98</c:v>
                </c:pt>
                <c:pt idx="2607">
                  <c:v>15.02</c:v>
                </c:pt>
                <c:pt idx="2608">
                  <c:v>13.46</c:v>
                </c:pt>
                <c:pt idx="2609">
                  <c:v>14.76</c:v>
                </c:pt>
                <c:pt idx="2610">
                  <c:v>15.75</c:v>
                </c:pt>
                <c:pt idx="2611">
                  <c:v>15.14</c:v>
                </c:pt>
                <c:pt idx="2612">
                  <c:v>14.8</c:v>
                </c:pt>
                <c:pt idx="2613">
                  <c:v>14.6</c:v>
                </c:pt>
                <c:pt idx="2614">
                  <c:v>15.41</c:v>
                </c:pt>
                <c:pt idx="2615">
                  <c:v>14.33</c:v>
                </c:pt>
                <c:pt idx="2616">
                  <c:v>14.04</c:v>
                </c:pt>
                <c:pt idx="2617">
                  <c:v>15.39</c:v>
                </c:pt>
                <c:pt idx="2618">
                  <c:v>14.91</c:v>
                </c:pt>
                <c:pt idx="2619">
                  <c:v>15.34</c:v>
                </c:pt>
                <c:pt idx="2620">
                  <c:v>16.690000000000001</c:v>
                </c:pt>
                <c:pt idx="2621">
                  <c:v>15.07</c:v>
                </c:pt>
                <c:pt idx="2622">
                  <c:v>17.059999999999999</c:v>
                </c:pt>
                <c:pt idx="2623">
                  <c:v>18.68</c:v>
                </c:pt>
                <c:pt idx="2624">
                  <c:v>20.51</c:v>
                </c:pt>
                <c:pt idx="2625">
                  <c:v>17.82</c:v>
                </c:pt>
                <c:pt idx="2626">
                  <c:v>19.010000000000002</c:v>
                </c:pt>
                <c:pt idx="2627">
                  <c:v>16.25</c:v>
                </c:pt>
                <c:pt idx="2628">
                  <c:v>16.13</c:v>
                </c:pt>
                <c:pt idx="2629">
                  <c:v>16.149999999999999</c:v>
                </c:pt>
                <c:pt idx="2630">
                  <c:v>16.53</c:v>
                </c:pt>
                <c:pt idx="2631">
                  <c:v>15.55</c:v>
                </c:pt>
                <c:pt idx="2632">
                  <c:v>15.31</c:v>
                </c:pt>
                <c:pt idx="2633">
                  <c:v>15.55</c:v>
                </c:pt>
                <c:pt idx="2634">
                  <c:v>15.61</c:v>
                </c:pt>
                <c:pt idx="2635">
                  <c:v>15.04</c:v>
                </c:pt>
                <c:pt idx="2636">
                  <c:v>15.87</c:v>
                </c:pt>
                <c:pt idx="2637">
                  <c:v>17.43</c:v>
                </c:pt>
                <c:pt idx="2638">
                  <c:v>15.65</c:v>
                </c:pt>
                <c:pt idx="2639">
                  <c:v>17.690000000000001</c:v>
                </c:pt>
                <c:pt idx="2640">
                  <c:v>18.05</c:v>
                </c:pt>
                <c:pt idx="2641">
                  <c:v>19.25</c:v>
                </c:pt>
                <c:pt idx="2642">
                  <c:v>21.36</c:v>
                </c:pt>
                <c:pt idx="2643">
                  <c:v>24.7</c:v>
                </c:pt>
                <c:pt idx="2644">
                  <c:v>20.76</c:v>
                </c:pt>
                <c:pt idx="2645">
                  <c:v>19.25</c:v>
                </c:pt>
                <c:pt idx="2646">
                  <c:v>16.18</c:v>
                </c:pt>
                <c:pt idx="2647">
                  <c:v>19.34</c:v>
                </c:pt>
                <c:pt idx="2648">
                  <c:v>19.64</c:v>
                </c:pt>
                <c:pt idx="2649">
                  <c:v>17.61</c:v>
                </c:pt>
                <c:pt idx="2650">
                  <c:v>15.86</c:v>
                </c:pt>
                <c:pt idx="2651">
                  <c:v>15.44</c:v>
                </c:pt>
                <c:pt idx="2652">
                  <c:v>17.649999999999999</c:v>
                </c:pt>
                <c:pt idx="2653">
                  <c:v>15.91</c:v>
                </c:pt>
                <c:pt idx="2654">
                  <c:v>16.5</c:v>
                </c:pt>
                <c:pt idx="2655">
                  <c:v>17.97</c:v>
                </c:pt>
                <c:pt idx="2656">
                  <c:v>22.48</c:v>
                </c:pt>
                <c:pt idx="2657">
                  <c:v>20.75</c:v>
                </c:pt>
                <c:pt idx="2658">
                  <c:v>21.67</c:v>
                </c:pt>
                <c:pt idx="2659">
                  <c:v>23.22</c:v>
                </c:pt>
                <c:pt idx="2660">
                  <c:v>22.96</c:v>
                </c:pt>
                <c:pt idx="2661">
                  <c:v>25.58</c:v>
                </c:pt>
                <c:pt idx="2662">
                  <c:v>22.97</c:v>
                </c:pt>
                <c:pt idx="2663">
                  <c:v>21.72</c:v>
                </c:pt>
                <c:pt idx="2664">
                  <c:v>24.75</c:v>
                </c:pt>
                <c:pt idx="2665">
                  <c:v>28.96</c:v>
                </c:pt>
                <c:pt idx="2666">
                  <c:v>25.4</c:v>
                </c:pt>
                <c:pt idx="2667">
                  <c:v>27.78</c:v>
                </c:pt>
                <c:pt idx="2668">
                  <c:v>27.79</c:v>
                </c:pt>
                <c:pt idx="2669">
                  <c:v>24.21</c:v>
                </c:pt>
                <c:pt idx="2670">
                  <c:v>23.3</c:v>
                </c:pt>
                <c:pt idx="2671">
                  <c:v>23.75</c:v>
                </c:pt>
                <c:pt idx="2672">
                  <c:v>22.88</c:v>
                </c:pt>
                <c:pt idx="2673">
                  <c:v>22.15</c:v>
                </c:pt>
                <c:pt idx="2674">
                  <c:v>21.59</c:v>
                </c:pt>
                <c:pt idx="2675">
                  <c:v>21.32</c:v>
                </c:pt>
                <c:pt idx="2676">
                  <c:v>21.34</c:v>
                </c:pt>
                <c:pt idx="2677">
                  <c:v>21.49</c:v>
                </c:pt>
                <c:pt idx="2678">
                  <c:v>22.29</c:v>
                </c:pt>
                <c:pt idx="2679">
                  <c:v>22.09</c:v>
                </c:pt>
                <c:pt idx="2680">
                  <c:v>25.89</c:v>
                </c:pt>
                <c:pt idx="2681">
                  <c:v>28.3</c:v>
                </c:pt>
                <c:pt idx="2682">
                  <c:v>25.75</c:v>
                </c:pt>
                <c:pt idx="2683">
                  <c:v>29.01</c:v>
                </c:pt>
                <c:pt idx="2684">
                  <c:v>27.16</c:v>
                </c:pt>
                <c:pt idx="2685">
                  <c:v>24.96</c:v>
                </c:pt>
                <c:pt idx="2686">
                  <c:v>23.4</c:v>
                </c:pt>
                <c:pt idx="2687">
                  <c:v>22.16</c:v>
                </c:pt>
                <c:pt idx="2688">
                  <c:v>22.39</c:v>
                </c:pt>
                <c:pt idx="2689">
                  <c:v>20.14</c:v>
                </c:pt>
                <c:pt idx="2690">
                  <c:v>19.75</c:v>
                </c:pt>
                <c:pt idx="2691">
                  <c:v>22.28</c:v>
                </c:pt>
                <c:pt idx="2692">
                  <c:v>20.54</c:v>
                </c:pt>
                <c:pt idx="2693">
                  <c:v>18.89</c:v>
                </c:pt>
                <c:pt idx="2694">
                  <c:v>20.49</c:v>
                </c:pt>
                <c:pt idx="2695">
                  <c:v>19.84</c:v>
                </c:pt>
                <c:pt idx="2696">
                  <c:v>17.98</c:v>
                </c:pt>
                <c:pt idx="2697">
                  <c:v>17.25</c:v>
                </c:pt>
                <c:pt idx="2698">
                  <c:v>16.48</c:v>
                </c:pt>
                <c:pt idx="2699">
                  <c:v>17.98</c:v>
                </c:pt>
                <c:pt idx="2700">
                  <c:v>18.38</c:v>
                </c:pt>
                <c:pt idx="2701">
                  <c:v>18.559999999999999</c:v>
                </c:pt>
                <c:pt idx="2702">
                  <c:v>18.170000000000002</c:v>
                </c:pt>
                <c:pt idx="2703">
                  <c:v>17.09</c:v>
                </c:pt>
                <c:pt idx="2704">
                  <c:v>17.010000000000002</c:v>
                </c:pt>
                <c:pt idx="2705">
                  <c:v>17.600000000000001</c:v>
                </c:pt>
                <c:pt idx="2706">
                  <c:v>15.96</c:v>
                </c:pt>
                <c:pt idx="2707">
                  <c:v>15.34</c:v>
                </c:pt>
                <c:pt idx="2708">
                  <c:v>14.05</c:v>
                </c:pt>
                <c:pt idx="2709">
                  <c:v>14.57</c:v>
                </c:pt>
                <c:pt idx="2710">
                  <c:v>14.57</c:v>
                </c:pt>
                <c:pt idx="2711">
                  <c:v>14.57</c:v>
                </c:pt>
                <c:pt idx="2712">
                  <c:v>16.3</c:v>
                </c:pt>
                <c:pt idx="2713">
                  <c:v>15.65</c:v>
                </c:pt>
                <c:pt idx="2714">
                  <c:v>15.74</c:v>
                </c:pt>
                <c:pt idx="2715">
                  <c:v>13.69</c:v>
                </c:pt>
                <c:pt idx="2716">
                  <c:v>13.73</c:v>
                </c:pt>
                <c:pt idx="2717">
                  <c:v>15.23</c:v>
                </c:pt>
                <c:pt idx="2718">
                  <c:v>13.88</c:v>
                </c:pt>
                <c:pt idx="2719">
                  <c:v>15.39</c:v>
                </c:pt>
                <c:pt idx="2720">
                  <c:v>15.61</c:v>
                </c:pt>
                <c:pt idx="2721">
                  <c:v>15.14</c:v>
                </c:pt>
                <c:pt idx="2722">
                  <c:v>15.34</c:v>
                </c:pt>
                <c:pt idx="2723">
                  <c:v>15.34</c:v>
                </c:pt>
                <c:pt idx="2724">
                  <c:v>15.98</c:v>
                </c:pt>
                <c:pt idx="2725">
                  <c:v>14.49</c:v>
                </c:pt>
                <c:pt idx="2726">
                  <c:v>13.9</c:v>
                </c:pt>
                <c:pt idx="2727">
                  <c:v>13.99</c:v>
                </c:pt>
                <c:pt idx="2728">
                  <c:v>14.87</c:v>
                </c:pt>
                <c:pt idx="2729">
                  <c:v>13.18</c:v>
                </c:pt>
                <c:pt idx="2730">
                  <c:v>13.39</c:v>
                </c:pt>
                <c:pt idx="2731">
                  <c:v>13.2</c:v>
                </c:pt>
                <c:pt idx="2732">
                  <c:v>13.7</c:v>
                </c:pt>
                <c:pt idx="2733">
                  <c:v>14.07</c:v>
                </c:pt>
                <c:pt idx="2734">
                  <c:v>14.01</c:v>
                </c:pt>
                <c:pt idx="2735">
                  <c:v>14.15</c:v>
                </c:pt>
                <c:pt idx="2736">
                  <c:v>14.53</c:v>
                </c:pt>
                <c:pt idx="2737">
                  <c:v>15.21</c:v>
                </c:pt>
                <c:pt idx="2738">
                  <c:v>16.329999999999998</c:v>
                </c:pt>
                <c:pt idx="2739">
                  <c:v>14.92</c:v>
                </c:pt>
                <c:pt idx="2740">
                  <c:v>15.47</c:v>
                </c:pt>
                <c:pt idx="2741">
                  <c:v>15.54</c:v>
                </c:pt>
                <c:pt idx="2742">
                  <c:v>16.2</c:v>
                </c:pt>
                <c:pt idx="2743">
                  <c:v>15.2</c:v>
                </c:pt>
                <c:pt idx="2744">
                  <c:v>13.98</c:v>
                </c:pt>
                <c:pt idx="2745">
                  <c:v>13.92</c:v>
                </c:pt>
                <c:pt idx="2746">
                  <c:v>14.55</c:v>
                </c:pt>
                <c:pt idx="2747">
                  <c:v>15.15</c:v>
                </c:pt>
                <c:pt idx="2748">
                  <c:v>15.72</c:v>
                </c:pt>
                <c:pt idx="2749">
                  <c:v>14.57</c:v>
                </c:pt>
                <c:pt idx="2750">
                  <c:v>15.72</c:v>
                </c:pt>
                <c:pt idx="2751">
                  <c:v>16.37</c:v>
                </c:pt>
                <c:pt idx="2752">
                  <c:v>16.13</c:v>
                </c:pt>
                <c:pt idx="2753">
                  <c:v>16.329999999999998</c:v>
                </c:pt>
                <c:pt idx="2754">
                  <c:v>16.03</c:v>
                </c:pt>
                <c:pt idx="2755">
                  <c:v>14.19</c:v>
                </c:pt>
                <c:pt idx="2756">
                  <c:v>13.8</c:v>
                </c:pt>
                <c:pt idx="2757">
                  <c:v>13.49</c:v>
                </c:pt>
                <c:pt idx="2758">
                  <c:v>13.94</c:v>
                </c:pt>
                <c:pt idx="2759">
                  <c:v>14.45</c:v>
                </c:pt>
                <c:pt idx="2760">
                  <c:v>14.42</c:v>
                </c:pt>
                <c:pt idx="2761">
                  <c:v>13.78</c:v>
                </c:pt>
                <c:pt idx="2762">
                  <c:v>13.84</c:v>
                </c:pt>
                <c:pt idx="2763">
                  <c:v>12.77</c:v>
                </c:pt>
                <c:pt idx="2764">
                  <c:v>13.84</c:v>
                </c:pt>
                <c:pt idx="2765">
                  <c:v>14.01</c:v>
                </c:pt>
                <c:pt idx="2766">
                  <c:v>14.89</c:v>
                </c:pt>
                <c:pt idx="2767">
                  <c:v>18.239999999999998</c:v>
                </c:pt>
                <c:pt idx="2768">
                  <c:v>21.28</c:v>
                </c:pt>
                <c:pt idx="2769">
                  <c:v>20.25</c:v>
                </c:pt>
                <c:pt idx="2770">
                  <c:v>20.8</c:v>
                </c:pt>
                <c:pt idx="2771">
                  <c:v>19.420000000000002</c:v>
                </c:pt>
                <c:pt idx="2772">
                  <c:v>17.420000000000002</c:v>
                </c:pt>
                <c:pt idx="2773">
                  <c:v>17.670000000000002</c:v>
                </c:pt>
                <c:pt idx="2774">
                  <c:v>18.260000000000002</c:v>
                </c:pt>
                <c:pt idx="2775">
                  <c:v>19.54</c:v>
                </c:pt>
                <c:pt idx="2776">
                  <c:v>26.06</c:v>
                </c:pt>
                <c:pt idx="2777">
                  <c:v>24.38</c:v>
                </c:pt>
                <c:pt idx="2778">
                  <c:v>21.76</c:v>
                </c:pt>
                <c:pt idx="2779">
                  <c:v>18.12</c:v>
                </c:pt>
                <c:pt idx="2780">
                  <c:v>16.91</c:v>
                </c:pt>
                <c:pt idx="2781">
                  <c:v>15.59</c:v>
                </c:pt>
                <c:pt idx="2782">
                  <c:v>16.05</c:v>
                </c:pt>
                <c:pt idx="2783">
                  <c:v>15.87</c:v>
                </c:pt>
                <c:pt idx="2784">
                  <c:v>14.8</c:v>
                </c:pt>
                <c:pt idx="2785">
                  <c:v>14.64</c:v>
                </c:pt>
                <c:pt idx="2786">
                  <c:v>13.25</c:v>
                </c:pt>
                <c:pt idx="2787">
                  <c:v>12.93</c:v>
                </c:pt>
                <c:pt idx="2788">
                  <c:v>13.32</c:v>
                </c:pt>
                <c:pt idx="2789">
                  <c:v>12.5</c:v>
                </c:pt>
                <c:pt idx="2790">
                  <c:v>13.12</c:v>
                </c:pt>
                <c:pt idx="2791">
                  <c:v>12.75</c:v>
                </c:pt>
                <c:pt idx="2792">
                  <c:v>12.53</c:v>
                </c:pt>
                <c:pt idx="2793">
                  <c:v>11.94</c:v>
                </c:pt>
                <c:pt idx="2794">
                  <c:v>11.8</c:v>
                </c:pt>
                <c:pt idx="2795">
                  <c:v>12.8</c:v>
                </c:pt>
                <c:pt idx="2796">
                  <c:v>12.64</c:v>
                </c:pt>
                <c:pt idx="2797">
                  <c:v>12.88</c:v>
                </c:pt>
                <c:pt idx="2798">
                  <c:v>12.61</c:v>
                </c:pt>
                <c:pt idx="2799">
                  <c:v>12.51</c:v>
                </c:pt>
                <c:pt idx="2800">
                  <c:v>12.85</c:v>
                </c:pt>
                <c:pt idx="2801">
                  <c:v>11.89</c:v>
                </c:pt>
                <c:pt idx="2802">
                  <c:v>12.39</c:v>
                </c:pt>
                <c:pt idx="2803">
                  <c:v>13.53</c:v>
                </c:pt>
                <c:pt idx="2804">
                  <c:v>12.73</c:v>
                </c:pt>
                <c:pt idx="2805">
                  <c:v>12.08</c:v>
                </c:pt>
                <c:pt idx="2806">
                  <c:v>11.66</c:v>
                </c:pt>
                <c:pt idx="2807">
                  <c:v>11.4</c:v>
                </c:pt>
                <c:pt idx="2808">
                  <c:v>11.55</c:v>
                </c:pt>
                <c:pt idx="2809">
                  <c:v>11.93</c:v>
                </c:pt>
                <c:pt idx="2810">
                  <c:v>11.61</c:v>
                </c:pt>
                <c:pt idx="2811">
                  <c:v>11.81</c:v>
                </c:pt>
                <c:pt idx="2812">
                  <c:v>12.04</c:v>
                </c:pt>
                <c:pt idx="2813">
                  <c:v>12.57</c:v>
                </c:pt>
                <c:pt idx="2814">
                  <c:v>12.2</c:v>
                </c:pt>
                <c:pt idx="2815">
                  <c:v>11.67</c:v>
                </c:pt>
                <c:pt idx="2816">
                  <c:v>12.53</c:v>
                </c:pt>
                <c:pt idx="2817">
                  <c:v>12.15</c:v>
                </c:pt>
                <c:pt idx="2818">
                  <c:v>12.7</c:v>
                </c:pt>
                <c:pt idx="2819">
                  <c:v>13.62</c:v>
                </c:pt>
                <c:pt idx="2820">
                  <c:v>13.54</c:v>
                </c:pt>
                <c:pt idx="2821">
                  <c:v>14.09</c:v>
                </c:pt>
                <c:pt idx="2822">
                  <c:v>12.94</c:v>
                </c:pt>
                <c:pt idx="2823">
                  <c:v>13.14</c:v>
                </c:pt>
                <c:pt idx="2824">
                  <c:v>13.07</c:v>
                </c:pt>
                <c:pt idx="2825">
                  <c:v>13.47</c:v>
                </c:pt>
                <c:pt idx="2826">
                  <c:v>12.42</c:v>
                </c:pt>
                <c:pt idx="2827">
                  <c:v>11.89</c:v>
                </c:pt>
                <c:pt idx="2828">
                  <c:v>11.74</c:v>
                </c:pt>
                <c:pt idx="2829">
                  <c:v>12.52</c:v>
                </c:pt>
                <c:pt idx="2830">
                  <c:v>20.13</c:v>
                </c:pt>
                <c:pt idx="2831">
                  <c:v>15.98</c:v>
                </c:pt>
                <c:pt idx="2832">
                  <c:v>17.63</c:v>
                </c:pt>
                <c:pt idx="2833">
                  <c:v>17.97</c:v>
                </c:pt>
                <c:pt idx="2834">
                  <c:v>16.41</c:v>
                </c:pt>
                <c:pt idx="2835">
                  <c:v>15.14</c:v>
                </c:pt>
                <c:pt idx="2836">
                  <c:v>14.98</c:v>
                </c:pt>
                <c:pt idx="2837">
                  <c:v>15.07</c:v>
                </c:pt>
                <c:pt idx="2838">
                  <c:v>13.39</c:v>
                </c:pt>
                <c:pt idx="2839">
                  <c:v>12</c:v>
                </c:pt>
                <c:pt idx="2840">
                  <c:v>13.26</c:v>
                </c:pt>
                <c:pt idx="2841">
                  <c:v>13.36</c:v>
                </c:pt>
                <c:pt idx="2842">
                  <c:v>12.9</c:v>
                </c:pt>
                <c:pt idx="2843">
                  <c:v>12.53</c:v>
                </c:pt>
                <c:pt idx="2844">
                  <c:v>14.91</c:v>
                </c:pt>
                <c:pt idx="2845">
                  <c:v>13.75</c:v>
                </c:pt>
                <c:pt idx="2846">
                  <c:v>13.4</c:v>
                </c:pt>
                <c:pt idx="2847">
                  <c:v>13.56</c:v>
                </c:pt>
                <c:pt idx="2848">
                  <c:v>13.11</c:v>
                </c:pt>
                <c:pt idx="2849">
                  <c:v>13.52</c:v>
                </c:pt>
                <c:pt idx="2850">
                  <c:v>14.19</c:v>
                </c:pt>
                <c:pt idx="2851">
                  <c:v>13.71</c:v>
                </c:pt>
                <c:pt idx="2852">
                  <c:v>15.53</c:v>
                </c:pt>
                <c:pt idx="2853">
                  <c:v>16.88</c:v>
                </c:pt>
                <c:pt idx="2854">
                  <c:v>16.489999999999998</c:v>
                </c:pt>
                <c:pt idx="2855">
                  <c:v>17.010000000000002</c:v>
                </c:pt>
                <c:pt idx="2856">
                  <c:v>15.82</c:v>
                </c:pt>
                <c:pt idx="2857">
                  <c:v>15.45</c:v>
                </c:pt>
                <c:pt idx="2858">
                  <c:v>14.43</c:v>
                </c:pt>
                <c:pt idx="2859">
                  <c:v>14.04</c:v>
                </c:pt>
                <c:pt idx="2860">
                  <c:v>13.19</c:v>
                </c:pt>
                <c:pt idx="2861">
                  <c:v>12.91</c:v>
                </c:pt>
                <c:pt idx="2862">
                  <c:v>13.66</c:v>
                </c:pt>
                <c:pt idx="2863">
                  <c:v>14.37</c:v>
                </c:pt>
                <c:pt idx="2864">
                  <c:v>15.67</c:v>
                </c:pt>
                <c:pt idx="2865">
                  <c:v>16.309999999999999</c:v>
                </c:pt>
                <c:pt idx="2866">
                  <c:v>16.54</c:v>
                </c:pt>
                <c:pt idx="2867">
                  <c:v>19.09</c:v>
                </c:pt>
                <c:pt idx="2868">
                  <c:v>19.850000000000001</c:v>
                </c:pt>
                <c:pt idx="2869">
                  <c:v>21.86</c:v>
                </c:pt>
                <c:pt idx="2870">
                  <c:v>19.78</c:v>
                </c:pt>
                <c:pt idx="2871">
                  <c:v>18.920000000000002</c:v>
                </c:pt>
                <c:pt idx="2872">
                  <c:v>20.7</c:v>
                </c:pt>
                <c:pt idx="2873">
                  <c:v>14.01</c:v>
                </c:pt>
                <c:pt idx="2874">
                  <c:v>14.83</c:v>
                </c:pt>
                <c:pt idx="2875">
                  <c:v>14.69</c:v>
                </c:pt>
                <c:pt idx="2876">
                  <c:v>14.16</c:v>
                </c:pt>
                <c:pt idx="2877">
                  <c:v>13.51</c:v>
                </c:pt>
                <c:pt idx="2878">
                  <c:v>13.37</c:v>
                </c:pt>
                <c:pt idx="2879">
                  <c:v>13.56</c:v>
                </c:pt>
                <c:pt idx="2880">
                  <c:v>13.27</c:v>
                </c:pt>
                <c:pt idx="2881">
                  <c:v>12.26</c:v>
                </c:pt>
                <c:pt idx="2882">
                  <c:v>12.34</c:v>
                </c:pt>
                <c:pt idx="2883">
                  <c:v>12.52</c:v>
                </c:pt>
                <c:pt idx="2884">
                  <c:v>13.4</c:v>
                </c:pt>
                <c:pt idx="2885">
                  <c:v>13.07</c:v>
                </c:pt>
                <c:pt idx="2886">
                  <c:v>12.6</c:v>
                </c:pt>
                <c:pt idx="2887">
                  <c:v>13.4</c:v>
                </c:pt>
                <c:pt idx="2888">
                  <c:v>14.16</c:v>
                </c:pt>
                <c:pt idx="2889">
                  <c:v>13.75</c:v>
                </c:pt>
                <c:pt idx="2890">
                  <c:v>12.19</c:v>
                </c:pt>
                <c:pt idx="2891">
                  <c:v>11.59</c:v>
                </c:pt>
                <c:pt idx="2892">
                  <c:v>12.1</c:v>
                </c:pt>
                <c:pt idx="2893">
                  <c:v>12.59</c:v>
                </c:pt>
                <c:pt idx="2894">
                  <c:v>12.23</c:v>
                </c:pt>
                <c:pt idx="2895">
                  <c:v>12.46</c:v>
                </c:pt>
                <c:pt idx="2896">
                  <c:v>12.88</c:v>
                </c:pt>
                <c:pt idx="2897">
                  <c:v>13.07</c:v>
                </c:pt>
                <c:pt idx="2898">
                  <c:v>12.88</c:v>
                </c:pt>
                <c:pt idx="2899">
                  <c:v>12.5</c:v>
                </c:pt>
                <c:pt idx="2900">
                  <c:v>11.65</c:v>
                </c:pt>
                <c:pt idx="2901">
                  <c:v>11.44</c:v>
                </c:pt>
                <c:pt idx="2902">
                  <c:v>11.32</c:v>
                </c:pt>
                <c:pt idx="2903">
                  <c:v>11.38</c:v>
                </c:pt>
                <c:pt idx="2904">
                  <c:v>12.26</c:v>
                </c:pt>
                <c:pt idx="2905">
                  <c:v>11.89</c:v>
                </c:pt>
                <c:pt idx="2906">
                  <c:v>13.15</c:v>
                </c:pt>
                <c:pt idx="2907">
                  <c:v>13.2</c:v>
                </c:pt>
                <c:pt idx="2908">
                  <c:v>14.07</c:v>
                </c:pt>
                <c:pt idx="2909">
                  <c:v>12.78</c:v>
                </c:pt>
                <c:pt idx="2910">
                  <c:v>11.96</c:v>
                </c:pt>
                <c:pt idx="2911">
                  <c:v>11.7</c:v>
                </c:pt>
                <c:pt idx="2912">
                  <c:v>11.71</c:v>
                </c:pt>
                <c:pt idx="2913">
                  <c:v>11.59</c:v>
                </c:pt>
                <c:pt idx="2914">
                  <c:v>11.56</c:v>
                </c:pt>
                <c:pt idx="2915">
                  <c:v>11.48</c:v>
                </c:pt>
                <c:pt idx="2916">
                  <c:v>11.45</c:v>
                </c:pt>
                <c:pt idx="2917">
                  <c:v>12.2</c:v>
                </c:pt>
                <c:pt idx="2918">
                  <c:v>11.79</c:v>
                </c:pt>
                <c:pt idx="2919">
                  <c:v>12.58</c:v>
                </c:pt>
                <c:pt idx="2920">
                  <c:v>12.58</c:v>
                </c:pt>
                <c:pt idx="2921">
                  <c:v>12.3</c:v>
                </c:pt>
                <c:pt idx="2922">
                  <c:v>11.82</c:v>
                </c:pt>
                <c:pt idx="2923">
                  <c:v>10.79</c:v>
                </c:pt>
                <c:pt idx="2924">
                  <c:v>10.61</c:v>
                </c:pt>
                <c:pt idx="2925">
                  <c:v>10.57</c:v>
                </c:pt>
                <c:pt idx="2926">
                  <c:v>11.1</c:v>
                </c:pt>
                <c:pt idx="2927">
                  <c:v>12.29</c:v>
                </c:pt>
                <c:pt idx="2928">
                  <c:v>11.79</c:v>
                </c:pt>
                <c:pt idx="2929">
                  <c:v>12.37</c:v>
                </c:pt>
                <c:pt idx="2930">
                  <c:v>11.84</c:v>
                </c:pt>
                <c:pt idx="2931">
                  <c:v>11.37</c:v>
                </c:pt>
                <c:pt idx="2932">
                  <c:v>11.39</c:v>
                </c:pt>
                <c:pt idx="2933">
                  <c:v>11.19</c:v>
                </c:pt>
                <c:pt idx="2934">
                  <c:v>11.44</c:v>
                </c:pt>
                <c:pt idx="2935">
                  <c:v>10.85</c:v>
                </c:pt>
                <c:pt idx="2936">
                  <c:v>11.36</c:v>
                </c:pt>
                <c:pt idx="2937">
                  <c:v>11.17</c:v>
                </c:pt>
                <c:pt idx="2938">
                  <c:v>10.84</c:v>
                </c:pt>
                <c:pt idx="2939">
                  <c:v>12.02</c:v>
                </c:pt>
                <c:pt idx="2940">
                  <c:v>11.84</c:v>
                </c:pt>
                <c:pt idx="2941">
                  <c:v>12.05</c:v>
                </c:pt>
                <c:pt idx="2942">
                  <c:v>11.48</c:v>
                </c:pt>
                <c:pt idx="2943">
                  <c:v>11.66</c:v>
                </c:pt>
                <c:pt idx="2944">
                  <c:v>11.81</c:v>
                </c:pt>
                <c:pt idx="2945">
                  <c:v>11.78</c:v>
                </c:pt>
                <c:pt idx="2946">
                  <c:v>12.19</c:v>
                </c:pt>
                <c:pt idx="2947">
                  <c:v>12.31</c:v>
                </c:pt>
                <c:pt idx="2948">
                  <c:v>12.43</c:v>
                </c:pt>
                <c:pt idx="2949">
                  <c:v>11.96</c:v>
                </c:pt>
                <c:pt idx="2950">
                  <c:v>11.59</c:v>
                </c:pt>
                <c:pt idx="2951">
                  <c:v>11.27</c:v>
                </c:pt>
                <c:pt idx="2952">
                  <c:v>11.49</c:v>
                </c:pt>
                <c:pt idx="2953">
                  <c:v>11.75</c:v>
                </c:pt>
                <c:pt idx="2954">
                  <c:v>11.97</c:v>
                </c:pt>
                <c:pt idx="2955">
                  <c:v>12.16</c:v>
                </c:pt>
                <c:pt idx="2956">
                  <c:v>11.39</c:v>
                </c:pt>
                <c:pt idx="2957">
                  <c:v>12.12</c:v>
                </c:pt>
                <c:pt idx="2958">
                  <c:v>11.29</c:v>
                </c:pt>
                <c:pt idx="2959">
                  <c:v>11.38</c:v>
                </c:pt>
                <c:pt idx="2960">
                  <c:v>11.71</c:v>
                </c:pt>
                <c:pt idx="2961">
                  <c:v>11.15</c:v>
                </c:pt>
                <c:pt idx="2962">
                  <c:v>12.95</c:v>
                </c:pt>
                <c:pt idx="2963">
                  <c:v>12.65</c:v>
                </c:pt>
                <c:pt idx="2964">
                  <c:v>12.86</c:v>
                </c:pt>
                <c:pt idx="2965">
                  <c:v>14.78</c:v>
                </c:pt>
                <c:pt idx="2966">
                  <c:v>12.44</c:v>
                </c:pt>
                <c:pt idx="2967">
                  <c:v>11.54</c:v>
                </c:pt>
                <c:pt idx="2968">
                  <c:v>11.37</c:v>
                </c:pt>
                <c:pt idx="2969">
                  <c:v>11.61</c:v>
                </c:pt>
                <c:pt idx="2970">
                  <c:v>12.59</c:v>
                </c:pt>
                <c:pt idx="2971">
                  <c:v>12.71</c:v>
                </c:pt>
                <c:pt idx="2972">
                  <c:v>11.89</c:v>
                </c:pt>
                <c:pt idx="2973">
                  <c:v>13.11</c:v>
                </c:pt>
                <c:pt idx="2974">
                  <c:v>13.17</c:v>
                </c:pt>
                <c:pt idx="2975">
                  <c:v>13.24</c:v>
                </c:pt>
                <c:pt idx="2976">
                  <c:v>14.32</c:v>
                </c:pt>
                <c:pt idx="2977">
                  <c:v>15.16</c:v>
                </c:pt>
                <c:pt idx="2978">
                  <c:v>15.89</c:v>
                </c:pt>
                <c:pt idx="2979">
                  <c:v>16.190000000000001</c:v>
                </c:pt>
                <c:pt idx="2980">
                  <c:v>14.5</c:v>
                </c:pt>
                <c:pt idx="2981">
                  <c:v>14</c:v>
                </c:pt>
                <c:pt idx="2982">
                  <c:v>14.59</c:v>
                </c:pt>
                <c:pt idx="2983">
                  <c:v>13.85</c:v>
                </c:pt>
                <c:pt idx="2984">
                  <c:v>11.56</c:v>
                </c:pt>
                <c:pt idx="2985">
                  <c:v>10.81</c:v>
                </c:pt>
                <c:pt idx="2986">
                  <c:v>10.61</c:v>
                </c:pt>
                <c:pt idx="2987">
                  <c:v>10.72</c:v>
                </c:pt>
                <c:pt idx="2988">
                  <c:v>10.39</c:v>
                </c:pt>
                <c:pt idx="2989">
                  <c:v>10.92</c:v>
                </c:pt>
                <c:pt idx="2990">
                  <c:v>10.15</c:v>
                </c:pt>
                <c:pt idx="2991">
                  <c:v>10.56</c:v>
                </c:pt>
                <c:pt idx="2992">
                  <c:v>10.71</c:v>
                </c:pt>
                <c:pt idx="2993">
                  <c:v>10.51</c:v>
                </c:pt>
                <c:pt idx="2994">
                  <c:v>10.53</c:v>
                </c:pt>
                <c:pt idx="2995">
                  <c:v>9.8699999999999992</c:v>
                </c:pt>
                <c:pt idx="2996">
                  <c:v>9.75</c:v>
                </c:pt>
                <c:pt idx="2997">
                  <c:v>10.34</c:v>
                </c:pt>
                <c:pt idx="2998">
                  <c:v>10.72</c:v>
                </c:pt>
                <c:pt idx="2999">
                  <c:v>10.54</c:v>
                </c:pt>
                <c:pt idx="3000">
                  <c:v>10.46</c:v>
                </c:pt>
                <c:pt idx="3001">
                  <c:v>11.89</c:v>
                </c:pt>
                <c:pt idx="3002">
                  <c:v>14.06</c:v>
                </c:pt>
                <c:pt idx="3003">
                  <c:v>14.23</c:v>
                </c:pt>
                <c:pt idx="3004">
                  <c:v>12.29</c:v>
                </c:pt>
                <c:pt idx="3005">
                  <c:v>11</c:v>
                </c:pt>
                <c:pt idx="3006">
                  <c:v>10.61</c:v>
                </c:pt>
                <c:pt idx="3007">
                  <c:v>9.82</c:v>
                </c:pt>
                <c:pt idx="3008">
                  <c:v>9.93</c:v>
                </c:pt>
                <c:pt idx="3009">
                  <c:v>10.61</c:v>
                </c:pt>
                <c:pt idx="3010">
                  <c:v>10.1</c:v>
                </c:pt>
                <c:pt idx="3011">
                  <c:v>10.42</c:v>
                </c:pt>
                <c:pt idx="3012">
                  <c:v>10.08</c:v>
                </c:pt>
                <c:pt idx="3013">
                  <c:v>10.08</c:v>
                </c:pt>
                <c:pt idx="3014">
                  <c:v>10.19</c:v>
                </c:pt>
                <c:pt idx="3015">
                  <c:v>10.48</c:v>
                </c:pt>
                <c:pt idx="3016">
                  <c:v>10.27</c:v>
                </c:pt>
                <c:pt idx="3017">
                  <c:v>9.93</c:v>
                </c:pt>
                <c:pt idx="3018">
                  <c:v>11.19</c:v>
                </c:pt>
                <c:pt idx="3019">
                  <c:v>11.12</c:v>
                </c:pt>
                <c:pt idx="3020">
                  <c:v>10.33</c:v>
                </c:pt>
                <c:pt idx="3021">
                  <c:v>11.06</c:v>
                </c:pt>
                <c:pt idx="3022">
                  <c:v>10.63</c:v>
                </c:pt>
                <c:pt idx="3023">
                  <c:v>10.57</c:v>
                </c:pt>
                <c:pt idx="3024">
                  <c:v>10.28</c:v>
                </c:pt>
                <c:pt idx="3025">
                  <c:v>11.03</c:v>
                </c:pt>
                <c:pt idx="3026">
                  <c:v>10.81</c:v>
                </c:pt>
                <c:pt idx="3027">
                  <c:v>10.25</c:v>
                </c:pt>
                <c:pt idx="3028">
                  <c:v>10.130000000000001</c:v>
                </c:pt>
                <c:pt idx="3029">
                  <c:v>10.039999999999999</c:v>
                </c:pt>
                <c:pt idx="3030">
                  <c:v>11.17</c:v>
                </c:pt>
                <c:pt idx="3031">
                  <c:v>9.7899999999999991</c:v>
                </c:pt>
                <c:pt idx="3032">
                  <c:v>11.74</c:v>
                </c:pt>
                <c:pt idx="3033">
                  <c:v>11.07</c:v>
                </c:pt>
                <c:pt idx="3034">
                  <c:v>11.2</c:v>
                </c:pt>
                <c:pt idx="3035">
                  <c:v>11.2</c:v>
                </c:pt>
                <c:pt idx="3036">
                  <c:v>12.48</c:v>
                </c:pt>
                <c:pt idx="3037">
                  <c:v>11.26</c:v>
                </c:pt>
                <c:pt idx="3038">
                  <c:v>10.79</c:v>
                </c:pt>
                <c:pt idx="3039">
                  <c:v>10.85</c:v>
                </c:pt>
                <c:pt idx="3040">
                  <c:v>10.07</c:v>
                </c:pt>
                <c:pt idx="3041">
                  <c:v>10.09</c:v>
                </c:pt>
                <c:pt idx="3042">
                  <c:v>9.77</c:v>
                </c:pt>
                <c:pt idx="3043">
                  <c:v>9.86</c:v>
                </c:pt>
                <c:pt idx="3044">
                  <c:v>9.69</c:v>
                </c:pt>
                <c:pt idx="3045">
                  <c:v>9.66</c:v>
                </c:pt>
                <c:pt idx="3046">
                  <c:v>9.52</c:v>
                </c:pt>
                <c:pt idx="3047">
                  <c:v>9.94</c:v>
                </c:pt>
                <c:pt idx="3048">
                  <c:v>9.4</c:v>
                </c:pt>
                <c:pt idx="3049">
                  <c:v>9.25</c:v>
                </c:pt>
                <c:pt idx="3050">
                  <c:v>9.33</c:v>
                </c:pt>
                <c:pt idx="3051">
                  <c:v>10.62</c:v>
                </c:pt>
                <c:pt idx="3052">
                  <c:v>10.53</c:v>
                </c:pt>
                <c:pt idx="3053">
                  <c:v>10.19</c:v>
                </c:pt>
                <c:pt idx="3054">
                  <c:v>10.08</c:v>
                </c:pt>
                <c:pt idx="3055">
                  <c:v>10.47</c:v>
                </c:pt>
                <c:pt idx="3056">
                  <c:v>10.48</c:v>
                </c:pt>
                <c:pt idx="3057">
                  <c:v>10.19</c:v>
                </c:pt>
                <c:pt idx="3058">
                  <c:v>10.039999999999999</c:v>
                </c:pt>
                <c:pt idx="3059">
                  <c:v>11.49</c:v>
                </c:pt>
                <c:pt idx="3060">
                  <c:v>11.57</c:v>
                </c:pt>
                <c:pt idx="3061">
                  <c:v>16.170000000000002</c:v>
                </c:pt>
                <c:pt idx="3062">
                  <c:v>14.05</c:v>
                </c:pt>
                <c:pt idx="3063">
                  <c:v>11.78</c:v>
                </c:pt>
                <c:pt idx="3064">
                  <c:v>11.59</c:v>
                </c:pt>
                <c:pt idx="3065">
                  <c:v>11.81</c:v>
                </c:pt>
                <c:pt idx="3066">
                  <c:v>15.38</c:v>
                </c:pt>
                <c:pt idx="3067">
                  <c:v>14.59</c:v>
                </c:pt>
                <c:pt idx="3068">
                  <c:v>12.6</c:v>
                </c:pt>
                <c:pt idx="3069">
                  <c:v>11.51</c:v>
                </c:pt>
                <c:pt idx="3070">
                  <c:v>12.06</c:v>
                </c:pt>
                <c:pt idx="3071">
                  <c:v>12.2</c:v>
                </c:pt>
                <c:pt idx="3072">
                  <c:v>12.09</c:v>
                </c:pt>
                <c:pt idx="3073">
                  <c:v>13.33</c:v>
                </c:pt>
                <c:pt idx="3074">
                  <c:v>11.4</c:v>
                </c:pt>
                <c:pt idx="3075">
                  <c:v>11.07</c:v>
                </c:pt>
                <c:pt idx="3076">
                  <c:v>10.33</c:v>
                </c:pt>
                <c:pt idx="3077">
                  <c:v>11.75</c:v>
                </c:pt>
                <c:pt idx="3078">
                  <c:v>12.27</c:v>
                </c:pt>
                <c:pt idx="3079">
                  <c:v>11.93</c:v>
                </c:pt>
                <c:pt idx="3080">
                  <c:v>11.87</c:v>
                </c:pt>
                <c:pt idx="3081">
                  <c:v>11.38</c:v>
                </c:pt>
                <c:pt idx="3082">
                  <c:v>10.66</c:v>
                </c:pt>
                <c:pt idx="3083">
                  <c:v>10.72</c:v>
                </c:pt>
                <c:pt idx="3084">
                  <c:v>10.57</c:v>
                </c:pt>
                <c:pt idx="3085">
                  <c:v>10.51</c:v>
                </c:pt>
                <c:pt idx="3086">
                  <c:v>10.18</c:v>
                </c:pt>
                <c:pt idx="3087">
                  <c:v>10.16</c:v>
                </c:pt>
                <c:pt idx="3088">
                  <c:v>10.039999999999999</c:v>
                </c:pt>
                <c:pt idx="3089">
                  <c:v>9.74</c:v>
                </c:pt>
                <c:pt idx="3090">
                  <c:v>9.9</c:v>
                </c:pt>
                <c:pt idx="3091">
                  <c:v>10.08</c:v>
                </c:pt>
                <c:pt idx="3092">
                  <c:v>10.42</c:v>
                </c:pt>
                <c:pt idx="3093">
                  <c:v>9.9</c:v>
                </c:pt>
                <c:pt idx="3094">
                  <c:v>9.74</c:v>
                </c:pt>
                <c:pt idx="3095">
                  <c:v>9.59</c:v>
                </c:pt>
                <c:pt idx="3096">
                  <c:v>9.59</c:v>
                </c:pt>
                <c:pt idx="3097">
                  <c:v>9.3000000000000007</c:v>
                </c:pt>
                <c:pt idx="3098">
                  <c:v>9.5299999999999994</c:v>
                </c:pt>
                <c:pt idx="3099">
                  <c:v>9.48</c:v>
                </c:pt>
                <c:pt idx="3100">
                  <c:v>9.23</c:v>
                </c:pt>
                <c:pt idx="3101">
                  <c:v>9.92</c:v>
                </c:pt>
                <c:pt idx="3102">
                  <c:v>10.15</c:v>
                </c:pt>
                <c:pt idx="3103">
                  <c:v>9.9499999999999993</c:v>
                </c:pt>
                <c:pt idx="3104">
                  <c:v>9.94</c:v>
                </c:pt>
                <c:pt idx="3105">
                  <c:v>9.9499999999999993</c:v>
                </c:pt>
                <c:pt idx="3106">
                  <c:v>9.9499999999999993</c:v>
                </c:pt>
                <c:pt idx="3107">
                  <c:v>9.85</c:v>
                </c:pt>
                <c:pt idx="3108">
                  <c:v>10.34</c:v>
                </c:pt>
                <c:pt idx="3109">
                  <c:v>10.220000000000001</c:v>
                </c:pt>
                <c:pt idx="3110">
                  <c:v>9.92</c:v>
                </c:pt>
                <c:pt idx="3111">
                  <c:v>10.25</c:v>
                </c:pt>
                <c:pt idx="3112">
                  <c:v>10.89</c:v>
                </c:pt>
                <c:pt idx="3113">
                  <c:v>11.34</c:v>
                </c:pt>
                <c:pt idx="3114">
                  <c:v>11.17</c:v>
                </c:pt>
                <c:pt idx="3115">
                  <c:v>11.12</c:v>
                </c:pt>
                <c:pt idx="3116">
                  <c:v>10.28</c:v>
                </c:pt>
                <c:pt idx="3117">
                  <c:v>10.34</c:v>
                </c:pt>
                <c:pt idx="3118">
                  <c:v>9.7899999999999991</c:v>
                </c:pt>
                <c:pt idx="3119">
                  <c:v>10.44</c:v>
                </c:pt>
                <c:pt idx="3120">
                  <c:v>9.83</c:v>
                </c:pt>
                <c:pt idx="3121">
                  <c:v>9.6300000000000008</c:v>
                </c:pt>
                <c:pt idx="3122">
                  <c:v>9.31</c:v>
                </c:pt>
                <c:pt idx="3123">
                  <c:v>9.7899999999999991</c:v>
                </c:pt>
                <c:pt idx="3124">
                  <c:v>9.94</c:v>
                </c:pt>
                <c:pt idx="3125">
                  <c:v>10.78</c:v>
                </c:pt>
                <c:pt idx="3126">
                  <c:v>11.43</c:v>
                </c:pt>
                <c:pt idx="3127">
                  <c:v>11.53</c:v>
                </c:pt>
                <c:pt idx="3128">
                  <c:v>12.52</c:v>
                </c:pt>
                <c:pt idx="3129">
                  <c:v>12.47</c:v>
                </c:pt>
                <c:pt idx="3130">
                  <c:v>11.75</c:v>
                </c:pt>
                <c:pt idx="3131">
                  <c:v>11.96</c:v>
                </c:pt>
                <c:pt idx="3132">
                  <c:v>10.74</c:v>
                </c:pt>
                <c:pt idx="3133">
                  <c:v>9.6</c:v>
                </c:pt>
                <c:pt idx="3134">
                  <c:v>9.82</c:v>
                </c:pt>
                <c:pt idx="3135">
                  <c:v>10.07</c:v>
                </c:pt>
                <c:pt idx="3136">
                  <c:v>9.7200000000000006</c:v>
                </c:pt>
                <c:pt idx="3137">
                  <c:v>9.91</c:v>
                </c:pt>
                <c:pt idx="3138">
                  <c:v>10.49</c:v>
                </c:pt>
                <c:pt idx="3139">
                  <c:v>11.19</c:v>
                </c:pt>
                <c:pt idx="3140">
                  <c:v>11.05</c:v>
                </c:pt>
                <c:pt idx="3141">
                  <c:v>11.38</c:v>
                </c:pt>
                <c:pt idx="3142">
                  <c:v>11.63</c:v>
                </c:pt>
                <c:pt idx="3143">
                  <c:v>10.9</c:v>
                </c:pt>
                <c:pt idx="3144">
                  <c:v>10</c:v>
                </c:pt>
                <c:pt idx="3145">
                  <c:v>9.74</c:v>
                </c:pt>
                <c:pt idx="3146">
                  <c:v>9.36</c:v>
                </c:pt>
                <c:pt idx="3147">
                  <c:v>9.7799999999999994</c:v>
                </c:pt>
                <c:pt idx="3148">
                  <c:v>9.98</c:v>
                </c:pt>
                <c:pt idx="3149">
                  <c:v>10.119999999999999</c:v>
                </c:pt>
                <c:pt idx="3150">
                  <c:v>9.4600000000000009</c:v>
                </c:pt>
                <c:pt idx="3151">
                  <c:v>9.4</c:v>
                </c:pt>
                <c:pt idx="3152">
                  <c:v>9.69</c:v>
                </c:pt>
                <c:pt idx="3153">
                  <c:v>9.59</c:v>
                </c:pt>
                <c:pt idx="3154">
                  <c:v>9.3699999999999992</c:v>
                </c:pt>
                <c:pt idx="3155">
                  <c:v>10.19</c:v>
                </c:pt>
                <c:pt idx="3156">
                  <c:v>10.039999999999999</c:v>
                </c:pt>
                <c:pt idx="3157">
                  <c:v>10.29</c:v>
                </c:pt>
                <c:pt idx="3158">
                  <c:v>10.029999999999999</c:v>
                </c:pt>
                <c:pt idx="3159">
                  <c:v>10.95</c:v>
                </c:pt>
                <c:pt idx="3160">
                  <c:v>9.56</c:v>
                </c:pt>
                <c:pt idx="3161">
                  <c:v>9.01</c:v>
                </c:pt>
                <c:pt idx="3162">
                  <c:v>9.1</c:v>
                </c:pt>
                <c:pt idx="3163">
                  <c:v>9.61</c:v>
                </c:pt>
                <c:pt idx="3164">
                  <c:v>9.41</c:v>
                </c:pt>
                <c:pt idx="3165">
                  <c:v>10.11</c:v>
                </c:pt>
                <c:pt idx="3166">
                  <c:v>9.69</c:v>
                </c:pt>
                <c:pt idx="3167">
                  <c:v>9.74</c:v>
                </c:pt>
                <c:pt idx="3168">
                  <c:v>10.42</c:v>
                </c:pt>
                <c:pt idx="3169">
                  <c:v>11.35</c:v>
                </c:pt>
                <c:pt idx="3170">
                  <c:v>12.01</c:v>
                </c:pt>
                <c:pt idx="3171">
                  <c:v>12.3</c:v>
                </c:pt>
                <c:pt idx="3172">
                  <c:v>11.59</c:v>
                </c:pt>
                <c:pt idx="3173">
                  <c:v>10.77</c:v>
                </c:pt>
                <c:pt idx="3174">
                  <c:v>11</c:v>
                </c:pt>
                <c:pt idx="3175">
                  <c:v>11.27</c:v>
                </c:pt>
                <c:pt idx="3176">
                  <c:v>11.4</c:v>
                </c:pt>
                <c:pt idx="3177">
                  <c:v>11.71</c:v>
                </c:pt>
                <c:pt idx="3178">
                  <c:v>13.93</c:v>
                </c:pt>
                <c:pt idx="3179">
                  <c:v>14.23</c:v>
                </c:pt>
                <c:pt idx="3180">
                  <c:v>13.05</c:v>
                </c:pt>
                <c:pt idx="3181">
                  <c:v>13.64</c:v>
                </c:pt>
                <c:pt idx="3182">
                  <c:v>18.440000000000001</c:v>
                </c:pt>
                <c:pt idx="3183">
                  <c:v>37.32</c:v>
                </c:pt>
                <c:pt idx="3184">
                  <c:v>31.38</c:v>
                </c:pt>
                <c:pt idx="3185">
                  <c:v>27.29</c:v>
                </c:pt>
                <c:pt idx="3186">
                  <c:v>32.18</c:v>
                </c:pt>
                <c:pt idx="3187">
                  <c:v>27.25</c:v>
                </c:pt>
                <c:pt idx="3188">
                  <c:v>26.94</c:v>
                </c:pt>
                <c:pt idx="3189">
                  <c:v>23.48</c:v>
                </c:pt>
                <c:pt idx="3190">
                  <c:v>18.39</c:v>
                </c:pt>
                <c:pt idx="3191">
                  <c:v>18.739999999999998</c:v>
                </c:pt>
                <c:pt idx="3192">
                  <c:v>20.53</c:v>
                </c:pt>
                <c:pt idx="3193">
                  <c:v>20.76</c:v>
                </c:pt>
                <c:pt idx="3194">
                  <c:v>20.57</c:v>
                </c:pt>
                <c:pt idx="3195">
                  <c:v>17.96</c:v>
                </c:pt>
                <c:pt idx="3196">
                  <c:v>16.53</c:v>
                </c:pt>
                <c:pt idx="3197">
                  <c:v>15.83</c:v>
                </c:pt>
                <c:pt idx="3198">
                  <c:v>18.079999999999998</c:v>
                </c:pt>
                <c:pt idx="3199">
                  <c:v>19.96</c:v>
                </c:pt>
                <c:pt idx="3200">
                  <c:v>22.47</c:v>
                </c:pt>
                <c:pt idx="3201">
                  <c:v>21.55</c:v>
                </c:pt>
                <c:pt idx="3202">
                  <c:v>18.25</c:v>
                </c:pt>
                <c:pt idx="3203">
                  <c:v>20.11</c:v>
                </c:pt>
                <c:pt idx="3204">
                  <c:v>17.559999999999999</c:v>
                </c:pt>
                <c:pt idx="3205">
                  <c:v>16.41</c:v>
                </c:pt>
                <c:pt idx="3206">
                  <c:v>15.28</c:v>
                </c:pt>
                <c:pt idx="3207">
                  <c:v>15.7</c:v>
                </c:pt>
                <c:pt idx="3208">
                  <c:v>16.59</c:v>
                </c:pt>
                <c:pt idx="3209">
                  <c:v>16.989999999999998</c:v>
                </c:pt>
                <c:pt idx="3210">
                  <c:v>16.600000000000001</c:v>
                </c:pt>
                <c:pt idx="3211">
                  <c:v>16.63</c:v>
                </c:pt>
                <c:pt idx="3212">
                  <c:v>18.38</c:v>
                </c:pt>
                <c:pt idx="3213">
                  <c:v>17.760000000000002</c:v>
                </c:pt>
                <c:pt idx="3214">
                  <c:v>18.13</c:v>
                </c:pt>
                <c:pt idx="3215">
                  <c:v>24.02</c:v>
                </c:pt>
                <c:pt idx="3216">
                  <c:v>23.41</c:v>
                </c:pt>
                <c:pt idx="3217">
                  <c:v>20.329999999999998</c:v>
                </c:pt>
                <c:pt idx="3218">
                  <c:v>22.52</c:v>
                </c:pt>
                <c:pt idx="3219">
                  <c:v>22.87</c:v>
                </c:pt>
                <c:pt idx="3220">
                  <c:v>21.07</c:v>
                </c:pt>
                <c:pt idx="3221">
                  <c:v>23.03</c:v>
                </c:pt>
                <c:pt idx="3222">
                  <c:v>21.68</c:v>
                </c:pt>
                <c:pt idx="3223">
                  <c:v>19.760000000000002</c:v>
                </c:pt>
                <c:pt idx="3224">
                  <c:v>20.329999999999998</c:v>
                </c:pt>
                <c:pt idx="3225">
                  <c:v>21.27</c:v>
                </c:pt>
                <c:pt idx="3226">
                  <c:v>20.51</c:v>
                </c:pt>
                <c:pt idx="3227">
                  <c:v>20.95</c:v>
                </c:pt>
                <c:pt idx="3228">
                  <c:v>19.829999999999998</c:v>
                </c:pt>
                <c:pt idx="3229">
                  <c:v>18.27</c:v>
                </c:pt>
                <c:pt idx="3230">
                  <c:v>17.59</c:v>
                </c:pt>
                <c:pt idx="3231">
                  <c:v>16.16</c:v>
                </c:pt>
                <c:pt idx="3232">
                  <c:v>15.3</c:v>
                </c:pt>
                <c:pt idx="3233">
                  <c:v>15.55</c:v>
                </c:pt>
                <c:pt idx="3234">
                  <c:v>16.16</c:v>
                </c:pt>
                <c:pt idx="3235">
                  <c:v>17.29</c:v>
                </c:pt>
                <c:pt idx="3236">
                  <c:v>16.16</c:v>
                </c:pt>
                <c:pt idx="3237">
                  <c:v>18.14</c:v>
                </c:pt>
                <c:pt idx="3238">
                  <c:v>18.07</c:v>
                </c:pt>
                <c:pt idx="3239">
                  <c:v>16.22</c:v>
                </c:pt>
                <c:pt idx="3240">
                  <c:v>15.39</c:v>
                </c:pt>
                <c:pt idx="3241">
                  <c:v>15.78</c:v>
                </c:pt>
                <c:pt idx="3242">
                  <c:v>15.48</c:v>
                </c:pt>
                <c:pt idx="3243">
                  <c:v>15.78</c:v>
                </c:pt>
                <c:pt idx="3244">
                  <c:v>15.94</c:v>
                </c:pt>
                <c:pt idx="3245">
                  <c:v>15.32</c:v>
                </c:pt>
                <c:pt idx="3246">
                  <c:v>14.53</c:v>
                </c:pt>
                <c:pt idx="3247">
                  <c:v>14.54</c:v>
                </c:pt>
                <c:pt idx="3248">
                  <c:v>13.36</c:v>
                </c:pt>
                <c:pt idx="3249">
                  <c:v>13.22</c:v>
                </c:pt>
                <c:pt idx="3250">
                  <c:v>12.95</c:v>
                </c:pt>
                <c:pt idx="3251">
                  <c:v>13.13</c:v>
                </c:pt>
                <c:pt idx="3252">
                  <c:v>14.38</c:v>
                </c:pt>
                <c:pt idx="3253">
                  <c:v>13.54</c:v>
                </c:pt>
                <c:pt idx="3254">
                  <c:v>13.18</c:v>
                </c:pt>
                <c:pt idx="3255">
                  <c:v>13.44</c:v>
                </c:pt>
                <c:pt idx="3256">
                  <c:v>13.03</c:v>
                </c:pt>
                <c:pt idx="3257">
                  <c:v>13.5</c:v>
                </c:pt>
                <c:pt idx="3258">
                  <c:v>12.73</c:v>
                </c:pt>
                <c:pt idx="3259">
                  <c:v>12.44</c:v>
                </c:pt>
                <c:pt idx="3260">
                  <c:v>14.39</c:v>
                </c:pt>
                <c:pt idx="3261">
                  <c:v>16.600000000000001</c:v>
                </c:pt>
                <c:pt idx="3262">
                  <c:v>14.93</c:v>
                </c:pt>
                <c:pt idx="3263">
                  <c:v>14.92</c:v>
                </c:pt>
                <c:pt idx="3264">
                  <c:v>13.91</c:v>
                </c:pt>
                <c:pt idx="3265">
                  <c:v>12.91</c:v>
                </c:pt>
                <c:pt idx="3266">
                  <c:v>12.1</c:v>
                </c:pt>
                <c:pt idx="3267">
                  <c:v>11.66</c:v>
                </c:pt>
                <c:pt idx="3268">
                  <c:v>12.54</c:v>
                </c:pt>
                <c:pt idx="3269">
                  <c:v>12.52</c:v>
                </c:pt>
                <c:pt idx="3270">
                  <c:v>12.29</c:v>
                </c:pt>
                <c:pt idx="3271">
                  <c:v>12.13</c:v>
                </c:pt>
                <c:pt idx="3272">
                  <c:v>12.98</c:v>
                </c:pt>
                <c:pt idx="3273">
                  <c:v>12.19</c:v>
                </c:pt>
                <c:pt idx="3274">
                  <c:v>12.79</c:v>
                </c:pt>
                <c:pt idx="3275">
                  <c:v>14.61</c:v>
                </c:pt>
                <c:pt idx="3276">
                  <c:v>12.9</c:v>
                </c:pt>
                <c:pt idx="3277">
                  <c:v>12.54</c:v>
                </c:pt>
                <c:pt idx="3278">
                  <c:v>14.6</c:v>
                </c:pt>
                <c:pt idx="3279">
                  <c:v>15.07</c:v>
                </c:pt>
                <c:pt idx="3280">
                  <c:v>16.71</c:v>
                </c:pt>
                <c:pt idx="3281">
                  <c:v>16.52</c:v>
                </c:pt>
                <c:pt idx="3282">
                  <c:v>17.54</c:v>
                </c:pt>
                <c:pt idx="3283">
                  <c:v>15.73</c:v>
                </c:pt>
                <c:pt idx="3284">
                  <c:v>17.7</c:v>
                </c:pt>
                <c:pt idx="3285">
                  <c:v>15.37</c:v>
                </c:pt>
                <c:pt idx="3286">
                  <c:v>15.62</c:v>
                </c:pt>
                <c:pt idx="3287">
                  <c:v>14.99</c:v>
                </c:pt>
                <c:pt idx="3288">
                  <c:v>13.42</c:v>
                </c:pt>
                <c:pt idx="3289">
                  <c:v>12.52</c:v>
                </c:pt>
                <c:pt idx="3290">
                  <c:v>14.05</c:v>
                </c:pt>
                <c:pt idx="3291">
                  <c:v>13.07</c:v>
                </c:pt>
                <c:pt idx="3292">
                  <c:v>12.39</c:v>
                </c:pt>
                <c:pt idx="3293">
                  <c:v>12.46</c:v>
                </c:pt>
                <c:pt idx="3294">
                  <c:v>12.91</c:v>
                </c:pt>
                <c:pt idx="3295">
                  <c:v>11.87</c:v>
                </c:pt>
                <c:pt idx="3296">
                  <c:v>12.2</c:v>
                </c:pt>
                <c:pt idx="3297">
                  <c:v>13</c:v>
                </c:pt>
                <c:pt idx="3298">
                  <c:v>13.47</c:v>
                </c:pt>
                <c:pt idx="3299">
                  <c:v>12.61</c:v>
                </c:pt>
                <c:pt idx="3300">
                  <c:v>12.37</c:v>
                </c:pt>
                <c:pt idx="3301">
                  <c:v>12.45</c:v>
                </c:pt>
                <c:pt idx="3302">
                  <c:v>12.17</c:v>
                </c:pt>
                <c:pt idx="3303">
                  <c:v>13.63</c:v>
                </c:pt>
                <c:pt idx="3304">
                  <c:v>13.98</c:v>
                </c:pt>
                <c:pt idx="3305">
                  <c:v>13.09</c:v>
                </c:pt>
                <c:pt idx="3306">
                  <c:v>13.57</c:v>
                </c:pt>
                <c:pt idx="3307">
                  <c:v>12.43</c:v>
                </c:pt>
                <c:pt idx="3308">
                  <c:v>11.91</c:v>
                </c:pt>
                <c:pt idx="3309">
                  <c:v>11.12</c:v>
                </c:pt>
                <c:pt idx="3310">
                  <c:v>10.93</c:v>
                </c:pt>
                <c:pt idx="3311">
                  <c:v>10.94</c:v>
                </c:pt>
                <c:pt idx="3312">
                  <c:v>11.82</c:v>
                </c:pt>
                <c:pt idx="3313">
                  <c:v>14.5</c:v>
                </c:pt>
                <c:pt idx="3314">
                  <c:v>13.93</c:v>
                </c:pt>
                <c:pt idx="3315">
                  <c:v>13.52</c:v>
                </c:pt>
                <c:pt idx="3316">
                  <c:v>14.18</c:v>
                </c:pt>
                <c:pt idx="3317">
                  <c:v>13.18</c:v>
                </c:pt>
                <c:pt idx="3318">
                  <c:v>12.57</c:v>
                </c:pt>
                <c:pt idx="3319">
                  <c:v>12.47</c:v>
                </c:pt>
                <c:pt idx="3320">
                  <c:v>13.09</c:v>
                </c:pt>
                <c:pt idx="3321">
                  <c:v>12.03</c:v>
                </c:pt>
                <c:pt idx="3322">
                  <c:v>12.13</c:v>
                </c:pt>
                <c:pt idx="3323">
                  <c:v>12.37</c:v>
                </c:pt>
                <c:pt idx="3324">
                  <c:v>12.01</c:v>
                </c:pt>
                <c:pt idx="3325">
                  <c:v>12.34</c:v>
                </c:pt>
                <c:pt idx="3326">
                  <c:v>12.25</c:v>
                </c:pt>
                <c:pt idx="3327">
                  <c:v>13.54</c:v>
                </c:pt>
                <c:pt idx="3328">
                  <c:v>13.13</c:v>
                </c:pt>
                <c:pt idx="3329">
                  <c:v>13.69</c:v>
                </c:pt>
                <c:pt idx="3330">
                  <c:v>14.21</c:v>
                </c:pt>
                <c:pt idx="3331">
                  <c:v>14.72</c:v>
                </c:pt>
                <c:pt idx="3332">
                  <c:v>15.09</c:v>
                </c:pt>
                <c:pt idx="3333">
                  <c:v>13.96</c:v>
                </c:pt>
                <c:pt idx="3334">
                  <c:v>13.07</c:v>
                </c:pt>
                <c:pt idx="3335">
                  <c:v>12.91</c:v>
                </c:pt>
                <c:pt idx="3336">
                  <c:v>12.13</c:v>
                </c:pt>
                <c:pt idx="3337">
                  <c:v>12.72</c:v>
                </c:pt>
                <c:pt idx="3338">
                  <c:v>13.48</c:v>
                </c:pt>
                <c:pt idx="3339">
                  <c:v>12.61</c:v>
                </c:pt>
                <c:pt idx="3340">
                  <c:v>11.82</c:v>
                </c:pt>
                <c:pt idx="3341">
                  <c:v>11.76</c:v>
                </c:pt>
                <c:pt idx="3342">
                  <c:v>12.46</c:v>
                </c:pt>
                <c:pt idx="3343">
                  <c:v>12.28</c:v>
                </c:pt>
                <c:pt idx="3344">
                  <c:v>12.21</c:v>
                </c:pt>
                <c:pt idx="3345">
                  <c:v>12.77</c:v>
                </c:pt>
                <c:pt idx="3346">
                  <c:v>12.59</c:v>
                </c:pt>
                <c:pt idx="3347">
                  <c:v>11.99</c:v>
                </c:pt>
                <c:pt idx="3348">
                  <c:v>12.47</c:v>
                </c:pt>
                <c:pt idx="3349">
                  <c:v>11.66</c:v>
                </c:pt>
                <c:pt idx="3350">
                  <c:v>12.84</c:v>
                </c:pt>
                <c:pt idx="3351">
                  <c:v>14.29</c:v>
                </c:pt>
                <c:pt idx="3352">
                  <c:v>16.05</c:v>
                </c:pt>
                <c:pt idx="3353">
                  <c:v>16.12</c:v>
                </c:pt>
                <c:pt idx="3354">
                  <c:v>16.03</c:v>
                </c:pt>
                <c:pt idx="3355">
                  <c:v>23.07</c:v>
                </c:pt>
                <c:pt idx="3356">
                  <c:v>21.63</c:v>
                </c:pt>
                <c:pt idx="3357">
                  <c:v>21.97</c:v>
                </c:pt>
                <c:pt idx="3358">
                  <c:v>20.28</c:v>
                </c:pt>
                <c:pt idx="3359">
                  <c:v>17.059999999999999</c:v>
                </c:pt>
                <c:pt idx="3360">
                  <c:v>18.02</c:v>
                </c:pt>
                <c:pt idx="3361">
                  <c:v>19.239999999999998</c:v>
                </c:pt>
                <c:pt idx="3362">
                  <c:v>19.38</c:v>
                </c:pt>
                <c:pt idx="3363">
                  <c:v>22.18</c:v>
                </c:pt>
                <c:pt idx="3364">
                  <c:v>21.6</c:v>
                </c:pt>
                <c:pt idx="3365">
                  <c:v>24.78</c:v>
                </c:pt>
                <c:pt idx="3366">
                  <c:v>24.51</c:v>
                </c:pt>
                <c:pt idx="3367">
                  <c:v>24.48</c:v>
                </c:pt>
                <c:pt idx="3368">
                  <c:v>23.94</c:v>
                </c:pt>
                <c:pt idx="3369">
                  <c:v>22.72</c:v>
                </c:pt>
                <c:pt idx="3370">
                  <c:v>20.96</c:v>
                </c:pt>
                <c:pt idx="3371">
                  <c:v>18.52</c:v>
                </c:pt>
                <c:pt idx="3372">
                  <c:v>20.58</c:v>
                </c:pt>
                <c:pt idx="3373">
                  <c:v>19.84</c:v>
                </c:pt>
                <c:pt idx="3374">
                  <c:v>18.03</c:v>
                </c:pt>
                <c:pt idx="3375">
                  <c:v>16.18</c:v>
                </c:pt>
                <c:pt idx="3376">
                  <c:v>16.87</c:v>
                </c:pt>
                <c:pt idx="3377">
                  <c:v>17.260000000000002</c:v>
                </c:pt>
                <c:pt idx="3378">
                  <c:v>19.45</c:v>
                </c:pt>
                <c:pt idx="3379">
                  <c:v>20.52</c:v>
                </c:pt>
                <c:pt idx="3380">
                  <c:v>20.41</c:v>
                </c:pt>
                <c:pt idx="3381">
                  <c:v>20.04</c:v>
                </c:pt>
                <c:pt idx="3382">
                  <c:v>18.78</c:v>
                </c:pt>
                <c:pt idx="3383">
                  <c:v>20.76</c:v>
                </c:pt>
                <c:pt idx="3384">
                  <c:v>21.66</c:v>
                </c:pt>
                <c:pt idx="3385">
                  <c:v>21.23</c:v>
                </c:pt>
                <c:pt idx="3386">
                  <c:v>20.78</c:v>
                </c:pt>
                <c:pt idx="3387">
                  <c:v>19.41</c:v>
                </c:pt>
                <c:pt idx="3388">
                  <c:v>18.87</c:v>
                </c:pt>
                <c:pt idx="3389">
                  <c:v>18.649999999999999</c:v>
                </c:pt>
                <c:pt idx="3390">
                  <c:v>19.18</c:v>
                </c:pt>
                <c:pt idx="3391">
                  <c:v>16.04</c:v>
                </c:pt>
                <c:pt idx="3392">
                  <c:v>16.84</c:v>
                </c:pt>
                <c:pt idx="3393">
                  <c:v>23.53</c:v>
                </c:pt>
                <c:pt idx="3394">
                  <c:v>22.42</c:v>
                </c:pt>
                <c:pt idx="3395">
                  <c:v>23.95</c:v>
                </c:pt>
                <c:pt idx="3396">
                  <c:v>22.96</c:v>
                </c:pt>
                <c:pt idx="3397">
                  <c:v>21.91</c:v>
                </c:pt>
                <c:pt idx="3398">
                  <c:v>21</c:v>
                </c:pt>
                <c:pt idx="3399">
                  <c:v>21.57</c:v>
                </c:pt>
                <c:pt idx="3400">
                  <c:v>22.36</c:v>
                </c:pt>
                <c:pt idx="3401">
                  <c:v>24.68</c:v>
                </c:pt>
                <c:pt idx="3402">
                  <c:v>25.15</c:v>
                </c:pt>
                <c:pt idx="3403">
                  <c:v>26.09</c:v>
                </c:pt>
                <c:pt idx="3404">
                  <c:v>28.24</c:v>
                </c:pt>
                <c:pt idx="3405">
                  <c:v>29.29</c:v>
                </c:pt>
                <c:pt idx="3406">
                  <c:v>35.5</c:v>
                </c:pt>
                <c:pt idx="3407">
                  <c:v>31.2</c:v>
                </c:pt>
                <c:pt idx="3408">
                  <c:v>29.97</c:v>
                </c:pt>
                <c:pt idx="3409">
                  <c:v>27.59</c:v>
                </c:pt>
                <c:pt idx="3410">
                  <c:v>27.54</c:v>
                </c:pt>
                <c:pt idx="3411">
                  <c:v>25.68</c:v>
                </c:pt>
                <c:pt idx="3412">
                  <c:v>24.36</c:v>
                </c:pt>
                <c:pt idx="3413">
                  <c:v>22.06</c:v>
                </c:pt>
                <c:pt idx="3414">
                  <c:v>20.96</c:v>
                </c:pt>
                <c:pt idx="3415">
                  <c:v>20.440000000000001</c:v>
                </c:pt>
                <c:pt idx="3416">
                  <c:v>20.98</c:v>
                </c:pt>
                <c:pt idx="3417">
                  <c:v>19.68</c:v>
                </c:pt>
                <c:pt idx="3418">
                  <c:v>19.84</c:v>
                </c:pt>
                <c:pt idx="3419">
                  <c:v>18.53</c:v>
                </c:pt>
                <c:pt idx="3420">
                  <c:v>18.079999999999998</c:v>
                </c:pt>
                <c:pt idx="3421">
                  <c:v>19.510000000000002</c:v>
                </c:pt>
                <c:pt idx="3422">
                  <c:v>17.8</c:v>
                </c:pt>
                <c:pt idx="3423">
                  <c:v>18.53</c:v>
                </c:pt>
                <c:pt idx="3424">
                  <c:v>20.85</c:v>
                </c:pt>
                <c:pt idx="3425">
                  <c:v>19.690000000000001</c:v>
                </c:pt>
                <c:pt idx="3426">
                  <c:v>18.43</c:v>
                </c:pt>
                <c:pt idx="3427">
                  <c:v>18.559999999999999</c:v>
                </c:pt>
                <c:pt idx="3428">
                  <c:v>19.45</c:v>
                </c:pt>
                <c:pt idx="3429">
                  <c:v>19.149999999999999</c:v>
                </c:pt>
                <c:pt idx="3430">
                  <c:v>17.39</c:v>
                </c:pt>
                <c:pt idx="3431">
                  <c:v>16.63</c:v>
                </c:pt>
                <c:pt idx="3432">
                  <c:v>16.72</c:v>
                </c:pt>
                <c:pt idx="3433">
                  <c:v>15.79</c:v>
                </c:pt>
                <c:pt idx="3434">
                  <c:v>15.44</c:v>
                </c:pt>
                <c:pt idx="3435">
                  <c:v>15.66</c:v>
                </c:pt>
                <c:pt idx="3436">
                  <c:v>16.809999999999999</c:v>
                </c:pt>
                <c:pt idx="3437">
                  <c:v>16.170000000000002</c:v>
                </c:pt>
                <c:pt idx="3438">
                  <c:v>15.23</c:v>
                </c:pt>
                <c:pt idx="3439">
                  <c:v>15.46</c:v>
                </c:pt>
                <c:pt idx="3440">
                  <c:v>15.61</c:v>
                </c:pt>
                <c:pt idx="3441">
                  <c:v>16.82</c:v>
                </c:pt>
                <c:pt idx="3442">
                  <c:v>15.65</c:v>
                </c:pt>
                <c:pt idx="3443">
                  <c:v>14.92</c:v>
                </c:pt>
                <c:pt idx="3444">
                  <c:v>14</c:v>
                </c:pt>
                <c:pt idx="3445">
                  <c:v>14.46</c:v>
                </c:pt>
                <c:pt idx="3446">
                  <c:v>13.91</c:v>
                </c:pt>
                <c:pt idx="3447">
                  <c:v>15.16</c:v>
                </c:pt>
                <c:pt idx="3448">
                  <c:v>15.53</c:v>
                </c:pt>
                <c:pt idx="3449">
                  <c:v>15.17</c:v>
                </c:pt>
                <c:pt idx="3450">
                  <c:v>14.57</c:v>
                </c:pt>
                <c:pt idx="3451">
                  <c:v>13.77</c:v>
                </c:pt>
                <c:pt idx="3452">
                  <c:v>14.52</c:v>
                </c:pt>
                <c:pt idx="3453">
                  <c:v>14.91</c:v>
                </c:pt>
                <c:pt idx="3454">
                  <c:v>16.329999999999998</c:v>
                </c:pt>
                <c:pt idx="3455">
                  <c:v>17.38</c:v>
                </c:pt>
                <c:pt idx="3456">
                  <c:v>16.28</c:v>
                </c:pt>
                <c:pt idx="3457">
                  <c:v>13.97</c:v>
                </c:pt>
                <c:pt idx="3458">
                  <c:v>14</c:v>
                </c:pt>
                <c:pt idx="3459">
                  <c:v>13.35</c:v>
                </c:pt>
                <c:pt idx="3460">
                  <c:v>13.21</c:v>
                </c:pt>
                <c:pt idx="3461">
                  <c:v>13.13</c:v>
                </c:pt>
                <c:pt idx="3462">
                  <c:v>12.89</c:v>
                </c:pt>
                <c:pt idx="3463">
                  <c:v>13.54</c:v>
                </c:pt>
                <c:pt idx="3464">
                  <c:v>14.11</c:v>
                </c:pt>
                <c:pt idx="3465">
                  <c:v>13.77</c:v>
                </c:pt>
                <c:pt idx="3466">
                  <c:v>17.760000000000002</c:v>
                </c:pt>
                <c:pt idx="3467">
                  <c:v>16.22</c:v>
                </c:pt>
                <c:pt idx="3468">
                  <c:v>14.52</c:v>
                </c:pt>
                <c:pt idx="3469">
                  <c:v>15.38</c:v>
                </c:pt>
                <c:pt idx="3470">
                  <c:v>14.19</c:v>
                </c:pt>
                <c:pt idx="3471">
                  <c:v>13.9</c:v>
                </c:pt>
                <c:pt idx="3472">
                  <c:v>13.62</c:v>
                </c:pt>
                <c:pt idx="3473">
                  <c:v>13.06</c:v>
                </c:pt>
                <c:pt idx="3474">
                  <c:v>13.84</c:v>
                </c:pt>
                <c:pt idx="3475">
                  <c:v>13.46</c:v>
                </c:pt>
                <c:pt idx="3476">
                  <c:v>13.55</c:v>
                </c:pt>
                <c:pt idx="3477">
                  <c:v>13.46</c:v>
                </c:pt>
                <c:pt idx="3478">
                  <c:v>14.09</c:v>
                </c:pt>
                <c:pt idx="3479">
                  <c:v>13.37</c:v>
                </c:pt>
                <c:pt idx="3480">
                  <c:v>12.96</c:v>
                </c:pt>
                <c:pt idx="3481">
                  <c:v>12.46</c:v>
                </c:pt>
                <c:pt idx="3482">
                  <c:v>12.26</c:v>
                </c:pt>
                <c:pt idx="3483">
                  <c:v>12.12</c:v>
                </c:pt>
                <c:pt idx="3484">
                  <c:v>12.8</c:v>
                </c:pt>
                <c:pt idx="3485">
                  <c:v>12.09</c:v>
                </c:pt>
                <c:pt idx="3486">
                  <c:v>13.21</c:v>
                </c:pt>
                <c:pt idx="3487">
                  <c:v>12.66</c:v>
                </c:pt>
                <c:pt idx="3488">
                  <c:v>12.53</c:v>
                </c:pt>
                <c:pt idx="3489">
                  <c:v>13.29</c:v>
                </c:pt>
                <c:pt idx="3490">
                  <c:v>13.44</c:v>
                </c:pt>
                <c:pt idx="3491">
                  <c:v>13.04</c:v>
                </c:pt>
                <c:pt idx="3492">
                  <c:v>13.11</c:v>
                </c:pt>
                <c:pt idx="3493">
                  <c:v>12.86</c:v>
                </c:pt>
                <c:pt idx="3494">
                  <c:v>14.35</c:v>
                </c:pt>
                <c:pt idx="3495">
                  <c:v>14.11</c:v>
                </c:pt>
                <c:pt idx="3496">
                  <c:v>12.89</c:v>
                </c:pt>
                <c:pt idx="3497">
                  <c:v>15.9</c:v>
                </c:pt>
                <c:pt idx="3498">
                  <c:v>18.95</c:v>
                </c:pt>
                <c:pt idx="3499">
                  <c:v>21.4</c:v>
                </c:pt>
                <c:pt idx="3500">
                  <c:v>18.79</c:v>
                </c:pt>
                <c:pt idx="3501">
                  <c:v>18.62</c:v>
                </c:pt>
                <c:pt idx="3502">
                  <c:v>19.399999999999999</c:v>
                </c:pt>
                <c:pt idx="3503">
                  <c:v>17.57</c:v>
                </c:pt>
                <c:pt idx="3504">
                  <c:v>16.690000000000001</c:v>
                </c:pt>
                <c:pt idx="3505">
                  <c:v>15.89</c:v>
                </c:pt>
                <c:pt idx="3506">
                  <c:v>15.88</c:v>
                </c:pt>
                <c:pt idx="3507">
                  <c:v>15.86</c:v>
                </c:pt>
                <c:pt idx="3508">
                  <c:v>15.06</c:v>
                </c:pt>
                <c:pt idx="3509">
                  <c:v>15.93</c:v>
                </c:pt>
                <c:pt idx="3510">
                  <c:v>16.34</c:v>
                </c:pt>
                <c:pt idx="3511">
                  <c:v>16.55</c:v>
                </c:pt>
                <c:pt idx="3512">
                  <c:v>18.55</c:v>
                </c:pt>
                <c:pt idx="3513">
                  <c:v>17.47</c:v>
                </c:pt>
                <c:pt idx="3514">
                  <c:v>19.05</c:v>
                </c:pt>
                <c:pt idx="3515">
                  <c:v>19.41</c:v>
                </c:pt>
                <c:pt idx="3516">
                  <c:v>18.739999999999998</c:v>
                </c:pt>
                <c:pt idx="3517">
                  <c:v>17.059999999999999</c:v>
                </c:pt>
                <c:pt idx="3518">
                  <c:v>16.25</c:v>
                </c:pt>
                <c:pt idx="3519">
                  <c:v>15.65</c:v>
                </c:pt>
                <c:pt idx="3520">
                  <c:v>16.3</c:v>
                </c:pt>
                <c:pt idx="3521">
                  <c:v>15.84</c:v>
                </c:pt>
                <c:pt idx="3522">
                  <c:v>16.260000000000002</c:v>
                </c:pt>
                <c:pt idx="3523">
                  <c:v>16.16</c:v>
                </c:pt>
                <c:pt idx="3524">
                  <c:v>16</c:v>
                </c:pt>
                <c:pt idx="3525">
                  <c:v>15.65</c:v>
                </c:pt>
                <c:pt idx="3526">
                  <c:v>14.89</c:v>
                </c:pt>
                <c:pt idx="3527">
                  <c:v>15.05</c:v>
                </c:pt>
                <c:pt idx="3528">
                  <c:v>14.04</c:v>
                </c:pt>
                <c:pt idx="3529">
                  <c:v>14.74</c:v>
                </c:pt>
                <c:pt idx="3530">
                  <c:v>15.46</c:v>
                </c:pt>
                <c:pt idx="3531">
                  <c:v>15.43</c:v>
                </c:pt>
                <c:pt idx="3532">
                  <c:v>16.100000000000001</c:v>
                </c:pt>
                <c:pt idx="3533">
                  <c:v>15.66</c:v>
                </c:pt>
                <c:pt idx="3534">
                  <c:v>15.7</c:v>
                </c:pt>
                <c:pt idx="3535">
                  <c:v>13.85</c:v>
                </c:pt>
                <c:pt idx="3536">
                  <c:v>14.16</c:v>
                </c:pt>
                <c:pt idx="3537">
                  <c:v>13.18</c:v>
                </c:pt>
                <c:pt idx="3538">
                  <c:v>13</c:v>
                </c:pt>
                <c:pt idx="3539">
                  <c:v>13.73</c:v>
                </c:pt>
                <c:pt idx="3540">
                  <c:v>14.47</c:v>
                </c:pt>
                <c:pt idx="3541">
                  <c:v>14.38</c:v>
                </c:pt>
                <c:pt idx="3542">
                  <c:v>13.01</c:v>
                </c:pt>
                <c:pt idx="3543">
                  <c:v>12.76</c:v>
                </c:pt>
                <c:pt idx="3544">
                  <c:v>12.58</c:v>
                </c:pt>
                <c:pt idx="3545">
                  <c:v>12.61</c:v>
                </c:pt>
                <c:pt idx="3546">
                  <c:v>12.62</c:v>
                </c:pt>
                <c:pt idx="3547">
                  <c:v>14.45</c:v>
                </c:pt>
                <c:pt idx="3548">
                  <c:v>13.31</c:v>
                </c:pt>
                <c:pt idx="3549">
                  <c:v>14.55</c:v>
                </c:pt>
                <c:pt idx="3550">
                  <c:v>13.42</c:v>
                </c:pt>
                <c:pt idx="3551">
                  <c:v>12.8</c:v>
                </c:pt>
                <c:pt idx="3552">
                  <c:v>12.24</c:v>
                </c:pt>
                <c:pt idx="3553">
                  <c:v>12.58</c:v>
                </c:pt>
                <c:pt idx="3554">
                  <c:v>12.15</c:v>
                </c:pt>
                <c:pt idx="3555">
                  <c:v>12.87</c:v>
                </c:pt>
                <c:pt idx="3556">
                  <c:v>13.83</c:v>
                </c:pt>
                <c:pt idx="3557">
                  <c:v>15.41</c:v>
                </c:pt>
                <c:pt idx="3558">
                  <c:v>17.690000000000001</c:v>
                </c:pt>
                <c:pt idx="3559">
                  <c:v>19.96</c:v>
                </c:pt>
                <c:pt idx="3560">
                  <c:v>22.29</c:v>
                </c:pt>
                <c:pt idx="3561">
                  <c:v>20.7</c:v>
                </c:pt>
                <c:pt idx="3562">
                  <c:v>19.36</c:v>
                </c:pt>
                <c:pt idx="3563">
                  <c:v>18.14</c:v>
                </c:pt>
                <c:pt idx="3564">
                  <c:v>17.87</c:v>
                </c:pt>
                <c:pt idx="3565">
                  <c:v>21.28</c:v>
                </c:pt>
                <c:pt idx="3566">
                  <c:v>17.809999999999999</c:v>
                </c:pt>
                <c:pt idx="3567">
                  <c:v>21.58</c:v>
                </c:pt>
                <c:pt idx="3568">
                  <c:v>20.48</c:v>
                </c:pt>
                <c:pt idx="3569">
                  <c:v>17.93</c:v>
                </c:pt>
                <c:pt idx="3570">
                  <c:v>16.78</c:v>
                </c:pt>
                <c:pt idx="3571">
                  <c:v>17.010000000000002</c:v>
                </c:pt>
                <c:pt idx="3572">
                  <c:v>16.12</c:v>
                </c:pt>
                <c:pt idx="3573">
                  <c:v>16.149999999999999</c:v>
                </c:pt>
                <c:pt idx="3574">
                  <c:v>20.34</c:v>
                </c:pt>
                <c:pt idx="3575">
                  <c:v>20.18</c:v>
                </c:pt>
                <c:pt idx="3576">
                  <c:v>20.55</c:v>
                </c:pt>
                <c:pt idx="3577">
                  <c:v>19.02</c:v>
                </c:pt>
                <c:pt idx="3578">
                  <c:v>17.940000000000001</c:v>
                </c:pt>
                <c:pt idx="3579">
                  <c:v>20.96</c:v>
                </c:pt>
                <c:pt idx="3580">
                  <c:v>18.23</c:v>
                </c:pt>
                <c:pt idx="3581">
                  <c:v>16.920000000000002</c:v>
                </c:pt>
                <c:pt idx="3582">
                  <c:v>15.92</c:v>
                </c:pt>
                <c:pt idx="3583">
                  <c:v>15.26</c:v>
                </c:pt>
                <c:pt idx="3584">
                  <c:v>15.53</c:v>
                </c:pt>
                <c:pt idx="3585">
                  <c:v>15.33</c:v>
                </c:pt>
                <c:pt idx="3586">
                  <c:v>14.69</c:v>
                </c:pt>
                <c:pt idx="3587">
                  <c:v>14.16</c:v>
                </c:pt>
                <c:pt idx="3588">
                  <c:v>14.89</c:v>
                </c:pt>
                <c:pt idx="3589">
                  <c:v>14.92</c:v>
                </c:pt>
                <c:pt idx="3590">
                  <c:v>14.61</c:v>
                </c:pt>
                <c:pt idx="3591">
                  <c:v>14.66</c:v>
                </c:pt>
                <c:pt idx="3592">
                  <c:v>13.94</c:v>
                </c:pt>
                <c:pt idx="3593">
                  <c:v>15.35</c:v>
                </c:pt>
                <c:pt idx="3594">
                  <c:v>14.77</c:v>
                </c:pt>
                <c:pt idx="3595">
                  <c:v>17.05</c:v>
                </c:pt>
                <c:pt idx="3596">
                  <c:v>16.23</c:v>
                </c:pt>
                <c:pt idx="3597">
                  <c:v>15.77</c:v>
                </c:pt>
                <c:pt idx="3598">
                  <c:v>17.23</c:v>
                </c:pt>
                <c:pt idx="3599">
                  <c:v>16.02</c:v>
                </c:pt>
                <c:pt idx="3600">
                  <c:v>18.75</c:v>
                </c:pt>
                <c:pt idx="3601">
                  <c:v>20.11</c:v>
                </c:pt>
                <c:pt idx="3602">
                  <c:v>19.420000000000002</c:v>
                </c:pt>
                <c:pt idx="3603">
                  <c:v>18.27</c:v>
                </c:pt>
                <c:pt idx="3604">
                  <c:v>17.61</c:v>
                </c:pt>
                <c:pt idx="3605">
                  <c:v>19.940000000000001</c:v>
                </c:pt>
                <c:pt idx="3606">
                  <c:v>19.28</c:v>
                </c:pt>
                <c:pt idx="3607">
                  <c:v>17.350000000000001</c:v>
                </c:pt>
                <c:pt idx="3608">
                  <c:v>15.66</c:v>
                </c:pt>
                <c:pt idx="3609">
                  <c:v>13.94</c:v>
                </c:pt>
                <c:pt idx="3610">
                  <c:v>13.94</c:v>
                </c:pt>
                <c:pt idx="3611">
                  <c:v>13.79</c:v>
                </c:pt>
                <c:pt idx="3612">
                  <c:v>14.2</c:v>
                </c:pt>
                <c:pt idx="3613">
                  <c:v>14.24</c:v>
                </c:pt>
                <c:pt idx="3614">
                  <c:v>13.99</c:v>
                </c:pt>
                <c:pt idx="3615">
                  <c:v>14.83</c:v>
                </c:pt>
                <c:pt idx="3616">
                  <c:v>13.98</c:v>
                </c:pt>
                <c:pt idx="3617">
                  <c:v>13.53</c:v>
                </c:pt>
                <c:pt idx="3618">
                  <c:v>13.01</c:v>
                </c:pt>
                <c:pt idx="3619">
                  <c:v>13.16</c:v>
                </c:pt>
                <c:pt idx="3620">
                  <c:v>13.23</c:v>
                </c:pt>
                <c:pt idx="3621">
                  <c:v>12.21</c:v>
                </c:pt>
                <c:pt idx="3622">
                  <c:v>12.99</c:v>
                </c:pt>
                <c:pt idx="3623">
                  <c:v>12.68</c:v>
                </c:pt>
                <c:pt idx="3624">
                  <c:v>12.85</c:v>
                </c:pt>
                <c:pt idx="3625">
                  <c:v>13.18</c:v>
                </c:pt>
                <c:pt idx="3626">
                  <c:v>12.59</c:v>
                </c:pt>
                <c:pt idx="3627">
                  <c:v>12.98</c:v>
                </c:pt>
                <c:pt idx="3628">
                  <c:v>13.15</c:v>
                </c:pt>
                <c:pt idx="3629">
                  <c:v>12.64</c:v>
                </c:pt>
                <c:pt idx="3630">
                  <c:v>12.91</c:v>
                </c:pt>
                <c:pt idx="3631">
                  <c:v>13.16</c:v>
                </c:pt>
                <c:pt idx="3632">
                  <c:v>12.95</c:v>
                </c:pt>
                <c:pt idx="3633">
                  <c:v>12.39</c:v>
                </c:pt>
                <c:pt idx="3634">
                  <c:v>12.33</c:v>
                </c:pt>
                <c:pt idx="3635">
                  <c:v>13.42</c:v>
                </c:pt>
                <c:pt idx="3636">
                  <c:v>13.35</c:v>
                </c:pt>
                <c:pt idx="3637">
                  <c:v>12.82</c:v>
                </c:pt>
                <c:pt idx="3638">
                  <c:v>12.51</c:v>
                </c:pt>
                <c:pt idx="3639">
                  <c:v>11.88</c:v>
                </c:pt>
                <c:pt idx="3640">
                  <c:v>11.55</c:v>
                </c:pt>
                <c:pt idx="3641">
                  <c:v>12.5</c:v>
                </c:pt>
                <c:pt idx="3642">
                  <c:v>12.69</c:v>
                </c:pt>
                <c:pt idx="3643">
                  <c:v>14.68</c:v>
                </c:pt>
                <c:pt idx="3644">
                  <c:v>16.38</c:v>
                </c:pt>
                <c:pt idx="3645">
                  <c:v>14.46</c:v>
                </c:pt>
                <c:pt idx="3646">
                  <c:v>14.37</c:v>
                </c:pt>
                <c:pt idx="3647">
                  <c:v>14.25</c:v>
                </c:pt>
                <c:pt idx="3648">
                  <c:v>15.8</c:v>
                </c:pt>
                <c:pt idx="3649">
                  <c:v>15.57</c:v>
                </c:pt>
                <c:pt idx="3650">
                  <c:v>14.94</c:v>
                </c:pt>
                <c:pt idx="3651">
                  <c:v>13.18</c:v>
                </c:pt>
                <c:pt idx="3652">
                  <c:v>12.47</c:v>
                </c:pt>
                <c:pt idx="3653">
                  <c:v>12.23</c:v>
                </c:pt>
                <c:pt idx="3654">
                  <c:v>12.24</c:v>
                </c:pt>
                <c:pt idx="3655">
                  <c:v>12.55</c:v>
                </c:pt>
                <c:pt idx="3656">
                  <c:v>12.55</c:v>
                </c:pt>
                <c:pt idx="3657">
                  <c:v>12.81</c:v>
                </c:pt>
                <c:pt idx="3658">
                  <c:v>12.65</c:v>
                </c:pt>
                <c:pt idx="3659">
                  <c:v>12.74</c:v>
                </c:pt>
                <c:pt idx="3660">
                  <c:v>12.61</c:v>
                </c:pt>
                <c:pt idx="3661">
                  <c:v>13.74</c:v>
                </c:pt>
                <c:pt idx="3662">
                  <c:v>14.84</c:v>
                </c:pt>
                <c:pt idx="3663">
                  <c:v>13.46</c:v>
                </c:pt>
                <c:pt idx="3664">
                  <c:v>15.01</c:v>
                </c:pt>
                <c:pt idx="3665">
                  <c:v>15.45</c:v>
                </c:pt>
                <c:pt idx="3666">
                  <c:v>13.84</c:v>
                </c:pt>
                <c:pt idx="3667">
                  <c:v>15.16</c:v>
                </c:pt>
                <c:pt idx="3668">
                  <c:v>12.95</c:v>
                </c:pt>
                <c:pt idx="3669">
                  <c:v>12.42</c:v>
                </c:pt>
                <c:pt idx="3670">
                  <c:v>12.84</c:v>
                </c:pt>
                <c:pt idx="3671">
                  <c:v>12.72</c:v>
                </c:pt>
                <c:pt idx="3672">
                  <c:v>12.79</c:v>
                </c:pt>
                <c:pt idx="3673">
                  <c:v>12.2</c:v>
                </c:pt>
                <c:pt idx="3674">
                  <c:v>12.21</c:v>
                </c:pt>
                <c:pt idx="3675">
                  <c:v>13.23</c:v>
                </c:pt>
                <c:pt idx="3676">
                  <c:v>12.45</c:v>
                </c:pt>
                <c:pt idx="3677">
                  <c:v>13.26</c:v>
                </c:pt>
                <c:pt idx="3678">
                  <c:v>12.75</c:v>
                </c:pt>
                <c:pt idx="3679">
                  <c:v>17.420000000000002</c:v>
                </c:pt>
                <c:pt idx="3680">
                  <c:v>16.940000000000001</c:v>
                </c:pt>
                <c:pt idx="3681">
                  <c:v>15.68</c:v>
                </c:pt>
                <c:pt idx="3682">
                  <c:v>17.82</c:v>
                </c:pt>
                <c:pt idx="3683">
                  <c:v>16.25</c:v>
                </c:pt>
                <c:pt idx="3684">
                  <c:v>18.64</c:v>
                </c:pt>
                <c:pt idx="3685">
                  <c:v>16.45</c:v>
                </c:pt>
                <c:pt idx="3686">
                  <c:v>16.29</c:v>
                </c:pt>
                <c:pt idx="3687">
                  <c:v>15.13</c:v>
                </c:pt>
                <c:pt idx="3688">
                  <c:v>15.07</c:v>
                </c:pt>
                <c:pt idx="3689">
                  <c:v>15.88</c:v>
                </c:pt>
                <c:pt idx="3690">
                  <c:v>14.91</c:v>
                </c:pt>
                <c:pt idx="3691">
                  <c:v>14.86</c:v>
                </c:pt>
                <c:pt idx="3692">
                  <c:v>14.43</c:v>
                </c:pt>
                <c:pt idx="3693">
                  <c:v>14.12</c:v>
                </c:pt>
                <c:pt idx="3694">
                  <c:v>14.98</c:v>
                </c:pt>
                <c:pt idx="3695">
                  <c:v>14.66</c:v>
                </c:pt>
                <c:pt idx="3696">
                  <c:v>14.54</c:v>
                </c:pt>
                <c:pt idx="3697">
                  <c:v>17.329999999999998</c:v>
                </c:pt>
                <c:pt idx="3698">
                  <c:v>22.25</c:v>
                </c:pt>
                <c:pt idx="3699">
                  <c:v>22.19</c:v>
                </c:pt>
                <c:pt idx="3700">
                  <c:v>26.63</c:v>
                </c:pt>
                <c:pt idx="3701">
                  <c:v>28.95</c:v>
                </c:pt>
                <c:pt idx="3702">
                  <c:v>42.02</c:v>
                </c:pt>
                <c:pt idx="3703">
                  <c:v>34.86</c:v>
                </c:pt>
                <c:pt idx="3704">
                  <c:v>33.64</c:v>
                </c:pt>
                <c:pt idx="3705">
                  <c:v>34.44</c:v>
                </c:pt>
                <c:pt idx="3706">
                  <c:v>33.61</c:v>
                </c:pt>
                <c:pt idx="3707">
                  <c:v>41.46</c:v>
                </c:pt>
                <c:pt idx="3708">
                  <c:v>41.94</c:v>
                </c:pt>
                <c:pt idx="3709">
                  <c:v>49.68</c:v>
                </c:pt>
                <c:pt idx="3710">
                  <c:v>52.24</c:v>
                </c:pt>
                <c:pt idx="3711">
                  <c:v>61.46</c:v>
                </c:pt>
                <c:pt idx="3712">
                  <c:v>71.31</c:v>
                </c:pt>
                <c:pt idx="3713">
                  <c:v>57.83</c:v>
                </c:pt>
                <c:pt idx="3714">
                  <c:v>82.69</c:v>
                </c:pt>
                <c:pt idx="3715">
                  <c:v>69.37</c:v>
                </c:pt>
                <c:pt idx="3716">
                  <c:v>80.62</c:v>
                </c:pt>
                <c:pt idx="3717">
                  <c:v>67.86</c:v>
                </c:pt>
                <c:pt idx="3718">
                  <c:v>74.08</c:v>
                </c:pt>
                <c:pt idx="3719">
                  <c:v>58.76</c:v>
                </c:pt>
                <c:pt idx="3720">
                  <c:v>61.44</c:v>
                </c:pt>
                <c:pt idx="3721">
                  <c:v>65.67</c:v>
                </c:pt>
                <c:pt idx="3722">
                  <c:v>64.95</c:v>
                </c:pt>
                <c:pt idx="3723">
                  <c:v>66.3</c:v>
                </c:pt>
                <c:pt idx="3724">
                  <c:v>56.69</c:v>
                </c:pt>
                <c:pt idx="3725">
                  <c:v>57.38</c:v>
                </c:pt>
                <c:pt idx="3726">
                  <c:v>54.46</c:v>
                </c:pt>
                <c:pt idx="3727">
                  <c:v>51.11</c:v>
                </c:pt>
                <c:pt idx="3728">
                  <c:v>44.17</c:v>
                </c:pt>
                <c:pt idx="3729">
                  <c:v>44.83</c:v>
                </c:pt>
                <c:pt idx="3730">
                  <c:v>45.9</c:v>
                </c:pt>
                <c:pt idx="3731">
                  <c:v>43</c:v>
                </c:pt>
                <c:pt idx="3732">
                  <c:v>44.6</c:v>
                </c:pt>
                <c:pt idx="3733">
                  <c:v>40.24</c:v>
                </c:pt>
                <c:pt idx="3734">
                  <c:v>39.4</c:v>
                </c:pt>
                <c:pt idx="3735">
                  <c:v>41.92</c:v>
                </c:pt>
                <c:pt idx="3736">
                  <c:v>39.5</c:v>
                </c:pt>
                <c:pt idx="3737">
                  <c:v>40.68</c:v>
                </c:pt>
                <c:pt idx="3738">
                  <c:v>44.28</c:v>
                </c:pt>
                <c:pt idx="3739">
                  <c:v>44.91</c:v>
                </c:pt>
                <c:pt idx="3740">
                  <c:v>41.3</c:v>
                </c:pt>
                <c:pt idx="3741">
                  <c:v>41.91</c:v>
                </c:pt>
                <c:pt idx="3742">
                  <c:v>36.29</c:v>
                </c:pt>
                <c:pt idx="3743">
                  <c:v>33.21</c:v>
                </c:pt>
                <c:pt idx="3744">
                  <c:v>32.479999999999997</c:v>
                </c:pt>
                <c:pt idx="3745">
                  <c:v>30.99</c:v>
                </c:pt>
                <c:pt idx="3746">
                  <c:v>38.17</c:v>
                </c:pt>
                <c:pt idx="3747">
                  <c:v>39.130000000000003</c:v>
                </c:pt>
                <c:pt idx="3748">
                  <c:v>34.82</c:v>
                </c:pt>
                <c:pt idx="3749">
                  <c:v>32.69</c:v>
                </c:pt>
                <c:pt idx="3750">
                  <c:v>32.119999999999997</c:v>
                </c:pt>
                <c:pt idx="3751">
                  <c:v>30.14</c:v>
                </c:pt>
                <c:pt idx="3752">
                  <c:v>28.46</c:v>
                </c:pt>
                <c:pt idx="3753">
                  <c:v>28.47</c:v>
                </c:pt>
                <c:pt idx="3754">
                  <c:v>32.74</c:v>
                </c:pt>
                <c:pt idx="3755">
                  <c:v>35.159999999999997</c:v>
                </c:pt>
                <c:pt idx="3756">
                  <c:v>32.5</c:v>
                </c:pt>
                <c:pt idx="3757">
                  <c:v>30.71</c:v>
                </c:pt>
                <c:pt idx="3758">
                  <c:v>28.73</c:v>
                </c:pt>
                <c:pt idx="3759">
                  <c:v>29.52</c:v>
                </c:pt>
                <c:pt idx="3760">
                  <c:v>28.97</c:v>
                </c:pt>
                <c:pt idx="3761">
                  <c:v>31.36</c:v>
                </c:pt>
                <c:pt idx="3762">
                  <c:v>27.72</c:v>
                </c:pt>
                <c:pt idx="3763">
                  <c:v>27.62</c:v>
                </c:pt>
                <c:pt idx="3764">
                  <c:v>27.82</c:v>
                </c:pt>
                <c:pt idx="3765">
                  <c:v>29.3</c:v>
                </c:pt>
                <c:pt idx="3766">
                  <c:v>28.94</c:v>
                </c:pt>
                <c:pt idx="3767">
                  <c:v>28.4</c:v>
                </c:pt>
                <c:pt idx="3768">
                  <c:v>26.75</c:v>
                </c:pt>
                <c:pt idx="3769">
                  <c:v>26.23</c:v>
                </c:pt>
                <c:pt idx="3770">
                  <c:v>24.79</c:v>
                </c:pt>
                <c:pt idx="3771">
                  <c:v>25.56</c:v>
                </c:pt>
                <c:pt idx="3772">
                  <c:v>25.93</c:v>
                </c:pt>
                <c:pt idx="3773">
                  <c:v>26.73</c:v>
                </c:pt>
                <c:pt idx="3774">
                  <c:v>30.45</c:v>
                </c:pt>
                <c:pt idx="3775">
                  <c:v>37.68</c:v>
                </c:pt>
                <c:pt idx="3776">
                  <c:v>44.09</c:v>
                </c:pt>
                <c:pt idx="3777">
                  <c:v>34.28</c:v>
                </c:pt>
                <c:pt idx="3778">
                  <c:v>33.28</c:v>
                </c:pt>
                <c:pt idx="3779">
                  <c:v>33.83</c:v>
                </c:pt>
                <c:pt idx="3780">
                  <c:v>32.07</c:v>
                </c:pt>
                <c:pt idx="3781">
                  <c:v>35.22</c:v>
                </c:pt>
                <c:pt idx="3782">
                  <c:v>31.71</c:v>
                </c:pt>
                <c:pt idx="3783">
                  <c:v>31.05</c:v>
                </c:pt>
                <c:pt idx="3784">
                  <c:v>36.590000000000003</c:v>
                </c:pt>
                <c:pt idx="3785">
                  <c:v>33.01</c:v>
                </c:pt>
                <c:pt idx="3786">
                  <c:v>35.049999999999997</c:v>
                </c:pt>
                <c:pt idx="3787">
                  <c:v>32.54</c:v>
                </c:pt>
                <c:pt idx="3788">
                  <c:v>30.96</c:v>
                </c:pt>
                <c:pt idx="3789">
                  <c:v>28.33</c:v>
                </c:pt>
                <c:pt idx="3790">
                  <c:v>27.68</c:v>
                </c:pt>
                <c:pt idx="3791">
                  <c:v>27.76</c:v>
                </c:pt>
                <c:pt idx="3792">
                  <c:v>28.77</c:v>
                </c:pt>
                <c:pt idx="3793">
                  <c:v>28.95</c:v>
                </c:pt>
                <c:pt idx="3794">
                  <c:v>28.18</c:v>
                </c:pt>
                <c:pt idx="3795">
                  <c:v>30.86</c:v>
                </c:pt>
                <c:pt idx="3796">
                  <c:v>27.85</c:v>
                </c:pt>
                <c:pt idx="3797">
                  <c:v>31.14</c:v>
                </c:pt>
                <c:pt idx="3798">
                  <c:v>29.15</c:v>
                </c:pt>
                <c:pt idx="3799">
                  <c:v>28.41</c:v>
                </c:pt>
                <c:pt idx="3800">
                  <c:v>27.15</c:v>
                </c:pt>
                <c:pt idx="3801">
                  <c:v>26.94</c:v>
                </c:pt>
                <c:pt idx="3802">
                  <c:v>24.08</c:v>
                </c:pt>
                <c:pt idx="3803">
                  <c:v>24.56</c:v>
                </c:pt>
                <c:pt idx="3804">
                  <c:v>23.97</c:v>
                </c:pt>
                <c:pt idx="3805">
                  <c:v>27.96</c:v>
                </c:pt>
                <c:pt idx="3806">
                  <c:v>26.6</c:v>
                </c:pt>
                <c:pt idx="3807">
                  <c:v>24.86</c:v>
                </c:pt>
                <c:pt idx="3808">
                  <c:v>25.16</c:v>
                </c:pt>
                <c:pt idx="3809">
                  <c:v>25.04</c:v>
                </c:pt>
                <c:pt idx="3810">
                  <c:v>24.79</c:v>
                </c:pt>
                <c:pt idx="3811">
                  <c:v>25.75</c:v>
                </c:pt>
                <c:pt idx="3812">
                  <c:v>24.01</c:v>
                </c:pt>
                <c:pt idx="3813">
                  <c:v>23.44</c:v>
                </c:pt>
                <c:pt idx="3814">
                  <c:v>23.03</c:v>
                </c:pt>
                <c:pt idx="3815">
                  <c:v>23.45</c:v>
                </c:pt>
                <c:pt idx="3816">
                  <c:v>22.88</c:v>
                </c:pt>
                <c:pt idx="3817">
                  <c:v>21.85</c:v>
                </c:pt>
                <c:pt idx="3818">
                  <c:v>22.82</c:v>
                </c:pt>
                <c:pt idx="3819">
                  <c:v>22.2</c:v>
                </c:pt>
                <c:pt idx="3820">
                  <c:v>22.27</c:v>
                </c:pt>
                <c:pt idx="3821">
                  <c:v>22.52</c:v>
                </c:pt>
                <c:pt idx="3822">
                  <c:v>21.69</c:v>
                </c:pt>
                <c:pt idx="3823">
                  <c:v>21.6</c:v>
                </c:pt>
                <c:pt idx="3824">
                  <c:v>24.1</c:v>
                </c:pt>
                <c:pt idx="3825">
                  <c:v>22.58</c:v>
                </c:pt>
                <c:pt idx="3826">
                  <c:v>22.87</c:v>
                </c:pt>
                <c:pt idx="3827">
                  <c:v>22.16</c:v>
                </c:pt>
                <c:pt idx="3828">
                  <c:v>22.14</c:v>
                </c:pt>
                <c:pt idx="3829">
                  <c:v>23.42</c:v>
                </c:pt>
                <c:pt idx="3830">
                  <c:v>24.59</c:v>
                </c:pt>
                <c:pt idx="3831">
                  <c:v>23.91</c:v>
                </c:pt>
                <c:pt idx="3832">
                  <c:v>25.86</c:v>
                </c:pt>
                <c:pt idx="3833">
                  <c:v>26.01</c:v>
                </c:pt>
                <c:pt idx="3834">
                  <c:v>26.28</c:v>
                </c:pt>
                <c:pt idx="3835">
                  <c:v>34.619999999999997</c:v>
                </c:pt>
                <c:pt idx="3836">
                  <c:v>30.61</c:v>
                </c:pt>
                <c:pt idx="3837">
                  <c:v>31.68</c:v>
                </c:pt>
                <c:pt idx="3838">
                  <c:v>28.67</c:v>
                </c:pt>
                <c:pt idx="3839">
                  <c:v>28.63</c:v>
                </c:pt>
                <c:pt idx="3840">
                  <c:v>25.86</c:v>
                </c:pt>
                <c:pt idx="3841">
                  <c:v>25.92</c:v>
                </c:pt>
                <c:pt idx="3842">
                  <c:v>25.31</c:v>
                </c:pt>
                <c:pt idx="3843">
                  <c:v>28.22</c:v>
                </c:pt>
                <c:pt idx="3844">
                  <c:v>26.65</c:v>
                </c:pt>
                <c:pt idx="3845">
                  <c:v>28.04</c:v>
                </c:pt>
                <c:pt idx="3846">
                  <c:v>28.61</c:v>
                </c:pt>
                <c:pt idx="3847">
                  <c:v>27.02</c:v>
                </c:pt>
                <c:pt idx="3848">
                  <c:v>29.54</c:v>
                </c:pt>
                <c:pt idx="3849">
                  <c:v>28.17</c:v>
                </c:pt>
                <c:pt idx="3850">
                  <c:v>27.15</c:v>
                </c:pt>
                <c:pt idx="3851">
                  <c:v>26.81</c:v>
                </c:pt>
                <c:pt idx="3852">
                  <c:v>26.69</c:v>
                </c:pt>
                <c:pt idx="3853">
                  <c:v>25.78</c:v>
                </c:pt>
                <c:pt idx="3854">
                  <c:v>28.87</c:v>
                </c:pt>
                <c:pt idx="3855">
                  <c:v>29.52</c:v>
                </c:pt>
                <c:pt idx="3856">
                  <c:v>28.05</c:v>
                </c:pt>
                <c:pt idx="3857">
                  <c:v>29.26</c:v>
                </c:pt>
                <c:pt idx="3858">
                  <c:v>27.65</c:v>
                </c:pt>
                <c:pt idx="3859">
                  <c:v>26.2</c:v>
                </c:pt>
                <c:pt idx="3860">
                  <c:v>25.65</c:v>
                </c:pt>
                <c:pt idx="3861">
                  <c:v>25.67</c:v>
                </c:pt>
                <c:pt idx="3862">
                  <c:v>25.72</c:v>
                </c:pt>
                <c:pt idx="3863">
                  <c:v>27.1</c:v>
                </c:pt>
                <c:pt idx="3864">
                  <c:v>27.16</c:v>
                </c:pt>
                <c:pt idx="3865">
                  <c:v>27.36</c:v>
                </c:pt>
                <c:pt idx="3866">
                  <c:v>28.81</c:v>
                </c:pt>
                <c:pt idx="3867">
                  <c:v>29.12</c:v>
                </c:pt>
                <c:pt idx="3868">
                  <c:v>30.1</c:v>
                </c:pt>
                <c:pt idx="3869">
                  <c:v>28.47</c:v>
                </c:pt>
                <c:pt idx="3870">
                  <c:v>29.38</c:v>
                </c:pt>
                <c:pt idx="3871">
                  <c:v>32.04</c:v>
                </c:pt>
                <c:pt idx="3872">
                  <c:v>34.69</c:v>
                </c:pt>
                <c:pt idx="3873">
                  <c:v>38.799999999999997</c:v>
                </c:pt>
                <c:pt idx="3874">
                  <c:v>40.81</c:v>
                </c:pt>
                <c:pt idx="3875">
                  <c:v>38.57</c:v>
                </c:pt>
                <c:pt idx="3876">
                  <c:v>36.44</c:v>
                </c:pt>
                <c:pt idx="3877">
                  <c:v>36.79</c:v>
                </c:pt>
                <c:pt idx="3878">
                  <c:v>27.56</c:v>
                </c:pt>
                <c:pt idx="3879">
                  <c:v>27.87</c:v>
                </c:pt>
                <c:pt idx="3880">
                  <c:v>24.8</c:v>
                </c:pt>
                <c:pt idx="3881">
                  <c:v>25.36</c:v>
                </c:pt>
                <c:pt idx="3882">
                  <c:v>25.01</c:v>
                </c:pt>
                <c:pt idx="3883">
                  <c:v>24.39</c:v>
                </c:pt>
                <c:pt idx="3884">
                  <c:v>24.94</c:v>
                </c:pt>
                <c:pt idx="3885">
                  <c:v>23.66</c:v>
                </c:pt>
                <c:pt idx="3886">
                  <c:v>22.84</c:v>
                </c:pt>
                <c:pt idx="3887">
                  <c:v>22.86</c:v>
                </c:pt>
                <c:pt idx="3888">
                  <c:v>23.62</c:v>
                </c:pt>
                <c:pt idx="3889">
                  <c:v>23.43</c:v>
                </c:pt>
                <c:pt idx="3890">
                  <c:v>23.66</c:v>
                </c:pt>
                <c:pt idx="3891">
                  <c:v>22.04</c:v>
                </c:pt>
                <c:pt idx="3892">
                  <c:v>21.65</c:v>
                </c:pt>
                <c:pt idx="3893">
                  <c:v>21.25</c:v>
                </c:pt>
                <c:pt idx="3894">
                  <c:v>21.52</c:v>
                </c:pt>
                <c:pt idx="3895">
                  <c:v>22.64</c:v>
                </c:pt>
                <c:pt idx="3896">
                  <c:v>20.21</c:v>
                </c:pt>
                <c:pt idx="3897">
                  <c:v>21</c:v>
                </c:pt>
                <c:pt idx="3898">
                  <c:v>21.24</c:v>
                </c:pt>
                <c:pt idx="3899">
                  <c:v>21.05</c:v>
                </c:pt>
                <c:pt idx="3900">
                  <c:v>22.04</c:v>
                </c:pt>
                <c:pt idx="3901">
                  <c:v>21.65</c:v>
                </c:pt>
                <c:pt idx="3902">
                  <c:v>20.66</c:v>
                </c:pt>
                <c:pt idx="3903">
                  <c:v>22.12</c:v>
                </c:pt>
                <c:pt idx="3904">
                  <c:v>22.49</c:v>
                </c:pt>
                <c:pt idx="3905">
                  <c:v>22.67</c:v>
                </c:pt>
                <c:pt idx="3906">
                  <c:v>24</c:v>
                </c:pt>
                <c:pt idx="3907">
                  <c:v>22.51</c:v>
                </c:pt>
                <c:pt idx="3908">
                  <c:v>21.98</c:v>
                </c:pt>
                <c:pt idx="3909">
                  <c:v>22.15</c:v>
                </c:pt>
                <c:pt idx="3910">
                  <c:v>24.25</c:v>
                </c:pt>
                <c:pt idx="3911">
                  <c:v>25.24</c:v>
                </c:pt>
                <c:pt idx="3912">
                  <c:v>23.49</c:v>
                </c:pt>
                <c:pt idx="3913">
                  <c:v>22.47</c:v>
                </c:pt>
                <c:pt idx="3914">
                  <c:v>21.53</c:v>
                </c:pt>
                <c:pt idx="3915">
                  <c:v>22.11</c:v>
                </c:pt>
                <c:pt idx="3916">
                  <c:v>21.61</c:v>
                </c:pt>
                <c:pt idx="3917">
                  <c:v>22.58</c:v>
                </c:pt>
                <c:pt idx="3918">
                  <c:v>22.99</c:v>
                </c:pt>
                <c:pt idx="3919">
                  <c:v>23.04</c:v>
                </c:pt>
                <c:pt idx="3920">
                  <c:v>26.94</c:v>
                </c:pt>
                <c:pt idx="3921">
                  <c:v>25.48</c:v>
                </c:pt>
                <c:pt idx="3922">
                  <c:v>23.67</c:v>
                </c:pt>
                <c:pt idx="3923">
                  <c:v>22.43</c:v>
                </c:pt>
                <c:pt idx="3924">
                  <c:v>23.31</c:v>
                </c:pt>
                <c:pt idx="3925">
                  <c:v>23.49</c:v>
                </c:pt>
                <c:pt idx="3926">
                  <c:v>23.07</c:v>
                </c:pt>
                <c:pt idx="3927">
                  <c:v>22.22</c:v>
                </c:pt>
                <c:pt idx="3928">
                  <c:v>23.52</c:v>
                </c:pt>
                <c:pt idx="3929">
                  <c:v>23.03</c:v>
                </c:pt>
                <c:pt idx="3930">
                  <c:v>22.82</c:v>
                </c:pt>
                <c:pt idx="3931">
                  <c:v>21.34</c:v>
                </c:pt>
                <c:pt idx="3932">
                  <c:v>22.24</c:v>
                </c:pt>
                <c:pt idx="3933">
                  <c:v>22.31</c:v>
                </c:pt>
                <c:pt idx="3934">
                  <c:v>23.91</c:v>
                </c:pt>
                <c:pt idx="3935">
                  <c:v>23.82</c:v>
                </c:pt>
                <c:pt idx="3936">
                  <c:v>33.25</c:v>
                </c:pt>
                <c:pt idx="3937">
                  <c:v>35.159999999999997</c:v>
                </c:pt>
                <c:pt idx="3938">
                  <c:v>31.45</c:v>
                </c:pt>
                <c:pt idx="3939">
                  <c:v>28.01</c:v>
                </c:pt>
                <c:pt idx="3940">
                  <c:v>24.59</c:v>
                </c:pt>
                <c:pt idx="3941">
                  <c:v>23.44</c:v>
                </c:pt>
                <c:pt idx="3942">
                  <c:v>21.99</c:v>
                </c:pt>
                <c:pt idx="3943">
                  <c:v>21.89</c:v>
                </c:pt>
                <c:pt idx="3944">
                  <c:v>21.57</c:v>
                </c:pt>
                <c:pt idx="3945">
                  <c:v>21.64</c:v>
                </c:pt>
                <c:pt idx="3946">
                  <c:v>22.09</c:v>
                </c:pt>
                <c:pt idx="3947">
                  <c:v>21.6</c:v>
                </c:pt>
                <c:pt idx="3948">
                  <c:v>21.13</c:v>
                </c:pt>
                <c:pt idx="3949">
                  <c:v>22.02</c:v>
                </c:pt>
                <c:pt idx="3950">
                  <c:v>21.98</c:v>
                </c:pt>
                <c:pt idx="3951">
                  <c:v>23.1</c:v>
                </c:pt>
                <c:pt idx="3952">
                  <c:v>24.46</c:v>
                </c:pt>
                <c:pt idx="3953">
                  <c:v>22.82</c:v>
                </c:pt>
                <c:pt idx="3954">
                  <c:v>23.76</c:v>
                </c:pt>
                <c:pt idx="3955">
                  <c:v>21.73</c:v>
                </c:pt>
                <c:pt idx="3956">
                  <c:v>28.73</c:v>
                </c:pt>
                <c:pt idx="3957">
                  <c:v>25.2</c:v>
                </c:pt>
                <c:pt idx="3958">
                  <c:v>23.58</c:v>
                </c:pt>
                <c:pt idx="3959">
                  <c:v>22.8</c:v>
                </c:pt>
                <c:pt idx="3960">
                  <c:v>26.52</c:v>
                </c:pt>
                <c:pt idx="3961">
                  <c:v>29.48</c:v>
                </c:pt>
                <c:pt idx="3962">
                  <c:v>27.61</c:v>
                </c:pt>
                <c:pt idx="3963">
                  <c:v>25.11</c:v>
                </c:pt>
                <c:pt idx="3964">
                  <c:v>23.76</c:v>
                </c:pt>
                <c:pt idx="3965">
                  <c:v>22.5</c:v>
                </c:pt>
                <c:pt idx="3966">
                  <c:v>22.57</c:v>
                </c:pt>
                <c:pt idx="3967">
                  <c:v>21.84</c:v>
                </c:pt>
                <c:pt idx="3968">
                  <c:v>20.14</c:v>
                </c:pt>
                <c:pt idx="3969">
                  <c:v>20.100000000000001</c:v>
                </c:pt>
                <c:pt idx="3970">
                  <c:v>18.95</c:v>
                </c:pt>
                <c:pt idx="3971">
                  <c:v>21.43</c:v>
                </c:pt>
                <c:pt idx="3972">
                  <c:v>21.91</c:v>
                </c:pt>
                <c:pt idx="3973">
                  <c:v>19.46</c:v>
                </c:pt>
                <c:pt idx="3974">
                  <c:v>20.64</c:v>
                </c:pt>
                <c:pt idx="3975">
                  <c:v>20.8</c:v>
                </c:pt>
                <c:pt idx="3976">
                  <c:v>19.32</c:v>
                </c:pt>
                <c:pt idx="3977">
                  <c:v>20.399999999999999</c:v>
                </c:pt>
                <c:pt idx="3978">
                  <c:v>20.76</c:v>
                </c:pt>
                <c:pt idx="3979">
                  <c:v>19.8</c:v>
                </c:pt>
                <c:pt idx="3980">
                  <c:v>18.600000000000001</c:v>
                </c:pt>
                <c:pt idx="3981">
                  <c:v>17.329999999999998</c:v>
                </c:pt>
                <c:pt idx="3982">
                  <c:v>18.16</c:v>
                </c:pt>
                <c:pt idx="3983">
                  <c:v>18.07</c:v>
                </c:pt>
                <c:pt idx="3984">
                  <c:v>17.989999999999998</c:v>
                </c:pt>
                <c:pt idx="3985">
                  <c:v>16.920000000000002</c:v>
                </c:pt>
                <c:pt idx="3986">
                  <c:v>17.05</c:v>
                </c:pt>
                <c:pt idx="3987">
                  <c:v>17.43</c:v>
                </c:pt>
                <c:pt idx="3988">
                  <c:v>16.989999999999998</c:v>
                </c:pt>
                <c:pt idx="3989">
                  <c:v>16.71</c:v>
                </c:pt>
                <c:pt idx="3990">
                  <c:v>16.78</c:v>
                </c:pt>
                <c:pt idx="3991">
                  <c:v>16.649999999999999</c:v>
                </c:pt>
                <c:pt idx="3992">
                  <c:v>17.04</c:v>
                </c:pt>
                <c:pt idx="3993">
                  <c:v>17.36</c:v>
                </c:pt>
                <c:pt idx="3994">
                  <c:v>18.48</c:v>
                </c:pt>
                <c:pt idx="3995">
                  <c:v>17.28</c:v>
                </c:pt>
                <c:pt idx="3996">
                  <c:v>18.559999999999999</c:v>
                </c:pt>
                <c:pt idx="3997">
                  <c:v>17.940000000000001</c:v>
                </c:pt>
                <c:pt idx="3998">
                  <c:v>17.62</c:v>
                </c:pt>
                <c:pt idx="3999">
                  <c:v>17.47</c:v>
                </c:pt>
                <c:pt idx="4000">
                  <c:v>16.88</c:v>
                </c:pt>
                <c:pt idx="4001">
                  <c:v>17.670000000000002</c:v>
                </c:pt>
                <c:pt idx="4002">
                  <c:v>18.649999999999999</c:v>
                </c:pt>
                <c:pt idx="4003">
                  <c:v>18.16</c:v>
                </c:pt>
                <c:pt idx="4004">
                  <c:v>18.84</c:v>
                </c:pt>
                <c:pt idx="4005">
                  <c:v>18.41</c:v>
                </c:pt>
                <c:pt idx="4006">
                  <c:v>18.45</c:v>
                </c:pt>
                <c:pt idx="4007">
                  <c:v>17.34</c:v>
                </c:pt>
                <c:pt idx="4008">
                  <c:v>21.17</c:v>
                </c:pt>
                <c:pt idx="4009">
                  <c:v>22.42</c:v>
                </c:pt>
                <c:pt idx="4010">
                  <c:v>26.03</c:v>
                </c:pt>
                <c:pt idx="4011">
                  <c:v>21.77</c:v>
                </c:pt>
                <c:pt idx="4012">
                  <c:v>19.89</c:v>
                </c:pt>
                <c:pt idx="4013">
                  <c:v>18.89</c:v>
                </c:pt>
                <c:pt idx="4014">
                  <c:v>22.46</c:v>
                </c:pt>
                <c:pt idx="4015">
                  <c:v>22.33</c:v>
                </c:pt>
                <c:pt idx="4016">
                  <c:v>20.420000000000002</c:v>
                </c:pt>
                <c:pt idx="4017">
                  <c:v>20.5</c:v>
                </c:pt>
                <c:pt idx="4018">
                  <c:v>18.350000000000001</c:v>
                </c:pt>
                <c:pt idx="4019">
                  <c:v>18.37</c:v>
                </c:pt>
                <c:pt idx="4020">
                  <c:v>18.03</c:v>
                </c:pt>
                <c:pt idx="4021">
                  <c:v>16.8</c:v>
                </c:pt>
                <c:pt idx="4022">
                  <c:v>17.239999999999998</c:v>
                </c:pt>
                <c:pt idx="4023">
                  <c:v>17.86</c:v>
                </c:pt>
                <c:pt idx="4024">
                  <c:v>17.73</c:v>
                </c:pt>
                <c:pt idx="4025">
                  <c:v>18.09</c:v>
                </c:pt>
                <c:pt idx="4026">
                  <c:v>17.34</c:v>
                </c:pt>
                <c:pt idx="4027">
                  <c:v>16.579999999999998</c:v>
                </c:pt>
                <c:pt idx="4028">
                  <c:v>17.18</c:v>
                </c:pt>
                <c:pt idx="4029">
                  <c:v>18.18</c:v>
                </c:pt>
                <c:pt idx="4030">
                  <c:v>16.18</c:v>
                </c:pt>
                <c:pt idx="4031">
                  <c:v>16.04</c:v>
                </c:pt>
                <c:pt idx="4032">
                  <c:v>16.27</c:v>
                </c:pt>
                <c:pt idx="4033">
                  <c:v>16.989999999999998</c:v>
                </c:pt>
                <c:pt idx="4034">
                  <c:v>18.489999999999998</c:v>
                </c:pt>
                <c:pt idx="4035">
                  <c:v>16.96</c:v>
                </c:pt>
                <c:pt idx="4036">
                  <c:v>21.74</c:v>
                </c:pt>
                <c:pt idx="4037">
                  <c:v>17.91</c:v>
                </c:pt>
                <c:pt idx="4038">
                  <c:v>16.25</c:v>
                </c:pt>
                <c:pt idx="4039">
                  <c:v>15.99</c:v>
                </c:pt>
                <c:pt idx="4040">
                  <c:v>16.04</c:v>
                </c:pt>
                <c:pt idx="4041">
                  <c:v>16.07</c:v>
                </c:pt>
                <c:pt idx="4042">
                  <c:v>15.69</c:v>
                </c:pt>
                <c:pt idx="4043">
                  <c:v>16.18</c:v>
                </c:pt>
                <c:pt idx="4044">
                  <c:v>15.62</c:v>
                </c:pt>
                <c:pt idx="4045">
                  <c:v>15.53</c:v>
                </c:pt>
                <c:pt idx="4046">
                  <c:v>15.77</c:v>
                </c:pt>
                <c:pt idx="4047">
                  <c:v>16.43</c:v>
                </c:pt>
                <c:pt idx="4048">
                  <c:v>17.739999999999998</c:v>
                </c:pt>
                <c:pt idx="4049">
                  <c:v>17.88</c:v>
                </c:pt>
                <c:pt idx="4050">
                  <c:v>16.850000000000001</c:v>
                </c:pt>
                <c:pt idx="4051">
                  <c:v>16.39</c:v>
                </c:pt>
                <c:pt idx="4052">
                  <c:v>17.34</c:v>
                </c:pt>
                <c:pt idx="4053">
                  <c:v>16.329999999999998</c:v>
                </c:pt>
              </c:numCache>
            </c:numRef>
          </c:val>
          <c:smooth val="0"/>
          <c:extLst xmlns:c16r2="http://schemas.microsoft.com/office/drawing/2015/06/chart">
            <c:ext xmlns:c16="http://schemas.microsoft.com/office/drawing/2014/chart" uri="{C3380CC4-5D6E-409C-BE32-E72D297353CC}">
              <c16:uniqueId val="{00000002-2702-440D-A268-4A4253A07A5A}"/>
            </c:ext>
          </c:extLst>
        </c:ser>
        <c:dLbls>
          <c:showLegendKey val="0"/>
          <c:showVal val="0"/>
          <c:showCatName val="0"/>
          <c:showSerName val="0"/>
          <c:showPercent val="0"/>
          <c:showBubbleSize val="0"/>
        </c:dLbls>
        <c:marker val="1"/>
        <c:smooth val="0"/>
        <c:axId val="134102400"/>
        <c:axId val="226079872"/>
      </c:lineChart>
      <c:dateAx>
        <c:axId val="13410240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26079872"/>
        <c:crosses val="autoZero"/>
        <c:auto val="1"/>
        <c:lblOffset val="100"/>
        <c:baseTimeUnit val="days"/>
      </c:dateAx>
      <c:valAx>
        <c:axId val="22607987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4102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7713357579181529E-2"/>
          <c:w val="0.98348699600935741"/>
          <c:h val="0.77975553885639826"/>
        </c:manualLayout>
      </c:layout>
      <c:barChart>
        <c:barDir val="col"/>
        <c:grouping val="clustered"/>
        <c:varyColors val="0"/>
        <c:ser>
          <c:idx val="4"/>
          <c:order val="0"/>
          <c:tx>
            <c:strRef>
              <c:f>Hoja1!$B$1</c:f>
              <c:strCache>
                <c:ptCount val="1"/>
                <c:pt idx="0">
                  <c:v>Suma de Autonomía Financiera Municipal</c:v>
                </c:pt>
              </c:strCache>
            </c:strRef>
          </c:tx>
          <c:spPr>
            <a:solidFill>
              <a:schemeClr val="accent5"/>
            </a:solidFill>
            <a:ln w="25400">
              <a:noFill/>
            </a:ln>
            <a:effectLst>
              <a:outerShdw blurRad="50800" dist="25400" dir="18900000" algn="bl" rotWithShape="0">
                <a:prstClr val="black">
                  <a:alpha val="40000"/>
                </a:prstClr>
              </a:outerShdw>
            </a:effectLst>
            <a:scene3d>
              <a:camera prst="orthographicFront"/>
              <a:lightRig rig="threePt" dir="t"/>
            </a:scene3d>
            <a:sp3d>
              <a:bevelT w="25400" prst="angle"/>
            </a:sp3d>
          </c:spPr>
          <c:invertIfNegative val="0"/>
          <c:dLbls>
            <c:dLbl>
              <c:idx val="4"/>
              <c:layout>
                <c:manualLayout>
                  <c:x val="2.7521673317737719E-3"/>
                  <c:y val="-4.60746862087783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2A-44C3-95EB-21DB89C4720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Hoja1!$A$2:$A$6</c:f>
              <c:numCache>
                <c:formatCode>General</c:formatCode>
                <c:ptCount val="5"/>
                <c:pt idx="0">
                  <c:v>2016</c:v>
                </c:pt>
                <c:pt idx="1">
                  <c:v>2017</c:v>
                </c:pt>
                <c:pt idx="2">
                  <c:v>2018</c:v>
                </c:pt>
                <c:pt idx="3">
                  <c:v>2019</c:v>
                </c:pt>
                <c:pt idx="4">
                  <c:v>2020</c:v>
                </c:pt>
              </c:numCache>
            </c:numRef>
          </c:cat>
          <c:val>
            <c:numRef>
              <c:f>Hoja1!$B$2:$B$6</c:f>
              <c:numCache>
                <c:formatCode>General</c:formatCode>
                <c:ptCount val="5"/>
                <c:pt idx="0">
                  <c:v>29.714740042055602</c:v>
                </c:pt>
                <c:pt idx="1">
                  <c:v>30.881031469278184</c:v>
                </c:pt>
                <c:pt idx="2">
                  <c:v>31.677357192715576</c:v>
                </c:pt>
                <c:pt idx="3">
                  <c:v>28.490835468578862</c:v>
                </c:pt>
                <c:pt idx="4">
                  <c:v>29.644208747286065</c:v>
                </c:pt>
              </c:numCache>
            </c:numRef>
          </c:val>
          <c:extLst xmlns:c16r2="http://schemas.microsoft.com/office/drawing/2015/06/chart">
            <c:ext xmlns:c16="http://schemas.microsoft.com/office/drawing/2014/chart" uri="{C3380CC4-5D6E-409C-BE32-E72D297353CC}">
              <c16:uniqueId val="{00000001-582A-44C3-95EB-21DB89C4720D}"/>
            </c:ext>
          </c:extLst>
        </c:ser>
        <c:dLbls>
          <c:showLegendKey val="0"/>
          <c:showVal val="0"/>
          <c:showCatName val="0"/>
          <c:showSerName val="0"/>
          <c:showPercent val="0"/>
          <c:showBubbleSize val="0"/>
        </c:dLbls>
        <c:gapWidth val="150"/>
        <c:axId val="292719232"/>
        <c:axId val="292745600"/>
      </c:barChart>
      <c:lineChart>
        <c:grouping val="standard"/>
        <c:varyColors val="0"/>
        <c:ser>
          <c:idx val="0"/>
          <c:order val="1"/>
          <c:tx>
            <c:strRef>
              <c:f>Hoja1!$C$1</c:f>
              <c:strCache>
                <c:ptCount val="1"/>
                <c:pt idx="0">
                  <c:v>Columna2</c:v>
                </c:pt>
              </c:strCache>
            </c:strRef>
          </c:tx>
          <c:spPr>
            <a:ln w="19050" cap="rnd">
              <a:solidFill>
                <a:srgbClr val="FF0000"/>
              </a:solidFill>
              <a:prstDash val="sysDash"/>
              <a:round/>
            </a:ln>
            <a:effectLst/>
          </c:spPr>
          <c:marker>
            <c:symbol val="none"/>
          </c:marker>
          <c:dLbls>
            <c:dLbl>
              <c:idx val="4"/>
              <c:layout>
                <c:manualLayout>
                  <c:x val="-0.22292555387367563"/>
                  <c:y val="-0.12789957271938518"/>
                </c:manualLayout>
              </c:layout>
              <c:tx>
                <c:rich>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sz="800"/>
                      <a:t>Promedio</a:t>
                    </a:r>
                    <a:r>
                      <a:rPr lang="en-US" sz="800" baseline="0"/>
                      <a:t>
</a:t>
                    </a:r>
                    <a:fld id="{53578F73-951C-462E-897A-B25371A23EB2}" type="VALUE">
                      <a:rPr lang="en-US" sz="800" baseline="0"/>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t>[VALOR]</a:t>
                    </a:fld>
                    <a:endParaRPr lang="en-US" sz="800" baseline="0"/>
                  </a:p>
                </c:rich>
              </c:tx>
              <c:numFmt formatCode="#,##0.0" sourceLinked="0"/>
              <c:spPr>
                <a:noFill/>
                <a:ln>
                  <a:noFill/>
                </a:ln>
                <a:effectLst/>
              </c:spPr>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582A-44C3-95EB-21DB89C4720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separator>
</c:separator>
            <c:extLst xmlns:c16r2="http://schemas.microsoft.com/office/drawing/2015/06/chart">
              <c:ext xmlns:c15="http://schemas.microsoft.com/office/drawing/2012/chart" uri="{CE6537A1-D6FC-4f65-9D91-7224C49458BB}">
                <c15:showLeaderLines val="0"/>
              </c:ext>
            </c:extLst>
          </c:dLbls>
          <c:cat>
            <c:numRef>
              <c:f>Hoja1!$A$2:$A$6</c:f>
              <c:numCache>
                <c:formatCode>General</c:formatCode>
                <c:ptCount val="5"/>
                <c:pt idx="0">
                  <c:v>2016</c:v>
                </c:pt>
                <c:pt idx="1">
                  <c:v>2017</c:v>
                </c:pt>
                <c:pt idx="2">
                  <c:v>2018</c:v>
                </c:pt>
                <c:pt idx="3">
                  <c:v>2019</c:v>
                </c:pt>
                <c:pt idx="4">
                  <c:v>2020</c:v>
                </c:pt>
              </c:numCache>
            </c:numRef>
          </c:cat>
          <c:val>
            <c:numRef>
              <c:f>Hoja1!$C$2:$C$6</c:f>
              <c:numCache>
                <c:formatCode>General</c:formatCode>
                <c:ptCount val="5"/>
                <c:pt idx="0">
                  <c:v>30.081634583982854</c:v>
                </c:pt>
                <c:pt idx="1">
                  <c:v>30.081634583982854</c:v>
                </c:pt>
                <c:pt idx="2">
                  <c:v>30.081634583982854</c:v>
                </c:pt>
                <c:pt idx="3">
                  <c:v>30.081634583982854</c:v>
                </c:pt>
                <c:pt idx="4">
                  <c:v>30.081634583982854</c:v>
                </c:pt>
              </c:numCache>
            </c:numRef>
          </c:val>
          <c:smooth val="0"/>
          <c:extLst xmlns:c16r2="http://schemas.microsoft.com/office/drawing/2015/06/chart">
            <c:ext xmlns:c16="http://schemas.microsoft.com/office/drawing/2014/chart" uri="{C3380CC4-5D6E-409C-BE32-E72D297353CC}">
              <c16:uniqueId val="{00000003-582A-44C3-95EB-21DB89C4720D}"/>
            </c:ext>
          </c:extLst>
        </c:ser>
        <c:dLbls>
          <c:showLegendKey val="0"/>
          <c:showVal val="0"/>
          <c:showCatName val="0"/>
          <c:showSerName val="0"/>
          <c:showPercent val="0"/>
          <c:showBubbleSize val="0"/>
        </c:dLbls>
        <c:marker val="1"/>
        <c:smooth val="0"/>
        <c:axId val="292719232"/>
        <c:axId val="292745600"/>
      </c:lineChart>
      <c:catAx>
        <c:axId val="29271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92745600"/>
        <c:crosses val="autoZero"/>
        <c:auto val="1"/>
        <c:lblAlgn val="ctr"/>
        <c:lblOffset val="100"/>
        <c:noMultiLvlLbl val="0"/>
      </c:catAx>
      <c:valAx>
        <c:axId val="292745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9271923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solidFill>
            <a:sysClr val="windowText" lastClr="000000"/>
          </a:solidFill>
        </a:defRPr>
      </a:pPr>
      <a:endParaRPr lang="es-GT"/>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Con Mayor Autonomía Financiera</a:t>
            </a:r>
          </a:p>
        </c:rich>
      </c:tx>
      <c:layout>
        <c:manualLayout>
          <c:xMode val="edge"/>
          <c:yMode val="edge"/>
          <c:x val="0.25422166696803816"/>
          <c:y val="2.3809523809523808E-2"/>
        </c:manualLayout>
      </c:layout>
      <c:overlay val="0"/>
      <c:spPr>
        <a:noFill/>
        <a:ln>
          <a:noFill/>
        </a:ln>
        <a:effectLst/>
      </c:spPr>
    </c:title>
    <c:autoTitleDeleted val="0"/>
    <c:plotArea>
      <c:layout>
        <c:manualLayout>
          <c:layoutTarget val="inner"/>
          <c:xMode val="edge"/>
          <c:yMode val="edge"/>
          <c:x val="0.17820188969071973"/>
          <c:y val="0.20251876410185568"/>
          <c:w val="0.82179811030928018"/>
          <c:h val="0.33349449739835146"/>
        </c:manualLayout>
      </c:layout>
      <c:barChart>
        <c:barDir val="col"/>
        <c:grouping val="clustered"/>
        <c:varyColors val="0"/>
        <c:ser>
          <c:idx val="0"/>
          <c:order val="0"/>
          <c:tx>
            <c:strRef>
              <c:f>Hoja1!$B$1</c:f>
              <c:strCache>
                <c:ptCount val="1"/>
                <c:pt idx="0">
                  <c:v>2020</c:v>
                </c:pt>
              </c:strCache>
            </c:strRef>
          </c:tx>
          <c:spPr>
            <a:solidFill>
              <a:schemeClr val="accent6">
                <a:lumMod val="75000"/>
              </a:schemeClr>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a:noFill/>
              </a:ln>
              <a:effectLst/>
            </c:spPr>
            <c:txPr>
              <a:bodyPr rot="0" vert="horz"/>
              <a:lstStyle/>
              <a:p>
                <a:pPr>
                  <a:defRPr/>
                </a:pPr>
                <a:endParaRPr lang="es-G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Guatemala</c:v>
                </c:pt>
                <c:pt idx="1">
                  <c:v>Quetzaltenango</c:v>
                </c:pt>
                <c:pt idx="2">
                  <c:v>Mixco</c:v>
                </c:pt>
                <c:pt idx="3">
                  <c:v>Villa Nueva</c:v>
                </c:pt>
                <c:pt idx="4">
                  <c:v>Santa Catarina Pinula</c:v>
                </c:pt>
                <c:pt idx="5">
                  <c:v>San Miguel Petapa</c:v>
                </c:pt>
                <c:pt idx="6">
                  <c:v>Retalhuleu</c:v>
                </c:pt>
                <c:pt idx="7">
                  <c:v>Fraijanes</c:v>
                </c:pt>
                <c:pt idx="8">
                  <c:v>San Pedro Sacatepéquez (San Marcos)</c:v>
                </c:pt>
                <c:pt idx="9">
                  <c:v>Villa Canales</c:v>
                </c:pt>
              </c:strCache>
            </c:strRef>
          </c:cat>
          <c:val>
            <c:numRef>
              <c:f>Hoja1!$B$2:$B$11</c:f>
              <c:numCache>
                <c:formatCode>#,##0.0</c:formatCode>
                <c:ptCount val="10"/>
                <c:pt idx="0">
                  <c:v>82.598352829492597</c:v>
                </c:pt>
                <c:pt idx="1">
                  <c:v>77.62721153114714</c:v>
                </c:pt>
                <c:pt idx="2">
                  <c:v>73.972896329712384</c:v>
                </c:pt>
                <c:pt idx="3">
                  <c:v>66.82004187890746</c:v>
                </c:pt>
                <c:pt idx="4">
                  <c:v>63.884304124117051</c:v>
                </c:pt>
                <c:pt idx="5">
                  <c:v>59.249155196304059</c:v>
                </c:pt>
                <c:pt idx="6">
                  <c:v>57.528848085051251</c:v>
                </c:pt>
                <c:pt idx="7">
                  <c:v>52.827762234980177</c:v>
                </c:pt>
                <c:pt idx="8">
                  <c:v>52.823215185548491</c:v>
                </c:pt>
                <c:pt idx="9">
                  <c:v>51.821131187123129</c:v>
                </c:pt>
              </c:numCache>
            </c:numRef>
          </c:val>
          <c:extLst xmlns:c16r2="http://schemas.microsoft.com/office/drawing/2015/06/chart">
            <c:ext xmlns:c16="http://schemas.microsoft.com/office/drawing/2014/chart" uri="{C3380CC4-5D6E-409C-BE32-E72D297353CC}">
              <c16:uniqueId val="{00000000-4683-4D27-88A8-8B0E9236D3E9}"/>
            </c:ext>
          </c:extLst>
        </c:ser>
        <c:dLbls>
          <c:dLblPos val="outEnd"/>
          <c:showLegendKey val="0"/>
          <c:showVal val="1"/>
          <c:showCatName val="0"/>
          <c:showSerName val="0"/>
          <c:showPercent val="0"/>
          <c:showBubbleSize val="0"/>
        </c:dLbls>
        <c:gapWidth val="150"/>
        <c:axId val="292826112"/>
        <c:axId val="292837248"/>
      </c:barChart>
      <c:catAx>
        <c:axId val="29282611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a:lstStyle/>
          <a:p>
            <a:pPr>
              <a:defRPr/>
            </a:pPr>
            <a:endParaRPr lang="es-GT"/>
          </a:p>
        </c:txPr>
        <c:crossAx val="292837248"/>
        <c:crosses val="autoZero"/>
        <c:auto val="1"/>
        <c:lblAlgn val="ctr"/>
        <c:lblOffset val="100"/>
        <c:noMultiLvlLbl val="0"/>
      </c:catAx>
      <c:valAx>
        <c:axId val="292837248"/>
        <c:scaling>
          <c:orientation val="minMax"/>
          <c:max val="90"/>
        </c:scaling>
        <c:delete val="0"/>
        <c:axPos val="l"/>
        <c:title>
          <c:tx>
            <c:rich>
              <a:bodyPr rot="-5400000" vert="horz"/>
              <a:lstStyle/>
              <a:p>
                <a:pPr>
                  <a:defRPr/>
                </a:pPr>
                <a:r>
                  <a:rPr lang="es-GT"/>
                  <a:t>Autonomía Financiera (en porcentajes)</a:t>
                </a:r>
              </a:p>
            </c:rich>
          </c:tx>
          <c:layout>
            <c:manualLayout>
              <c:xMode val="edge"/>
              <c:yMode val="edge"/>
              <c:x val="4.1936302847321531E-3"/>
              <c:y val="0.13478973023108951"/>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GT"/>
          </a:p>
        </c:txPr>
        <c:crossAx val="292826112"/>
        <c:crosses val="autoZero"/>
        <c:crossBetween val="between"/>
        <c:majorUnit val="20"/>
      </c:valAx>
      <c:spPr>
        <a:noFill/>
        <a:ln w="25400">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Con Menor Autonomía Financiera</a:t>
            </a:r>
          </a:p>
        </c:rich>
      </c:tx>
      <c:layout>
        <c:manualLayout>
          <c:xMode val="edge"/>
          <c:yMode val="edge"/>
          <c:x val="0.25422166696803816"/>
          <c:y val="2.3809523809523808E-2"/>
        </c:manualLayout>
      </c:layout>
      <c:overlay val="0"/>
      <c:spPr>
        <a:noFill/>
        <a:ln>
          <a:noFill/>
        </a:ln>
        <a:effectLst/>
      </c:spPr>
    </c:title>
    <c:autoTitleDeleted val="0"/>
    <c:plotArea>
      <c:layout>
        <c:manualLayout>
          <c:layoutTarget val="inner"/>
          <c:xMode val="edge"/>
          <c:yMode val="edge"/>
          <c:x val="0.19211977417227857"/>
          <c:y val="0.20251876410185568"/>
          <c:w val="0.80788022582772123"/>
          <c:h val="0.33349449739835146"/>
        </c:manualLayout>
      </c:layout>
      <c:barChart>
        <c:barDir val="col"/>
        <c:grouping val="clustered"/>
        <c:varyColors val="0"/>
        <c:ser>
          <c:idx val="0"/>
          <c:order val="0"/>
          <c:tx>
            <c:strRef>
              <c:f>Hoja1!$B$1</c:f>
              <c:strCache>
                <c:ptCount val="1"/>
                <c:pt idx="0">
                  <c:v>2020</c:v>
                </c:pt>
              </c:strCache>
            </c:strRef>
          </c:tx>
          <c:spPr>
            <a:solidFill>
              <a:srgbClr val="FF0000"/>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a:noFill/>
              </a:ln>
              <a:effectLst/>
            </c:spPr>
            <c:txPr>
              <a:bodyPr rot="0" vert="horz"/>
              <a:lstStyle/>
              <a:p>
                <a:pPr>
                  <a:defRPr/>
                </a:pPr>
                <a:endParaRPr lang="es-G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Santa Barbara (Huehuetenango)</c:v>
                </c:pt>
                <c:pt idx="1">
                  <c:v>El Quetzal</c:v>
                </c:pt>
                <c:pt idx="2">
                  <c:v>Concepción</c:v>
                </c:pt>
                <c:pt idx="3">
                  <c:v>Camotan</c:v>
                </c:pt>
                <c:pt idx="4">
                  <c:v>Tajumulco</c:v>
                </c:pt>
                <c:pt idx="5">
                  <c:v>Santa María Visitación</c:v>
                </c:pt>
                <c:pt idx="6">
                  <c:v>Santa María Chiquimula</c:v>
                </c:pt>
                <c:pt idx="7">
                  <c:v>Tectitan</c:v>
                </c:pt>
                <c:pt idx="8">
                  <c:v>San Mateo Ixtatan</c:v>
                </c:pt>
                <c:pt idx="9">
                  <c:v>San Gaspar Ixchil</c:v>
                </c:pt>
              </c:strCache>
            </c:strRef>
          </c:cat>
          <c:val>
            <c:numRef>
              <c:f>Hoja1!$B$2:$B$11</c:f>
              <c:numCache>
                <c:formatCode>#,##0.0</c:formatCode>
                <c:ptCount val="10"/>
                <c:pt idx="0">
                  <c:v>2.9106394722220501</c:v>
                </c:pt>
                <c:pt idx="1">
                  <c:v>2.6755979137068495</c:v>
                </c:pt>
                <c:pt idx="2">
                  <c:v>2.4580337252931233</c:v>
                </c:pt>
                <c:pt idx="3">
                  <c:v>2.4483401120071666</c:v>
                </c:pt>
                <c:pt idx="4">
                  <c:v>2.324428458967045</c:v>
                </c:pt>
                <c:pt idx="5">
                  <c:v>2.1654821128129322</c:v>
                </c:pt>
                <c:pt idx="6">
                  <c:v>1.9994739344292511</c:v>
                </c:pt>
                <c:pt idx="7">
                  <c:v>1.840139632144868</c:v>
                </c:pt>
                <c:pt idx="8">
                  <c:v>1.5518397816514076</c:v>
                </c:pt>
                <c:pt idx="9">
                  <c:v>1.2544969848477048</c:v>
                </c:pt>
              </c:numCache>
            </c:numRef>
          </c:val>
          <c:extLst xmlns:c16r2="http://schemas.microsoft.com/office/drawing/2015/06/chart">
            <c:ext xmlns:c16="http://schemas.microsoft.com/office/drawing/2014/chart" uri="{C3380CC4-5D6E-409C-BE32-E72D297353CC}">
              <c16:uniqueId val="{00000000-78A1-4EEE-BAB1-BA0425469D1F}"/>
            </c:ext>
          </c:extLst>
        </c:ser>
        <c:dLbls>
          <c:dLblPos val="outEnd"/>
          <c:showLegendKey val="0"/>
          <c:showVal val="1"/>
          <c:showCatName val="0"/>
          <c:showSerName val="0"/>
          <c:showPercent val="0"/>
          <c:showBubbleSize val="0"/>
        </c:dLbls>
        <c:gapWidth val="150"/>
        <c:axId val="292914688"/>
        <c:axId val="292917632"/>
      </c:barChart>
      <c:catAx>
        <c:axId val="29291468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a:lstStyle/>
          <a:p>
            <a:pPr>
              <a:defRPr/>
            </a:pPr>
            <a:endParaRPr lang="es-GT"/>
          </a:p>
        </c:txPr>
        <c:crossAx val="292917632"/>
        <c:crosses val="autoZero"/>
        <c:auto val="1"/>
        <c:lblAlgn val="ctr"/>
        <c:lblOffset val="100"/>
        <c:noMultiLvlLbl val="0"/>
      </c:catAx>
      <c:valAx>
        <c:axId val="292917632"/>
        <c:scaling>
          <c:orientation val="minMax"/>
        </c:scaling>
        <c:delete val="0"/>
        <c:axPos val="l"/>
        <c:title>
          <c:tx>
            <c:rich>
              <a:bodyPr rot="-5400000" vert="horz"/>
              <a:lstStyle/>
              <a:p>
                <a:pPr>
                  <a:defRPr/>
                </a:pPr>
                <a:r>
                  <a:rPr lang="es-GT"/>
                  <a:t>Autonomía Financiera (en porcentajes)</a:t>
                </a:r>
              </a:p>
            </c:rich>
          </c:tx>
          <c:layout>
            <c:manualLayout>
              <c:xMode val="edge"/>
              <c:yMode val="edge"/>
              <c:x val="4.1936302847321531E-3"/>
              <c:y val="0.13478973023108951"/>
            </c:manualLayout>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GT"/>
          </a:p>
        </c:txPr>
        <c:crossAx val="292914688"/>
        <c:crosses val="autoZero"/>
        <c:crossBetween val="between"/>
      </c:valAx>
      <c:spPr>
        <a:noFill/>
        <a:ln w="25400">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ysClr val="windowText" lastClr="000000"/>
                </a:solidFill>
                <a:latin typeface="+mn-lt"/>
                <a:ea typeface="+mn-ea"/>
                <a:cs typeface="+mn-cs"/>
              </a:defRPr>
            </a:pPr>
            <a:r>
              <a:rPr lang="es-ES_tradnl" sz="1200" b="1" i="0" u="none" strike="noStrike" baseline="0">
                <a:effectLst/>
                <a:latin typeface="Times New Roman" panose="02020603050405020304" pitchFamily="18" charset="0"/>
                <a:cs typeface="Times New Roman" panose="02020603050405020304" pitchFamily="18" charset="0"/>
              </a:rPr>
              <a:t>Gráfica 39. </a:t>
            </a:r>
            <a:r>
              <a:rPr lang="es-GT" sz="1100" b="1">
                <a:latin typeface="Times New Roman" panose="02020603050405020304" pitchFamily="18" charset="0"/>
                <a:cs typeface="Times New Roman" panose="02020603050405020304" pitchFamily="18" charset="0"/>
              </a:rPr>
              <a:t>Inversión</a:t>
            </a:r>
            <a:r>
              <a:rPr lang="es-GT" sz="1100" b="1" baseline="0">
                <a:latin typeface="Times New Roman" panose="02020603050405020304" pitchFamily="18" charset="0"/>
                <a:cs typeface="Times New Roman" panose="02020603050405020304" pitchFamily="18" charset="0"/>
              </a:rPr>
              <a:t> por Habitantes</a:t>
            </a:r>
            <a:r>
              <a:rPr lang="es-GT" sz="1100" b="1">
                <a:latin typeface="Times New Roman" panose="02020603050405020304" pitchFamily="18" charset="0"/>
                <a:cs typeface="Times New Roman" panose="02020603050405020304" pitchFamily="18" charset="0"/>
              </a:rPr>
              <a:t> de las Municipalidades</a:t>
            </a:r>
          </a:p>
          <a:p>
            <a:pPr algn="ctr">
              <a:defRPr sz="1200" b="0" i="0" u="none" strike="noStrike" kern="1200" spc="0" baseline="0">
                <a:solidFill>
                  <a:sysClr val="windowText" lastClr="000000"/>
                </a:solidFill>
                <a:latin typeface="+mn-lt"/>
                <a:ea typeface="+mn-ea"/>
                <a:cs typeface="+mn-cs"/>
              </a:defRPr>
            </a:pPr>
            <a:r>
              <a:rPr lang="es-GT" sz="1000" b="0">
                <a:latin typeface="Times New Roman" panose="02020603050405020304" pitchFamily="18" charset="0"/>
                <a:cs typeface="Times New Roman" panose="02020603050405020304" pitchFamily="18" charset="0"/>
              </a:rPr>
              <a:t>Cifras en</a:t>
            </a:r>
            <a:r>
              <a:rPr lang="es-GT" sz="1000" b="0" baseline="0">
                <a:latin typeface="Times New Roman" panose="02020603050405020304" pitchFamily="18" charset="0"/>
                <a:cs typeface="Times New Roman" panose="02020603050405020304" pitchFamily="18" charset="0"/>
              </a:rPr>
              <a:t> Quetzales</a:t>
            </a:r>
            <a:endParaRPr lang="es-GT" sz="1000" b="0">
              <a:latin typeface="Times New Roman" panose="02020603050405020304" pitchFamily="18" charset="0"/>
              <a:cs typeface="Times New Roman" panose="02020603050405020304" pitchFamily="18" charset="0"/>
            </a:endParaRPr>
          </a:p>
        </c:rich>
      </c:tx>
      <c:layout>
        <c:manualLayout>
          <c:xMode val="edge"/>
          <c:yMode val="edge"/>
          <c:x val="0.13572479599529311"/>
          <c:y val="0"/>
        </c:manualLayout>
      </c:layout>
      <c:overlay val="0"/>
      <c:spPr>
        <a:noFill/>
        <a:ln>
          <a:noFill/>
        </a:ln>
        <a:effectLst/>
      </c:spPr>
    </c:title>
    <c:autoTitleDeleted val="0"/>
    <c:plotArea>
      <c:layout>
        <c:manualLayout>
          <c:layoutTarget val="inner"/>
          <c:xMode val="edge"/>
          <c:yMode val="edge"/>
          <c:x val="5.374063799388787E-3"/>
          <c:y val="0.14898641346302299"/>
          <c:w val="0.96714696667798539"/>
          <c:h val="0.72491662806855017"/>
        </c:manualLayout>
      </c:layout>
      <c:barChart>
        <c:barDir val="col"/>
        <c:grouping val="clustered"/>
        <c:varyColors val="0"/>
        <c:ser>
          <c:idx val="4"/>
          <c:order val="0"/>
          <c:tx>
            <c:v>Observado</c:v>
          </c:tx>
          <c:spPr>
            <a:solidFill>
              <a:schemeClr val="accent4"/>
            </a:solidFill>
            <a:ln w="25400">
              <a:noFill/>
            </a:ln>
            <a:effectLst>
              <a:outerShdw blurRad="50800" dist="25400" dir="18900000" algn="bl" rotWithShape="0">
                <a:prstClr val="black">
                  <a:alpha val="40000"/>
                </a:prstClr>
              </a:outerShdw>
            </a:effectLst>
            <a:scene3d>
              <a:camera prst="orthographicFront"/>
              <a:lightRig rig="threePt" dir="t"/>
            </a:scene3d>
            <a:sp3d>
              <a:bevelT w="25400" prst="angle"/>
            </a:sp3d>
          </c:spPr>
          <c:invertIfNegative val="0"/>
          <c:dLbls>
            <c:dLbl>
              <c:idx val="1"/>
              <c:layout>
                <c:manualLayout>
                  <c:x val="-2.6613439787092482E-3"/>
                  <c:y val="-1.47058823529412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57-4D50-9790-D670FD391349}"/>
                </c:ext>
              </c:extLst>
            </c:dLbl>
            <c:numFmt formatCode="&quot;Q&quot;#,##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 y Gastos.xlsx]Din Inversión (5)'!$B$5:$F$5</c:f>
              <c:numCache>
                <c:formatCode>General</c:formatCode>
                <c:ptCount val="5"/>
                <c:pt idx="0">
                  <c:v>2016</c:v>
                </c:pt>
                <c:pt idx="1">
                  <c:v>2017</c:v>
                </c:pt>
                <c:pt idx="2">
                  <c:v>2018</c:v>
                </c:pt>
                <c:pt idx="3">
                  <c:v>2019</c:v>
                </c:pt>
                <c:pt idx="4">
                  <c:v>2020</c:v>
                </c:pt>
              </c:numCache>
            </c:numRef>
          </c:cat>
          <c:val>
            <c:numRef>
              <c:f>'[Ingreso y Gastos.xlsx]Din Inversión (5)'!$B$6:$F$6</c:f>
              <c:numCache>
                <c:formatCode>General</c:formatCode>
                <c:ptCount val="5"/>
                <c:pt idx="0">
                  <c:v>362.78735309574517</c:v>
                </c:pt>
                <c:pt idx="1">
                  <c:v>433.44397404791749</c:v>
                </c:pt>
                <c:pt idx="2">
                  <c:v>477.91887358436901</c:v>
                </c:pt>
                <c:pt idx="3">
                  <c:v>586.94565138539247</c:v>
                </c:pt>
                <c:pt idx="4">
                  <c:v>472.96118268989017</c:v>
                </c:pt>
              </c:numCache>
            </c:numRef>
          </c:val>
          <c:extLst xmlns:c16r2="http://schemas.microsoft.com/office/drawing/2015/06/chart">
            <c:ext xmlns:c16="http://schemas.microsoft.com/office/drawing/2014/chart" uri="{C3380CC4-5D6E-409C-BE32-E72D297353CC}">
              <c16:uniqueId val="{00000000-C857-4D50-9790-D670FD391349}"/>
            </c:ext>
          </c:extLst>
        </c:ser>
        <c:dLbls>
          <c:showLegendKey val="0"/>
          <c:showVal val="0"/>
          <c:showCatName val="0"/>
          <c:showSerName val="0"/>
          <c:showPercent val="0"/>
          <c:showBubbleSize val="0"/>
        </c:dLbls>
        <c:gapWidth val="150"/>
        <c:axId val="246895744"/>
        <c:axId val="246897280"/>
      </c:barChart>
      <c:lineChart>
        <c:grouping val="standard"/>
        <c:varyColors val="0"/>
        <c:ser>
          <c:idx val="0"/>
          <c:order val="1"/>
          <c:tx>
            <c:v>Promedio</c:v>
          </c:tx>
          <c:spPr>
            <a:ln w="19050" cap="rnd">
              <a:solidFill>
                <a:srgbClr val="FF0000"/>
              </a:solidFill>
              <a:prstDash val="sysDash"/>
              <a:round/>
            </a:ln>
            <a:effectLst/>
          </c:spPr>
          <c:marker>
            <c:symbol val="none"/>
          </c:marker>
          <c:dLbls>
            <c:dLbl>
              <c:idx val="4"/>
              <c:layout>
                <c:manualLayout>
                  <c:x val="-0.58041768375372937"/>
                  <c:y val="-0.15315838866222034"/>
                </c:manualLayout>
              </c:layout>
              <c:numFmt formatCode="&quot;Q&quot;#,##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mn-lt"/>
                      <a:ea typeface="+mn-ea"/>
                      <a:cs typeface="+mn-cs"/>
                    </a:defRPr>
                  </a:pPr>
                  <a:endParaRPr lang="es-GT"/>
                </a:p>
              </c:txPr>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57-4D50-9790-D670FD391349}"/>
                </c:ext>
              </c:extLst>
            </c:dLbl>
            <c:numFmt formatCode="&quot;Q&quot;#,##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FF0000"/>
                    </a:solidFill>
                    <a:latin typeface="+mn-lt"/>
                    <a:ea typeface="+mn-ea"/>
                    <a:cs typeface="+mn-cs"/>
                  </a:defRPr>
                </a:pPr>
                <a:endParaRPr lang="es-GT"/>
              </a:p>
            </c:txPr>
            <c:showLegendKey val="0"/>
            <c:showVal val="0"/>
            <c:showCatName val="0"/>
            <c:showSerName val="0"/>
            <c:showPercent val="0"/>
            <c:showBubbleSize val="0"/>
            <c:separator>
</c:separator>
            <c:extLst xmlns:c16r2="http://schemas.microsoft.com/office/drawing/2015/06/chart">
              <c:ext xmlns:c15="http://schemas.microsoft.com/office/drawing/2012/chart" uri="{CE6537A1-D6FC-4f65-9D91-7224C49458BB}">
                <c15:showLeaderLines val="0"/>
              </c:ext>
            </c:extLst>
          </c:dLbls>
          <c:cat>
            <c:numRef>
              <c:f>'[Ingreso y Gastos.xlsx]Din Inversión (5)'!$B$5:$F$5</c:f>
              <c:numCache>
                <c:formatCode>General</c:formatCode>
                <c:ptCount val="5"/>
                <c:pt idx="0">
                  <c:v>2016</c:v>
                </c:pt>
                <c:pt idx="1">
                  <c:v>2017</c:v>
                </c:pt>
                <c:pt idx="2">
                  <c:v>2018</c:v>
                </c:pt>
                <c:pt idx="3">
                  <c:v>2019</c:v>
                </c:pt>
                <c:pt idx="4">
                  <c:v>2020</c:v>
                </c:pt>
              </c:numCache>
            </c:numRef>
          </c:cat>
          <c:val>
            <c:numRef>
              <c:f>'[Ingreso y Gastos.xlsx]Din Inversión (5)'!$B$7:$F$7</c:f>
              <c:numCache>
                <c:formatCode>General</c:formatCode>
                <c:ptCount val="5"/>
                <c:pt idx="0">
                  <c:v>466.81140696066285</c:v>
                </c:pt>
                <c:pt idx="1">
                  <c:v>466.81140696066285</c:v>
                </c:pt>
                <c:pt idx="2">
                  <c:v>466.81140696066285</c:v>
                </c:pt>
                <c:pt idx="3">
                  <c:v>466.81140696066285</c:v>
                </c:pt>
                <c:pt idx="4">
                  <c:v>466.81140696066285</c:v>
                </c:pt>
              </c:numCache>
            </c:numRef>
          </c:val>
          <c:smooth val="0"/>
          <c:extLst xmlns:c16r2="http://schemas.microsoft.com/office/drawing/2015/06/chart">
            <c:ext xmlns:c16="http://schemas.microsoft.com/office/drawing/2014/chart" uri="{C3380CC4-5D6E-409C-BE32-E72D297353CC}">
              <c16:uniqueId val="{00000002-C857-4D50-9790-D670FD391349}"/>
            </c:ext>
          </c:extLst>
        </c:ser>
        <c:dLbls>
          <c:showLegendKey val="0"/>
          <c:showVal val="0"/>
          <c:showCatName val="0"/>
          <c:showSerName val="0"/>
          <c:showPercent val="0"/>
          <c:showBubbleSize val="0"/>
        </c:dLbls>
        <c:marker val="1"/>
        <c:smooth val="0"/>
        <c:axId val="246895744"/>
        <c:axId val="246897280"/>
      </c:lineChart>
      <c:catAx>
        <c:axId val="246895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crossAx val="246897280"/>
        <c:crosses val="autoZero"/>
        <c:auto val="1"/>
        <c:lblAlgn val="ctr"/>
        <c:lblOffset val="100"/>
        <c:noMultiLvlLbl val="0"/>
      </c:catAx>
      <c:valAx>
        <c:axId val="246897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6895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s-G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0" i="1">
                <a:solidFill>
                  <a:sysClr val="windowText" lastClr="000000"/>
                </a:solidFill>
                <a:latin typeface="Times New Roman" panose="02020603050405020304" pitchFamily="18" charset="0"/>
                <a:cs typeface="Times New Roman" panose="02020603050405020304" pitchFamily="18" charset="0"/>
              </a:rPr>
              <a:t>Con menor Inversión</a:t>
            </a:r>
            <a:r>
              <a:rPr lang="es-GT" sz="1000" b="0" i="1" baseline="0">
                <a:solidFill>
                  <a:sysClr val="windowText" lastClr="000000"/>
                </a:solidFill>
                <a:latin typeface="Times New Roman" panose="02020603050405020304" pitchFamily="18" charset="0"/>
                <a:cs typeface="Times New Roman" panose="02020603050405020304" pitchFamily="18" charset="0"/>
              </a:rPr>
              <a:t> por habitante</a:t>
            </a:r>
            <a:endParaRPr lang="es-GT" sz="1000" b="0"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8297577362649081"/>
          <c:y val="0.12153035279595677"/>
          <c:w val="0.81702422637350913"/>
          <c:h val="0.45217663927093543"/>
        </c:manualLayout>
      </c:layout>
      <c:barChart>
        <c:barDir val="col"/>
        <c:grouping val="clustered"/>
        <c:varyColors val="0"/>
        <c:ser>
          <c:idx val="0"/>
          <c:order val="0"/>
          <c:tx>
            <c:strRef>
              <c:f>'[Ingreso y Gastos.xlsx]Din Inversión (3)'!$B$5</c:f>
              <c:strCache>
                <c:ptCount val="1"/>
                <c:pt idx="0">
                  <c:v>2020</c:v>
                </c:pt>
              </c:strCache>
            </c:strRef>
          </c:tx>
          <c:spPr>
            <a:solidFill>
              <a:srgbClr val="FF0000"/>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Inversión (3)'!$A$336:$A$345</c:f>
              <c:strCache>
                <c:ptCount val="10"/>
                <c:pt idx="0">
                  <c:v>San Ildefonso Ixtahuacan</c:v>
                </c:pt>
                <c:pt idx="1">
                  <c:v>Momostenango</c:v>
                </c:pt>
                <c:pt idx="2">
                  <c:v>Senahu</c:v>
                </c:pt>
                <c:pt idx="3">
                  <c:v>Santo Tomas Chichicastenango</c:v>
                </c:pt>
                <c:pt idx="4">
                  <c:v>Santa Barbara (Huehuetenango)</c:v>
                </c:pt>
                <c:pt idx="5">
                  <c:v>San Cristóbal Verapaz</c:v>
                </c:pt>
                <c:pt idx="6">
                  <c:v>San Martin Jilotepeque</c:v>
                </c:pt>
                <c:pt idx="7">
                  <c:v>Amatitlán</c:v>
                </c:pt>
                <c:pt idx="8">
                  <c:v>San Cristóbal Totonicapán</c:v>
                </c:pt>
                <c:pt idx="9">
                  <c:v>San Pedro Carcha</c:v>
                </c:pt>
              </c:strCache>
            </c:strRef>
          </c:cat>
          <c:val>
            <c:numRef>
              <c:f>'[Ingreso y Gastos.xlsx]Din Inversión (3)'!$B$336:$B$345</c:f>
              <c:numCache>
                <c:formatCode>#,##0.0</c:formatCode>
                <c:ptCount val="10"/>
                <c:pt idx="0">
                  <c:v>210.73808686697802</c:v>
                </c:pt>
                <c:pt idx="1">
                  <c:v>205.64525882155303</c:v>
                </c:pt>
                <c:pt idx="2">
                  <c:v>204.34380683686899</c:v>
                </c:pt>
                <c:pt idx="3">
                  <c:v>196.69453934379985</c:v>
                </c:pt>
                <c:pt idx="4">
                  <c:v>195.54360583120442</c:v>
                </c:pt>
                <c:pt idx="5">
                  <c:v>194.88623291471231</c:v>
                </c:pt>
                <c:pt idx="6">
                  <c:v>193.97670553619309</c:v>
                </c:pt>
                <c:pt idx="7">
                  <c:v>179.76475082586131</c:v>
                </c:pt>
                <c:pt idx="8">
                  <c:v>159.03587311706093</c:v>
                </c:pt>
                <c:pt idx="9">
                  <c:v>140.87169061395051</c:v>
                </c:pt>
              </c:numCache>
            </c:numRef>
          </c:val>
          <c:extLst xmlns:c16r2="http://schemas.microsoft.com/office/drawing/2015/06/chart">
            <c:ext xmlns:c16="http://schemas.microsoft.com/office/drawing/2014/chart" uri="{C3380CC4-5D6E-409C-BE32-E72D297353CC}">
              <c16:uniqueId val="{00000000-BAA6-468D-A17D-8795C99B068A}"/>
            </c:ext>
          </c:extLst>
        </c:ser>
        <c:dLbls>
          <c:showLegendKey val="0"/>
          <c:showVal val="0"/>
          <c:showCatName val="0"/>
          <c:showSerName val="0"/>
          <c:showPercent val="0"/>
          <c:showBubbleSize val="0"/>
        </c:dLbls>
        <c:gapWidth val="150"/>
        <c:axId val="246930816"/>
        <c:axId val="292877440"/>
      </c:barChart>
      <c:catAx>
        <c:axId val="246930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877440"/>
        <c:crosses val="autoZero"/>
        <c:auto val="1"/>
        <c:lblAlgn val="ctr"/>
        <c:lblOffset val="100"/>
        <c:noMultiLvlLbl val="0"/>
      </c:catAx>
      <c:valAx>
        <c:axId val="292877440"/>
        <c:scaling>
          <c:orientation val="minMax"/>
        </c:scaling>
        <c:delete val="0"/>
        <c:axPos val="l"/>
        <c:majorGridlines>
          <c:spPr>
            <a:ln w="9525" cap="flat" cmpd="sng" algn="ctr">
              <a:solidFill>
                <a:schemeClr val="tx1">
                  <a:lumMod val="15000"/>
                  <a:lumOff val="85000"/>
                </a:schemeClr>
              </a:solidFill>
              <a:round/>
            </a:ln>
            <a:effectLst/>
          </c:spPr>
        </c:majorGridlines>
        <c:title>
          <c:tx>
            <c:strRef>
              <c:f>'[Ingreso y Gastos.xlsx]Din Inversión (3)'!$E$2</c:f>
              <c:strCache>
                <c:ptCount val="1"/>
                <c:pt idx="0">
                  <c:v>Inversión por habitante (en Quetzales)</c:v>
                </c:pt>
              </c:strCache>
            </c:strRef>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6930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0" i="1">
                <a:solidFill>
                  <a:sysClr val="windowText" lastClr="000000"/>
                </a:solidFill>
                <a:latin typeface="Times New Roman" panose="02020603050405020304" pitchFamily="18" charset="0"/>
                <a:cs typeface="Times New Roman" panose="02020603050405020304" pitchFamily="18" charset="0"/>
              </a:rPr>
              <a:t>Con mayor Inversión por habitante</a:t>
            </a:r>
          </a:p>
        </c:rich>
      </c:tx>
      <c:overlay val="0"/>
      <c:spPr>
        <a:noFill/>
        <a:ln>
          <a:noFill/>
        </a:ln>
        <a:effectLst/>
      </c:spPr>
    </c:title>
    <c:autoTitleDeleted val="0"/>
    <c:plotArea>
      <c:layout>
        <c:manualLayout>
          <c:layoutTarget val="inner"/>
          <c:xMode val="edge"/>
          <c:yMode val="edge"/>
          <c:x val="0.18146095533168946"/>
          <c:y val="0.12126661050426828"/>
          <c:w val="0.81853904466831051"/>
          <c:h val="0.47156638253238981"/>
        </c:manualLayout>
      </c:layout>
      <c:barChart>
        <c:barDir val="col"/>
        <c:grouping val="clustered"/>
        <c:varyColors val="0"/>
        <c:ser>
          <c:idx val="0"/>
          <c:order val="0"/>
          <c:tx>
            <c:strRef>
              <c:f>'[Ingreso y Gastos.xlsx]Din Inversión (3)'!$B$5</c:f>
              <c:strCache>
                <c:ptCount val="1"/>
                <c:pt idx="0">
                  <c:v>2020</c:v>
                </c:pt>
              </c:strCache>
            </c:strRef>
          </c:tx>
          <c:spPr>
            <a:solidFill>
              <a:schemeClr val="accent6">
                <a:lumMod val="75000"/>
              </a:schemeClr>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Inversión (3)'!$A$6:$A$15</c:f>
              <c:strCache>
                <c:ptCount val="10"/>
                <c:pt idx="0">
                  <c:v>Santa María Visitación</c:v>
                </c:pt>
                <c:pt idx="1">
                  <c:v>San Marcos La Laguna</c:v>
                </c:pt>
                <c:pt idx="2">
                  <c:v>San José Del Golfo</c:v>
                </c:pt>
                <c:pt idx="3">
                  <c:v>Santa Catarina Barahona</c:v>
                </c:pt>
                <c:pt idx="4">
                  <c:v>San José Acatempa</c:v>
                </c:pt>
                <c:pt idx="5">
                  <c:v>Rio Blanco</c:v>
                </c:pt>
                <c:pt idx="6">
                  <c:v>Iztapa</c:v>
                </c:pt>
                <c:pt idx="7">
                  <c:v>San José Chacaya</c:v>
                </c:pt>
                <c:pt idx="8">
                  <c:v>Chuarrancho</c:v>
                </c:pt>
                <c:pt idx="9">
                  <c:v>Santa Catarina Palopó</c:v>
                </c:pt>
              </c:strCache>
            </c:strRef>
          </c:cat>
          <c:val>
            <c:numRef>
              <c:f>'[Ingreso y Gastos.xlsx]Din Inversión (3)'!$B$6:$B$15</c:f>
              <c:numCache>
                <c:formatCode>#,##0.0</c:formatCode>
                <c:ptCount val="10"/>
                <c:pt idx="0">
                  <c:v>6574.7214642717699</c:v>
                </c:pt>
                <c:pt idx="1">
                  <c:v>6020.7382915091084</c:v>
                </c:pt>
                <c:pt idx="2">
                  <c:v>3987.9503445800437</c:v>
                </c:pt>
                <c:pt idx="3">
                  <c:v>3740.7695937500002</c:v>
                </c:pt>
                <c:pt idx="4">
                  <c:v>3652.1572528510201</c:v>
                </c:pt>
                <c:pt idx="5">
                  <c:v>3198.9134803595202</c:v>
                </c:pt>
                <c:pt idx="6">
                  <c:v>2752.6057674418598</c:v>
                </c:pt>
                <c:pt idx="7">
                  <c:v>2701.6322796411869</c:v>
                </c:pt>
                <c:pt idx="8">
                  <c:v>2329.2201090016165</c:v>
                </c:pt>
                <c:pt idx="9">
                  <c:v>2207.941116625309</c:v>
                </c:pt>
              </c:numCache>
            </c:numRef>
          </c:val>
          <c:extLst xmlns:c16r2="http://schemas.microsoft.com/office/drawing/2015/06/chart">
            <c:ext xmlns:c16="http://schemas.microsoft.com/office/drawing/2014/chart" uri="{C3380CC4-5D6E-409C-BE32-E72D297353CC}">
              <c16:uniqueId val="{00000000-A010-498D-949D-30850D8388F5}"/>
            </c:ext>
          </c:extLst>
        </c:ser>
        <c:dLbls>
          <c:showLegendKey val="0"/>
          <c:showVal val="0"/>
          <c:showCatName val="0"/>
          <c:showSerName val="0"/>
          <c:showPercent val="0"/>
          <c:showBubbleSize val="0"/>
        </c:dLbls>
        <c:gapWidth val="150"/>
        <c:axId val="292604160"/>
        <c:axId val="292610048"/>
      </c:barChart>
      <c:catAx>
        <c:axId val="292604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610048"/>
        <c:crosses val="autoZero"/>
        <c:auto val="1"/>
        <c:lblAlgn val="ctr"/>
        <c:lblOffset val="100"/>
        <c:noMultiLvlLbl val="0"/>
      </c:catAx>
      <c:valAx>
        <c:axId val="292610048"/>
        <c:scaling>
          <c:orientation val="minMax"/>
          <c:max val="8000"/>
        </c:scaling>
        <c:delete val="0"/>
        <c:axPos val="l"/>
        <c:majorGridlines>
          <c:spPr>
            <a:ln w="9525" cap="flat" cmpd="sng" algn="ctr">
              <a:solidFill>
                <a:schemeClr val="tx1">
                  <a:lumMod val="15000"/>
                  <a:lumOff val="85000"/>
                </a:schemeClr>
              </a:solidFill>
              <a:round/>
            </a:ln>
            <a:effectLst/>
          </c:spPr>
        </c:majorGridlines>
        <c:title>
          <c:tx>
            <c:strRef>
              <c:f>'[Ingreso y Gastos.xlsx]Din Inversión (3)'!$E$2</c:f>
              <c:strCache>
                <c:ptCount val="1"/>
                <c:pt idx="0">
                  <c:v>Inversión por habitante (en Quetzales)</c:v>
                </c:pt>
              </c:strCache>
            </c:strRef>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6041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_tradnl" sz="1100" b="1" i="0" u="none" strike="noStrike" baseline="0">
                <a:effectLst/>
              </a:rPr>
              <a:t>Gráfica 41. </a:t>
            </a:r>
            <a:r>
              <a:rPr lang="es-GT" sz="1100" b="1">
                <a:latin typeface="Times New Roman" panose="02020603050405020304" pitchFamily="18" charset="0"/>
                <a:cs typeface="Times New Roman" panose="02020603050405020304" pitchFamily="18" charset="0"/>
              </a:rPr>
              <a:t>Liquidez Financiera de las Municipalidades</a:t>
            </a:r>
          </a:p>
        </c:rich>
      </c:tx>
      <c:layout>
        <c:manualLayout>
          <c:xMode val="edge"/>
          <c:yMode val="edge"/>
          <c:x val="0.1938799175526788"/>
          <c:y val="0"/>
        </c:manualLayout>
      </c:layout>
      <c:overlay val="0"/>
      <c:spPr>
        <a:noFill/>
        <a:ln>
          <a:noFill/>
        </a:ln>
        <a:effectLst/>
      </c:spPr>
    </c:title>
    <c:autoTitleDeleted val="0"/>
    <c:plotArea>
      <c:layout>
        <c:manualLayout>
          <c:layoutTarget val="inner"/>
          <c:xMode val="edge"/>
          <c:yMode val="edge"/>
          <c:x val="6.8929138129499475E-3"/>
          <c:y val="0.14104865737936606"/>
          <c:w val="0.94002464500725047"/>
          <c:h val="0.72439612356147787"/>
        </c:manualLayout>
      </c:layout>
      <c:barChart>
        <c:barDir val="col"/>
        <c:grouping val="clustered"/>
        <c:varyColors val="0"/>
        <c:ser>
          <c:idx val="4"/>
          <c:order val="0"/>
          <c:tx>
            <c:v>Observado</c:v>
          </c:tx>
          <c:spPr>
            <a:solidFill>
              <a:schemeClr val="accent6"/>
            </a:solidFill>
            <a:ln w="25400">
              <a:noFill/>
            </a:ln>
            <a:effectLst>
              <a:outerShdw blurRad="50800" dist="25400" dir="18900000" algn="bl" rotWithShape="0">
                <a:prstClr val="black">
                  <a:alpha val="40000"/>
                </a:prstClr>
              </a:outerShdw>
            </a:effectLst>
            <a:scene3d>
              <a:camera prst="orthographicFront"/>
              <a:lightRig rig="threePt" dir="t"/>
            </a:scene3d>
            <a:sp3d>
              <a:bevelT w="25400" prst="angle"/>
            </a:sp3d>
          </c:spPr>
          <c:invertIfNegative val="0"/>
          <c:dLbls>
            <c:dLbl>
              <c:idx val="0"/>
              <c:layout>
                <c:manualLayout>
                  <c:x val="0"/>
                  <c:y val="-8.08600847970926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D5-4ADF-9E08-A22769176E16}"/>
                </c:ext>
              </c:extLst>
            </c:dLbl>
            <c:dLbl>
              <c:idx val="3"/>
              <c:layout>
                <c:manualLayout>
                  <c:x val="0"/>
                  <c:y val="7.22282412423257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D5-4ADF-9E08-A22769176E16}"/>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'[Ingreso y Gastos.xlsx]Din Liquidez'!$B$5:$F$5</c:f>
              <c:numCache>
                <c:formatCode>General</c:formatCode>
                <c:ptCount val="5"/>
                <c:pt idx="0">
                  <c:v>2016</c:v>
                </c:pt>
                <c:pt idx="1">
                  <c:v>2017</c:v>
                </c:pt>
                <c:pt idx="2">
                  <c:v>2018</c:v>
                </c:pt>
                <c:pt idx="3">
                  <c:v>2019</c:v>
                </c:pt>
                <c:pt idx="4">
                  <c:v>2020</c:v>
                </c:pt>
              </c:numCache>
            </c:numRef>
          </c:cat>
          <c:val>
            <c:numRef>
              <c:f>'[Ingreso y Gastos.xlsx]Din Liquidez'!$B$6:$F$6</c:f>
              <c:numCache>
                <c:formatCode>General</c:formatCode>
                <c:ptCount val="5"/>
                <c:pt idx="0">
                  <c:v>11.071883858513143</c:v>
                </c:pt>
                <c:pt idx="1">
                  <c:v>18.947194086382222</c:v>
                </c:pt>
                <c:pt idx="2">
                  <c:v>16.63421174477384</c:v>
                </c:pt>
                <c:pt idx="3">
                  <c:v>11.999540074894574</c:v>
                </c:pt>
                <c:pt idx="4">
                  <c:v>14.834045966805549</c:v>
                </c:pt>
              </c:numCache>
            </c:numRef>
          </c:val>
          <c:extLst xmlns:c16r2="http://schemas.microsoft.com/office/drawing/2015/06/chart">
            <c:ext xmlns:c16="http://schemas.microsoft.com/office/drawing/2014/chart" uri="{C3380CC4-5D6E-409C-BE32-E72D297353CC}">
              <c16:uniqueId val="{00000002-11D5-4ADF-9E08-A22769176E16}"/>
            </c:ext>
          </c:extLst>
        </c:ser>
        <c:dLbls>
          <c:showLegendKey val="0"/>
          <c:showVal val="0"/>
          <c:showCatName val="0"/>
          <c:showSerName val="0"/>
          <c:showPercent val="0"/>
          <c:showBubbleSize val="0"/>
        </c:dLbls>
        <c:gapWidth val="150"/>
        <c:axId val="293094144"/>
        <c:axId val="293095680"/>
      </c:barChart>
      <c:lineChart>
        <c:grouping val="standard"/>
        <c:varyColors val="0"/>
        <c:ser>
          <c:idx val="0"/>
          <c:order val="1"/>
          <c:tx>
            <c:v>Promedio</c:v>
          </c:tx>
          <c:spPr>
            <a:ln w="15875" cap="rnd">
              <a:solidFill>
                <a:srgbClr val="FF0000"/>
              </a:solidFill>
              <a:prstDash val="sysDash"/>
              <a:round/>
            </a:ln>
            <a:effectLst/>
          </c:spPr>
          <c:marker>
            <c:symbol val="none"/>
          </c:marker>
          <c:dLbls>
            <c:dLbl>
              <c:idx val="4"/>
              <c:layout>
                <c:manualLayout>
                  <c:x val="-0.21155410903173322"/>
                  <c:y val="-0.10437931540653796"/>
                </c:manualLayout>
              </c:layout>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15:layout>
                    <c:manualLayout>
                      <c:w val="0.19161941616533085"/>
                      <c:h val="0.2210184182015168"/>
                    </c:manualLayout>
                  </c15:layout>
                </c:ext>
                <c:ext xmlns:c16="http://schemas.microsoft.com/office/drawing/2014/chart" uri="{C3380CC4-5D6E-409C-BE32-E72D297353CC}">
                  <c16:uniqueId val="{00000003-11D5-4ADF-9E08-A22769176E1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separator>
</c:separator>
            <c:extLst xmlns:c16r2="http://schemas.microsoft.com/office/drawing/2015/06/chart">
              <c:ext xmlns:c15="http://schemas.microsoft.com/office/drawing/2012/chart" uri="{CE6537A1-D6FC-4f65-9D91-7224C49458BB}">
                <c15:showLeaderLines val="0"/>
              </c:ext>
            </c:extLst>
          </c:dLbls>
          <c:cat>
            <c:numRef>
              <c:f>'[Ingreso y Gastos.xlsx]Din Liquidez'!$B$5:$F$5</c:f>
              <c:numCache>
                <c:formatCode>General</c:formatCode>
                <c:ptCount val="5"/>
                <c:pt idx="0">
                  <c:v>2016</c:v>
                </c:pt>
                <c:pt idx="1">
                  <c:v>2017</c:v>
                </c:pt>
                <c:pt idx="2">
                  <c:v>2018</c:v>
                </c:pt>
                <c:pt idx="3">
                  <c:v>2019</c:v>
                </c:pt>
                <c:pt idx="4">
                  <c:v>2020</c:v>
                </c:pt>
              </c:numCache>
            </c:numRef>
          </c:cat>
          <c:val>
            <c:numRef>
              <c:f>'[Ingreso y Gastos.xlsx]Din Liquidez'!$B$7:$F$7</c:f>
              <c:numCache>
                <c:formatCode>_(* #,##0.00_);_(* \(#,##0.00\);_(* "-"??_);_(@_)</c:formatCode>
                <c:ptCount val="5"/>
                <c:pt idx="0">
                  <c:v>14.697375146273867</c:v>
                </c:pt>
                <c:pt idx="1">
                  <c:v>14.697375146273867</c:v>
                </c:pt>
                <c:pt idx="2">
                  <c:v>14.697375146273867</c:v>
                </c:pt>
                <c:pt idx="3">
                  <c:v>14.697375146273867</c:v>
                </c:pt>
                <c:pt idx="4">
                  <c:v>14.697375146273867</c:v>
                </c:pt>
              </c:numCache>
            </c:numRef>
          </c:val>
          <c:smooth val="0"/>
          <c:extLst xmlns:c16r2="http://schemas.microsoft.com/office/drawing/2015/06/chart">
            <c:ext xmlns:c16="http://schemas.microsoft.com/office/drawing/2014/chart" uri="{C3380CC4-5D6E-409C-BE32-E72D297353CC}">
              <c16:uniqueId val="{00000004-11D5-4ADF-9E08-A22769176E16}"/>
            </c:ext>
          </c:extLst>
        </c:ser>
        <c:dLbls>
          <c:showLegendKey val="0"/>
          <c:showVal val="0"/>
          <c:showCatName val="0"/>
          <c:showSerName val="0"/>
          <c:showPercent val="0"/>
          <c:showBubbleSize val="0"/>
        </c:dLbls>
        <c:marker val="1"/>
        <c:smooth val="0"/>
        <c:axId val="293094144"/>
        <c:axId val="293095680"/>
      </c:lineChart>
      <c:catAx>
        <c:axId val="293094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93095680"/>
        <c:crosses val="autoZero"/>
        <c:auto val="1"/>
        <c:lblAlgn val="ctr"/>
        <c:lblOffset val="100"/>
        <c:noMultiLvlLbl val="0"/>
      </c:catAx>
      <c:valAx>
        <c:axId val="293095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93094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s-G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_tradnl" sz="1100" b="1" i="0" u="none" strike="noStrike" baseline="0">
                <a:solidFill>
                  <a:sysClr val="windowText" lastClr="000000"/>
                </a:solidFill>
                <a:effectLst/>
              </a:rPr>
              <a:t>Gráfica 42. </a:t>
            </a:r>
            <a:r>
              <a:rPr kumimoji="0" lang="es-GT" sz="1100" b="1"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Liquidez Financiera de la Municipalidades</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kumimoji="0" lang="es-GT" sz="1000" b="0"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para el año 2020</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kumimoji="0" lang="es-GT" sz="1000" b="0" i="1"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Cantidad de Municipalidades según el valor de su Liquidez</a:t>
            </a:r>
          </a:p>
        </c:rich>
      </c:tx>
      <c:layout>
        <c:manualLayout>
          <c:xMode val="edge"/>
          <c:yMode val="edge"/>
          <c:x val="0.24266991474688993"/>
          <c:y val="0"/>
        </c:manualLayout>
      </c:layout>
      <c:overlay val="0"/>
      <c:spPr>
        <a:noFill/>
        <a:ln>
          <a:noFill/>
        </a:ln>
        <a:effectLst/>
      </c:spPr>
    </c:title>
    <c:autoTitleDeleted val="0"/>
    <c:plotArea>
      <c:layout>
        <c:manualLayout>
          <c:layoutTarget val="inner"/>
          <c:xMode val="edge"/>
          <c:yMode val="edge"/>
          <c:x val="0.18823364627498484"/>
          <c:y val="0.26735742539224849"/>
          <c:w val="0.78879142449247996"/>
          <c:h val="0.58466811883118719"/>
        </c:manualLayout>
      </c:layout>
      <c:barChart>
        <c:barDir val="bar"/>
        <c:grouping val="clustered"/>
        <c:varyColors val="0"/>
        <c:ser>
          <c:idx val="0"/>
          <c:order val="0"/>
          <c:tx>
            <c:strRef>
              <c:f>'[Ingreso y Gastos.xlsx]Din Liquidez (2)'!$B$5</c:f>
              <c:strCache>
                <c:ptCount val="1"/>
                <c:pt idx="0">
                  <c:v>2020</c:v>
                </c:pt>
              </c:strCache>
            </c:strRef>
          </c:tx>
          <c:spPr>
            <a:solidFill>
              <a:schemeClr val="accent6"/>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Pt>
            <c:idx val="0"/>
            <c:invertIfNegative val="0"/>
            <c:bubble3D val="0"/>
            <c:spPr>
              <a:solidFill>
                <a:srgbClr val="FF0000"/>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extLst xmlns:c16r2="http://schemas.microsoft.com/office/drawing/2015/06/chart">
              <c:ext xmlns:c16="http://schemas.microsoft.com/office/drawing/2014/chart" uri="{C3380CC4-5D6E-409C-BE32-E72D297353CC}">
                <c16:uniqueId val="{00000001-8C14-413E-836E-46DA4A26EB1D}"/>
              </c:ext>
            </c:extLst>
          </c:dPt>
          <c:dPt>
            <c:idx val="1"/>
            <c:invertIfNegative val="0"/>
            <c:bubble3D val="0"/>
            <c:extLst xmlns:c16r2="http://schemas.microsoft.com/office/drawing/2015/06/chart">
              <c:ext xmlns:c16="http://schemas.microsoft.com/office/drawing/2014/chart" uri="{C3380CC4-5D6E-409C-BE32-E72D297353CC}">
                <c16:uniqueId val="{00000003-8C14-413E-836E-46DA4A26EB1D}"/>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Liquidez (2)'!$C$12:$C$20</c:f>
              <c:strCache>
                <c:ptCount val="9"/>
                <c:pt idx="0">
                  <c:v>Menos de 1</c:v>
                </c:pt>
                <c:pt idx="1">
                  <c:v>Entre 1 a 2</c:v>
                </c:pt>
                <c:pt idx="2">
                  <c:v>Entre 2.1 a 4</c:v>
                </c:pt>
                <c:pt idx="3">
                  <c:v>Entre 4.1 a 8 </c:v>
                </c:pt>
                <c:pt idx="4">
                  <c:v>Entre 8.1 a 16</c:v>
                </c:pt>
                <c:pt idx="5">
                  <c:v>Entre 16.1 a 32</c:v>
                </c:pt>
                <c:pt idx="6">
                  <c:v>Entre 32.1 a 64</c:v>
                </c:pt>
                <c:pt idx="7">
                  <c:v>Entre 64.1 a 128</c:v>
                </c:pt>
                <c:pt idx="8">
                  <c:v>mayor a 128</c:v>
                </c:pt>
              </c:strCache>
            </c:strRef>
          </c:cat>
          <c:val>
            <c:numRef>
              <c:f>'[Ingreso y Gastos.xlsx]Din Liquidez (2)'!$D$12:$D$20</c:f>
              <c:numCache>
                <c:formatCode>General</c:formatCode>
                <c:ptCount val="9"/>
                <c:pt idx="0">
                  <c:v>3</c:v>
                </c:pt>
                <c:pt idx="1">
                  <c:v>7</c:v>
                </c:pt>
                <c:pt idx="2">
                  <c:v>19</c:v>
                </c:pt>
                <c:pt idx="3">
                  <c:v>44</c:v>
                </c:pt>
                <c:pt idx="4">
                  <c:v>42</c:v>
                </c:pt>
                <c:pt idx="5">
                  <c:v>52</c:v>
                </c:pt>
                <c:pt idx="6">
                  <c:v>63</c:v>
                </c:pt>
                <c:pt idx="7">
                  <c:v>41</c:v>
                </c:pt>
                <c:pt idx="8">
                  <c:v>60</c:v>
                </c:pt>
              </c:numCache>
            </c:numRef>
          </c:val>
          <c:extLst xmlns:c16r2="http://schemas.microsoft.com/office/drawing/2015/06/chart">
            <c:ext xmlns:c16="http://schemas.microsoft.com/office/drawing/2014/chart" uri="{C3380CC4-5D6E-409C-BE32-E72D297353CC}">
              <c16:uniqueId val="{00000004-8C14-413E-836E-46DA4A26EB1D}"/>
            </c:ext>
          </c:extLst>
        </c:ser>
        <c:dLbls>
          <c:showLegendKey val="0"/>
          <c:showVal val="0"/>
          <c:showCatName val="0"/>
          <c:showSerName val="0"/>
          <c:showPercent val="0"/>
          <c:showBubbleSize val="0"/>
        </c:dLbls>
        <c:gapWidth val="150"/>
        <c:axId val="293167488"/>
        <c:axId val="293169408"/>
      </c:barChart>
      <c:catAx>
        <c:axId val="293167488"/>
        <c:scaling>
          <c:orientation val="minMax"/>
        </c:scaling>
        <c:delete val="0"/>
        <c:axPos val="l"/>
        <c:majorGridlines>
          <c:spPr>
            <a:ln w="9525" cap="flat" cmpd="sng" algn="ctr">
              <a:solidFill>
                <a:schemeClr val="tx1">
                  <a:lumMod val="15000"/>
                  <a:lumOff val="85000"/>
                </a:schemeClr>
              </a:solidFill>
              <a:round/>
            </a:ln>
            <a:effectLst/>
          </c:spPr>
        </c:majorGridlines>
        <c:title>
          <c:tx>
            <c:strRef>
              <c:f>'[Ingreso y Gastos.xlsx]Din Liquidez (2)'!$E$1</c:f>
              <c:strCache>
                <c:ptCount val="1"/>
                <c:pt idx="0">
                  <c:v>Valor del indicador de Liquidez</c:v>
                </c:pt>
              </c:strCache>
            </c:strRef>
          </c:tx>
          <c:layout>
            <c:manualLayout>
              <c:xMode val="edge"/>
              <c:yMode val="edge"/>
              <c:x val="0"/>
              <c:y val="0.222237647291333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93169408"/>
        <c:crosses val="autoZero"/>
        <c:auto val="1"/>
        <c:lblAlgn val="ctr"/>
        <c:lblOffset val="100"/>
        <c:noMultiLvlLbl val="0"/>
      </c:catAx>
      <c:valAx>
        <c:axId val="293169408"/>
        <c:scaling>
          <c:orientation val="minMax"/>
        </c:scaling>
        <c:delete val="0"/>
        <c:axPos val="b"/>
        <c:majorGridlines>
          <c:spPr>
            <a:ln w="9525" cap="flat" cmpd="sng" algn="ctr">
              <a:solidFill>
                <a:schemeClr val="tx1">
                  <a:lumMod val="15000"/>
                  <a:lumOff val="85000"/>
                </a:schemeClr>
              </a:solidFill>
              <a:round/>
            </a:ln>
            <a:effectLst/>
          </c:spPr>
        </c:majorGridlines>
        <c:title>
          <c:tx>
            <c:strRef>
              <c:f>'[Ingreso y Gastos.xlsx]Din Liquidez (2)'!$E$2</c:f>
              <c:strCache>
                <c:ptCount val="1"/>
                <c:pt idx="0">
                  <c:v>Cantidad de Municipalidades</c:v>
                </c:pt>
              </c:strCache>
            </c:strRef>
          </c:tx>
          <c:layout>
            <c:manualLayout>
              <c:xMode val="edge"/>
              <c:yMode val="edge"/>
              <c:x val="0.40394213547481134"/>
              <c:y val="0.92256848175668171"/>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93167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50" b="0" i="1">
                <a:solidFill>
                  <a:sysClr val="windowText" lastClr="000000"/>
                </a:solidFill>
                <a:latin typeface="Times New Roman" panose="02020603050405020304" pitchFamily="18" charset="0"/>
                <a:cs typeface="Times New Roman" panose="02020603050405020304" pitchFamily="18" charset="0"/>
              </a:rPr>
              <a:t>Con menor Liquidez</a:t>
            </a:r>
          </a:p>
        </c:rich>
      </c:tx>
      <c:overlay val="0"/>
      <c:spPr>
        <a:noFill/>
        <a:ln>
          <a:noFill/>
        </a:ln>
        <a:effectLst/>
      </c:spPr>
    </c:title>
    <c:autoTitleDeleted val="0"/>
    <c:plotArea>
      <c:layout>
        <c:manualLayout>
          <c:layoutTarget val="inner"/>
          <c:xMode val="edge"/>
          <c:yMode val="edge"/>
          <c:x val="0.22536819250617254"/>
          <c:y val="0.18596130460603658"/>
          <c:w val="0.77463180749382743"/>
          <c:h val="0.53066139308266302"/>
        </c:manualLayout>
      </c:layout>
      <c:barChart>
        <c:barDir val="col"/>
        <c:grouping val="clustered"/>
        <c:varyColors val="0"/>
        <c:ser>
          <c:idx val="0"/>
          <c:order val="0"/>
          <c:tx>
            <c:strRef>
              <c:f>'[Ingreso y Gastos.xlsx]Din Liquidez (4)'!$B$5</c:f>
              <c:strCache>
                <c:ptCount val="1"/>
                <c:pt idx="0">
                  <c:v>2020</c:v>
                </c:pt>
              </c:strCache>
            </c:strRef>
          </c:tx>
          <c:spPr>
            <a:solidFill>
              <a:srgbClr val="FF0000"/>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Liquidez (4)'!$A$327:$A$336</c:f>
              <c:strCache>
                <c:ptCount val="10"/>
                <c:pt idx="0">
                  <c:v>Mixco</c:v>
                </c:pt>
                <c:pt idx="1">
                  <c:v>Patulul</c:v>
                </c:pt>
                <c:pt idx="2">
                  <c:v>La Gomera</c:v>
                </c:pt>
                <c:pt idx="3">
                  <c:v>Agua Blanca</c:v>
                </c:pt>
                <c:pt idx="4">
                  <c:v>San Francisco</c:v>
                </c:pt>
                <c:pt idx="5">
                  <c:v>San José (Escuintla)</c:v>
                </c:pt>
                <c:pt idx="6">
                  <c:v>Pueblo Nuevo Viñas</c:v>
                </c:pt>
                <c:pt idx="7">
                  <c:v>San José (Petén)</c:v>
                </c:pt>
                <c:pt idx="8">
                  <c:v>Pastores</c:v>
                </c:pt>
                <c:pt idx="9">
                  <c:v>Cantel</c:v>
                </c:pt>
              </c:strCache>
            </c:strRef>
          </c:cat>
          <c:val>
            <c:numRef>
              <c:f>'[Ingreso y Gastos.xlsx]Din Liquidez (4)'!$B$327:$B$336</c:f>
              <c:numCache>
                <c:formatCode>#,##0.0</c:formatCode>
                <c:ptCount val="10"/>
                <c:pt idx="0">
                  <c:v>1.9712084576904709</c:v>
                </c:pt>
                <c:pt idx="1">
                  <c:v>1.8634754454144504</c:v>
                </c:pt>
                <c:pt idx="2">
                  <c:v>1.7708020476650188</c:v>
                </c:pt>
                <c:pt idx="3">
                  <c:v>1.6128486287923098</c:v>
                </c:pt>
                <c:pt idx="4">
                  <c:v>1.5993031625967047</c:v>
                </c:pt>
                <c:pt idx="5">
                  <c:v>1.4525721492350652</c:v>
                </c:pt>
                <c:pt idx="6">
                  <c:v>1.372986898608779</c:v>
                </c:pt>
                <c:pt idx="7">
                  <c:v>0.96158853632940855</c:v>
                </c:pt>
                <c:pt idx="8">
                  <c:v>0.82039316114482619</c:v>
                </c:pt>
                <c:pt idx="9">
                  <c:v>0.69725288555412079</c:v>
                </c:pt>
              </c:numCache>
            </c:numRef>
          </c:val>
          <c:extLst xmlns:c16r2="http://schemas.microsoft.com/office/drawing/2015/06/chart">
            <c:ext xmlns:c16="http://schemas.microsoft.com/office/drawing/2014/chart" uri="{C3380CC4-5D6E-409C-BE32-E72D297353CC}">
              <c16:uniqueId val="{00000000-BF0C-43DF-8C64-B26DE9DEBDDA}"/>
            </c:ext>
          </c:extLst>
        </c:ser>
        <c:dLbls>
          <c:showLegendKey val="0"/>
          <c:showVal val="0"/>
          <c:showCatName val="0"/>
          <c:showSerName val="0"/>
          <c:showPercent val="0"/>
          <c:showBubbleSize val="0"/>
        </c:dLbls>
        <c:gapWidth val="150"/>
        <c:axId val="293212544"/>
        <c:axId val="293214080"/>
      </c:barChart>
      <c:catAx>
        <c:axId val="293212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3214080"/>
        <c:crosses val="autoZero"/>
        <c:auto val="1"/>
        <c:lblAlgn val="ctr"/>
        <c:lblOffset val="100"/>
        <c:noMultiLvlLbl val="0"/>
      </c:catAx>
      <c:valAx>
        <c:axId val="293214080"/>
        <c:scaling>
          <c:orientation val="minMax"/>
        </c:scaling>
        <c:delete val="0"/>
        <c:axPos val="l"/>
        <c:majorGridlines>
          <c:spPr>
            <a:ln w="9525" cap="flat" cmpd="sng" algn="ctr">
              <a:solidFill>
                <a:schemeClr val="tx1">
                  <a:lumMod val="15000"/>
                  <a:lumOff val="85000"/>
                </a:schemeClr>
              </a:solidFill>
              <a:round/>
            </a:ln>
            <a:effectLst/>
          </c:spPr>
        </c:majorGridlines>
        <c:title>
          <c:tx>
            <c:strRef>
              <c:f>'[Ingreso y Gastos.xlsx]Din Liquidez (4)'!$E$2</c:f>
              <c:strCache>
                <c:ptCount val="1"/>
                <c:pt idx="0">
                  <c:v>Activos Corrientes / Pasivos Corrientes</c:v>
                </c:pt>
              </c:strCache>
            </c:strRef>
          </c:tx>
          <c:layout>
            <c:manualLayout>
              <c:xMode val="edge"/>
              <c:yMode val="edge"/>
              <c:x val="0"/>
              <c:y val="0.2116154862376425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crossAx val="293212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50" b="0" i="1">
                <a:solidFill>
                  <a:sysClr val="windowText" lastClr="000000"/>
                </a:solidFill>
                <a:latin typeface="Times New Roman" panose="02020603050405020304" pitchFamily="18" charset="0"/>
                <a:cs typeface="Times New Roman" panose="02020603050405020304" pitchFamily="18" charset="0"/>
              </a:rPr>
              <a:t>Con mayor Liquidez</a:t>
            </a:r>
          </a:p>
        </c:rich>
      </c:tx>
      <c:overlay val="0"/>
      <c:spPr>
        <a:noFill/>
        <a:ln>
          <a:noFill/>
        </a:ln>
        <a:effectLst/>
      </c:spPr>
    </c:title>
    <c:autoTitleDeleted val="0"/>
    <c:plotArea>
      <c:layout>
        <c:manualLayout>
          <c:layoutTarget val="inner"/>
          <c:xMode val="edge"/>
          <c:yMode val="edge"/>
          <c:x val="0.25657197382971564"/>
          <c:y val="0.20761955922475578"/>
          <c:w val="0.74342802617028436"/>
          <c:h val="0.49541836893368579"/>
        </c:manualLayout>
      </c:layout>
      <c:barChart>
        <c:barDir val="col"/>
        <c:grouping val="clustered"/>
        <c:varyColors val="0"/>
        <c:ser>
          <c:idx val="0"/>
          <c:order val="0"/>
          <c:tx>
            <c:strRef>
              <c:f>'[Ingreso y Gastos.xlsx]Din Liquidez (4)'!$B$5</c:f>
              <c:strCache>
                <c:ptCount val="1"/>
                <c:pt idx="0">
                  <c:v>2020</c:v>
                </c:pt>
              </c:strCache>
            </c:strRef>
          </c:tx>
          <c:spPr>
            <a:solidFill>
              <a:schemeClr val="accent6">
                <a:lumMod val="75000"/>
              </a:schemeClr>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Liquidez (4)'!$A$6:$A$15</c:f>
              <c:strCache>
                <c:ptCount val="10"/>
                <c:pt idx="0">
                  <c:v>Petatan</c:v>
                </c:pt>
                <c:pt idx="1">
                  <c:v>San Mateo</c:v>
                </c:pt>
                <c:pt idx="2">
                  <c:v>Tacana</c:v>
                </c:pt>
                <c:pt idx="3">
                  <c:v>San Pablo</c:v>
                </c:pt>
                <c:pt idx="4">
                  <c:v>San Andrés Semetabaj</c:v>
                </c:pt>
                <c:pt idx="5">
                  <c:v>Iztapa</c:v>
                </c:pt>
                <c:pt idx="6">
                  <c:v>Barberena</c:v>
                </c:pt>
                <c:pt idx="7">
                  <c:v>Tejutla</c:v>
                </c:pt>
                <c:pt idx="8">
                  <c:v>Concepción Chiquirichapa</c:v>
                </c:pt>
                <c:pt idx="9">
                  <c:v>Salcaja</c:v>
                </c:pt>
              </c:strCache>
            </c:strRef>
          </c:cat>
          <c:val>
            <c:numRef>
              <c:f>'[Ingreso y Gastos.xlsx]Din Liquidez (4)'!$B$6:$B$15</c:f>
              <c:numCache>
                <c:formatCode>#,##0.0</c:formatCode>
                <c:ptCount val="10"/>
                <c:pt idx="0">
                  <c:v>11674.111301859799</c:v>
                </c:pt>
                <c:pt idx="1">
                  <c:v>3704.1485097897025</c:v>
                </c:pt>
                <c:pt idx="2">
                  <c:v>2174.1852829207724</c:v>
                </c:pt>
                <c:pt idx="3">
                  <c:v>1796.7304995099273</c:v>
                </c:pt>
                <c:pt idx="4">
                  <c:v>1760.6217728996494</c:v>
                </c:pt>
                <c:pt idx="5">
                  <c:v>1280.408225661374</c:v>
                </c:pt>
                <c:pt idx="6">
                  <c:v>1190.4472799400944</c:v>
                </c:pt>
                <c:pt idx="7">
                  <c:v>1065.9294879009119</c:v>
                </c:pt>
                <c:pt idx="8">
                  <c:v>1006.9002570160372</c:v>
                </c:pt>
                <c:pt idx="9">
                  <c:v>708.02271171888219</c:v>
                </c:pt>
              </c:numCache>
            </c:numRef>
          </c:val>
          <c:extLst xmlns:c16r2="http://schemas.microsoft.com/office/drawing/2015/06/chart">
            <c:ext xmlns:c16="http://schemas.microsoft.com/office/drawing/2014/chart" uri="{C3380CC4-5D6E-409C-BE32-E72D297353CC}">
              <c16:uniqueId val="{00000000-9908-422F-8E3B-CE54D7346500}"/>
            </c:ext>
          </c:extLst>
        </c:ser>
        <c:dLbls>
          <c:showLegendKey val="0"/>
          <c:showVal val="0"/>
          <c:showCatName val="0"/>
          <c:showSerName val="0"/>
          <c:showPercent val="0"/>
          <c:showBubbleSize val="0"/>
        </c:dLbls>
        <c:gapWidth val="150"/>
        <c:axId val="293264384"/>
        <c:axId val="293274368"/>
      </c:barChart>
      <c:catAx>
        <c:axId val="293264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3274368"/>
        <c:crosses val="autoZero"/>
        <c:auto val="1"/>
        <c:lblAlgn val="ctr"/>
        <c:lblOffset val="100"/>
        <c:noMultiLvlLbl val="0"/>
      </c:catAx>
      <c:valAx>
        <c:axId val="293274368"/>
        <c:scaling>
          <c:orientation val="minMax"/>
        </c:scaling>
        <c:delete val="0"/>
        <c:axPos val="l"/>
        <c:majorGridlines>
          <c:spPr>
            <a:ln w="9525" cap="flat" cmpd="sng" algn="ctr">
              <a:solidFill>
                <a:schemeClr val="tx1">
                  <a:lumMod val="15000"/>
                  <a:lumOff val="85000"/>
                </a:schemeClr>
              </a:solidFill>
              <a:round/>
            </a:ln>
            <a:effectLst/>
          </c:spPr>
        </c:majorGridlines>
        <c:title>
          <c:tx>
            <c:strRef>
              <c:f>'[Ingreso y Gastos.xlsx]Din Liquidez (4)'!$E$2</c:f>
              <c:strCache>
                <c:ptCount val="1"/>
                <c:pt idx="0">
                  <c:v>Activos Corrientes / Pasivos Corrientes</c:v>
                </c:pt>
              </c:strCache>
            </c:strRef>
          </c:tx>
          <c:overlay val="0"/>
          <c:spPr>
            <a:noFill/>
            <a:ln>
              <a:noFill/>
            </a:ln>
            <a:effectLst/>
          </c:spPr>
          <c:txPr>
            <a:bodyPr rot="-5400000" spcFirstLastPara="1" vertOverflow="ellipsis" vert="horz" wrap="square" anchor="ctr" anchorCtr="1"/>
            <a:lstStyle/>
            <a:p>
              <a:pPr>
                <a:defRPr sz="10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crossAx val="293264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0228770105035"/>
          <c:y val="3.5162453670002612E-2"/>
          <c:w val="0.88857902502446939"/>
          <c:h val="0.7011719336070994"/>
        </c:manualLayout>
      </c:layout>
      <c:barChart>
        <c:barDir val="col"/>
        <c:grouping val="clustered"/>
        <c:varyColors val="0"/>
        <c:ser>
          <c:idx val="0"/>
          <c:order val="0"/>
          <c:tx>
            <c:strRef>
              <c:f>'EscenDProys 2020Analis RyN'!$M$9</c:f>
              <c:strCache>
                <c:ptCount val="1"/>
                <c:pt idx="0">
                  <c:v>Pronostico PIB R 2020</c:v>
                </c:pt>
              </c:strCache>
            </c:strRef>
          </c:tx>
          <c:spPr>
            <a:solidFill>
              <a:srgbClr val="00B0F0"/>
            </a:solidFill>
            <a:ln>
              <a:noFill/>
            </a:ln>
            <a:effectLst>
              <a:outerShdw blurRad="50800" dist="38100" dir="2700000" algn="tl" rotWithShape="0">
                <a:prstClr val="black">
                  <a:alpha val="40000"/>
                </a:prstClr>
              </a:outerShdw>
            </a:effectLst>
          </c:spPr>
          <c:invertIfNegative val="0"/>
          <c:dLbls>
            <c:dLbl>
              <c:idx val="0"/>
              <c:layout>
                <c:manualLayout>
                  <c:x val="0"/>
                  <c:y val="0.1673640167364016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0E-453E-B37A-2F5727119E64}"/>
                </c:ext>
              </c:extLst>
            </c:dLbl>
            <c:dLbl>
              <c:idx val="2"/>
              <c:layout>
                <c:manualLayout>
                  <c:x val="-2.7719749317049654E-4"/>
                  <c:y val="2.35956907060258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0E-453E-B37A-2F5727119E6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'EscenDProys 2020Analis RyN'!$L$10:$L$13</c:f>
              <c:strCache>
                <c:ptCount val="4"/>
                <c:pt idx="0">
                  <c:v>ENERO</c:v>
                </c:pt>
                <c:pt idx="1">
                  <c:v>MAYO</c:v>
                </c:pt>
                <c:pt idx="2">
                  <c:v>JULIO</c:v>
                </c:pt>
                <c:pt idx="3">
                  <c:v>OCTUBRE</c:v>
                </c:pt>
              </c:strCache>
              <c:extLst xmlns:c16r2="http://schemas.microsoft.com/office/drawing/2015/06/chart"/>
            </c:strRef>
          </c:cat>
          <c:val>
            <c:numRef>
              <c:f>'EscenDProys 2020Analis RyN'!$M$10:$M$13</c:f>
              <c:numCache>
                <c:formatCode>General</c:formatCode>
                <c:ptCount val="4"/>
                <c:pt idx="0">
                  <c:v>3.6</c:v>
                </c:pt>
                <c:pt idx="1">
                  <c:v>-0.5</c:v>
                </c:pt>
                <c:pt idx="2">
                  <c:v>-2.5</c:v>
                </c:pt>
                <c:pt idx="3">
                  <c:v>-1.5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E30E-453E-B37A-2F5727119E64}"/>
            </c:ext>
          </c:extLst>
        </c:ser>
        <c:dLbls>
          <c:showLegendKey val="0"/>
          <c:showVal val="0"/>
          <c:showCatName val="0"/>
          <c:showSerName val="0"/>
          <c:showPercent val="0"/>
          <c:showBubbleSize val="0"/>
        </c:dLbls>
        <c:gapWidth val="150"/>
        <c:axId val="247001472"/>
        <c:axId val="247003008"/>
      </c:barChart>
      <c:lineChart>
        <c:grouping val="standard"/>
        <c:varyColors val="0"/>
        <c:ser>
          <c:idx val="1"/>
          <c:order val="1"/>
          <c:tx>
            <c:strRef>
              <c:f>'EscenDProys 2020Analis RyN'!$O$9</c:f>
              <c:strCache>
                <c:ptCount val="1"/>
                <c:pt idx="0">
                  <c:v>Desviación respecto al observado</c:v>
                </c:pt>
              </c:strCache>
            </c:strRef>
          </c:tx>
          <c:spPr>
            <a:ln w="12700" cap="rnd">
              <a:solidFill>
                <a:srgbClr val="002060"/>
              </a:solidFill>
              <a:round/>
            </a:ln>
            <a:effectLst/>
          </c:spPr>
          <c:marker>
            <c:symbol val="circle"/>
            <c:size val="15"/>
            <c:spPr>
              <a:solidFill>
                <a:srgbClr val="002060"/>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'EscenDProys 2020Analis RyN'!$L$10:$L$13</c:f>
              <c:strCache>
                <c:ptCount val="4"/>
                <c:pt idx="0">
                  <c:v>ENERO</c:v>
                </c:pt>
                <c:pt idx="1">
                  <c:v>MAYO</c:v>
                </c:pt>
                <c:pt idx="2">
                  <c:v>JULIO</c:v>
                </c:pt>
                <c:pt idx="3">
                  <c:v>OCTUBRE</c:v>
                </c:pt>
              </c:strCache>
              <c:extLst xmlns:c16r2="http://schemas.microsoft.com/office/drawing/2015/06/chart"/>
            </c:strRef>
          </c:cat>
          <c:val>
            <c:numRef>
              <c:f>'EscenDProys 2020Analis RyN'!$O$10:$O$13</c:f>
              <c:numCache>
                <c:formatCode>0.00</c:formatCode>
                <c:ptCount val="4"/>
                <c:pt idx="0">
                  <c:v>5.0999999999999996</c:v>
                </c:pt>
                <c:pt idx="1">
                  <c:v>1</c:v>
                </c:pt>
                <c:pt idx="2">
                  <c:v>-1</c:v>
                </c:pt>
                <c:pt idx="3">
                  <c:v>0</c:v>
                </c:pt>
              </c:numCache>
              <c:extLst xmlns:c16r2="http://schemas.microsoft.com/office/drawing/2015/06/chart"/>
            </c:numRef>
          </c:val>
          <c:smooth val="1"/>
          <c:extLst xmlns:c16r2="http://schemas.microsoft.com/office/drawing/2015/06/chart">
            <c:ext xmlns:c16="http://schemas.microsoft.com/office/drawing/2014/chart" uri="{C3380CC4-5D6E-409C-BE32-E72D297353CC}">
              <c16:uniqueId val="{00000003-E30E-453E-B37A-2F5727119E64}"/>
            </c:ext>
          </c:extLst>
        </c:ser>
        <c:dLbls>
          <c:showLegendKey val="0"/>
          <c:showVal val="0"/>
          <c:showCatName val="0"/>
          <c:showSerName val="0"/>
          <c:showPercent val="0"/>
          <c:showBubbleSize val="0"/>
        </c:dLbls>
        <c:marker val="1"/>
        <c:smooth val="0"/>
        <c:axId val="247001472"/>
        <c:axId val="247003008"/>
      </c:lineChart>
      <c:catAx>
        <c:axId val="247001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7003008"/>
        <c:crosses val="autoZero"/>
        <c:auto val="1"/>
        <c:lblAlgn val="ctr"/>
        <c:lblOffset val="100"/>
        <c:noMultiLvlLbl val="0"/>
      </c:catAx>
      <c:valAx>
        <c:axId val="247003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7001472"/>
        <c:crosses val="autoZero"/>
        <c:crossBetween val="between"/>
      </c:valAx>
      <c:spPr>
        <a:noFill/>
        <a:ln>
          <a:noFill/>
        </a:ln>
        <a:effectLst/>
      </c:spPr>
    </c:plotArea>
    <c:legend>
      <c:legendPos val="b"/>
      <c:layout>
        <c:manualLayout>
          <c:xMode val="edge"/>
          <c:yMode val="edge"/>
          <c:x val="0"/>
          <c:y val="0.85017142793636324"/>
          <c:w val="1"/>
          <c:h val="0.149828572063636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5414114902304"/>
          <c:y val="4.4101312904684338E-2"/>
          <c:w val="0.88430592009332154"/>
          <c:h val="0.70420309530274228"/>
        </c:manualLayout>
      </c:layout>
      <c:barChart>
        <c:barDir val="col"/>
        <c:grouping val="stacked"/>
        <c:varyColors val="0"/>
        <c:ser>
          <c:idx val="4"/>
          <c:order val="0"/>
          <c:tx>
            <c:strRef>
              <c:f>Hoja1!$B$1</c:f>
              <c:strCache>
                <c:ptCount val="1"/>
                <c:pt idx="0">
                  <c:v>Endeudamiento</c:v>
                </c:pt>
              </c:strCache>
            </c:strRef>
          </c:tx>
          <c:spPr>
            <a:solidFill>
              <a:srgbClr val="C00000"/>
            </a:solidFill>
            <a:ln w="25400">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numFmt formatCode="0.0%" sourceLinked="0"/>
            <c:spPr>
              <a:noFill/>
              <a:ln w="12700">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Hoja1!$A$2:$A$6</c:f>
              <c:numCache>
                <c:formatCode>General</c:formatCode>
                <c:ptCount val="5"/>
                <c:pt idx="0">
                  <c:v>2016</c:v>
                </c:pt>
                <c:pt idx="1">
                  <c:v>2017</c:v>
                </c:pt>
                <c:pt idx="2">
                  <c:v>2018</c:v>
                </c:pt>
                <c:pt idx="3">
                  <c:v>2019</c:v>
                </c:pt>
                <c:pt idx="4">
                  <c:v>2020</c:v>
                </c:pt>
              </c:numCache>
            </c:numRef>
          </c:cat>
          <c:val>
            <c:numRef>
              <c:f>Hoja1!$B$2:$B$6</c:f>
              <c:numCache>
                <c:formatCode>General</c:formatCode>
                <c:ptCount val="5"/>
                <c:pt idx="0">
                  <c:v>0.12315326294891897</c:v>
                </c:pt>
                <c:pt idx="1">
                  <c:v>0.11275291123356253</c:v>
                </c:pt>
                <c:pt idx="2">
                  <c:v>9.9308861046541033E-2</c:v>
                </c:pt>
                <c:pt idx="3">
                  <c:v>5.9925928795193276E-2</c:v>
                </c:pt>
                <c:pt idx="4">
                  <c:v>8.1690466473301068E-2</c:v>
                </c:pt>
              </c:numCache>
            </c:numRef>
          </c:val>
          <c:extLst xmlns:c16r2="http://schemas.microsoft.com/office/drawing/2015/06/chart">
            <c:ext xmlns:c16="http://schemas.microsoft.com/office/drawing/2014/chart" uri="{C3380CC4-5D6E-409C-BE32-E72D297353CC}">
              <c16:uniqueId val="{00000001-EC06-4A9D-A1D4-76BF0C182DA4}"/>
            </c:ext>
          </c:extLst>
        </c:ser>
        <c:ser>
          <c:idx val="0"/>
          <c:order val="1"/>
          <c:tx>
            <c:strRef>
              <c:f>Hoja1!$C$1</c:f>
              <c:strCache>
                <c:ptCount val="1"/>
                <c:pt idx="0">
                  <c:v>Otras Obligaciones</c:v>
                </c:pt>
              </c:strCache>
            </c:strRef>
          </c:tx>
          <c:spPr>
            <a:ln w="15875" cap="rnd">
              <a:noFill/>
              <a:prstDash val="sysDash"/>
              <a:round/>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w="12700" cap="flat" cmpd="sng" algn="ctr">
                <a:noFill/>
                <a:prstDash val="solid"/>
              </a:ln>
              <a:effectLst/>
            </c:spPr>
            <c:txPr>
              <a:bodyPr wrap="square" lIns="38100" tIns="19050" rIns="38100" bIns="19050" anchor="ctr">
                <a:spAutoFit/>
              </a:bodyPr>
              <a:lstStyle/>
              <a:p>
                <a:pPr>
                  <a:defRPr sz="70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Hoja1!$A$2:$A$6</c:f>
              <c:numCache>
                <c:formatCode>General</c:formatCode>
                <c:ptCount val="5"/>
                <c:pt idx="0">
                  <c:v>2016</c:v>
                </c:pt>
                <c:pt idx="1">
                  <c:v>2017</c:v>
                </c:pt>
                <c:pt idx="2">
                  <c:v>2018</c:v>
                </c:pt>
                <c:pt idx="3">
                  <c:v>2019</c:v>
                </c:pt>
                <c:pt idx="4">
                  <c:v>2020</c:v>
                </c:pt>
              </c:numCache>
            </c:numRef>
          </c:cat>
          <c:val>
            <c:numRef>
              <c:f>Hoja1!$C$2:$C$6</c:f>
              <c:numCache>
                <c:formatCode>0.0%</c:formatCode>
                <c:ptCount val="5"/>
                <c:pt idx="0">
                  <c:v>6.3546416820556936E-2</c:v>
                </c:pt>
                <c:pt idx="1">
                  <c:v>7.0893929181710655E-2</c:v>
                </c:pt>
                <c:pt idx="2">
                  <c:v>6.8165824575088296E-2</c:v>
                </c:pt>
                <c:pt idx="3">
                  <c:v>6.2595957032614155E-2</c:v>
                </c:pt>
                <c:pt idx="4">
                  <c:v>6.7911644410829405E-2</c:v>
                </c:pt>
              </c:numCache>
            </c:numRef>
          </c:val>
          <c:extLst xmlns:c16r2="http://schemas.microsoft.com/office/drawing/2015/06/chart">
            <c:ext xmlns:c16="http://schemas.microsoft.com/office/drawing/2014/chart" uri="{C3380CC4-5D6E-409C-BE32-E72D297353CC}">
              <c16:uniqueId val="{00000003-EC06-4A9D-A1D4-76BF0C182DA4}"/>
            </c:ext>
          </c:extLst>
        </c:ser>
        <c:dLbls>
          <c:showLegendKey val="0"/>
          <c:showVal val="0"/>
          <c:showCatName val="0"/>
          <c:showSerName val="0"/>
          <c:showPercent val="0"/>
          <c:showBubbleSize val="0"/>
        </c:dLbls>
        <c:gapWidth val="150"/>
        <c:overlap val="100"/>
        <c:axId val="293325056"/>
        <c:axId val="293351424"/>
      </c:barChart>
      <c:lineChart>
        <c:grouping val="standard"/>
        <c:varyColors val="0"/>
        <c:ser>
          <c:idx val="1"/>
          <c:order val="2"/>
          <c:tx>
            <c:strRef>
              <c:f>Hoja1!$D$1</c:f>
              <c:strCache>
                <c:ptCount val="1"/>
                <c:pt idx="0">
                  <c:v>Promedio</c:v>
                </c:pt>
              </c:strCache>
            </c:strRef>
          </c:tx>
          <c:spPr>
            <a:ln w="15875">
              <a:prstDash val="sysDash"/>
            </a:ln>
            <a:effectLst>
              <a:outerShdw blurRad="50800" dist="38100" dir="18900000" algn="bl" rotWithShape="0">
                <a:prstClr val="black">
                  <a:alpha val="40000"/>
                </a:prstClr>
              </a:outerShdw>
            </a:effectLst>
          </c:spPr>
          <c:marker>
            <c:symbol val="none"/>
          </c:marker>
          <c:dLbls>
            <c:dLbl>
              <c:idx val="4"/>
              <c:layout>
                <c:manualLayout>
                  <c:x val="-5.0636118401867006E-3"/>
                  <c:y val="-6.8965517241379309E-2"/>
                </c:manualLayout>
              </c:layout>
              <c:tx>
                <c:rich>
                  <a:bodyPr wrap="square" lIns="38100" tIns="19050" rIns="38100" bIns="19050" anchor="ctr">
                    <a:spAutoFit/>
                  </a:bodyPr>
                  <a:lstStyle/>
                  <a:p>
                    <a:pPr>
                      <a:defRPr sz="700" b="1">
                        <a:solidFill>
                          <a:schemeClr val="accent4">
                            <a:lumMod val="75000"/>
                          </a:schemeClr>
                        </a:solidFill>
                      </a:defRPr>
                    </a:pPr>
                    <a:r>
                      <a:rPr lang="en-US" sz="700" b="1">
                        <a:solidFill>
                          <a:schemeClr val="accent4">
                            <a:lumMod val="75000"/>
                          </a:schemeClr>
                        </a:solidFill>
                      </a:rPr>
                      <a:t>Promedio de</a:t>
                    </a:r>
                    <a:r>
                      <a:rPr lang="en-US" sz="700" b="1" baseline="0">
                        <a:solidFill>
                          <a:schemeClr val="accent4">
                            <a:lumMod val="75000"/>
                          </a:schemeClr>
                        </a:solidFill>
                      </a:rPr>
                      <a:t> Obligaciones Financieras</a:t>
                    </a:r>
                    <a:endParaRPr lang="en-US" sz="700" b="1">
                      <a:solidFill>
                        <a:schemeClr val="accent4">
                          <a:lumMod val="75000"/>
                        </a:schemeClr>
                      </a:solidFill>
                    </a:endParaRPr>
                  </a:p>
                  <a:p>
                    <a:pPr>
                      <a:defRPr sz="700" b="1">
                        <a:solidFill>
                          <a:schemeClr val="accent4">
                            <a:lumMod val="75000"/>
                          </a:schemeClr>
                        </a:solidFill>
                      </a:defRPr>
                    </a:pPr>
                    <a:fld id="{BDC52C93-89C7-4D0F-9FE2-D42F53C0E383}" type="VALUE">
                      <a:rPr lang="en-US" sz="700" b="1">
                        <a:solidFill>
                          <a:schemeClr val="accent4">
                            <a:lumMod val="75000"/>
                          </a:schemeClr>
                        </a:solidFill>
                      </a:rPr>
                      <a:pPr>
                        <a:defRPr sz="700" b="1">
                          <a:solidFill>
                            <a:schemeClr val="accent4">
                              <a:lumMod val="75000"/>
                            </a:schemeClr>
                          </a:solidFill>
                        </a:defRPr>
                      </a:pPr>
                      <a:t>[VALOR]</a:t>
                    </a:fld>
                    <a:endParaRPr lang="es-GT"/>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8675925925925927"/>
                      <c:h val="0.20804597701149424"/>
                    </c:manualLayout>
                  </c15:layout>
                  <c15:dlblFieldTable/>
                  <c15:showDataLabelsRange val="0"/>
                </c:ext>
                <c:ext xmlns:c16="http://schemas.microsoft.com/office/drawing/2014/chart" uri="{C3380CC4-5D6E-409C-BE32-E72D297353CC}">
                  <c16:uniqueId val="{00000007-EC06-4A9D-A1D4-76BF0C182DA4}"/>
                </c:ext>
              </c:extLst>
            </c:dLbl>
            <c:spPr>
              <a:noFill/>
              <a:ln>
                <a:noFill/>
              </a:ln>
              <a:effectLst/>
            </c:spPr>
            <c:txPr>
              <a:bodyPr wrap="square" lIns="38100" tIns="19050" rIns="38100" bIns="19050" anchor="ctr">
                <a:spAutoFit/>
              </a:bodyPr>
              <a:lstStyle/>
              <a:p>
                <a:pPr>
                  <a:defRPr b="1"/>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Hoja1!$A$2:$A$6</c:f>
              <c:numCache>
                <c:formatCode>General</c:formatCode>
                <c:ptCount val="5"/>
                <c:pt idx="0">
                  <c:v>2016</c:v>
                </c:pt>
                <c:pt idx="1">
                  <c:v>2017</c:v>
                </c:pt>
                <c:pt idx="2">
                  <c:v>2018</c:v>
                </c:pt>
                <c:pt idx="3">
                  <c:v>2019</c:v>
                </c:pt>
                <c:pt idx="4">
                  <c:v>2020</c:v>
                </c:pt>
              </c:numCache>
            </c:numRef>
          </c:cat>
          <c:val>
            <c:numRef>
              <c:f>Hoja1!$D$2:$D$6</c:f>
              <c:numCache>
                <c:formatCode>0.0%</c:formatCode>
                <c:ptCount val="5"/>
                <c:pt idx="0">
                  <c:v>0.16198904050366328</c:v>
                </c:pt>
                <c:pt idx="1">
                  <c:v>0.16198904050366328</c:v>
                </c:pt>
                <c:pt idx="2">
                  <c:v>0.16198904050366328</c:v>
                </c:pt>
                <c:pt idx="3">
                  <c:v>0.16198904050366328</c:v>
                </c:pt>
                <c:pt idx="4">
                  <c:v>0.16198904050366328</c:v>
                </c:pt>
              </c:numCache>
            </c:numRef>
          </c:val>
          <c:smooth val="0"/>
          <c:extLst xmlns:c16r2="http://schemas.microsoft.com/office/drawing/2015/06/chart">
            <c:ext xmlns:c16="http://schemas.microsoft.com/office/drawing/2014/chart" uri="{C3380CC4-5D6E-409C-BE32-E72D297353CC}">
              <c16:uniqueId val="{00000005-EC06-4A9D-A1D4-76BF0C182DA4}"/>
            </c:ext>
          </c:extLst>
        </c:ser>
        <c:dLbls>
          <c:showLegendKey val="0"/>
          <c:showVal val="0"/>
          <c:showCatName val="0"/>
          <c:showSerName val="0"/>
          <c:showPercent val="0"/>
          <c:showBubbleSize val="0"/>
        </c:dLbls>
        <c:marker val="1"/>
        <c:smooth val="0"/>
        <c:axId val="293325056"/>
        <c:axId val="293351424"/>
      </c:lineChart>
      <c:catAx>
        <c:axId val="293325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3351424"/>
        <c:crosses val="autoZero"/>
        <c:auto val="1"/>
        <c:lblAlgn val="ctr"/>
        <c:lblOffset val="100"/>
        <c:noMultiLvlLbl val="0"/>
      </c:catAx>
      <c:valAx>
        <c:axId val="293351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3325056"/>
        <c:crosses val="autoZero"/>
        <c:crossBetween val="between"/>
      </c:valAx>
      <c:spPr>
        <a:noFill/>
        <a:ln>
          <a:noFill/>
        </a:ln>
        <a:effectLst/>
      </c:spPr>
    </c:plotArea>
    <c:legend>
      <c:legendPos val="b"/>
      <c:legendEntry>
        <c:idx val="2"/>
        <c:delete val="1"/>
      </c:legendEntry>
      <c:layout>
        <c:manualLayout>
          <c:xMode val="edge"/>
          <c:yMode val="edge"/>
          <c:x val="0.12302311169437154"/>
          <c:y val="0.87000633541496963"/>
          <c:w val="0.78404618693496642"/>
          <c:h val="0.12999366458503031"/>
        </c:manualLayout>
      </c:layout>
      <c:overlay val="0"/>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s-GT" sz="900" b="0" i="1"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Cantidad de municipalidades según el valor de su Endeudamiento Financiero</a:t>
            </a:r>
          </a:p>
        </c:rich>
      </c:tx>
      <c:layout>
        <c:manualLayout>
          <c:xMode val="edge"/>
          <c:yMode val="edge"/>
          <c:x val="0.20892212583870634"/>
          <c:y val="4.2004200420042007E-2"/>
        </c:manualLayout>
      </c:layout>
      <c:overlay val="0"/>
      <c:spPr>
        <a:noFill/>
        <a:ln>
          <a:noFill/>
        </a:ln>
        <a:effectLst/>
      </c:spPr>
    </c:title>
    <c:autoTitleDeleted val="0"/>
    <c:plotArea>
      <c:layout>
        <c:manualLayout>
          <c:layoutTarget val="inner"/>
          <c:xMode val="edge"/>
          <c:yMode val="edge"/>
          <c:x val="0.23506047418749182"/>
          <c:y val="0.17962347415843946"/>
          <c:w val="0.73527224300289629"/>
          <c:h val="0.61745607631629318"/>
        </c:manualLayout>
      </c:layout>
      <c:barChart>
        <c:barDir val="bar"/>
        <c:grouping val="clustered"/>
        <c:varyColors val="0"/>
        <c:ser>
          <c:idx val="0"/>
          <c:order val="0"/>
          <c:tx>
            <c:strRef>
              <c:f>'[Ingreso y Gastos.xlsx]Din Endeudamiento (2)'!$B$5</c:f>
              <c:strCache>
                <c:ptCount val="1"/>
                <c:pt idx="0">
                  <c:v>2020</c:v>
                </c:pt>
              </c:strCache>
            </c:strRef>
          </c:tx>
          <c:spPr>
            <a:solidFill>
              <a:srgbClr val="FF0000"/>
            </a:solidFill>
            <a:ln>
              <a:noFill/>
            </a:ln>
            <a:effectLst>
              <a:outerShdw blurRad="50800" dist="38100" dir="18900000" sx="99000" sy="99000" algn="bl" rotWithShape="0">
                <a:prstClr val="black">
                  <a:alpha val="40000"/>
                </a:prstClr>
              </a:outerShdw>
            </a:effectLst>
            <a:scene3d>
              <a:camera prst="orthographicFront"/>
              <a:lightRig rig="threePt" dir="t"/>
            </a:scene3d>
            <a:sp3d>
              <a:bevelT w="19050" prst="relaxedInset"/>
            </a:sp3d>
          </c:spPr>
          <c:invertIfNegative val="0"/>
          <c:dPt>
            <c:idx val="0"/>
            <c:invertIfNegative val="0"/>
            <c:bubble3D val="0"/>
            <c:spPr>
              <a:solidFill>
                <a:schemeClr val="accent6"/>
              </a:solidFill>
              <a:ln>
                <a:noFill/>
              </a:ln>
              <a:effectLst>
                <a:outerShdw blurRad="50800" dist="38100" dir="18900000" sx="99000" sy="99000" algn="bl" rotWithShape="0">
                  <a:prstClr val="black">
                    <a:alpha val="40000"/>
                  </a:prstClr>
                </a:outerShdw>
              </a:effectLst>
              <a:scene3d>
                <a:camera prst="orthographicFront"/>
                <a:lightRig rig="threePt" dir="t"/>
              </a:scene3d>
              <a:sp3d>
                <a:bevelT w="19050" prst="relaxedInset"/>
              </a:sp3d>
            </c:spPr>
            <c:extLst xmlns:c16r2="http://schemas.microsoft.com/office/drawing/2015/06/chart">
              <c:ext xmlns:c16="http://schemas.microsoft.com/office/drawing/2014/chart" uri="{C3380CC4-5D6E-409C-BE32-E72D297353CC}">
                <c16:uniqueId val="{00000001-7D4A-496D-BFD8-9C36044E1293}"/>
              </c:ext>
            </c:extLst>
          </c:dPt>
          <c:dPt>
            <c:idx val="1"/>
            <c:invertIfNegative val="0"/>
            <c:bubble3D val="0"/>
            <c:spPr>
              <a:solidFill>
                <a:schemeClr val="accent4">
                  <a:lumMod val="75000"/>
                </a:schemeClr>
              </a:solidFill>
              <a:ln>
                <a:noFill/>
              </a:ln>
              <a:effectLst>
                <a:outerShdw blurRad="50800" dist="38100" dir="18900000" sx="99000" sy="99000" algn="bl" rotWithShape="0">
                  <a:prstClr val="black">
                    <a:alpha val="40000"/>
                  </a:prstClr>
                </a:outerShdw>
              </a:effectLst>
              <a:scene3d>
                <a:camera prst="orthographicFront"/>
                <a:lightRig rig="threePt" dir="t"/>
              </a:scene3d>
              <a:sp3d>
                <a:bevelT w="19050" prst="relaxedInset"/>
              </a:sp3d>
            </c:spPr>
            <c:extLst xmlns:c16r2="http://schemas.microsoft.com/office/drawing/2015/06/chart">
              <c:ext xmlns:c16="http://schemas.microsoft.com/office/drawing/2014/chart" uri="{C3380CC4-5D6E-409C-BE32-E72D297353CC}">
                <c16:uniqueId val="{00000003-7D4A-496D-BFD8-9C36044E1293}"/>
              </c:ext>
            </c:extLst>
          </c:dPt>
          <c:dPt>
            <c:idx val="2"/>
            <c:invertIfNegative val="0"/>
            <c:bubble3D val="0"/>
            <c:spPr>
              <a:solidFill>
                <a:schemeClr val="accent4">
                  <a:lumMod val="75000"/>
                </a:schemeClr>
              </a:solidFill>
              <a:ln>
                <a:noFill/>
              </a:ln>
              <a:effectLst>
                <a:outerShdw blurRad="50800" dist="38100" dir="18900000" sx="99000" sy="99000" algn="bl" rotWithShape="0">
                  <a:prstClr val="black">
                    <a:alpha val="40000"/>
                  </a:prstClr>
                </a:outerShdw>
              </a:effectLst>
              <a:scene3d>
                <a:camera prst="orthographicFront"/>
                <a:lightRig rig="threePt" dir="t"/>
              </a:scene3d>
              <a:sp3d>
                <a:bevelT w="19050" prst="relaxedInset"/>
              </a:sp3d>
            </c:spPr>
            <c:extLst xmlns:c16r2="http://schemas.microsoft.com/office/drawing/2015/06/chart">
              <c:ext xmlns:c16="http://schemas.microsoft.com/office/drawing/2014/chart" uri="{C3380CC4-5D6E-409C-BE32-E72D297353CC}">
                <c16:uniqueId val="{00000005-7D4A-496D-BFD8-9C36044E1293}"/>
              </c:ext>
            </c:extLst>
          </c:dPt>
          <c:dPt>
            <c:idx val="3"/>
            <c:invertIfNegative val="0"/>
            <c:bubble3D val="0"/>
            <c:extLst xmlns:c16r2="http://schemas.microsoft.com/office/drawing/2015/06/chart">
              <c:ext xmlns:c16="http://schemas.microsoft.com/office/drawing/2014/chart" uri="{C3380CC4-5D6E-409C-BE32-E72D297353CC}">
                <c16:uniqueId val="{00000006-7D4A-496D-BFD8-9C36044E1293}"/>
              </c:ext>
            </c:extLst>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Endeudamiento (2)'!$C$12:$C$17</c:f>
              <c:strCache>
                <c:ptCount val="6"/>
                <c:pt idx="0">
                  <c:v>Entidades con 0%</c:v>
                </c:pt>
                <c:pt idx="1">
                  <c:v>Entre 0.01% y 5%</c:v>
                </c:pt>
                <c:pt idx="2">
                  <c:v>Entre 5.01% y 10%</c:v>
                </c:pt>
                <c:pt idx="3">
                  <c:v>Entre 10.01% y 20%</c:v>
                </c:pt>
                <c:pt idx="4">
                  <c:v>Entre 20.01% y 50%</c:v>
                </c:pt>
                <c:pt idx="5">
                  <c:v>Mas del 50%</c:v>
                </c:pt>
              </c:strCache>
            </c:strRef>
          </c:cat>
          <c:val>
            <c:numRef>
              <c:f>'[Ingreso y Gastos.xlsx]Din Endeudamiento (2)'!$D$12:$D$17</c:f>
              <c:numCache>
                <c:formatCode>#,##0.00</c:formatCode>
                <c:ptCount val="6"/>
                <c:pt idx="0" formatCode="General">
                  <c:v>260</c:v>
                </c:pt>
                <c:pt idx="1">
                  <c:v>29</c:v>
                </c:pt>
                <c:pt idx="2">
                  <c:v>10</c:v>
                </c:pt>
                <c:pt idx="3">
                  <c:v>19</c:v>
                </c:pt>
                <c:pt idx="4">
                  <c:v>17</c:v>
                </c:pt>
                <c:pt idx="5">
                  <c:v>5</c:v>
                </c:pt>
              </c:numCache>
            </c:numRef>
          </c:val>
          <c:extLst xmlns:c16r2="http://schemas.microsoft.com/office/drawing/2015/06/chart">
            <c:ext xmlns:c16="http://schemas.microsoft.com/office/drawing/2014/chart" uri="{C3380CC4-5D6E-409C-BE32-E72D297353CC}">
              <c16:uniqueId val="{00000007-7D4A-496D-BFD8-9C36044E1293}"/>
            </c:ext>
          </c:extLst>
        </c:ser>
        <c:dLbls>
          <c:showLegendKey val="0"/>
          <c:showVal val="0"/>
          <c:showCatName val="0"/>
          <c:showSerName val="0"/>
          <c:showPercent val="0"/>
          <c:showBubbleSize val="0"/>
        </c:dLbls>
        <c:gapWidth val="150"/>
        <c:axId val="295387136"/>
        <c:axId val="295389056"/>
      </c:barChart>
      <c:catAx>
        <c:axId val="295387136"/>
        <c:scaling>
          <c:orientation val="minMax"/>
        </c:scaling>
        <c:delete val="0"/>
        <c:axPos val="l"/>
        <c:majorGridlines>
          <c:spPr>
            <a:ln w="9525" cap="flat" cmpd="sng" algn="ctr">
              <a:solidFill>
                <a:schemeClr val="tx1">
                  <a:lumMod val="15000"/>
                  <a:lumOff val="85000"/>
                </a:schemeClr>
              </a:solidFill>
              <a:round/>
            </a:ln>
            <a:effectLst/>
          </c:spPr>
        </c:majorGridlines>
        <c:title>
          <c:tx>
            <c:strRef>
              <c:f>'[Ingreso y Gastos.xlsx]Din Endeudamiento (2)'!$E$1</c:f>
              <c:strCache>
                <c:ptCount val="1"/>
                <c:pt idx="0">
                  <c:v>Valor de su Endeudamiento respecto a sus ingresos</c:v>
                </c:pt>
              </c:strCache>
            </c:strRef>
          </c:tx>
          <c:layout>
            <c:manualLayout>
              <c:xMode val="edge"/>
              <c:yMode val="edge"/>
              <c:x val="0"/>
              <c:y val="0.1752955974842767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crossAx val="295389056"/>
        <c:crosses val="autoZero"/>
        <c:auto val="1"/>
        <c:lblAlgn val="ctr"/>
        <c:lblOffset val="100"/>
        <c:noMultiLvlLbl val="0"/>
      </c:catAx>
      <c:valAx>
        <c:axId val="295389056"/>
        <c:scaling>
          <c:orientation val="minMax"/>
        </c:scaling>
        <c:delete val="0"/>
        <c:axPos val="b"/>
        <c:majorGridlines>
          <c:spPr>
            <a:ln w="9525" cap="flat" cmpd="sng" algn="ctr">
              <a:solidFill>
                <a:schemeClr val="tx1">
                  <a:lumMod val="15000"/>
                  <a:lumOff val="85000"/>
                </a:schemeClr>
              </a:solidFill>
              <a:round/>
            </a:ln>
            <a:effectLst/>
          </c:spPr>
        </c:majorGridlines>
        <c:title>
          <c:tx>
            <c:strRef>
              <c:f>'[Ingreso y Gastos.xlsx]Din Endeudamiento (2)'!$E$2</c:f>
              <c:strCache>
                <c:ptCount val="1"/>
                <c:pt idx="0">
                  <c:v>Cantidad de Municipalidades</c:v>
                </c:pt>
              </c:strCache>
            </c:strRef>
          </c:tx>
          <c:layout>
            <c:manualLayout>
              <c:xMode val="edge"/>
              <c:yMode val="edge"/>
              <c:x val="0.42008310652480824"/>
              <c:y val="0.918540484326251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crossAx val="295387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i="1">
                <a:solidFill>
                  <a:sysClr val="windowText" lastClr="000000"/>
                </a:solidFill>
                <a:latin typeface="Times New Roman" panose="02020603050405020304" pitchFamily="18" charset="0"/>
                <a:cs typeface="Times New Roman" panose="02020603050405020304" pitchFamily="18" charset="0"/>
              </a:rPr>
              <a:t>Con mayor Endeudamiento Financiero</a:t>
            </a:r>
          </a:p>
        </c:rich>
      </c:tx>
      <c:layout>
        <c:manualLayout>
          <c:xMode val="edge"/>
          <c:yMode val="edge"/>
          <c:x val="0.12858505746032048"/>
          <c:y val="2.0075282308657464E-2"/>
        </c:manualLayout>
      </c:layout>
      <c:overlay val="0"/>
      <c:spPr>
        <a:noFill/>
        <a:ln>
          <a:noFill/>
        </a:ln>
        <a:effectLst/>
      </c:spPr>
    </c:title>
    <c:autoTitleDeleted val="0"/>
    <c:plotArea>
      <c:layout>
        <c:manualLayout>
          <c:layoutTarget val="inner"/>
          <c:xMode val="edge"/>
          <c:yMode val="edge"/>
          <c:x val="0.169833474564168"/>
          <c:y val="0.18957942678746084"/>
          <c:w val="0.83016652543583203"/>
          <c:h val="0.36099032790286406"/>
        </c:manualLayout>
      </c:layout>
      <c:barChart>
        <c:barDir val="col"/>
        <c:grouping val="clustered"/>
        <c:varyColors val="0"/>
        <c:ser>
          <c:idx val="0"/>
          <c:order val="0"/>
          <c:tx>
            <c:strRef>
              <c:f>'[Ingreso y Gastos.xlsx]Din Endeudamiento (4)'!$B$5</c:f>
              <c:strCache>
                <c:ptCount val="1"/>
                <c:pt idx="0">
                  <c:v>202000.000%</c:v>
                </c:pt>
              </c:strCache>
            </c:strRef>
          </c:tx>
          <c:spPr>
            <a:solidFill>
              <a:srgbClr val="FF0000"/>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numFmt formatCode="0.0%" sourceLinked="0"/>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Endeudamiento (4)'!$A$6:$A$15</c:f>
              <c:strCache>
                <c:ptCount val="10"/>
                <c:pt idx="0">
                  <c:v>Teculutan</c:v>
                </c:pt>
                <c:pt idx="1">
                  <c:v>Catarina</c:v>
                </c:pt>
                <c:pt idx="2">
                  <c:v>San Antonio Ilotenango</c:v>
                </c:pt>
                <c:pt idx="3">
                  <c:v>El Jícaro</c:v>
                </c:pt>
                <c:pt idx="4">
                  <c:v>San Lorenzo (Suchitepéquez)</c:v>
                </c:pt>
                <c:pt idx="5">
                  <c:v>Guatemala</c:v>
                </c:pt>
                <c:pt idx="6">
                  <c:v>Coatepeque</c:v>
                </c:pt>
                <c:pt idx="7">
                  <c:v>Concepción Las Minas</c:v>
                </c:pt>
                <c:pt idx="8">
                  <c:v>Mixco</c:v>
                </c:pt>
                <c:pt idx="9">
                  <c:v>Nueva Santa Rosa</c:v>
                </c:pt>
              </c:strCache>
            </c:strRef>
          </c:cat>
          <c:val>
            <c:numRef>
              <c:f>'[Ingreso y Gastos.xlsx]Din Endeudamiento (4)'!$B$6:$B$15</c:f>
              <c:numCache>
                <c:formatCode>0.000%</c:formatCode>
                <c:ptCount val="10"/>
                <c:pt idx="0">
                  <c:v>0.77676595563426587</c:v>
                </c:pt>
                <c:pt idx="1">
                  <c:v>0.77362842907017537</c:v>
                </c:pt>
                <c:pt idx="2">
                  <c:v>0.59027685809162533</c:v>
                </c:pt>
                <c:pt idx="3">
                  <c:v>0.57801390663508467</c:v>
                </c:pt>
                <c:pt idx="4">
                  <c:v>0.55482864620736794</c:v>
                </c:pt>
                <c:pt idx="5">
                  <c:v>0.486381969428269</c:v>
                </c:pt>
                <c:pt idx="6">
                  <c:v>0.42696941507361102</c:v>
                </c:pt>
                <c:pt idx="7">
                  <c:v>0.33415537312309213</c:v>
                </c:pt>
                <c:pt idx="8">
                  <c:v>0.29570577460535646</c:v>
                </c:pt>
                <c:pt idx="9">
                  <c:v>0.28420310818924127</c:v>
                </c:pt>
              </c:numCache>
            </c:numRef>
          </c:val>
          <c:extLst xmlns:c16r2="http://schemas.microsoft.com/office/drawing/2015/06/chart">
            <c:ext xmlns:c16="http://schemas.microsoft.com/office/drawing/2014/chart" uri="{C3380CC4-5D6E-409C-BE32-E72D297353CC}">
              <c16:uniqueId val="{00000000-6B8C-4C8C-A3D8-86FD4A30C2CB}"/>
            </c:ext>
          </c:extLst>
        </c:ser>
        <c:dLbls>
          <c:showLegendKey val="0"/>
          <c:showVal val="0"/>
          <c:showCatName val="0"/>
          <c:showSerName val="0"/>
          <c:showPercent val="0"/>
          <c:showBubbleSize val="0"/>
        </c:dLbls>
        <c:gapWidth val="150"/>
        <c:axId val="295182720"/>
        <c:axId val="295184256"/>
      </c:barChart>
      <c:catAx>
        <c:axId val="29518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184256"/>
        <c:crosses val="autoZero"/>
        <c:auto val="1"/>
        <c:lblAlgn val="ctr"/>
        <c:lblOffset val="100"/>
        <c:noMultiLvlLbl val="0"/>
      </c:catAx>
      <c:valAx>
        <c:axId val="295184256"/>
        <c:scaling>
          <c:orientation val="minMax"/>
        </c:scaling>
        <c:delete val="0"/>
        <c:axPos val="l"/>
        <c:majorGridlines>
          <c:spPr>
            <a:ln w="9525" cap="flat" cmpd="sng" algn="ctr">
              <a:solidFill>
                <a:schemeClr val="tx1">
                  <a:lumMod val="15000"/>
                  <a:lumOff val="85000"/>
                </a:schemeClr>
              </a:solidFill>
              <a:round/>
            </a:ln>
            <a:effectLst/>
          </c:spPr>
        </c:majorGridlines>
        <c:title>
          <c:tx>
            <c:strRef>
              <c:f>'[Ingreso y Gastos.xlsx]Din Endeudamiento (4)'!$E$2</c:f>
              <c:strCache>
                <c:ptCount val="1"/>
                <c:pt idx="0">
                  <c:v>Endeudamiento Financiero / Ingresos Totales</c:v>
                </c:pt>
              </c:strCache>
            </c:strRef>
          </c:tx>
          <c:layout>
            <c:manualLayout>
              <c:xMode val="edge"/>
              <c:yMode val="edge"/>
              <c:x val="4.2635843433718309E-3"/>
              <c:y val="0.154447682747310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182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s-G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i="1">
                <a:solidFill>
                  <a:sysClr val="windowText" lastClr="000000"/>
                </a:solidFill>
                <a:latin typeface="Times New Roman" panose="02020603050405020304" pitchFamily="18" charset="0"/>
                <a:cs typeface="Times New Roman" panose="02020603050405020304" pitchFamily="18" charset="0"/>
              </a:rPr>
              <a:t>Con</a:t>
            </a:r>
            <a:r>
              <a:rPr lang="es-GT" sz="1000" i="1" baseline="0">
                <a:solidFill>
                  <a:sysClr val="windowText" lastClr="000000"/>
                </a:solidFill>
                <a:latin typeface="Times New Roman" panose="02020603050405020304" pitchFamily="18" charset="0"/>
                <a:cs typeface="Times New Roman" panose="02020603050405020304" pitchFamily="18" charset="0"/>
              </a:rPr>
              <a:t> </a:t>
            </a:r>
            <a:r>
              <a:rPr lang="es-GT" sz="1000" i="1">
                <a:solidFill>
                  <a:sysClr val="windowText" lastClr="000000"/>
                </a:solidFill>
                <a:latin typeface="Times New Roman" panose="02020603050405020304" pitchFamily="18" charset="0"/>
                <a:cs typeface="Times New Roman" panose="02020603050405020304" pitchFamily="18" charset="0"/>
              </a:rPr>
              <a:t>menor Endeudamiento Financiero </a:t>
            </a:r>
            <a:r>
              <a:rPr lang="es-GT" sz="900" i="1">
                <a:solidFill>
                  <a:sysClr val="windowText" lastClr="000000"/>
                </a:solidFill>
                <a:latin typeface="Times New Roman" panose="02020603050405020304" pitchFamily="18" charset="0"/>
                <a:cs typeface="Times New Roman" panose="02020603050405020304" pitchFamily="18" charset="0"/>
              </a:rPr>
              <a:t>(sin incluir municpalidades</a:t>
            </a:r>
            <a:r>
              <a:rPr lang="es-GT" sz="900" i="1" baseline="0">
                <a:solidFill>
                  <a:sysClr val="windowText" lastClr="000000"/>
                </a:solidFill>
                <a:latin typeface="Times New Roman" panose="02020603050405020304" pitchFamily="18" charset="0"/>
                <a:cs typeface="Times New Roman" panose="02020603050405020304" pitchFamily="18" charset="0"/>
              </a:rPr>
              <a:t> con ninguna deuda)</a:t>
            </a:r>
            <a:endParaRPr lang="es-GT" sz="1000"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511681941396671"/>
          <c:y val="0"/>
        </c:manualLayout>
      </c:layout>
      <c:overlay val="0"/>
      <c:spPr>
        <a:noFill/>
        <a:ln>
          <a:noFill/>
        </a:ln>
        <a:effectLst/>
      </c:spPr>
    </c:title>
    <c:autoTitleDeleted val="0"/>
    <c:plotArea>
      <c:layout>
        <c:manualLayout>
          <c:layoutTarget val="inner"/>
          <c:xMode val="edge"/>
          <c:yMode val="edge"/>
          <c:x val="0.16464806653266703"/>
          <c:y val="0.23494768633372884"/>
          <c:w val="0.83535193346733294"/>
          <c:h val="0.35309252867364188"/>
        </c:manualLayout>
      </c:layout>
      <c:barChart>
        <c:barDir val="col"/>
        <c:grouping val="clustered"/>
        <c:varyColors val="0"/>
        <c:ser>
          <c:idx val="0"/>
          <c:order val="0"/>
          <c:tx>
            <c:strRef>
              <c:f>'[Ingreso y Gastos.xlsx]Din Endeudamiento (4)'!$B$5</c:f>
              <c:strCache>
                <c:ptCount val="1"/>
                <c:pt idx="0">
                  <c:v>2020</c:v>
                </c:pt>
              </c:strCache>
            </c:strRef>
          </c:tx>
          <c:spPr>
            <a:solidFill>
              <a:schemeClr val="accent6"/>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numFmt formatCode="0.000%" sourceLinked="0"/>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Endeudamiento (4)'!$A$75:$A$85</c:f>
              <c:strCache>
                <c:ptCount val="11"/>
                <c:pt idx="0">
                  <c:v>San Miguel Tucuru</c:v>
                </c:pt>
                <c:pt idx="1">
                  <c:v>Pueblo Nuevo</c:v>
                </c:pt>
                <c:pt idx="2">
                  <c:v>San Raymundo</c:v>
                </c:pt>
                <c:pt idx="3">
                  <c:v>Las Cruces</c:v>
                </c:pt>
                <c:pt idx="4">
                  <c:v>Cuilco</c:v>
                </c:pt>
                <c:pt idx="5">
                  <c:v>Santa María Ixhuatan</c:v>
                </c:pt>
                <c:pt idx="6">
                  <c:v>Santa María Chiquimula</c:v>
                </c:pt>
                <c:pt idx="7">
                  <c:v>Comitancillo</c:v>
                </c:pt>
                <c:pt idx="8">
                  <c:v>Antigua Guatemala</c:v>
                </c:pt>
                <c:pt idx="9">
                  <c:v>Santa Cruz Mulua</c:v>
                </c:pt>
                <c:pt idx="10">
                  <c:v>Atescatempa</c:v>
                </c:pt>
              </c:strCache>
            </c:strRef>
          </c:cat>
          <c:val>
            <c:numRef>
              <c:f>'[Ingreso y Gastos.xlsx]Din Endeudamiento (4)'!$B$75:$B$85</c:f>
              <c:numCache>
                <c:formatCode>0.0%</c:formatCode>
                <c:ptCount val="11"/>
                <c:pt idx="0">
                  <c:v>2.9126587060180078E-3</c:v>
                </c:pt>
                <c:pt idx="1">
                  <c:v>2.4852518212998488E-3</c:v>
                </c:pt>
                <c:pt idx="2">
                  <c:v>2.1050621539366525E-3</c:v>
                </c:pt>
                <c:pt idx="3">
                  <c:v>1.8845086452181107E-3</c:v>
                </c:pt>
                <c:pt idx="4">
                  <c:v>1.042233276767662E-3</c:v>
                </c:pt>
                <c:pt idx="5">
                  <c:v>2.7491216335200655E-4</c:v>
                </c:pt>
                <c:pt idx="6">
                  <c:v>6.950562013172465E-5</c:v>
                </c:pt>
                <c:pt idx="7">
                  <c:v>3.5148879499062035E-5</c:v>
                </c:pt>
                <c:pt idx="8">
                  <c:v>3.1913184599983395E-5</c:v>
                </c:pt>
                <c:pt idx="9">
                  <c:v>9.4702262109299951E-6</c:v>
                </c:pt>
                <c:pt idx="10">
                  <c:v>8.2655754007681511E-6</c:v>
                </c:pt>
              </c:numCache>
            </c:numRef>
          </c:val>
          <c:extLst xmlns:c16r2="http://schemas.microsoft.com/office/drawing/2015/06/chart">
            <c:ext xmlns:c16="http://schemas.microsoft.com/office/drawing/2014/chart" uri="{C3380CC4-5D6E-409C-BE32-E72D297353CC}">
              <c16:uniqueId val="{00000000-4638-44BE-8786-8F486DFB51DA}"/>
            </c:ext>
          </c:extLst>
        </c:ser>
        <c:dLbls>
          <c:showLegendKey val="0"/>
          <c:showVal val="0"/>
          <c:showCatName val="0"/>
          <c:showSerName val="0"/>
          <c:showPercent val="0"/>
          <c:showBubbleSize val="0"/>
        </c:dLbls>
        <c:gapWidth val="150"/>
        <c:axId val="295209984"/>
        <c:axId val="295244544"/>
      </c:barChart>
      <c:catAx>
        <c:axId val="29520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244544"/>
        <c:crosses val="autoZero"/>
        <c:auto val="1"/>
        <c:lblAlgn val="ctr"/>
        <c:lblOffset val="100"/>
        <c:noMultiLvlLbl val="0"/>
      </c:catAx>
      <c:valAx>
        <c:axId val="295244544"/>
        <c:scaling>
          <c:orientation val="minMax"/>
        </c:scaling>
        <c:delete val="0"/>
        <c:axPos val="l"/>
        <c:majorGridlines>
          <c:spPr>
            <a:ln w="9525" cap="flat" cmpd="sng" algn="ctr">
              <a:solidFill>
                <a:schemeClr val="tx1">
                  <a:lumMod val="15000"/>
                  <a:lumOff val="85000"/>
                </a:schemeClr>
              </a:solidFill>
              <a:round/>
            </a:ln>
            <a:effectLst/>
          </c:spPr>
        </c:majorGridlines>
        <c:title>
          <c:tx>
            <c:strRef>
              <c:f>'[Ingreso y Gastos.xlsx]Din Endeudamiento (4)'!$E$2</c:f>
              <c:strCache>
                <c:ptCount val="1"/>
                <c:pt idx="0">
                  <c:v>Endeudamiento Financiero / Ingresos Totales</c:v>
                </c:pt>
              </c:strCache>
            </c:strRef>
          </c:tx>
          <c:layout>
            <c:manualLayout>
              <c:xMode val="edge"/>
              <c:yMode val="edge"/>
              <c:x val="0"/>
              <c:y val="0.121675508599953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209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s-GT"/>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kumimoji="0" lang="es-GT" sz="1200" b="1"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Gráfica 47.  Otras Obligaciones por pagar de las Municipalidades</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kumimoji="0" lang="es-GT" sz="1000" b="0"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para el año 2020</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kumimoji="0" lang="es-GT" sz="900" b="0" i="1"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Cantidad de municipalidades según el valor de sus otras obligaciones por pagar</a:t>
            </a:r>
          </a:p>
        </c:rich>
      </c:tx>
      <c:layout>
        <c:manualLayout>
          <c:xMode val="edge"/>
          <c:yMode val="edge"/>
          <c:x val="0.21377261414411924"/>
          <c:y val="0"/>
        </c:manualLayout>
      </c:layout>
      <c:overlay val="0"/>
      <c:spPr>
        <a:noFill/>
        <a:ln>
          <a:noFill/>
        </a:ln>
        <a:effectLst/>
      </c:spPr>
    </c:title>
    <c:autoTitleDeleted val="0"/>
    <c:plotArea>
      <c:layout>
        <c:manualLayout>
          <c:layoutTarget val="inner"/>
          <c:xMode val="edge"/>
          <c:yMode val="edge"/>
          <c:x val="0.24869754901247326"/>
          <c:y val="0.26777777777777778"/>
          <c:w val="0.71183267352671487"/>
          <c:h val="0.55376494604841064"/>
        </c:manualLayout>
      </c:layout>
      <c:barChart>
        <c:barDir val="bar"/>
        <c:grouping val="clustered"/>
        <c:varyColors val="0"/>
        <c:ser>
          <c:idx val="0"/>
          <c:order val="0"/>
          <c:tx>
            <c:strRef>
              <c:f>'[Ingreso y Gastos.xlsx]Din OCP (2)'!$B$5</c:f>
              <c:strCache>
                <c:ptCount val="1"/>
                <c:pt idx="0">
                  <c:v>2020</c:v>
                </c:pt>
              </c:strCache>
            </c:strRef>
          </c:tx>
          <c:spPr>
            <a:solidFill>
              <a:schemeClr val="accent1"/>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Pt>
            <c:idx val="0"/>
            <c:invertIfNegative val="0"/>
            <c:bubble3D val="0"/>
            <c:spPr>
              <a:solidFill>
                <a:schemeClr val="accent6"/>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extLst xmlns:c16r2="http://schemas.microsoft.com/office/drawing/2015/06/chart">
              <c:ext xmlns:c16="http://schemas.microsoft.com/office/drawing/2014/chart" uri="{C3380CC4-5D6E-409C-BE32-E72D297353CC}">
                <c16:uniqueId val="{00000001-C77A-4EFC-9F09-657180A99603}"/>
              </c:ext>
            </c:extLst>
          </c:dPt>
          <c:dPt>
            <c:idx val="1"/>
            <c:invertIfNegative val="0"/>
            <c:bubble3D val="0"/>
            <c:spPr>
              <a:solidFill>
                <a:schemeClr val="accent6"/>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extLst xmlns:c16r2="http://schemas.microsoft.com/office/drawing/2015/06/chart">
              <c:ext xmlns:c16="http://schemas.microsoft.com/office/drawing/2014/chart" uri="{C3380CC4-5D6E-409C-BE32-E72D297353CC}">
                <c16:uniqueId val="{00000003-C77A-4EFC-9F09-657180A99603}"/>
              </c:ext>
            </c:extLst>
          </c:dPt>
          <c:dPt>
            <c:idx val="2"/>
            <c:invertIfNegative val="0"/>
            <c:bubble3D val="0"/>
            <c:spPr>
              <a:solidFill>
                <a:schemeClr val="accent4"/>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extLst xmlns:c16r2="http://schemas.microsoft.com/office/drawing/2015/06/chart">
              <c:ext xmlns:c16="http://schemas.microsoft.com/office/drawing/2014/chart" uri="{C3380CC4-5D6E-409C-BE32-E72D297353CC}">
                <c16:uniqueId val="{00000005-C77A-4EFC-9F09-657180A99603}"/>
              </c:ext>
            </c:extLst>
          </c:dPt>
          <c:dPt>
            <c:idx val="3"/>
            <c:invertIfNegative val="0"/>
            <c:bubble3D val="0"/>
            <c:spPr>
              <a:solidFill>
                <a:srgbClr val="FF0000"/>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extLst xmlns:c16r2="http://schemas.microsoft.com/office/drawing/2015/06/chart">
              <c:ext xmlns:c16="http://schemas.microsoft.com/office/drawing/2014/chart" uri="{C3380CC4-5D6E-409C-BE32-E72D297353CC}">
                <c16:uniqueId val="{00000007-C77A-4EFC-9F09-657180A99603}"/>
              </c:ext>
            </c:extLst>
          </c:dPt>
          <c:dPt>
            <c:idx val="4"/>
            <c:invertIfNegative val="0"/>
            <c:bubble3D val="0"/>
            <c:spPr>
              <a:solidFill>
                <a:srgbClr val="FF0000"/>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extLst xmlns:c16r2="http://schemas.microsoft.com/office/drawing/2015/06/chart">
              <c:ext xmlns:c16="http://schemas.microsoft.com/office/drawing/2014/chart" uri="{C3380CC4-5D6E-409C-BE32-E72D297353CC}">
                <c16:uniqueId val="{00000009-C77A-4EFC-9F09-657180A996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OCP (2)'!$C$12:$C$17</c:f>
              <c:strCache>
                <c:ptCount val="6"/>
                <c:pt idx="0">
                  <c:v>Entidades con 0%</c:v>
                </c:pt>
                <c:pt idx="1">
                  <c:v>Entre 0.01% y 5%</c:v>
                </c:pt>
                <c:pt idx="2">
                  <c:v>Entre 5.01% y 10%</c:v>
                </c:pt>
                <c:pt idx="3">
                  <c:v>Entre 10.01% y 20%</c:v>
                </c:pt>
                <c:pt idx="4">
                  <c:v>Entre 20.01% y 50%</c:v>
                </c:pt>
                <c:pt idx="5">
                  <c:v>Mas del 50%</c:v>
                </c:pt>
              </c:strCache>
            </c:strRef>
          </c:cat>
          <c:val>
            <c:numRef>
              <c:f>'[Ingreso y Gastos.xlsx]Din OCP (2)'!$D$12:$D$17</c:f>
              <c:numCache>
                <c:formatCode>#,##0</c:formatCode>
                <c:ptCount val="6"/>
                <c:pt idx="0">
                  <c:v>8</c:v>
                </c:pt>
                <c:pt idx="1">
                  <c:v>276</c:v>
                </c:pt>
                <c:pt idx="2">
                  <c:v>39</c:v>
                </c:pt>
                <c:pt idx="3">
                  <c:v>12</c:v>
                </c:pt>
                <c:pt idx="4">
                  <c:v>5</c:v>
                </c:pt>
                <c:pt idx="5">
                  <c:v>0</c:v>
                </c:pt>
              </c:numCache>
            </c:numRef>
          </c:val>
          <c:extLst xmlns:c16r2="http://schemas.microsoft.com/office/drawing/2015/06/chart">
            <c:ext xmlns:c16="http://schemas.microsoft.com/office/drawing/2014/chart" uri="{C3380CC4-5D6E-409C-BE32-E72D297353CC}">
              <c16:uniqueId val="{0000000A-C77A-4EFC-9F09-657180A99603}"/>
            </c:ext>
          </c:extLst>
        </c:ser>
        <c:dLbls>
          <c:showLegendKey val="0"/>
          <c:showVal val="0"/>
          <c:showCatName val="0"/>
          <c:showSerName val="0"/>
          <c:showPercent val="0"/>
          <c:showBubbleSize val="0"/>
        </c:dLbls>
        <c:gapWidth val="150"/>
        <c:axId val="295278464"/>
        <c:axId val="295288832"/>
      </c:barChart>
      <c:catAx>
        <c:axId val="295278464"/>
        <c:scaling>
          <c:orientation val="minMax"/>
        </c:scaling>
        <c:delete val="0"/>
        <c:axPos val="l"/>
        <c:title>
          <c:tx>
            <c:strRef>
              <c:f>'[Ingreso y Gastos.xlsx]Din OCP (2)'!$E$1</c:f>
              <c:strCache>
                <c:ptCount val="1"/>
                <c:pt idx="0">
                  <c:v>Valor de las Otras obligaciones por pagar respecto a sus ingresos</c:v>
                </c:pt>
              </c:strCache>
            </c:strRef>
          </c:tx>
          <c:layout>
            <c:manualLayout>
              <c:xMode val="edge"/>
              <c:yMode val="edge"/>
              <c:x val="1.1551042834063488E-2"/>
              <c:y val="0.13677896588633015"/>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crossAx val="295288832"/>
        <c:crosses val="autoZero"/>
        <c:auto val="1"/>
        <c:lblAlgn val="ctr"/>
        <c:lblOffset val="100"/>
        <c:noMultiLvlLbl val="0"/>
      </c:catAx>
      <c:valAx>
        <c:axId val="295288832"/>
        <c:scaling>
          <c:orientation val="minMax"/>
        </c:scaling>
        <c:delete val="0"/>
        <c:axPos val="b"/>
        <c:majorGridlines>
          <c:spPr>
            <a:ln w="9525" cap="flat" cmpd="sng" algn="ctr">
              <a:solidFill>
                <a:schemeClr val="tx1">
                  <a:lumMod val="15000"/>
                  <a:lumOff val="85000"/>
                </a:schemeClr>
              </a:solidFill>
              <a:round/>
            </a:ln>
            <a:effectLst/>
          </c:spPr>
        </c:majorGridlines>
        <c:title>
          <c:tx>
            <c:strRef>
              <c:f>'[Ingreso y Gastos.xlsx]Din OCP (2)'!$E$2</c:f>
              <c:strCache>
                <c:ptCount val="1"/>
                <c:pt idx="0">
                  <c:v>Cantidad de Municipalidades</c:v>
                </c:pt>
              </c:strCache>
            </c:strRef>
          </c:tx>
          <c:layout>
            <c:manualLayout>
              <c:xMode val="edge"/>
              <c:yMode val="edge"/>
              <c:x val="0.46162636267047025"/>
              <c:y val="0.9064581510644502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GT"/>
          </a:p>
        </c:txPr>
        <c:crossAx val="295278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i="1">
                <a:solidFill>
                  <a:sysClr val="windowText" lastClr="000000"/>
                </a:solidFill>
                <a:latin typeface="Times New Roman" panose="02020603050405020304" pitchFamily="18" charset="0"/>
                <a:cs typeface="Times New Roman" panose="02020603050405020304" pitchFamily="18" charset="0"/>
              </a:rPr>
              <a:t>Con mayor</a:t>
            </a:r>
            <a:r>
              <a:rPr lang="es-GT" sz="1000" i="1" baseline="0">
                <a:solidFill>
                  <a:sysClr val="windowText" lastClr="000000"/>
                </a:solidFill>
                <a:latin typeface="Times New Roman" panose="02020603050405020304" pitchFamily="18" charset="0"/>
                <a:cs typeface="Times New Roman" panose="02020603050405020304" pitchFamily="18" charset="0"/>
              </a:rPr>
              <a:t> nivel de otras</a:t>
            </a:r>
            <a:r>
              <a:rPr lang="es-GT" sz="1000" i="1">
                <a:solidFill>
                  <a:sysClr val="windowText" lastClr="000000"/>
                </a:solidFill>
                <a:latin typeface="Times New Roman" panose="02020603050405020304" pitchFamily="18" charset="0"/>
                <a:cs typeface="Times New Roman" panose="02020603050405020304" pitchFamily="18" charset="0"/>
              </a:rPr>
              <a:t> obligaciones</a:t>
            </a:r>
            <a:r>
              <a:rPr lang="es-GT" sz="1000" i="1" baseline="0">
                <a:solidFill>
                  <a:sysClr val="windowText" lastClr="000000"/>
                </a:solidFill>
                <a:latin typeface="Times New Roman" panose="02020603050405020304" pitchFamily="18" charset="0"/>
                <a:cs typeface="Times New Roman" panose="02020603050405020304" pitchFamily="18" charset="0"/>
              </a:rPr>
              <a:t> por pagar</a:t>
            </a:r>
            <a:endParaRPr lang="es-GT" sz="1000"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858505746032048"/>
          <c:y val="0"/>
        </c:manualLayout>
      </c:layout>
      <c:overlay val="0"/>
      <c:spPr>
        <a:noFill/>
        <a:ln>
          <a:noFill/>
        </a:ln>
        <a:effectLst/>
      </c:spPr>
    </c:title>
    <c:autoTitleDeleted val="0"/>
    <c:plotArea>
      <c:layout>
        <c:manualLayout>
          <c:layoutTarget val="inner"/>
          <c:xMode val="edge"/>
          <c:yMode val="edge"/>
          <c:x val="0.169833474564168"/>
          <c:y val="0.26875072861814481"/>
          <c:w val="0.83016652543583203"/>
          <c:h val="0.39110325136585039"/>
        </c:manualLayout>
      </c:layout>
      <c:barChart>
        <c:barDir val="col"/>
        <c:grouping val="clustered"/>
        <c:varyColors val="0"/>
        <c:ser>
          <c:idx val="0"/>
          <c:order val="0"/>
          <c:tx>
            <c:strRef>
              <c:f>'[Ingreso y Gastos.xlsx]Din OCP (4)'!$B$5</c:f>
              <c:strCache>
                <c:ptCount val="1"/>
                <c:pt idx="0">
                  <c:v>2020</c:v>
                </c:pt>
              </c:strCache>
            </c:strRef>
          </c:tx>
          <c:spPr>
            <a:solidFill>
              <a:srgbClr val="FF0000"/>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numFmt formatCode="0.0%" sourceLinked="0"/>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OCP (4)'!$A$6:$A$15</c:f>
              <c:strCache>
                <c:ptCount val="10"/>
                <c:pt idx="0">
                  <c:v>Escuintla</c:v>
                </c:pt>
                <c:pt idx="1">
                  <c:v>San Pedro Ayampuc</c:v>
                </c:pt>
                <c:pt idx="2">
                  <c:v>Guatemala</c:v>
                </c:pt>
                <c:pt idx="3">
                  <c:v>Ayutla</c:v>
                </c:pt>
                <c:pt idx="4">
                  <c:v>Santo Domingo Suchitepéquez</c:v>
                </c:pt>
                <c:pt idx="5">
                  <c:v>Mixco</c:v>
                </c:pt>
                <c:pt idx="6">
                  <c:v>Chisec</c:v>
                </c:pt>
                <c:pt idx="7">
                  <c:v>San Marcos</c:v>
                </c:pt>
                <c:pt idx="8">
                  <c:v>Sayaxche</c:v>
                </c:pt>
                <c:pt idx="9">
                  <c:v>San José (Petén)</c:v>
                </c:pt>
              </c:strCache>
            </c:strRef>
          </c:cat>
          <c:val>
            <c:numRef>
              <c:f>'[Ingreso y Gastos.xlsx]Din OCP (4)'!$B$6:$B$15</c:f>
              <c:numCache>
                <c:formatCode>0.000%</c:formatCode>
                <c:ptCount val="10"/>
                <c:pt idx="0">
                  <c:v>0.41253411926085876</c:v>
                </c:pt>
                <c:pt idx="1">
                  <c:v>0.39572872992788916</c:v>
                </c:pt>
                <c:pt idx="2">
                  <c:v>0.3885553865285693</c:v>
                </c:pt>
                <c:pt idx="3">
                  <c:v>0.31059125147503275</c:v>
                </c:pt>
                <c:pt idx="4">
                  <c:v>0.22539225190801151</c:v>
                </c:pt>
                <c:pt idx="5">
                  <c:v>0.18887576020092897</c:v>
                </c:pt>
                <c:pt idx="6">
                  <c:v>0.18208910287471489</c:v>
                </c:pt>
                <c:pt idx="7">
                  <c:v>0.18177987129553319</c:v>
                </c:pt>
                <c:pt idx="8">
                  <c:v>0.17928776214360082</c:v>
                </c:pt>
                <c:pt idx="9">
                  <c:v>0.15828038040604575</c:v>
                </c:pt>
              </c:numCache>
            </c:numRef>
          </c:val>
          <c:extLst xmlns:c16r2="http://schemas.microsoft.com/office/drawing/2015/06/chart">
            <c:ext xmlns:c16="http://schemas.microsoft.com/office/drawing/2014/chart" uri="{C3380CC4-5D6E-409C-BE32-E72D297353CC}">
              <c16:uniqueId val="{00000000-43A9-448B-B3F5-33EF090D6B73}"/>
            </c:ext>
          </c:extLst>
        </c:ser>
        <c:dLbls>
          <c:showLegendKey val="0"/>
          <c:showVal val="0"/>
          <c:showCatName val="0"/>
          <c:showSerName val="0"/>
          <c:showPercent val="0"/>
          <c:showBubbleSize val="0"/>
        </c:dLbls>
        <c:gapWidth val="150"/>
        <c:axId val="295332480"/>
        <c:axId val="295338368"/>
      </c:barChart>
      <c:catAx>
        <c:axId val="295332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338368"/>
        <c:crosses val="autoZero"/>
        <c:auto val="1"/>
        <c:lblAlgn val="ctr"/>
        <c:lblOffset val="100"/>
        <c:noMultiLvlLbl val="0"/>
      </c:catAx>
      <c:valAx>
        <c:axId val="295338368"/>
        <c:scaling>
          <c:orientation val="minMax"/>
        </c:scaling>
        <c:delete val="0"/>
        <c:axPos val="l"/>
        <c:majorGridlines>
          <c:spPr>
            <a:ln w="9525" cap="flat" cmpd="sng" algn="ctr">
              <a:solidFill>
                <a:schemeClr val="tx1">
                  <a:lumMod val="15000"/>
                  <a:lumOff val="85000"/>
                </a:schemeClr>
              </a:solidFill>
              <a:round/>
            </a:ln>
            <a:effectLst/>
          </c:spPr>
        </c:majorGridlines>
        <c:title>
          <c:tx>
            <c:strRef>
              <c:f>'[Ingreso y Gastos.xlsx]Din Endeudamiento (4)'!$E$2</c:f>
              <c:strCache>
                <c:ptCount val="1"/>
                <c:pt idx="0">
                  <c:v>Endeudamiento Financiero / Ingresos Totales</c:v>
                </c:pt>
              </c:strCache>
            </c:strRef>
          </c:tx>
          <c:layout>
            <c:manualLayout>
              <c:xMode val="edge"/>
              <c:yMode val="edge"/>
              <c:x val="4.2633999027478012E-3"/>
              <c:y val="0.1494288621701459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332480"/>
        <c:crosses val="autoZero"/>
        <c:crossBetween val="between"/>
        <c:majorUnit val="0.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s-GT"/>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GT" sz="1000" i="1">
                <a:solidFill>
                  <a:sysClr val="windowText" lastClr="000000"/>
                </a:solidFill>
                <a:latin typeface="Times New Roman" panose="02020603050405020304" pitchFamily="18" charset="0"/>
                <a:cs typeface="Times New Roman" panose="02020603050405020304" pitchFamily="18" charset="0"/>
              </a:rPr>
              <a:t>Con</a:t>
            </a:r>
            <a:r>
              <a:rPr lang="es-GT" sz="1000" i="1" baseline="0">
                <a:solidFill>
                  <a:sysClr val="windowText" lastClr="000000"/>
                </a:solidFill>
                <a:latin typeface="Times New Roman" panose="02020603050405020304" pitchFamily="18" charset="0"/>
                <a:cs typeface="Times New Roman" panose="02020603050405020304" pitchFamily="18" charset="0"/>
              </a:rPr>
              <a:t> </a:t>
            </a:r>
            <a:r>
              <a:rPr lang="es-GT" sz="1000" i="1">
                <a:solidFill>
                  <a:sysClr val="windowText" lastClr="000000"/>
                </a:solidFill>
                <a:latin typeface="Times New Roman" panose="02020603050405020304" pitchFamily="18" charset="0"/>
                <a:cs typeface="Times New Roman" panose="02020603050405020304" pitchFamily="18" charset="0"/>
              </a:rPr>
              <a:t>menor</a:t>
            </a:r>
            <a:r>
              <a:rPr lang="es-GT" sz="1000" i="1" baseline="0">
                <a:solidFill>
                  <a:sysClr val="windowText" lastClr="000000"/>
                </a:solidFill>
                <a:latin typeface="Times New Roman" panose="02020603050405020304" pitchFamily="18" charset="0"/>
                <a:cs typeface="Times New Roman" panose="02020603050405020304" pitchFamily="18" charset="0"/>
              </a:rPr>
              <a:t> nivel de otras </a:t>
            </a:r>
            <a:r>
              <a:rPr lang="es-GT" sz="1000" i="1">
                <a:solidFill>
                  <a:sysClr val="windowText" lastClr="000000"/>
                </a:solidFill>
                <a:latin typeface="Times New Roman" panose="02020603050405020304" pitchFamily="18" charset="0"/>
                <a:cs typeface="Times New Roman" panose="02020603050405020304" pitchFamily="18" charset="0"/>
              </a:rPr>
              <a:t>obligaciones</a:t>
            </a:r>
            <a:r>
              <a:rPr lang="es-GT" sz="1000" i="1" baseline="0">
                <a:solidFill>
                  <a:sysClr val="windowText" lastClr="000000"/>
                </a:solidFill>
                <a:latin typeface="Times New Roman" panose="02020603050405020304" pitchFamily="18" charset="0"/>
                <a:cs typeface="Times New Roman" panose="02020603050405020304" pitchFamily="18" charset="0"/>
              </a:rPr>
              <a:t> por pagar</a:t>
            </a:r>
            <a:endParaRPr lang="es-GT" sz="1000"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422688967157795"/>
          <c:y val="0"/>
        </c:manualLayout>
      </c:layout>
      <c:overlay val="0"/>
      <c:spPr>
        <a:noFill/>
        <a:ln>
          <a:noFill/>
        </a:ln>
        <a:effectLst/>
      </c:spPr>
    </c:title>
    <c:autoTitleDeleted val="0"/>
    <c:plotArea>
      <c:layout>
        <c:manualLayout>
          <c:layoutTarget val="inner"/>
          <c:xMode val="edge"/>
          <c:yMode val="edge"/>
          <c:x val="0.22085415552564125"/>
          <c:y val="0.26191944572112336"/>
          <c:w val="0.77914584447435875"/>
          <c:h val="0.35895752809762238"/>
        </c:manualLayout>
      </c:layout>
      <c:barChart>
        <c:barDir val="col"/>
        <c:grouping val="clustered"/>
        <c:varyColors val="0"/>
        <c:ser>
          <c:idx val="0"/>
          <c:order val="0"/>
          <c:tx>
            <c:strRef>
              <c:f>'[Ingreso y Gastos.xlsx]Din OCP (4)'!$B$5</c:f>
              <c:strCache>
                <c:ptCount val="1"/>
                <c:pt idx="0">
                  <c:v>2020</c:v>
                </c:pt>
              </c:strCache>
            </c:strRef>
          </c:tx>
          <c:spPr>
            <a:solidFill>
              <a:schemeClr val="accent6"/>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numFmt formatCode="0.000%" sourceLinked="0"/>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 y Gastos.xlsx]Din OCP (4)'!$A$327:$A$337</c:f>
              <c:strCache>
                <c:ptCount val="11"/>
                <c:pt idx="0">
                  <c:v>Palestina De Los Altos</c:v>
                </c:pt>
                <c:pt idx="1">
                  <c:v>Santo Tomas Chichicastenango</c:v>
                </c:pt>
                <c:pt idx="2">
                  <c:v>San Juan Olintepeque</c:v>
                </c:pt>
                <c:pt idx="3">
                  <c:v>Barberena</c:v>
                </c:pt>
                <c:pt idx="4">
                  <c:v>Santa Cruz El Chol</c:v>
                </c:pt>
                <c:pt idx="5">
                  <c:v>Concepción Tutuapa</c:v>
                </c:pt>
                <c:pt idx="6">
                  <c:v>Tacana</c:v>
                </c:pt>
                <c:pt idx="7">
                  <c:v>San Pablo</c:v>
                </c:pt>
                <c:pt idx="8">
                  <c:v>Nuevo San Carlos</c:v>
                </c:pt>
                <c:pt idx="9">
                  <c:v>Petatan</c:v>
                </c:pt>
                <c:pt idx="10">
                  <c:v>San Andrés Semetabaj</c:v>
                </c:pt>
              </c:strCache>
            </c:strRef>
          </c:cat>
          <c:val>
            <c:numRef>
              <c:f>'[Ingreso y Gastos.xlsx]Din OCP (4)'!$B$327:$B$337</c:f>
              <c:numCache>
                <c:formatCode>0.000%</c:formatCode>
                <c:ptCount val="11"/>
                <c:pt idx="0">
                  <c:v>4.8198166233901993E-4</c:v>
                </c:pt>
                <c:pt idx="1">
                  <c:v>4.6141096311729131E-4</c:v>
                </c:pt>
                <c:pt idx="2">
                  <c:v>4.4316557167348582E-4</c:v>
                </c:pt>
                <c:pt idx="3">
                  <c:v>3.9778836753569545E-4</c:v>
                </c:pt>
                <c:pt idx="4">
                  <c:v>3.9453064705683311E-4</c:v>
                </c:pt>
                <c:pt idx="5">
                  <c:v>3.5744927870128517E-4</c:v>
                </c:pt>
                <c:pt idx="6">
                  <c:v>3.1133438558089092E-4</c:v>
                </c:pt>
                <c:pt idx="7">
                  <c:v>2.5643319810625707E-4</c:v>
                </c:pt>
                <c:pt idx="8">
                  <c:v>1.4544780318195583E-4</c:v>
                </c:pt>
                <c:pt idx="9">
                  <c:v>3.3491698438102426E-5</c:v>
                </c:pt>
                <c:pt idx="10">
                  <c:v>2.6018030697353219E-5</c:v>
                </c:pt>
              </c:numCache>
            </c:numRef>
          </c:val>
          <c:extLst xmlns:c16r2="http://schemas.microsoft.com/office/drawing/2015/06/chart">
            <c:ext xmlns:c16="http://schemas.microsoft.com/office/drawing/2014/chart" uri="{C3380CC4-5D6E-409C-BE32-E72D297353CC}">
              <c16:uniqueId val="{00000000-1131-4A33-9EF0-7822B8898931}"/>
            </c:ext>
          </c:extLst>
        </c:ser>
        <c:dLbls>
          <c:showLegendKey val="0"/>
          <c:showVal val="0"/>
          <c:showCatName val="0"/>
          <c:showSerName val="0"/>
          <c:showPercent val="0"/>
          <c:showBubbleSize val="0"/>
        </c:dLbls>
        <c:gapWidth val="150"/>
        <c:axId val="295458304"/>
        <c:axId val="295459840"/>
      </c:barChart>
      <c:catAx>
        <c:axId val="295458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459840"/>
        <c:crosses val="autoZero"/>
        <c:auto val="1"/>
        <c:lblAlgn val="ctr"/>
        <c:lblOffset val="100"/>
        <c:noMultiLvlLbl val="0"/>
      </c:catAx>
      <c:valAx>
        <c:axId val="295459840"/>
        <c:scaling>
          <c:orientation val="minMax"/>
        </c:scaling>
        <c:delete val="0"/>
        <c:axPos val="l"/>
        <c:majorGridlines>
          <c:spPr>
            <a:ln w="9525" cap="flat" cmpd="sng" algn="ctr">
              <a:solidFill>
                <a:schemeClr val="tx1">
                  <a:lumMod val="15000"/>
                  <a:lumOff val="85000"/>
                </a:schemeClr>
              </a:solidFill>
              <a:round/>
            </a:ln>
            <a:effectLst/>
          </c:spPr>
        </c:majorGridlines>
        <c:title>
          <c:tx>
            <c:strRef>
              <c:f>'[Ingreso y Gastos.xlsx]Din Endeudamiento (4)'!$E$2</c:f>
              <c:strCache>
                <c:ptCount val="1"/>
                <c:pt idx="0">
                  <c:v>Endeudamiento Financiero / Ingresos Totales</c:v>
                </c:pt>
              </c:strCache>
            </c:strRef>
          </c:tx>
          <c:layout>
            <c:manualLayout>
              <c:xMode val="edge"/>
              <c:yMode val="edge"/>
              <c:x val="0"/>
              <c:y val="0.121675508599953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458304"/>
        <c:crosses val="autoZero"/>
        <c:crossBetween val="between"/>
        <c:majorUnit val="1.0000000000000003E-4"/>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s-GT"/>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0603674540682"/>
          <c:y val="5.3074356010207865E-2"/>
          <c:w val="0.86601618547681536"/>
          <c:h val="0.77548203808318972"/>
        </c:manualLayout>
      </c:layout>
      <c:barChart>
        <c:barDir val="col"/>
        <c:grouping val="stacked"/>
        <c:varyColors val="0"/>
        <c:ser>
          <c:idx val="0"/>
          <c:order val="0"/>
          <c:tx>
            <c:strRef>
              <c:f>'[Ingreso y Gastos.xlsx]Hoja5'!$B$9</c:f>
              <c:strCache>
                <c:ptCount val="1"/>
                <c:pt idx="0">
                  <c:v>Endeudamiento por Préstamos</c:v>
                </c:pt>
              </c:strCache>
            </c:strRef>
          </c:tx>
          <c:spPr>
            <a:solidFill>
              <a:schemeClr val="accent1"/>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'[Ingreso y Gastos.xlsx]Hoja5'!$E$4:$I$4</c:f>
              <c:numCache>
                <c:formatCode>General</c:formatCode>
                <c:ptCount val="5"/>
                <c:pt idx="0">
                  <c:v>2016</c:v>
                </c:pt>
                <c:pt idx="1">
                  <c:v>2017</c:v>
                </c:pt>
                <c:pt idx="2">
                  <c:v>2018</c:v>
                </c:pt>
                <c:pt idx="3">
                  <c:v>2019</c:v>
                </c:pt>
                <c:pt idx="4">
                  <c:v>2020</c:v>
                </c:pt>
              </c:numCache>
            </c:numRef>
          </c:cat>
          <c:val>
            <c:numRef>
              <c:f>'[Ingreso y Gastos.xlsx]Hoja5'!$C$9:$I$9</c:f>
              <c:numCache>
                <c:formatCode>0.00%</c:formatCode>
                <c:ptCount val="5"/>
                <c:pt idx="0">
                  <c:v>2.7769571769503593E-3</c:v>
                </c:pt>
                <c:pt idx="1">
                  <c:v>2.5809536211809691E-3</c:v>
                </c:pt>
                <c:pt idx="2">
                  <c:v>2.2456297394819582E-3</c:v>
                </c:pt>
                <c:pt idx="3">
                  <c:v>1.4288311767775693E-3</c:v>
                </c:pt>
                <c:pt idx="4">
                  <c:v>1.8295723911520348E-3</c:v>
                </c:pt>
              </c:numCache>
            </c:numRef>
          </c:val>
          <c:extLst xmlns:c16r2="http://schemas.microsoft.com/office/drawing/2015/06/chart">
            <c:ext xmlns:c16="http://schemas.microsoft.com/office/drawing/2014/chart" uri="{C3380CC4-5D6E-409C-BE32-E72D297353CC}">
              <c16:uniqueId val="{00000000-5FD8-4AF9-AA3F-711DBB3EFEB0}"/>
            </c:ext>
          </c:extLst>
        </c:ser>
        <c:ser>
          <c:idx val="1"/>
          <c:order val="1"/>
          <c:tx>
            <c:strRef>
              <c:f>'[Ingreso y Gastos.xlsx]Hoja5'!$B$10</c:f>
              <c:strCache>
                <c:ptCount val="1"/>
                <c:pt idx="0">
                  <c:v>Otras obligaciones por pagar</c:v>
                </c:pt>
              </c:strCache>
            </c:strRef>
          </c:tx>
          <c:spPr>
            <a:solidFill>
              <a:schemeClr val="accent2"/>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'[Ingreso y Gastos.xlsx]Hoja5'!$E$4:$I$4</c:f>
              <c:numCache>
                <c:formatCode>General</c:formatCode>
                <c:ptCount val="5"/>
                <c:pt idx="0">
                  <c:v>2016</c:v>
                </c:pt>
                <c:pt idx="1">
                  <c:v>2017</c:v>
                </c:pt>
                <c:pt idx="2">
                  <c:v>2018</c:v>
                </c:pt>
                <c:pt idx="3">
                  <c:v>2019</c:v>
                </c:pt>
                <c:pt idx="4">
                  <c:v>2020</c:v>
                </c:pt>
              </c:numCache>
            </c:numRef>
          </c:cat>
          <c:val>
            <c:numRef>
              <c:f>'[Ingreso y Gastos.xlsx]Hoja5'!$C$10:$I$10</c:f>
              <c:numCache>
                <c:formatCode>0.00%</c:formatCode>
                <c:ptCount val="5"/>
                <c:pt idx="0">
                  <c:v>1.4328948663952035E-3</c:v>
                </c:pt>
                <c:pt idx="1">
                  <c:v>1.6227868641215046E-3</c:v>
                </c:pt>
                <c:pt idx="2">
                  <c:v>1.5414052811499853E-3</c:v>
                </c:pt>
                <c:pt idx="3">
                  <c:v>1.4924934289145678E-3</c:v>
                </c:pt>
                <c:pt idx="4">
                  <c:v>1.5209763760180794E-3</c:v>
                </c:pt>
              </c:numCache>
            </c:numRef>
          </c:val>
          <c:extLst xmlns:c16r2="http://schemas.microsoft.com/office/drawing/2015/06/chart">
            <c:ext xmlns:c16="http://schemas.microsoft.com/office/drawing/2014/chart" uri="{C3380CC4-5D6E-409C-BE32-E72D297353CC}">
              <c16:uniqueId val="{00000001-5FD8-4AF9-AA3F-711DBB3EFEB0}"/>
            </c:ext>
          </c:extLst>
        </c:ser>
        <c:dLbls>
          <c:showLegendKey val="0"/>
          <c:showVal val="0"/>
          <c:showCatName val="0"/>
          <c:showSerName val="0"/>
          <c:showPercent val="0"/>
          <c:showBubbleSize val="0"/>
        </c:dLbls>
        <c:gapWidth val="79"/>
        <c:overlap val="100"/>
        <c:axId val="296047360"/>
        <c:axId val="296048896"/>
      </c:barChart>
      <c:lineChart>
        <c:grouping val="standard"/>
        <c:varyColors val="0"/>
        <c:ser>
          <c:idx val="2"/>
          <c:order val="2"/>
          <c:tx>
            <c:v>Promedio</c:v>
          </c:tx>
          <c:spPr>
            <a:ln w="12700" cap="rnd">
              <a:solidFill>
                <a:srgbClr val="FF0000"/>
              </a:solidFill>
              <a:prstDash val="sysDash"/>
              <a:round/>
            </a:ln>
            <a:effectLst/>
          </c:spPr>
          <c:marker>
            <c:symbol val="none"/>
          </c:marker>
          <c:dLbls>
            <c:dLbl>
              <c:idx val="4"/>
              <c:layout>
                <c:manualLayout>
                  <c:x val="-7.0813171249852471E-3"/>
                  <c:y val="-4.84261501210654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D8-4AF9-AA3F-711DBB3EFE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'[Ingreso y Gastos.xlsx]Hoja5'!$E$12:$I$12</c:f>
              <c:numCache>
                <c:formatCode>0.00%</c:formatCode>
                <c:ptCount val="5"/>
                <c:pt idx="0">
                  <c:v>3.7062995908071911E-3</c:v>
                </c:pt>
                <c:pt idx="1">
                  <c:v>3.7062995908071911E-3</c:v>
                </c:pt>
                <c:pt idx="2">
                  <c:v>3.7062995908071911E-3</c:v>
                </c:pt>
                <c:pt idx="3">
                  <c:v>3.7062995908071911E-3</c:v>
                </c:pt>
                <c:pt idx="4">
                  <c:v>3.6945001844284459E-3</c:v>
                </c:pt>
              </c:numCache>
            </c:numRef>
          </c:val>
          <c:smooth val="0"/>
          <c:extLst xmlns:c16r2="http://schemas.microsoft.com/office/drawing/2015/06/chart">
            <c:ext xmlns:c16="http://schemas.microsoft.com/office/drawing/2014/chart" uri="{C3380CC4-5D6E-409C-BE32-E72D297353CC}">
              <c16:uniqueId val="{00000003-5FD8-4AF9-AA3F-711DBB3EFEB0}"/>
            </c:ext>
          </c:extLst>
        </c:ser>
        <c:dLbls>
          <c:showLegendKey val="0"/>
          <c:showVal val="0"/>
          <c:showCatName val="0"/>
          <c:showSerName val="0"/>
          <c:showPercent val="0"/>
          <c:showBubbleSize val="0"/>
        </c:dLbls>
        <c:marker val="1"/>
        <c:smooth val="0"/>
        <c:axId val="296047360"/>
        <c:axId val="296048896"/>
      </c:lineChart>
      <c:catAx>
        <c:axId val="296047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96048896"/>
        <c:crosses val="autoZero"/>
        <c:auto val="1"/>
        <c:lblAlgn val="ctr"/>
        <c:lblOffset val="100"/>
        <c:noMultiLvlLbl val="0"/>
      </c:catAx>
      <c:valAx>
        <c:axId val="296048896"/>
        <c:scaling>
          <c:orientation val="minMax"/>
        </c:scaling>
        <c:delete val="0"/>
        <c:axPos val="l"/>
        <c:numFmt formatCode="0.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96047360"/>
        <c:crosses val="autoZero"/>
        <c:crossBetween val="between"/>
      </c:valAx>
      <c:spPr>
        <a:noFill/>
        <a:ln>
          <a:noFill/>
        </a:ln>
        <a:effectLst/>
      </c:spPr>
    </c:plotArea>
    <c:legend>
      <c:legendPos val="t"/>
      <c:layout>
        <c:manualLayout>
          <c:xMode val="edge"/>
          <c:yMode val="edge"/>
          <c:x val="4.002951478108787E-2"/>
          <c:y val="0.920512954948428"/>
          <c:w val="0.89859907013570661"/>
          <c:h val="7.94870450515719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572996572025443E-2"/>
          <c:y val="6.1475577552194551E-2"/>
          <c:w val="0.92542700342797457"/>
          <c:h val="0.71824267782426776"/>
        </c:manualLayout>
      </c:layout>
      <c:barChart>
        <c:barDir val="col"/>
        <c:grouping val="clustered"/>
        <c:varyColors val="0"/>
        <c:ser>
          <c:idx val="0"/>
          <c:order val="0"/>
          <c:tx>
            <c:v>Resultado Presupuestario</c:v>
          </c:tx>
          <c:spPr>
            <a:solidFill>
              <a:schemeClr val="accent1"/>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 (sector)'!$A$4:$A$8</c:f>
              <c:numCache>
                <c:formatCode>General</c:formatCode>
                <c:ptCount val="5"/>
                <c:pt idx="0">
                  <c:v>2016</c:v>
                </c:pt>
                <c:pt idx="1">
                  <c:v>2017</c:v>
                </c:pt>
                <c:pt idx="2">
                  <c:v>2018</c:v>
                </c:pt>
                <c:pt idx="3">
                  <c:v>2019</c:v>
                </c:pt>
                <c:pt idx="4">
                  <c:v>2020</c:v>
                </c:pt>
              </c:numCache>
            </c:numRef>
          </c:cat>
          <c:val>
            <c:numRef>
              <c:f>'[Ingresos_y_gastos_(Empresas).xlsx]DIN Resultado (sector)'!$B$4:$B$8</c:f>
              <c:numCache>
                <c:formatCode>_(* #,##0.00_);_(* \(#,##0.00\);_(* "-"??_);_(@_)</c:formatCode>
                <c:ptCount val="5"/>
                <c:pt idx="0">
                  <c:v>844.90333135999981</c:v>
                </c:pt>
                <c:pt idx="1">
                  <c:v>1047.7779161599997</c:v>
                </c:pt>
                <c:pt idx="2">
                  <c:v>945.35251537999648</c:v>
                </c:pt>
                <c:pt idx="3">
                  <c:v>89.129807539999092</c:v>
                </c:pt>
                <c:pt idx="4">
                  <c:v>638.04744799000036</c:v>
                </c:pt>
              </c:numCache>
            </c:numRef>
          </c:val>
          <c:extLst xmlns:c16r2="http://schemas.microsoft.com/office/drawing/2015/06/chart">
            <c:ext xmlns:c16="http://schemas.microsoft.com/office/drawing/2014/chart" uri="{C3380CC4-5D6E-409C-BE32-E72D297353CC}">
              <c16:uniqueId val="{00000000-FEF2-452E-B7CD-7F5A8928E0E3}"/>
            </c:ext>
          </c:extLst>
        </c:ser>
        <c:ser>
          <c:idx val="1"/>
          <c:order val="1"/>
          <c:tx>
            <c:v>Resultado Presupuestario (sin considerar Transferencias)</c:v>
          </c:tx>
          <c:spPr>
            <a:solidFill>
              <a:srgbClr val="70AD47"/>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dLbl>
              <c:idx val="0"/>
              <c:layout>
                <c:manualLayout>
                  <c:x val="3.025526762010498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F2-452E-B7CD-7F5A8928E0E3}"/>
                </c:ext>
              </c:extLst>
            </c:dLbl>
            <c:dLbl>
              <c:idx val="1"/>
              <c:layout>
                <c:manualLayout>
                  <c:x val="3.0255267620104983E-3"/>
                  <c:y val="5.064790319125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F2-452E-B7CD-7F5A8928E0E3}"/>
                </c:ext>
              </c:extLst>
            </c:dLbl>
            <c:dLbl>
              <c:idx val="2"/>
              <c:layout>
                <c:manualLayout>
                  <c:x val="5.193078512308536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B3-4ED3-A33E-3ACFC515EDE2}"/>
                </c:ext>
              </c:extLst>
            </c:dLbl>
            <c:dLbl>
              <c:idx val="3"/>
              <c:layout>
                <c:manualLayout>
                  <c:x val="1.36487716105550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F2-452E-B7CD-7F5A8928E0E3}"/>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 (sector)'!$A$4:$A$8</c:f>
              <c:numCache>
                <c:formatCode>General</c:formatCode>
                <c:ptCount val="5"/>
                <c:pt idx="0">
                  <c:v>2016</c:v>
                </c:pt>
                <c:pt idx="1">
                  <c:v>2017</c:v>
                </c:pt>
                <c:pt idx="2">
                  <c:v>2018</c:v>
                </c:pt>
                <c:pt idx="3">
                  <c:v>2019</c:v>
                </c:pt>
                <c:pt idx="4">
                  <c:v>2020</c:v>
                </c:pt>
              </c:numCache>
            </c:numRef>
          </c:cat>
          <c:val>
            <c:numRef>
              <c:f>'[Ingresos_y_gastos_(Empresas).xlsx]DIN Resultado (sector)'!$C$4:$C$8</c:f>
              <c:numCache>
                <c:formatCode>_(* #,##0.00_);_(* \(#,##0.00\);_(* "-"??_);_(@_)</c:formatCode>
                <c:ptCount val="5"/>
                <c:pt idx="0">
                  <c:v>625.02881135999985</c:v>
                </c:pt>
                <c:pt idx="1">
                  <c:v>665.85159215999965</c:v>
                </c:pt>
                <c:pt idx="2">
                  <c:v>618.91758966999646</c:v>
                </c:pt>
                <c:pt idx="3">
                  <c:v>49.177287539999092</c:v>
                </c:pt>
                <c:pt idx="4">
                  <c:v>-29.849952009999583</c:v>
                </c:pt>
              </c:numCache>
            </c:numRef>
          </c:val>
          <c:extLst xmlns:c16r2="http://schemas.microsoft.com/office/drawing/2015/06/chart">
            <c:ext xmlns:c16="http://schemas.microsoft.com/office/drawing/2014/chart" uri="{C3380CC4-5D6E-409C-BE32-E72D297353CC}">
              <c16:uniqueId val="{00000006-FEF2-452E-B7CD-7F5A8928E0E3}"/>
            </c:ext>
          </c:extLst>
        </c:ser>
        <c:dLbls>
          <c:showLegendKey val="0"/>
          <c:showVal val="0"/>
          <c:showCatName val="0"/>
          <c:showSerName val="0"/>
          <c:showPercent val="0"/>
          <c:showBubbleSize val="0"/>
        </c:dLbls>
        <c:gapWidth val="219"/>
        <c:overlap val="-27"/>
        <c:axId val="296110720"/>
        <c:axId val="296128896"/>
      </c:barChart>
      <c:catAx>
        <c:axId val="296110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6128896"/>
        <c:crosses val="autoZero"/>
        <c:auto val="1"/>
        <c:lblAlgn val="ctr"/>
        <c:lblOffset val="100"/>
        <c:noMultiLvlLbl val="0"/>
      </c:catAx>
      <c:valAx>
        <c:axId val="296128896"/>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6110720"/>
        <c:crosses val="autoZero"/>
        <c:crossBetween val="between"/>
      </c:valAx>
      <c:spPr>
        <a:noFill/>
        <a:ln>
          <a:noFill/>
        </a:ln>
        <a:effectLst/>
      </c:spPr>
    </c:plotArea>
    <c:legend>
      <c:legendPos val="b"/>
      <c:layout>
        <c:manualLayout>
          <c:xMode val="edge"/>
          <c:yMode val="edge"/>
          <c:x val="0"/>
          <c:y val="0.91576030831670341"/>
          <c:w val="1"/>
          <c:h val="8.42396916832965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206320951225296E-2"/>
          <c:y val="4.9369940518699064E-2"/>
          <c:w val="0.92323722892675408"/>
          <c:h val="0.75127647516851515"/>
        </c:manualLayout>
      </c:layout>
      <c:barChart>
        <c:barDir val="col"/>
        <c:grouping val="clustered"/>
        <c:varyColors val="0"/>
        <c:ser>
          <c:idx val="0"/>
          <c:order val="0"/>
          <c:tx>
            <c:v>Resultado Presupuestario</c:v>
          </c:tx>
          <c:spPr>
            <a:solidFill>
              <a:schemeClr val="accent1"/>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dLbl>
              <c:idx val="2"/>
              <c:layout>
                <c:manualLayout>
                  <c:x val="-4.52591083955646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1D-4266-B66F-9737326E42D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'[Ingresos_y_gastos_(Empresas).xlsx]DIN Resultado (individual)'!$D$5:$D$12</c:f>
              <c:strCache>
                <c:ptCount val="8"/>
                <c:pt idx="0">
                  <c:v>INDE</c:v>
                </c:pt>
                <c:pt idx="1">
                  <c:v>EPQ</c:v>
                </c:pt>
                <c:pt idx="2">
                  <c:v>EMPRONAC</c:v>
                </c:pt>
                <c:pt idx="3">
                  <c:v>Zolic</c:v>
                </c:pt>
                <c:pt idx="4">
                  <c:v>Guatel</c:v>
                </c:pt>
                <c:pt idx="5">
                  <c:v>Fegua</c:v>
                </c:pt>
                <c:pt idx="6">
                  <c:v>Indeca</c:v>
                </c:pt>
                <c:pt idx="7">
                  <c:v>EPNCH</c:v>
                </c:pt>
              </c:strCache>
            </c:strRef>
          </c:cat>
          <c:val>
            <c:numRef>
              <c:f>'[Ingresos_y_gastos_(Empresas).xlsx]DIN Resultado (individual)'!$B$5:$B$12</c:f>
              <c:numCache>
                <c:formatCode>_(* #,##0.00_);_(* \(#,##0.00\);_(* "-"??_);_(@_)</c:formatCode>
                <c:ptCount val="8"/>
                <c:pt idx="0">
                  <c:v>316.51841959000058</c:v>
                </c:pt>
                <c:pt idx="1">
                  <c:v>223.66707382999994</c:v>
                </c:pt>
                <c:pt idx="2">
                  <c:v>86.983299409999745</c:v>
                </c:pt>
                <c:pt idx="3">
                  <c:v>6.5356495700000004</c:v>
                </c:pt>
                <c:pt idx="4">
                  <c:v>1.742142770000001</c:v>
                </c:pt>
                <c:pt idx="5">
                  <c:v>1.1378789899999973</c:v>
                </c:pt>
                <c:pt idx="6">
                  <c:v>1.1184478099999975</c:v>
                </c:pt>
                <c:pt idx="7">
                  <c:v>0.34453601999999783</c:v>
                </c:pt>
              </c:numCache>
            </c:numRef>
          </c:val>
          <c:extLst xmlns:c16r2="http://schemas.microsoft.com/office/drawing/2015/06/chart">
            <c:ext xmlns:c16="http://schemas.microsoft.com/office/drawing/2014/chart" uri="{C3380CC4-5D6E-409C-BE32-E72D297353CC}">
              <c16:uniqueId val="{00000001-281D-4266-B66F-9737326E42D8}"/>
            </c:ext>
          </c:extLst>
        </c:ser>
        <c:ser>
          <c:idx val="1"/>
          <c:order val="1"/>
          <c:tx>
            <c:v>Resultado Presupuestario (sin considerar Transferencias)</c:v>
          </c:tx>
          <c:spPr>
            <a:solidFill>
              <a:srgbClr val="70AD47"/>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dLbl>
              <c:idx val="1"/>
              <c:layout>
                <c:manualLayout>
                  <c:x val="9.051821679112880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1D-4266-B66F-9737326E42D8}"/>
                </c:ext>
              </c:extLst>
            </c:dLbl>
            <c:dLbl>
              <c:idx val="2"/>
              <c:layout>
                <c:manualLayout>
                  <c:x val="2.2629554197781889E-3"/>
                  <c:y val="2.7723317896169664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1D-4266-B66F-9737326E42D8}"/>
                </c:ext>
              </c:extLst>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dLbl>
              <c:idx val="7"/>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'[Ingresos_y_gastos_(Empresas).xlsx]DIN Resultado (individual)'!$D$5:$D$12</c:f>
              <c:strCache>
                <c:ptCount val="8"/>
                <c:pt idx="0">
                  <c:v>INDE</c:v>
                </c:pt>
                <c:pt idx="1">
                  <c:v>EPQ</c:v>
                </c:pt>
                <c:pt idx="2">
                  <c:v>EMPRONAC</c:v>
                </c:pt>
                <c:pt idx="3">
                  <c:v>Zolic</c:v>
                </c:pt>
                <c:pt idx="4">
                  <c:v>Guatel</c:v>
                </c:pt>
                <c:pt idx="5">
                  <c:v>Fegua</c:v>
                </c:pt>
                <c:pt idx="6">
                  <c:v>Indeca</c:v>
                </c:pt>
                <c:pt idx="7">
                  <c:v>EPNCH</c:v>
                </c:pt>
              </c:strCache>
            </c:strRef>
          </c:cat>
          <c:val>
            <c:numRef>
              <c:f>'[Ingresos_y_gastos_(Empresas).xlsx]DIN Resultado (individual)'!$C$5:$C$12</c:f>
              <c:numCache>
                <c:formatCode>_(* #,##0.00_);_(* \(#,##0.00\);_(* "-"??_);_(@_)</c:formatCode>
                <c:ptCount val="8"/>
                <c:pt idx="0">
                  <c:v>-313.48158040999942</c:v>
                </c:pt>
                <c:pt idx="1">
                  <c:v>223.66707382999994</c:v>
                </c:pt>
                <c:pt idx="2">
                  <c:v>86.983299409999745</c:v>
                </c:pt>
                <c:pt idx="3">
                  <c:v>6.5356495700000004</c:v>
                </c:pt>
                <c:pt idx="4">
                  <c:v>1.742142770000001</c:v>
                </c:pt>
                <c:pt idx="5">
                  <c:v>-18.570121010000001</c:v>
                </c:pt>
                <c:pt idx="6">
                  <c:v>-12.446432190000003</c:v>
                </c:pt>
                <c:pt idx="7">
                  <c:v>-4.2799839800000026</c:v>
                </c:pt>
              </c:numCache>
            </c:numRef>
          </c:val>
          <c:extLst xmlns:c16r2="http://schemas.microsoft.com/office/drawing/2015/06/chart">
            <c:ext xmlns:c16="http://schemas.microsoft.com/office/drawing/2014/chart" uri="{C3380CC4-5D6E-409C-BE32-E72D297353CC}">
              <c16:uniqueId val="{00000008-281D-4266-B66F-9737326E42D8}"/>
            </c:ext>
          </c:extLst>
        </c:ser>
        <c:dLbls>
          <c:showLegendKey val="0"/>
          <c:showVal val="0"/>
          <c:showCatName val="0"/>
          <c:showSerName val="0"/>
          <c:showPercent val="0"/>
          <c:showBubbleSize val="0"/>
        </c:dLbls>
        <c:gapWidth val="219"/>
        <c:overlap val="-27"/>
        <c:axId val="296179200"/>
        <c:axId val="296180736"/>
      </c:barChart>
      <c:catAx>
        <c:axId val="296179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6180736"/>
        <c:crosses val="autoZero"/>
        <c:auto val="1"/>
        <c:lblAlgn val="ctr"/>
        <c:lblOffset val="100"/>
        <c:noMultiLvlLbl val="0"/>
      </c:catAx>
      <c:valAx>
        <c:axId val="296180736"/>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6179200"/>
        <c:crosses val="autoZero"/>
        <c:crossBetween val="between"/>
      </c:valAx>
      <c:spPr>
        <a:noFill/>
        <a:ln>
          <a:noFill/>
        </a:ln>
        <a:effectLst/>
      </c:spPr>
    </c:plotArea>
    <c:legend>
      <c:legendPos val="b"/>
      <c:layout>
        <c:manualLayout>
          <c:xMode val="edge"/>
          <c:yMode val="edge"/>
          <c:x val="9.5551584292632261E-2"/>
          <c:y val="0.92187445319335082"/>
          <c:w val="0.817821456204176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92790097479972E-2"/>
          <c:y val="3.5162453670002612E-2"/>
          <c:w val="0.85317672973550529"/>
          <c:h val="0.68212870709439377"/>
        </c:manualLayout>
      </c:layout>
      <c:barChart>
        <c:barDir val="col"/>
        <c:grouping val="clustered"/>
        <c:varyColors val="0"/>
        <c:ser>
          <c:idx val="0"/>
          <c:order val="0"/>
          <c:tx>
            <c:strRef>
              <c:f>'EscenDProys 2020Analis RyN'!$N$9</c:f>
              <c:strCache>
                <c:ptCount val="1"/>
                <c:pt idx="0">
                  <c:v>Pronostico PIB N 2020</c:v>
                </c:pt>
              </c:strCache>
            </c:strRef>
          </c:tx>
          <c:spPr>
            <a:solidFill>
              <a:srgbClr val="00B0F0"/>
            </a:solidFill>
            <a:ln>
              <a:noFill/>
            </a:ln>
            <a:effectLst>
              <a:outerShdw blurRad="50800" dist="38100" dir="2700000" algn="tl" rotWithShape="0">
                <a:prstClr val="black">
                  <a:alpha val="40000"/>
                </a:prstClr>
              </a:outerShdw>
            </a:effectLst>
          </c:spPr>
          <c:invertIfNegative val="0"/>
          <c:dLbls>
            <c:dLbl>
              <c:idx val="1"/>
              <c:layout>
                <c:manualLayout>
                  <c:x val="0"/>
                  <c:y val="-3.74858436524385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F3-4A5E-BF81-D61F4B126F1D}"/>
                </c:ext>
              </c:extLst>
            </c:dLbl>
            <c:dLbl>
              <c:idx val="2"/>
              <c:layout>
                <c:manualLayout>
                  <c:x val="-2.7290136699947743E-3"/>
                  <c:y val="1.96080853262012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F3-4A5E-BF81-D61F4B126F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'EscenDProys 2020Analis RyN'!$L$10:$L$13</c:f>
              <c:strCache>
                <c:ptCount val="4"/>
                <c:pt idx="0">
                  <c:v>ENERO</c:v>
                </c:pt>
                <c:pt idx="1">
                  <c:v>MAYO</c:v>
                </c:pt>
                <c:pt idx="2">
                  <c:v>JULIO</c:v>
                </c:pt>
                <c:pt idx="3">
                  <c:v>OCTUBRE</c:v>
                </c:pt>
              </c:strCache>
              <c:extLst xmlns:c16r2="http://schemas.microsoft.com/office/drawing/2015/06/chart"/>
            </c:strRef>
          </c:cat>
          <c:val>
            <c:numRef>
              <c:f>'EscenDProys 2020Analis RyN'!$N$10:$N$13</c:f>
              <c:numCache>
                <c:formatCode>General</c:formatCode>
                <c:ptCount val="4"/>
                <c:pt idx="0">
                  <c:v>6.2</c:v>
                </c:pt>
                <c:pt idx="1">
                  <c:v>1.8</c:v>
                </c:pt>
                <c:pt idx="2">
                  <c:v>-0.5</c:v>
                </c:pt>
                <c:pt idx="3">
                  <c:v>0.5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7AF3-4A5E-BF81-D61F4B126F1D}"/>
            </c:ext>
          </c:extLst>
        </c:ser>
        <c:dLbls>
          <c:showLegendKey val="0"/>
          <c:showVal val="0"/>
          <c:showCatName val="0"/>
          <c:showSerName val="0"/>
          <c:showPercent val="0"/>
          <c:showBubbleSize val="0"/>
        </c:dLbls>
        <c:gapWidth val="150"/>
        <c:axId val="247904128"/>
        <c:axId val="247905664"/>
      </c:barChart>
      <c:lineChart>
        <c:grouping val="standard"/>
        <c:varyColors val="0"/>
        <c:ser>
          <c:idx val="1"/>
          <c:order val="1"/>
          <c:tx>
            <c:strRef>
              <c:f>'EscenDProys 2020Analis RyN'!$P$9</c:f>
              <c:strCache>
                <c:ptCount val="1"/>
                <c:pt idx="0">
                  <c:v>Desviación respecto al observado</c:v>
                </c:pt>
              </c:strCache>
            </c:strRef>
          </c:tx>
          <c:spPr>
            <a:ln w="12700" cap="rnd">
              <a:solidFill>
                <a:srgbClr val="002060"/>
              </a:solidFill>
              <a:round/>
            </a:ln>
            <a:effectLst/>
          </c:spPr>
          <c:marker>
            <c:symbol val="circle"/>
            <c:size val="15"/>
            <c:spPr>
              <a:solidFill>
                <a:srgbClr val="002060"/>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'EscenDProys 2020Analis RyN'!$L$10:$L$13</c:f>
              <c:strCache>
                <c:ptCount val="4"/>
                <c:pt idx="0">
                  <c:v>ENERO</c:v>
                </c:pt>
                <c:pt idx="1">
                  <c:v>MAYO</c:v>
                </c:pt>
                <c:pt idx="2">
                  <c:v>JULIO</c:v>
                </c:pt>
                <c:pt idx="3">
                  <c:v>OCTUBRE</c:v>
                </c:pt>
              </c:strCache>
              <c:extLst xmlns:c16r2="http://schemas.microsoft.com/office/drawing/2015/06/chart"/>
            </c:strRef>
          </c:cat>
          <c:val>
            <c:numRef>
              <c:f>'EscenDProys 2020Analis RyN'!$P$10:$P$13</c:f>
              <c:numCache>
                <c:formatCode>0.00</c:formatCode>
                <c:ptCount val="4"/>
                <c:pt idx="0">
                  <c:v>4.9000000000000004</c:v>
                </c:pt>
                <c:pt idx="1">
                  <c:v>0.5</c:v>
                </c:pt>
                <c:pt idx="2">
                  <c:v>-1.8</c:v>
                </c:pt>
                <c:pt idx="3">
                  <c:v>-0.8</c:v>
                </c:pt>
              </c:numCache>
              <c:extLst xmlns:c16r2="http://schemas.microsoft.com/office/drawing/2015/06/chart"/>
            </c:numRef>
          </c:val>
          <c:smooth val="1"/>
          <c:extLst xmlns:c16r2="http://schemas.microsoft.com/office/drawing/2015/06/chart">
            <c:ext xmlns:c16="http://schemas.microsoft.com/office/drawing/2014/chart" uri="{C3380CC4-5D6E-409C-BE32-E72D297353CC}">
              <c16:uniqueId val="{00000003-7AF3-4A5E-BF81-D61F4B126F1D}"/>
            </c:ext>
          </c:extLst>
        </c:ser>
        <c:dLbls>
          <c:showLegendKey val="0"/>
          <c:showVal val="0"/>
          <c:showCatName val="0"/>
          <c:showSerName val="0"/>
          <c:showPercent val="0"/>
          <c:showBubbleSize val="0"/>
        </c:dLbls>
        <c:marker val="1"/>
        <c:smooth val="0"/>
        <c:axId val="247904128"/>
        <c:axId val="247905664"/>
      </c:lineChart>
      <c:catAx>
        <c:axId val="247904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7905664"/>
        <c:crosses val="autoZero"/>
        <c:auto val="1"/>
        <c:lblAlgn val="ctr"/>
        <c:lblOffset val="100"/>
        <c:noMultiLvlLbl val="0"/>
      </c:catAx>
      <c:valAx>
        <c:axId val="247905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7904128"/>
        <c:crosses val="autoZero"/>
        <c:crossBetween val="between"/>
      </c:valAx>
      <c:spPr>
        <a:noFill/>
        <a:ln>
          <a:noFill/>
        </a:ln>
        <a:effectLst/>
      </c:spPr>
    </c:plotArea>
    <c:legend>
      <c:legendPos val="b"/>
      <c:layout>
        <c:manualLayout>
          <c:xMode val="edge"/>
          <c:yMode val="edge"/>
          <c:x val="0"/>
          <c:y val="0.84311426491589747"/>
          <c:w val="1"/>
          <c:h val="0.156885735084102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'[Ingresos_y_gastos_(Empresas).xlsx]DIN Resultados historicos'!$J$27</c:f>
          <c:strCache>
            <c:ptCount val="1"/>
            <c:pt idx="0">
              <c:v>INDE</c:v>
            </c:pt>
          </c:strCache>
        </c:strRef>
      </c:tx>
      <c:layout>
        <c:manualLayout>
          <c:xMode val="edge"/>
          <c:yMode val="edge"/>
          <c:x val="0.46454642560692083"/>
          <c:y val="4.4324265996375607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4.6695001951450064E-2"/>
          <c:y val="0.17516791900915327"/>
          <c:w val="0.7662153278934507"/>
          <c:h val="0.6072376049331113"/>
        </c:manualLayout>
      </c:layout>
      <c:lineChart>
        <c:grouping val="standard"/>
        <c:varyColors val="0"/>
        <c:ser>
          <c:idx val="1"/>
          <c:order val="0"/>
          <c:tx>
            <c:strRef>
              <c:f>'[Ingresos_y_gastos_(Empresas).xlsx]DIN Resultados historicos'!$D$3</c:f>
              <c:strCache>
                <c:ptCount val="1"/>
                <c:pt idx="0">
                  <c:v>Resultado sin transferencias</c:v>
                </c:pt>
              </c:strCache>
            </c:strRef>
          </c:tx>
          <c:spPr>
            <a:ln w="25400" cap="rnd">
              <a:solidFill>
                <a:schemeClr val="accent2"/>
              </a:solidFill>
              <a:prstDash val="sysDash"/>
              <a:round/>
            </a:ln>
            <a:effectLst>
              <a:outerShdw blurRad="50800" dist="38100" dir="18900000" algn="bl" rotWithShape="0">
                <a:prstClr val="black">
                  <a:alpha val="40000"/>
                </a:prstClr>
              </a:outerShdw>
            </a:effectLst>
          </c:spPr>
          <c:marker>
            <c:symbol val="triangle"/>
            <c:size val="5"/>
            <c:spPr>
              <a:blipFill>
                <a:blip xmlns:r="http://schemas.openxmlformats.org/officeDocument/2006/relationships" r:embed="rId1"/>
                <a:tile tx="0" ty="0" sx="100000" sy="100000" flip="none" algn="tl"/>
              </a:blip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G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'[Ingresos_y_gastos_(Empresas).xlsx]DIN Resultados historicos'!$B$29:$H$29</c:f>
              <c:numCache>
                <c:formatCode>_(* #,##0.00_);_(* \(#,##0.00\);_(* "-"??_);_(@_)</c:formatCode>
                <c:ptCount val="7"/>
                <c:pt idx="0">
                  <c:v>538.78761576000284</c:v>
                </c:pt>
                <c:pt idx="1">
                  <c:v>70.806120690001009</c:v>
                </c:pt>
                <c:pt idx="2">
                  <c:v>35.359827849999419</c:v>
                </c:pt>
                <c:pt idx="3">
                  <c:v>146.84681072000012</c:v>
                </c:pt>
                <c:pt idx="4">
                  <c:v>287.48804932999792</c:v>
                </c:pt>
                <c:pt idx="5">
                  <c:v>51.363767880000523</c:v>
                </c:pt>
                <c:pt idx="6">
                  <c:v>-313.48158040999942</c:v>
                </c:pt>
              </c:numCache>
            </c:numRef>
          </c:val>
          <c:smooth val="1"/>
          <c:extLst xmlns:c16r2="http://schemas.microsoft.com/office/drawing/2015/06/chart">
            <c:ext xmlns:c16="http://schemas.microsoft.com/office/drawing/2014/chart" uri="{C3380CC4-5D6E-409C-BE32-E72D297353CC}">
              <c16:uniqueId val="{00000000-EC8D-43D8-9935-C448F5DD86D7}"/>
            </c:ext>
          </c:extLst>
        </c:ser>
        <c:ser>
          <c:idx val="0"/>
          <c:order val="1"/>
          <c:tx>
            <c:strRef>
              <c:f>'[Ingresos_y_gastos_(Empresas).xlsx]DIN Resultados historicos'!$D$2</c:f>
              <c:strCache>
                <c:ptCount val="1"/>
                <c:pt idx="0">
                  <c:v>Resultado Presupuestal</c:v>
                </c:pt>
              </c:strCache>
            </c:strRef>
          </c:tx>
          <c:spPr>
            <a:ln w="28575" cap="rnd">
              <a:solidFill>
                <a:schemeClr val="accent1"/>
              </a:solidFill>
              <a:round/>
            </a:ln>
            <a:effectLst>
              <a:outerShdw blurRad="50800" dist="38100" dir="18900000" algn="bl" rotWithShape="0">
                <a:prstClr val="black">
                  <a:alpha val="40000"/>
                </a:prstClr>
              </a:outerShdw>
            </a:effectLst>
          </c:spPr>
          <c:marker>
            <c:symbol val="circle"/>
            <c:size val="5"/>
            <c:spPr>
              <a:solidFill>
                <a:schemeClr val="accent6"/>
              </a:solid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Resultados historicos'!$B$5:$H$5</c:f>
              <c:numCache>
                <c:formatCode>General</c:formatCode>
                <c:ptCount val="7"/>
                <c:pt idx="0">
                  <c:v>2014</c:v>
                </c:pt>
                <c:pt idx="1">
                  <c:v>2015</c:v>
                </c:pt>
                <c:pt idx="2">
                  <c:v>2016</c:v>
                </c:pt>
                <c:pt idx="3">
                  <c:v>2017</c:v>
                </c:pt>
                <c:pt idx="4">
                  <c:v>2018</c:v>
                </c:pt>
                <c:pt idx="5">
                  <c:v>2019</c:v>
                </c:pt>
                <c:pt idx="6">
                  <c:v>2020</c:v>
                </c:pt>
              </c:numCache>
            </c:numRef>
          </c:cat>
          <c:val>
            <c:numRef>
              <c:f>'[Ingresos_y_gastos_(Empresas).xlsx]DIN Resultados historicos'!$B$28:$H$28</c:f>
              <c:numCache>
                <c:formatCode>_(* #,##0.00_);_(* \(#,##0.00\);_(* "-"??_);_(@_)</c:formatCode>
                <c:ptCount val="7"/>
                <c:pt idx="0">
                  <c:v>639.07597157000282</c:v>
                </c:pt>
                <c:pt idx="1">
                  <c:v>187.408263360001</c:v>
                </c:pt>
                <c:pt idx="2">
                  <c:v>235.35982784999942</c:v>
                </c:pt>
                <c:pt idx="3">
                  <c:v>506.84681072000012</c:v>
                </c:pt>
                <c:pt idx="4">
                  <c:v>587.48804932999792</c:v>
                </c:pt>
                <c:pt idx="5">
                  <c:v>51.363767880000523</c:v>
                </c:pt>
                <c:pt idx="6">
                  <c:v>316.51841959000058</c:v>
                </c:pt>
              </c:numCache>
            </c:numRef>
          </c:val>
          <c:smooth val="1"/>
          <c:extLst xmlns:c16r2="http://schemas.microsoft.com/office/drawing/2015/06/chart">
            <c:ext xmlns:c16="http://schemas.microsoft.com/office/drawing/2014/chart" uri="{C3380CC4-5D6E-409C-BE32-E72D297353CC}">
              <c16:uniqueId val="{00000001-EC8D-43D8-9935-C448F5DD86D7}"/>
            </c:ext>
          </c:extLst>
        </c:ser>
        <c:dLbls>
          <c:showLegendKey val="0"/>
          <c:showVal val="0"/>
          <c:showCatName val="0"/>
          <c:showSerName val="0"/>
          <c:showPercent val="0"/>
          <c:showBubbleSize val="0"/>
        </c:dLbls>
        <c:marker val="1"/>
        <c:smooth val="0"/>
        <c:axId val="296228736"/>
        <c:axId val="296230272"/>
      </c:lineChart>
      <c:catAx>
        <c:axId val="29622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296230272"/>
        <c:crosses val="autoZero"/>
        <c:auto val="1"/>
        <c:lblAlgn val="ctr"/>
        <c:lblOffset val="100"/>
        <c:noMultiLvlLbl val="0"/>
      </c:catAx>
      <c:valAx>
        <c:axId val="296230272"/>
        <c:scaling>
          <c:orientation val="minMax"/>
          <c:min val="-650"/>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296228736"/>
        <c:crosses val="autoZero"/>
        <c:crossBetween val="between"/>
      </c:valAx>
      <c:spPr>
        <a:noFill/>
        <a:ln>
          <a:noFill/>
        </a:ln>
        <a:effectLst/>
      </c:spPr>
    </c:plotArea>
    <c:legend>
      <c:legendPos val="b"/>
      <c:layout>
        <c:manualLayout>
          <c:xMode val="edge"/>
          <c:yMode val="edge"/>
          <c:x val="0"/>
          <c:y val="0.87368457115449405"/>
          <c:w val="1"/>
          <c:h val="0.12631542884550598"/>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500"/>
      </a:pPr>
      <a:endParaRPr lang="es-GT"/>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'[Ingresos_y_gastos_(Empresas).xlsx]DIN Resultados historicos'!$J$15</c:f>
          <c:strCache>
            <c:ptCount val="1"/>
            <c:pt idx="0">
              <c:v>EPQ</c:v>
            </c:pt>
          </c:strCache>
        </c:strRef>
      </c:tx>
      <c:layout>
        <c:manualLayout>
          <c:xMode val="edge"/>
          <c:yMode val="edge"/>
          <c:x val="0.45614659360356102"/>
          <c:y val="4.4324265996375607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4.6695001951450064E-2"/>
          <c:y val="0.17516791900915327"/>
          <c:w val="0.76051384484121343"/>
          <c:h val="0.6072376049331113"/>
        </c:manualLayout>
      </c:layout>
      <c:lineChart>
        <c:grouping val="standard"/>
        <c:varyColors val="0"/>
        <c:ser>
          <c:idx val="1"/>
          <c:order val="0"/>
          <c:tx>
            <c:strRef>
              <c:f>'[Ingresos_y_gastos_(Empresas).xlsx]DIN Resultados historicos'!$D$3</c:f>
              <c:strCache>
                <c:ptCount val="1"/>
                <c:pt idx="0">
                  <c:v>Resultado sin transferencias</c:v>
                </c:pt>
              </c:strCache>
            </c:strRef>
          </c:tx>
          <c:spPr>
            <a:ln w="25400" cap="rnd">
              <a:solidFill>
                <a:schemeClr val="accent2"/>
              </a:solidFill>
              <a:prstDash val="sysDash"/>
              <a:round/>
            </a:ln>
            <a:effectLst>
              <a:outerShdw blurRad="50800" dist="38100" dir="18900000" algn="bl" rotWithShape="0">
                <a:prstClr val="black">
                  <a:alpha val="40000"/>
                </a:prstClr>
              </a:outerShdw>
            </a:effectLst>
          </c:spPr>
          <c:marker>
            <c:symbol val="none"/>
          </c:marker>
          <c:val>
            <c:numRef>
              <c:f>'[Ingresos_y_gastos_(Empresas).xlsx]DIN Resultados historicos'!$B$17:$H$17</c:f>
              <c:numCache>
                <c:formatCode>_(* #,##0.00_);_(* \(#,##0.00\);_(* "-"??_);_(@_)</c:formatCode>
                <c:ptCount val="7"/>
                <c:pt idx="0">
                  <c:v>-24.525596220000125</c:v>
                </c:pt>
                <c:pt idx="1">
                  <c:v>302.32678978000018</c:v>
                </c:pt>
                <c:pt idx="2">
                  <c:v>375.19139950000016</c:v>
                </c:pt>
                <c:pt idx="3">
                  <c:v>333.62508380999975</c:v>
                </c:pt>
                <c:pt idx="4">
                  <c:v>249.33668768999917</c:v>
                </c:pt>
                <c:pt idx="5">
                  <c:v>151.92477533999977</c:v>
                </c:pt>
                <c:pt idx="6">
                  <c:v>223.66707382999994</c:v>
                </c:pt>
              </c:numCache>
            </c:numRef>
          </c:val>
          <c:smooth val="1"/>
          <c:extLst xmlns:c16r2="http://schemas.microsoft.com/office/drawing/2015/06/chart">
            <c:ext xmlns:c16="http://schemas.microsoft.com/office/drawing/2014/chart" uri="{C3380CC4-5D6E-409C-BE32-E72D297353CC}">
              <c16:uniqueId val="{00000000-5B90-4648-B9B7-5ABDE15EA8DA}"/>
            </c:ext>
          </c:extLst>
        </c:ser>
        <c:ser>
          <c:idx val="0"/>
          <c:order val="1"/>
          <c:tx>
            <c:strRef>
              <c:f>'[Ingresos_y_gastos_(Empresas).xlsx]DIN Resultados historicos'!$D$2</c:f>
              <c:strCache>
                <c:ptCount val="1"/>
                <c:pt idx="0">
                  <c:v>Resultado Presupuestal</c:v>
                </c:pt>
              </c:strCache>
            </c:strRef>
          </c:tx>
          <c:spPr>
            <a:ln w="28575" cap="rnd">
              <a:solidFill>
                <a:schemeClr val="accent1"/>
              </a:solidFill>
              <a:round/>
            </a:ln>
            <a:effectLst>
              <a:outerShdw blurRad="50800" dist="38100" dir="18900000" algn="bl" rotWithShape="0">
                <a:prstClr val="black">
                  <a:alpha val="40000"/>
                </a:prstClr>
              </a:outerShdw>
            </a:effectLst>
          </c:spPr>
          <c:marker>
            <c:symbol val="circle"/>
            <c:size val="5"/>
            <c:spPr>
              <a:solidFill>
                <a:schemeClr val="accent6"/>
              </a:solid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Resultados historicos'!$B$5:$H$5</c:f>
              <c:numCache>
                <c:formatCode>General</c:formatCode>
                <c:ptCount val="7"/>
                <c:pt idx="0">
                  <c:v>2014</c:v>
                </c:pt>
                <c:pt idx="1">
                  <c:v>2015</c:v>
                </c:pt>
                <c:pt idx="2">
                  <c:v>2016</c:v>
                </c:pt>
                <c:pt idx="3">
                  <c:v>2017</c:v>
                </c:pt>
                <c:pt idx="4">
                  <c:v>2018</c:v>
                </c:pt>
                <c:pt idx="5">
                  <c:v>2019</c:v>
                </c:pt>
                <c:pt idx="6">
                  <c:v>2020</c:v>
                </c:pt>
              </c:numCache>
            </c:numRef>
          </c:cat>
          <c:val>
            <c:numRef>
              <c:f>'[Ingresos_y_gastos_(Empresas).xlsx]DIN Resultados historicos'!$B$16:$H$16</c:f>
              <c:numCache>
                <c:formatCode>_(* #,##0.00_);_(* \(#,##0.00\);_(* "-"??_);_(@_)</c:formatCode>
                <c:ptCount val="7"/>
                <c:pt idx="0">
                  <c:v>-24.525596220000125</c:v>
                </c:pt>
                <c:pt idx="1">
                  <c:v>302.32678978000018</c:v>
                </c:pt>
                <c:pt idx="2">
                  <c:v>375.19139950000016</c:v>
                </c:pt>
                <c:pt idx="3">
                  <c:v>333.62508380999975</c:v>
                </c:pt>
                <c:pt idx="4">
                  <c:v>249.33668768999917</c:v>
                </c:pt>
                <c:pt idx="5">
                  <c:v>151.92477533999977</c:v>
                </c:pt>
                <c:pt idx="6">
                  <c:v>223.66707382999994</c:v>
                </c:pt>
              </c:numCache>
            </c:numRef>
          </c:val>
          <c:smooth val="1"/>
          <c:extLst xmlns:c16r2="http://schemas.microsoft.com/office/drawing/2015/06/chart">
            <c:ext xmlns:c16="http://schemas.microsoft.com/office/drawing/2014/chart" uri="{C3380CC4-5D6E-409C-BE32-E72D297353CC}">
              <c16:uniqueId val="{00000001-5B90-4648-B9B7-5ABDE15EA8DA}"/>
            </c:ext>
          </c:extLst>
        </c:ser>
        <c:dLbls>
          <c:showLegendKey val="0"/>
          <c:showVal val="0"/>
          <c:showCatName val="0"/>
          <c:showSerName val="0"/>
          <c:showPercent val="0"/>
          <c:showBubbleSize val="0"/>
        </c:dLbls>
        <c:marker val="1"/>
        <c:smooth val="0"/>
        <c:axId val="296308096"/>
        <c:axId val="296309888"/>
      </c:lineChart>
      <c:catAx>
        <c:axId val="296308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296309888"/>
        <c:crosses val="autoZero"/>
        <c:auto val="1"/>
        <c:lblAlgn val="ctr"/>
        <c:lblOffset val="100"/>
        <c:noMultiLvlLbl val="0"/>
      </c:catAx>
      <c:valAx>
        <c:axId val="296309888"/>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296308096"/>
        <c:crosses val="autoZero"/>
        <c:crossBetween val="between"/>
      </c:valAx>
      <c:spPr>
        <a:noFill/>
        <a:ln>
          <a:noFill/>
        </a:ln>
        <a:effectLst/>
      </c:spPr>
    </c:plotArea>
    <c:legend>
      <c:legendPos val="b"/>
      <c:layout>
        <c:manualLayout>
          <c:xMode val="edge"/>
          <c:yMode val="edge"/>
          <c:x val="0"/>
          <c:y val="0.91229216057787199"/>
          <c:w val="0.99090447271803639"/>
          <c:h val="8.7707839422127856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500"/>
      </a:pPr>
      <a:endParaRPr lang="es-GT"/>
    </a:p>
  </c:tx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'[Ingresos_y_gastos_(Empresas).xlsx]DIN Resultados historicos'!$J$12</c:f>
          <c:strCache>
            <c:ptCount val="1"/>
            <c:pt idx="0">
              <c:v>Empornac</c:v>
            </c:pt>
          </c:strCache>
        </c:strRef>
      </c:tx>
      <c:layout>
        <c:manualLayout>
          <c:xMode val="edge"/>
          <c:yMode val="edge"/>
          <c:x val="0.45614659360356102"/>
          <c:y val="4.4523230407717378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4.6695001951450064E-2"/>
          <c:y val="0.17516791900915327"/>
          <c:w val="0.75631392883953341"/>
          <c:h val="0.6072376049331113"/>
        </c:manualLayout>
      </c:layout>
      <c:lineChart>
        <c:grouping val="standard"/>
        <c:varyColors val="0"/>
        <c:ser>
          <c:idx val="1"/>
          <c:order val="0"/>
          <c:tx>
            <c:strRef>
              <c:f>'[Ingresos_y_gastos_(Empresas).xlsx]DIN Resultados historicos'!$D$3</c:f>
              <c:strCache>
                <c:ptCount val="1"/>
                <c:pt idx="0">
                  <c:v>Resultado sin transferencias</c:v>
                </c:pt>
              </c:strCache>
            </c:strRef>
          </c:tx>
          <c:spPr>
            <a:ln w="25400" cap="rnd">
              <a:solidFill>
                <a:schemeClr val="accent2"/>
              </a:solidFill>
              <a:prstDash val="sysDash"/>
              <a:round/>
            </a:ln>
            <a:effectLst>
              <a:outerShdw blurRad="50800" dist="38100" dir="18900000" algn="bl" rotWithShape="0">
                <a:prstClr val="black">
                  <a:alpha val="40000"/>
                </a:prstClr>
              </a:outerShdw>
            </a:effectLst>
          </c:spPr>
          <c:marker>
            <c:symbol val="none"/>
          </c:marker>
          <c:val>
            <c:numRef>
              <c:f>'[Ingresos_y_gastos_(Empresas).xlsx]DIN Resultados historicos'!$B$14:$H$14</c:f>
              <c:numCache>
                <c:formatCode>_(* #,##0.00_);_(* \(#,##0.00\);_(* "-"??_);_(@_)</c:formatCode>
                <c:ptCount val="7"/>
                <c:pt idx="0">
                  <c:v>2.4033011500001749</c:v>
                </c:pt>
                <c:pt idx="1">
                  <c:v>139.33739142000013</c:v>
                </c:pt>
                <c:pt idx="2">
                  <c:v>227.16941813000022</c:v>
                </c:pt>
                <c:pt idx="3">
                  <c:v>205.70314598999994</c:v>
                </c:pt>
                <c:pt idx="4">
                  <c:v>106.13379039999973</c:v>
                </c:pt>
                <c:pt idx="5">
                  <c:v>-124.42959044000042</c:v>
                </c:pt>
                <c:pt idx="6">
                  <c:v>86.983299409999745</c:v>
                </c:pt>
              </c:numCache>
            </c:numRef>
          </c:val>
          <c:smooth val="1"/>
          <c:extLst xmlns:c16r2="http://schemas.microsoft.com/office/drawing/2015/06/chart">
            <c:ext xmlns:c16="http://schemas.microsoft.com/office/drawing/2014/chart" uri="{C3380CC4-5D6E-409C-BE32-E72D297353CC}">
              <c16:uniqueId val="{00000006-05DC-44B0-955E-E2E5FB26276A}"/>
            </c:ext>
          </c:extLst>
        </c:ser>
        <c:ser>
          <c:idx val="0"/>
          <c:order val="1"/>
          <c:tx>
            <c:strRef>
              <c:f>'[Ingresos_y_gastos_(Empresas).xlsx]DIN Resultados historicos'!$D$2</c:f>
              <c:strCache>
                <c:ptCount val="1"/>
                <c:pt idx="0">
                  <c:v>Resultado Presupuestal</c:v>
                </c:pt>
              </c:strCache>
            </c:strRef>
          </c:tx>
          <c:spPr>
            <a:ln w="28575" cap="rnd">
              <a:solidFill>
                <a:schemeClr val="accent1"/>
              </a:solidFill>
              <a:round/>
            </a:ln>
            <a:effectLst>
              <a:outerShdw blurRad="50800" dist="38100" dir="18900000" algn="bl" rotWithShape="0">
                <a:prstClr val="black">
                  <a:alpha val="40000"/>
                </a:prstClr>
              </a:outerShdw>
            </a:effectLst>
          </c:spPr>
          <c:marker>
            <c:symbol val="circle"/>
            <c:size val="5"/>
            <c:spPr>
              <a:solidFill>
                <a:schemeClr val="accent6"/>
              </a:solid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Resultados historicos'!$B$5:$H$5</c:f>
              <c:numCache>
                <c:formatCode>General</c:formatCode>
                <c:ptCount val="7"/>
                <c:pt idx="0">
                  <c:v>2014</c:v>
                </c:pt>
                <c:pt idx="1">
                  <c:v>2015</c:v>
                </c:pt>
                <c:pt idx="2">
                  <c:v>2016</c:v>
                </c:pt>
                <c:pt idx="3">
                  <c:v>2017</c:v>
                </c:pt>
                <c:pt idx="4">
                  <c:v>2018</c:v>
                </c:pt>
                <c:pt idx="5">
                  <c:v>2019</c:v>
                </c:pt>
                <c:pt idx="6">
                  <c:v>2020</c:v>
                </c:pt>
              </c:numCache>
            </c:numRef>
          </c:cat>
          <c:val>
            <c:numRef>
              <c:f>'[Ingresos_y_gastos_(Empresas).xlsx]DIN Resultados historicos'!$B$13:$H$13</c:f>
              <c:numCache>
                <c:formatCode>_(* #,##0.00_);_(* \(#,##0.00\);_(* "-"??_);_(@_)</c:formatCode>
                <c:ptCount val="7"/>
                <c:pt idx="0">
                  <c:v>2.4033011500001749</c:v>
                </c:pt>
                <c:pt idx="1">
                  <c:v>139.33739142000013</c:v>
                </c:pt>
                <c:pt idx="2">
                  <c:v>227.16941813000022</c:v>
                </c:pt>
                <c:pt idx="3">
                  <c:v>205.70314598999994</c:v>
                </c:pt>
                <c:pt idx="4">
                  <c:v>106.13379039999973</c:v>
                </c:pt>
                <c:pt idx="5">
                  <c:v>-124.42959044000042</c:v>
                </c:pt>
                <c:pt idx="6">
                  <c:v>86.983299409999745</c:v>
                </c:pt>
              </c:numCache>
            </c:numRef>
          </c:val>
          <c:smooth val="1"/>
          <c:extLst xmlns:c16r2="http://schemas.microsoft.com/office/drawing/2015/06/chart">
            <c:ext xmlns:c16="http://schemas.microsoft.com/office/drawing/2014/chart" uri="{C3380CC4-5D6E-409C-BE32-E72D297353CC}">
              <c16:uniqueId val="{00000007-05DC-44B0-955E-E2E5FB26276A}"/>
            </c:ext>
          </c:extLst>
        </c:ser>
        <c:dLbls>
          <c:showLegendKey val="0"/>
          <c:showVal val="0"/>
          <c:showCatName val="0"/>
          <c:showSerName val="0"/>
          <c:showPercent val="0"/>
          <c:showBubbleSize val="0"/>
        </c:dLbls>
        <c:marker val="1"/>
        <c:smooth val="0"/>
        <c:axId val="301610112"/>
        <c:axId val="301611648"/>
      </c:lineChart>
      <c:catAx>
        <c:axId val="301610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1611648"/>
        <c:crosses val="autoZero"/>
        <c:auto val="1"/>
        <c:lblAlgn val="ctr"/>
        <c:lblOffset val="100"/>
        <c:noMultiLvlLbl val="0"/>
      </c:catAx>
      <c:valAx>
        <c:axId val="301611648"/>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161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500"/>
      </a:pPr>
      <a:endParaRPr lang="es-GT"/>
    </a:p>
  </c:tx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'[Ingresos_y_gastos_(Empresas).xlsx]DIN Resultados historicos'!$J$9</c:f>
          <c:strCache>
            <c:ptCount val="1"/>
            <c:pt idx="0">
              <c:v>Zolic</c:v>
            </c:pt>
          </c:strCache>
        </c:strRef>
      </c:tx>
      <c:layout>
        <c:manualLayout>
          <c:xMode val="edge"/>
          <c:yMode val="edge"/>
          <c:x val="0.45555430623670989"/>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4.6695001951450064E-2"/>
          <c:y val="0.17516791900915327"/>
          <c:w val="0.78151342484961328"/>
          <c:h val="0.6072376049331113"/>
        </c:manualLayout>
      </c:layout>
      <c:lineChart>
        <c:grouping val="standard"/>
        <c:varyColors val="0"/>
        <c:ser>
          <c:idx val="1"/>
          <c:order val="0"/>
          <c:tx>
            <c:strRef>
              <c:f>'[Ingresos_y_gastos_(Empresas).xlsx]DIN Resultados historicos'!$D$3</c:f>
              <c:strCache>
                <c:ptCount val="1"/>
                <c:pt idx="0">
                  <c:v>Resultado sin transferencias</c:v>
                </c:pt>
              </c:strCache>
            </c:strRef>
          </c:tx>
          <c:spPr>
            <a:ln w="25400" cap="rnd">
              <a:solidFill>
                <a:schemeClr val="accent2"/>
              </a:solidFill>
              <a:prstDash val="sysDash"/>
              <a:round/>
            </a:ln>
            <a:effectLst>
              <a:outerShdw blurRad="50800" dist="38100" dir="18900000" algn="bl" rotWithShape="0">
                <a:prstClr val="black">
                  <a:alpha val="40000"/>
                </a:prstClr>
              </a:outerShdw>
            </a:effectLst>
          </c:spPr>
          <c:marker>
            <c:symbol val="none"/>
          </c:marker>
          <c:val>
            <c:numRef>
              <c:f>'[Ingresos_y_gastos_(Empresas).xlsx]DIN Resultados historicos'!$B$11:$H$11</c:f>
              <c:numCache>
                <c:formatCode>_(* #,##0.00_);_(* \(#,##0.00\);_(* "-"??_);_(@_)</c:formatCode>
                <c:ptCount val="7"/>
                <c:pt idx="0">
                  <c:v>0.898871579999998</c:v>
                </c:pt>
                <c:pt idx="1">
                  <c:v>-1.7311824999999956</c:v>
                </c:pt>
                <c:pt idx="2">
                  <c:v>5.180342889999995</c:v>
                </c:pt>
                <c:pt idx="3">
                  <c:v>3.0082744400000045</c:v>
                </c:pt>
                <c:pt idx="4">
                  <c:v>3.4296245699999872</c:v>
                </c:pt>
                <c:pt idx="5">
                  <c:v>7.0776731299999938</c:v>
                </c:pt>
                <c:pt idx="6">
                  <c:v>6.5356495700000004</c:v>
                </c:pt>
              </c:numCache>
            </c:numRef>
          </c:val>
          <c:smooth val="1"/>
          <c:extLst xmlns:c16r2="http://schemas.microsoft.com/office/drawing/2015/06/chart">
            <c:ext xmlns:c16="http://schemas.microsoft.com/office/drawing/2014/chart" uri="{C3380CC4-5D6E-409C-BE32-E72D297353CC}">
              <c16:uniqueId val="{00000000-AC29-48CB-BEF3-8FCC565E06CE}"/>
            </c:ext>
          </c:extLst>
        </c:ser>
        <c:ser>
          <c:idx val="0"/>
          <c:order val="1"/>
          <c:tx>
            <c:strRef>
              <c:f>'[Ingresos_y_gastos_(Empresas).xlsx]DIN Resultados historicos'!$D$2</c:f>
              <c:strCache>
                <c:ptCount val="1"/>
                <c:pt idx="0">
                  <c:v>Resultado Presupuestal</c:v>
                </c:pt>
              </c:strCache>
            </c:strRef>
          </c:tx>
          <c:spPr>
            <a:ln w="28575" cap="rnd">
              <a:solidFill>
                <a:schemeClr val="accent1"/>
              </a:solidFill>
              <a:round/>
            </a:ln>
            <a:effectLst>
              <a:outerShdw blurRad="50800" dist="38100" dir="18900000" algn="bl" rotWithShape="0">
                <a:prstClr val="black">
                  <a:alpha val="40000"/>
                </a:prstClr>
              </a:outerShdw>
            </a:effectLst>
          </c:spPr>
          <c:marker>
            <c:symbol val="circle"/>
            <c:size val="5"/>
            <c:spPr>
              <a:solidFill>
                <a:schemeClr val="accent6"/>
              </a:solid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Resultados historicos'!$B$5:$H$5</c:f>
              <c:numCache>
                <c:formatCode>General</c:formatCode>
                <c:ptCount val="7"/>
                <c:pt idx="0">
                  <c:v>2014</c:v>
                </c:pt>
                <c:pt idx="1">
                  <c:v>2015</c:v>
                </c:pt>
                <c:pt idx="2">
                  <c:v>2016</c:v>
                </c:pt>
                <c:pt idx="3">
                  <c:v>2017</c:v>
                </c:pt>
                <c:pt idx="4">
                  <c:v>2018</c:v>
                </c:pt>
                <c:pt idx="5">
                  <c:v>2019</c:v>
                </c:pt>
                <c:pt idx="6">
                  <c:v>2020</c:v>
                </c:pt>
              </c:numCache>
            </c:numRef>
          </c:cat>
          <c:val>
            <c:numRef>
              <c:f>'[Ingresos_y_gastos_(Empresas).xlsx]DIN Resultados historicos'!$B$10:$H$10</c:f>
              <c:numCache>
                <c:formatCode>_(* #,##0.00_);_(* \(#,##0.00\);_(* "-"??_);_(@_)</c:formatCode>
                <c:ptCount val="7"/>
                <c:pt idx="0">
                  <c:v>0.898871579999998</c:v>
                </c:pt>
                <c:pt idx="1">
                  <c:v>-1.7311824999999956</c:v>
                </c:pt>
                <c:pt idx="2">
                  <c:v>5.180342889999995</c:v>
                </c:pt>
                <c:pt idx="3">
                  <c:v>3.0082744400000045</c:v>
                </c:pt>
                <c:pt idx="4">
                  <c:v>3.4296245699999872</c:v>
                </c:pt>
                <c:pt idx="5">
                  <c:v>7.0776731299999938</c:v>
                </c:pt>
                <c:pt idx="6">
                  <c:v>6.5356495700000004</c:v>
                </c:pt>
              </c:numCache>
            </c:numRef>
          </c:val>
          <c:smooth val="1"/>
          <c:extLst xmlns:c16r2="http://schemas.microsoft.com/office/drawing/2015/06/chart">
            <c:ext xmlns:c16="http://schemas.microsoft.com/office/drawing/2014/chart" uri="{C3380CC4-5D6E-409C-BE32-E72D297353CC}">
              <c16:uniqueId val="{00000001-AC29-48CB-BEF3-8FCC565E06CE}"/>
            </c:ext>
          </c:extLst>
        </c:ser>
        <c:dLbls>
          <c:showLegendKey val="0"/>
          <c:showVal val="0"/>
          <c:showCatName val="0"/>
          <c:showSerName val="0"/>
          <c:showPercent val="0"/>
          <c:showBubbleSize val="0"/>
        </c:dLbls>
        <c:marker val="1"/>
        <c:smooth val="0"/>
        <c:axId val="293034624"/>
        <c:axId val="293036416"/>
      </c:lineChart>
      <c:catAx>
        <c:axId val="29303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293036416"/>
        <c:crosses val="autoZero"/>
        <c:auto val="1"/>
        <c:lblAlgn val="ctr"/>
        <c:lblOffset val="100"/>
        <c:noMultiLvlLbl val="0"/>
      </c:catAx>
      <c:valAx>
        <c:axId val="293036416"/>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29303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500"/>
      </a:pPr>
      <a:endParaRPr lang="es-GT"/>
    </a:p>
  </c:tx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'[Ingresos_y_gastos_(Empresas).xlsx]DIN Resultados historicos'!$J$6</c:f>
          <c:strCache>
            <c:ptCount val="1"/>
            <c:pt idx="0">
              <c:v>Guatel</c:v>
            </c:pt>
          </c:strCache>
        </c:strRef>
      </c:tx>
      <c:layout>
        <c:manualLayout>
          <c:xMode val="edge"/>
          <c:yMode val="edge"/>
          <c:x val="0.44493910121797564"/>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4.6695001951450064E-2"/>
          <c:y val="0.17516791900915327"/>
          <c:w val="0.78151342484961328"/>
          <c:h val="0.6072376049331113"/>
        </c:manualLayout>
      </c:layout>
      <c:lineChart>
        <c:grouping val="standard"/>
        <c:varyColors val="0"/>
        <c:ser>
          <c:idx val="1"/>
          <c:order val="0"/>
          <c:tx>
            <c:v>Resultado sin transferencias</c:v>
          </c:tx>
          <c:spPr>
            <a:ln w="25400" cap="rnd">
              <a:solidFill>
                <a:schemeClr val="accent2"/>
              </a:solidFill>
              <a:prstDash val="sysDash"/>
              <a:round/>
            </a:ln>
            <a:effectLst>
              <a:outerShdw blurRad="50800" dist="38100" dir="18900000" algn="bl" rotWithShape="0">
                <a:prstClr val="black">
                  <a:alpha val="40000"/>
                </a:prstClr>
              </a:outerShdw>
            </a:effectLst>
          </c:spPr>
          <c:marker>
            <c:symbol val="triangle"/>
            <c:size val="5"/>
            <c:spPr>
              <a:blipFill>
                <a:blip xmlns:r="http://schemas.openxmlformats.org/officeDocument/2006/relationships" r:embed="rId1"/>
                <a:tile tx="0" ty="0" sx="100000" sy="100000" flip="none" algn="tl"/>
              </a:blipFill>
              <a:ln w="9525">
                <a:solidFill>
                  <a:schemeClr val="tx1"/>
                </a:solidFill>
              </a:ln>
              <a:effectLst>
                <a:outerShdw blurRad="50800" dist="38100" dir="18900000" algn="bl" rotWithShape="0">
                  <a:prstClr val="black">
                    <a:alpha val="40000"/>
                  </a:prstClr>
                </a:outerShdw>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7E-47D8-BE27-C5C80F5319B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7E-47D8-BE27-C5C80F5319B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7E-47D8-BE27-C5C80F5319B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7E-47D8-BE27-C5C80F5319BA}"/>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7E-47D8-BE27-C5C80F5319BA}"/>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7E-47D8-BE27-C5C80F5319BA}"/>
                </c:ext>
              </c:extLst>
            </c:dLbl>
            <c:numFmt formatCode="#,##0.0" sourceLinked="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G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'[Ingresos_y_gastos_(Empresas).xlsx]DIN Resultados historicos'!$B$8:$H$8</c:f>
              <c:numCache>
                <c:formatCode>_(* #,##0.00_);_(* \(#,##0.00\);_(* "-"??_);_(@_)</c:formatCode>
                <c:ptCount val="7"/>
                <c:pt idx="0">
                  <c:v>-2.3909883800000014</c:v>
                </c:pt>
                <c:pt idx="1">
                  <c:v>1.588625519999999</c:v>
                </c:pt>
                <c:pt idx="2">
                  <c:v>-1.6132399899999967</c:v>
                </c:pt>
                <c:pt idx="3">
                  <c:v>2.0024803600000025</c:v>
                </c:pt>
                <c:pt idx="4">
                  <c:v>0.78433405000000223</c:v>
                </c:pt>
                <c:pt idx="5">
                  <c:v>-1.9279860999999983</c:v>
                </c:pt>
                <c:pt idx="6">
                  <c:v>1.742142770000001</c:v>
                </c:pt>
              </c:numCache>
            </c:numRef>
          </c:val>
          <c:smooth val="1"/>
          <c:extLst xmlns:c16r2="http://schemas.microsoft.com/office/drawing/2015/06/chart">
            <c:ext xmlns:c16="http://schemas.microsoft.com/office/drawing/2014/chart" uri="{C3380CC4-5D6E-409C-BE32-E72D297353CC}">
              <c16:uniqueId val="{00000006-9E7E-47D8-BE27-C5C80F5319BA}"/>
            </c:ext>
          </c:extLst>
        </c:ser>
        <c:ser>
          <c:idx val="0"/>
          <c:order val="1"/>
          <c:tx>
            <c:v>Resultado presupuestal</c:v>
          </c:tx>
          <c:spPr>
            <a:ln w="28575" cap="rnd">
              <a:solidFill>
                <a:schemeClr val="accent1"/>
              </a:solidFill>
              <a:round/>
            </a:ln>
            <a:effectLst>
              <a:outerShdw blurRad="50800" dist="38100" dir="18900000" algn="bl" rotWithShape="0">
                <a:prstClr val="black">
                  <a:alpha val="40000"/>
                </a:prstClr>
              </a:outerShdw>
            </a:effectLst>
          </c:spPr>
          <c:marker>
            <c:symbol val="circle"/>
            <c:size val="5"/>
            <c:spPr>
              <a:solidFill>
                <a:schemeClr val="accent6"/>
              </a:solid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Resultados historicos'!$B$5:$H$5</c:f>
              <c:numCache>
                <c:formatCode>General</c:formatCode>
                <c:ptCount val="7"/>
                <c:pt idx="0">
                  <c:v>2014</c:v>
                </c:pt>
                <c:pt idx="1">
                  <c:v>2015</c:v>
                </c:pt>
                <c:pt idx="2">
                  <c:v>2016</c:v>
                </c:pt>
                <c:pt idx="3">
                  <c:v>2017</c:v>
                </c:pt>
                <c:pt idx="4">
                  <c:v>2018</c:v>
                </c:pt>
                <c:pt idx="5">
                  <c:v>2019</c:v>
                </c:pt>
                <c:pt idx="6">
                  <c:v>2020</c:v>
                </c:pt>
              </c:numCache>
            </c:numRef>
          </c:cat>
          <c:val>
            <c:numRef>
              <c:f>'[Ingresos_y_gastos_(Empresas).xlsx]DIN Resultados historicos'!$B$7:$H$7</c:f>
              <c:numCache>
                <c:formatCode>_(* #,##0.00_);_(* \(#,##0.00\);_(* "-"??_);_(@_)</c:formatCode>
                <c:ptCount val="7"/>
                <c:pt idx="0">
                  <c:v>-2.3909883800000014</c:v>
                </c:pt>
                <c:pt idx="1">
                  <c:v>1.588625519999999</c:v>
                </c:pt>
                <c:pt idx="2">
                  <c:v>-1.6132399899999967</c:v>
                </c:pt>
                <c:pt idx="3">
                  <c:v>2.0024803600000025</c:v>
                </c:pt>
                <c:pt idx="4">
                  <c:v>2.1236197600000022</c:v>
                </c:pt>
                <c:pt idx="5">
                  <c:v>-1.9279860999999983</c:v>
                </c:pt>
                <c:pt idx="6">
                  <c:v>1.742142770000001</c:v>
                </c:pt>
              </c:numCache>
            </c:numRef>
          </c:val>
          <c:smooth val="1"/>
          <c:extLst xmlns:c16r2="http://schemas.microsoft.com/office/drawing/2015/06/chart">
            <c:ext xmlns:c16="http://schemas.microsoft.com/office/drawing/2014/chart" uri="{C3380CC4-5D6E-409C-BE32-E72D297353CC}">
              <c16:uniqueId val="{00000007-9E7E-47D8-BE27-C5C80F5319BA}"/>
            </c:ext>
          </c:extLst>
        </c:ser>
        <c:dLbls>
          <c:showLegendKey val="0"/>
          <c:showVal val="0"/>
          <c:showCatName val="0"/>
          <c:showSerName val="0"/>
          <c:showPercent val="0"/>
          <c:showBubbleSize val="0"/>
        </c:dLbls>
        <c:marker val="1"/>
        <c:smooth val="0"/>
        <c:axId val="301673472"/>
        <c:axId val="301679360"/>
      </c:lineChart>
      <c:catAx>
        <c:axId val="301673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1679360"/>
        <c:crosses val="autoZero"/>
        <c:auto val="1"/>
        <c:lblAlgn val="ctr"/>
        <c:lblOffset val="100"/>
        <c:noMultiLvlLbl val="0"/>
      </c:catAx>
      <c:valAx>
        <c:axId val="301679360"/>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167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500"/>
      </a:pPr>
      <a:endParaRPr lang="es-GT"/>
    </a:p>
  </c:tx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'[Ingresos_y_gastos_(Empresas).xlsx]DIN Resultados historicos'!$J$18</c:f>
          <c:strCache>
            <c:ptCount val="1"/>
            <c:pt idx="0">
              <c:v>EPNCH</c:v>
            </c:pt>
          </c:strCache>
        </c:strRef>
      </c:tx>
      <c:layout>
        <c:manualLayout>
          <c:xMode val="edge"/>
          <c:yMode val="edge"/>
          <c:x val="0.45614659360356102"/>
          <c:y val="4.4523230407717378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4.6695001951450064E-2"/>
          <c:y val="0.17516791900915327"/>
          <c:w val="0.78151342484961328"/>
          <c:h val="0.6072376049331113"/>
        </c:manualLayout>
      </c:layout>
      <c:lineChart>
        <c:grouping val="standard"/>
        <c:varyColors val="0"/>
        <c:ser>
          <c:idx val="1"/>
          <c:order val="0"/>
          <c:tx>
            <c:strRef>
              <c:f>'[Ingresos_y_gastos_(Empresas).xlsx]DIN Resultados historicos'!$D$3</c:f>
              <c:strCache>
                <c:ptCount val="1"/>
                <c:pt idx="0">
                  <c:v>Resultado sin transferencias</c:v>
                </c:pt>
              </c:strCache>
            </c:strRef>
          </c:tx>
          <c:spPr>
            <a:ln w="25400" cap="rnd">
              <a:solidFill>
                <a:schemeClr val="accent2"/>
              </a:solidFill>
              <a:prstDash val="sysDash"/>
              <a:round/>
            </a:ln>
            <a:effectLst>
              <a:outerShdw blurRad="50800" dist="38100" dir="18900000" algn="bl" rotWithShape="0">
                <a:prstClr val="black">
                  <a:alpha val="40000"/>
                </a:prstClr>
              </a:outerShdw>
            </a:effectLst>
          </c:spPr>
          <c:marker>
            <c:symbol val="triangle"/>
            <c:size val="5"/>
            <c:spPr>
              <a:blipFill>
                <a:blip xmlns:r="http://schemas.openxmlformats.org/officeDocument/2006/relationships" r:embed="rId1"/>
                <a:tile tx="0" ty="0" sx="100000" sy="100000" flip="none" algn="tl"/>
              </a:blip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G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'[Ingresos_y_gastos_(Empresas).xlsx]DIN Resultados historicos'!$B$20:$H$20</c:f>
              <c:numCache>
                <c:formatCode>_(* #,##0.00_);_(* \(#,##0.00\);_(* "-"??_);_(@_)</c:formatCode>
                <c:ptCount val="7"/>
                <c:pt idx="0">
                  <c:v>-5.5138585999999998</c:v>
                </c:pt>
                <c:pt idx="1">
                  <c:v>-3.3071890900000001</c:v>
                </c:pt>
                <c:pt idx="2">
                  <c:v>-3.6320060599999979</c:v>
                </c:pt>
                <c:pt idx="3">
                  <c:v>-3.301956029999999</c:v>
                </c:pt>
                <c:pt idx="4">
                  <c:v>-4.6371587500000011</c:v>
                </c:pt>
                <c:pt idx="5">
                  <c:v>-4.8113266399999981</c:v>
                </c:pt>
                <c:pt idx="6">
                  <c:v>-4.2799839800000026</c:v>
                </c:pt>
              </c:numCache>
            </c:numRef>
          </c:val>
          <c:smooth val="1"/>
          <c:extLst xmlns:c16r2="http://schemas.microsoft.com/office/drawing/2015/06/chart">
            <c:ext xmlns:c16="http://schemas.microsoft.com/office/drawing/2014/chart" uri="{C3380CC4-5D6E-409C-BE32-E72D297353CC}">
              <c16:uniqueId val="{00000000-E569-497C-A604-1B675BDE490B}"/>
            </c:ext>
          </c:extLst>
        </c:ser>
        <c:ser>
          <c:idx val="0"/>
          <c:order val="1"/>
          <c:tx>
            <c:strRef>
              <c:f>'[Ingresos_y_gastos_(Empresas).xlsx]DIN Resultados historicos'!$D$2</c:f>
              <c:strCache>
                <c:ptCount val="1"/>
                <c:pt idx="0">
                  <c:v>Resultado Presupuestal</c:v>
                </c:pt>
              </c:strCache>
            </c:strRef>
          </c:tx>
          <c:spPr>
            <a:ln w="28575" cap="rnd">
              <a:solidFill>
                <a:schemeClr val="accent1"/>
              </a:solidFill>
              <a:round/>
            </a:ln>
            <a:effectLst>
              <a:outerShdw blurRad="50800" dist="38100" dir="18900000" algn="bl" rotWithShape="0">
                <a:prstClr val="black">
                  <a:alpha val="40000"/>
                </a:prstClr>
              </a:outerShdw>
            </a:effectLst>
          </c:spPr>
          <c:marker>
            <c:symbol val="circle"/>
            <c:size val="5"/>
            <c:spPr>
              <a:solidFill>
                <a:schemeClr val="accent6"/>
              </a:solid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Resultados historicos'!$B$5:$H$5</c:f>
              <c:numCache>
                <c:formatCode>General</c:formatCode>
                <c:ptCount val="7"/>
                <c:pt idx="0">
                  <c:v>2014</c:v>
                </c:pt>
                <c:pt idx="1">
                  <c:v>2015</c:v>
                </c:pt>
                <c:pt idx="2">
                  <c:v>2016</c:v>
                </c:pt>
                <c:pt idx="3">
                  <c:v>2017</c:v>
                </c:pt>
                <c:pt idx="4">
                  <c:v>2018</c:v>
                </c:pt>
                <c:pt idx="5">
                  <c:v>2019</c:v>
                </c:pt>
                <c:pt idx="6">
                  <c:v>2020</c:v>
                </c:pt>
              </c:numCache>
            </c:numRef>
          </c:cat>
          <c:val>
            <c:numRef>
              <c:f>'[Ingresos_y_gastos_(Empresas).xlsx]DIN Resultados historicos'!$B$19:$H$19</c:f>
              <c:numCache>
                <c:formatCode>_(* #,##0.00_);_(* \(#,##0.00\);_(* "-"??_);_(@_)</c:formatCode>
                <c:ptCount val="7"/>
                <c:pt idx="0">
                  <c:v>0.11066139999999969</c:v>
                </c:pt>
                <c:pt idx="1">
                  <c:v>0.21528391000000013</c:v>
                </c:pt>
                <c:pt idx="2">
                  <c:v>-7.4860599999979627E-3</c:v>
                </c:pt>
                <c:pt idx="3">
                  <c:v>0.32256397000000092</c:v>
                </c:pt>
                <c:pt idx="4">
                  <c:v>0.18736124999999859</c:v>
                </c:pt>
                <c:pt idx="5">
                  <c:v>-0.18680663999999769</c:v>
                </c:pt>
                <c:pt idx="6">
                  <c:v>0.34453601999999783</c:v>
                </c:pt>
              </c:numCache>
            </c:numRef>
          </c:val>
          <c:smooth val="1"/>
          <c:extLst xmlns:c16r2="http://schemas.microsoft.com/office/drawing/2015/06/chart">
            <c:ext xmlns:c16="http://schemas.microsoft.com/office/drawing/2014/chart" uri="{C3380CC4-5D6E-409C-BE32-E72D297353CC}">
              <c16:uniqueId val="{00000001-E569-497C-A604-1B675BDE490B}"/>
            </c:ext>
          </c:extLst>
        </c:ser>
        <c:dLbls>
          <c:showLegendKey val="0"/>
          <c:showVal val="0"/>
          <c:showCatName val="0"/>
          <c:showSerName val="0"/>
          <c:showPercent val="0"/>
          <c:showBubbleSize val="0"/>
        </c:dLbls>
        <c:marker val="1"/>
        <c:smooth val="0"/>
        <c:axId val="302158976"/>
        <c:axId val="302160512"/>
      </c:lineChart>
      <c:catAx>
        <c:axId val="30215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2160512"/>
        <c:crosses val="autoZero"/>
        <c:auto val="1"/>
        <c:lblAlgn val="ctr"/>
        <c:lblOffset val="100"/>
        <c:noMultiLvlLbl val="0"/>
      </c:catAx>
      <c:valAx>
        <c:axId val="302160512"/>
        <c:scaling>
          <c:orientation val="minMax"/>
          <c:min val="-8"/>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21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500"/>
      </a:pPr>
      <a:endParaRPr lang="es-GT"/>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'[Ingresos_y_gastos_(Empresas).xlsx]DIN Resultados historicos'!$J$24</c:f>
          <c:strCache>
            <c:ptCount val="1"/>
            <c:pt idx="0">
              <c:v>INDECA</c:v>
            </c:pt>
          </c:strCache>
        </c:strRef>
      </c:tx>
      <c:layout>
        <c:manualLayout>
          <c:xMode val="edge"/>
          <c:yMode val="edge"/>
          <c:x val="0.45614649777816219"/>
          <c:y val="2.8616354208876101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4.6695001951450064E-2"/>
          <c:y val="0.17516791900915327"/>
          <c:w val="0.77311359284625336"/>
          <c:h val="0.6072376049331113"/>
        </c:manualLayout>
      </c:layout>
      <c:lineChart>
        <c:grouping val="standard"/>
        <c:varyColors val="0"/>
        <c:ser>
          <c:idx val="1"/>
          <c:order val="0"/>
          <c:tx>
            <c:strRef>
              <c:f>'[Ingresos_y_gastos_(Empresas).xlsx]DIN Resultados historicos'!$D$3</c:f>
              <c:strCache>
                <c:ptCount val="1"/>
                <c:pt idx="0">
                  <c:v>Resultado sin transferencias</c:v>
                </c:pt>
              </c:strCache>
            </c:strRef>
          </c:tx>
          <c:spPr>
            <a:ln w="25400" cap="rnd">
              <a:solidFill>
                <a:schemeClr val="accent2"/>
              </a:solidFill>
              <a:prstDash val="sysDash"/>
              <a:round/>
            </a:ln>
            <a:effectLst>
              <a:outerShdw blurRad="50800" dist="38100" dir="18900000" algn="bl" rotWithShape="0">
                <a:prstClr val="black">
                  <a:alpha val="40000"/>
                </a:prstClr>
              </a:outerShdw>
            </a:effectLst>
          </c:spPr>
          <c:marker>
            <c:symbol val="triangle"/>
            <c:size val="5"/>
            <c:spPr>
              <a:blipFill>
                <a:blip xmlns:r="http://schemas.openxmlformats.org/officeDocument/2006/relationships" r:embed="rId1"/>
                <a:tile tx="0" ty="0" sx="100000" sy="100000" flip="none" algn="tl"/>
              </a:blip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G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'[Ingresos_y_gastos_(Empresas).xlsx]DIN Resultados historicos'!$B$26:$H$26</c:f>
              <c:numCache>
                <c:formatCode>_(* #,##0.00_);_(* \(#,##0.00\);_(* "-"??_);_(@_)</c:formatCode>
                <c:ptCount val="7"/>
                <c:pt idx="0">
                  <c:v>-13.928301919999999</c:v>
                </c:pt>
                <c:pt idx="1">
                  <c:v>-10.771130209999997</c:v>
                </c:pt>
                <c:pt idx="2">
                  <c:v>-10.311933810000001</c:v>
                </c:pt>
                <c:pt idx="3">
                  <c:v>-14.811591669999999</c:v>
                </c:pt>
                <c:pt idx="4">
                  <c:v>-13.333880759999996</c:v>
                </c:pt>
                <c:pt idx="5">
                  <c:v>-12.628096640000003</c:v>
                </c:pt>
                <c:pt idx="6">
                  <c:v>-12.446432190000003</c:v>
                </c:pt>
              </c:numCache>
            </c:numRef>
          </c:val>
          <c:smooth val="1"/>
          <c:extLst xmlns:c16r2="http://schemas.microsoft.com/office/drawing/2015/06/chart">
            <c:ext xmlns:c16="http://schemas.microsoft.com/office/drawing/2014/chart" uri="{C3380CC4-5D6E-409C-BE32-E72D297353CC}">
              <c16:uniqueId val="{00000000-1CD1-4D64-AC48-703B02989719}"/>
            </c:ext>
          </c:extLst>
        </c:ser>
        <c:ser>
          <c:idx val="0"/>
          <c:order val="1"/>
          <c:tx>
            <c:strRef>
              <c:f>'[Ingresos_y_gastos_(Empresas).xlsx]DIN Resultados historicos'!$D$2</c:f>
              <c:strCache>
                <c:ptCount val="1"/>
                <c:pt idx="0">
                  <c:v>Resultado Presupuestal</c:v>
                </c:pt>
              </c:strCache>
            </c:strRef>
          </c:tx>
          <c:spPr>
            <a:ln w="28575" cap="rnd">
              <a:solidFill>
                <a:schemeClr val="accent1"/>
              </a:solidFill>
              <a:round/>
            </a:ln>
            <a:effectLst>
              <a:outerShdw blurRad="50800" dist="38100" dir="18900000" algn="bl" rotWithShape="0">
                <a:prstClr val="black">
                  <a:alpha val="40000"/>
                </a:prstClr>
              </a:outerShdw>
            </a:effectLst>
          </c:spPr>
          <c:marker>
            <c:symbol val="circle"/>
            <c:size val="5"/>
            <c:spPr>
              <a:solidFill>
                <a:schemeClr val="accent6"/>
              </a:solid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Resultados historicos'!$B$5:$H$5</c:f>
              <c:numCache>
                <c:formatCode>General</c:formatCode>
                <c:ptCount val="7"/>
                <c:pt idx="0">
                  <c:v>2014</c:v>
                </c:pt>
                <c:pt idx="1">
                  <c:v>2015</c:v>
                </c:pt>
                <c:pt idx="2">
                  <c:v>2016</c:v>
                </c:pt>
                <c:pt idx="3">
                  <c:v>2017</c:v>
                </c:pt>
                <c:pt idx="4">
                  <c:v>2018</c:v>
                </c:pt>
                <c:pt idx="5">
                  <c:v>2019</c:v>
                </c:pt>
                <c:pt idx="6">
                  <c:v>2020</c:v>
                </c:pt>
              </c:numCache>
            </c:numRef>
          </c:cat>
          <c:val>
            <c:numRef>
              <c:f>'[Ingresos_y_gastos_(Empresas).xlsx]DIN Resultados historicos'!$B$25:$H$25</c:f>
              <c:numCache>
                <c:formatCode>_(* #,##0.00_);_(* \(#,##0.00\);_(* "-"??_);_(@_)</c:formatCode>
                <c:ptCount val="7"/>
                <c:pt idx="0">
                  <c:v>0.18629408000000147</c:v>
                </c:pt>
                <c:pt idx="1">
                  <c:v>-2.7797209999997463E-2</c:v>
                </c:pt>
                <c:pt idx="2">
                  <c:v>2.6880661899999989</c:v>
                </c:pt>
                <c:pt idx="3">
                  <c:v>-1.7597876699999979</c:v>
                </c:pt>
                <c:pt idx="4">
                  <c:v>-1.4627607599999966</c:v>
                </c:pt>
                <c:pt idx="5">
                  <c:v>2.0919033599999981</c:v>
                </c:pt>
                <c:pt idx="6">
                  <c:v>1.1184478099999975</c:v>
                </c:pt>
              </c:numCache>
            </c:numRef>
          </c:val>
          <c:smooth val="1"/>
          <c:extLst xmlns:c16r2="http://schemas.microsoft.com/office/drawing/2015/06/chart">
            <c:ext xmlns:c16="http://schemas.microsoft.com/office/drawing/2014/chart" uri="{C3380CC4-5D6E-409C-BE32-E72D297353CC}">
              <c16:uniqueId val="{00000001-1CD1-4D64-AC48-703B02989719}"/>
            </c:ext>
          </c:extLst>
        </c:ser>
        <c:dLbls>
          <c:showLegendKey val="0"/>
          <c:showVal val="0"/>
          <c:showCatName val="0"/>
          <c:showSerName val="0"/>
          <c:showPercent val="0"/>
          <c:showBubbleSize val="0"/>
        </c:dLbls>
        <c:marker val="1"/>
        <c:smooth val="0"/>
        <c:axId val="301972480"/>
        <c:axId val="301978368"/>
      </c:lineChart>
      <c:catAx>
        <c:axId val="301972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1978368"/>
        <c:crosses val="autoZero"/>
        <c:auto val="1"/>
        <c:lblAlgn val="ctr"/>
        <c:lblOffset val="100"/>
        <c:noMultiLvlLbl val="0"/>
      </c:catAx>
      <c:valAx>
        <c:axId val="301978368"/>
        <c:scaling>
          <c:orientation val="minMax"/>
          <c:min val="-20"/>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197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500"/>
      </a:pPr>
      <a:endParaRPr lang="es-GT"/>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'[Ingresos_y_gastos_(Empresas).xlsx]DIN Resultados historicos'!$J$21</c:f>
          <c:strCache>
            <c:ptCount val="1"/>
            <c:pt idx="0">
              <c:v>FEGUA</c:v>
            </c:pt>
          </c:strCache>
        </c:strRef>
      </c:tx>
      <c:layout>
        <c:manualLayout>
          <c:xMode val="edge"/>
          <c:yMode val="edge"/>
          <c:x val="0.45614649777816219"/>
          <c:y val="2.8616354208876101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4.6695001951450064E-2"/>
          <c:y val="0.17516791900915327"/>
          <c:w val="0.76891367684457335"/>
          <c:h val="0.6072376049331113"/>
        </c:manualLayout>
      </c:layout>
      <c:lineChart>
        <c:grouping val="standard"/>
        <c:varyColors val="0"/>
        <c:ser>
          <c:idx val="1"/>
          <c:order val="0"/>
          <c:tx>
            <c:strRef>
              <c:f>'[Ingresos_y_gastos_(Empresas).xlsx]DIN Resultados historicos'!$D$3</c:f>
              <c:strCache>
                <c:ptCount val="1"/>
                <c:pt idx="0">
                  <c:v>Resultado sin transferencias</c:v>
                </c:pt>
              </c:strCache>
            </c:strRef>
          </c:tx>
          <c:spPr>
            <a:ln w="25400" cap="rnd">
              <a:solidFill>
                <a:schemeClr val="accent2"/>
              </a:solidFill>
              <a:prstDash val="sysDash"/>
              <a:round/>
            </a:ln>
            <a:effectLst>
              <a:outerShdw blurRad="50800" dist="38100" dir="18900000" algn="bl" rotWithShape="0">
                <a:prstClr val="black">
                  <a:alpha val="40000"/>
                </a:prstClr>
              </a:outerShdw>
            </a:effectLst>
          </c:spPr>
          <c:marker>
            <c:symbol val="triangle"/>
            <c:size val="5"/>
            <c:spPr>
              <a:blipFill>
                <a:blip xmlns:r="http://schemas.openxmlformats.org/officeDocument/2006/relationships" r:embed="rId1"/>
                <a:tile tx="0" ty="0" sx="100000" sy="100000" flip="none" algn="tl"/>
              </a:blip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G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'[Ingresos_y_gastos_(Empresas).xlsx]DIN Resultados historicos'!$B$23:$H$23</c:f>
              <c:numCache>
                <c:formatCode>_(* #,##0.00_);_(* \(#,##0.00\);_(* "-"??_);_(@_)</c:formatCode>
                <c:ptCount val="7"/>
                <c:pt idx="0">
                  <c:v>-0.25628505000000068</c:v>
                </c:pt>
                <c:pt idx="1">
                  <c:v>-1.5054725099999979</c:v>
                </c:pt>
                <c:pt idx="2">
                  <c:v>-2.3149971499999982</c:v>
                </c:pt>
                <c:pt idx="3">
                  <c:v>-7.2206554600000015</c:v>
                </c:pt>
                <c:pt idx="4">
                  <c:v>-10.283856860000006</c:v>
                </c:pt>
                <c:pt idx="5">
                  <c:v>-17.39192898999999</c:v>
                </c:pt>
                <c:pt idx="6">
                  <c:v>-18.570121010000001</c:v>
                </c:pt>
              </c:numCache>
            </c:numRef>
          </c:val>
          <c:smooth val="1"/>
          <c:extLst xmlns:c16r2="http://schemas.microsoft.com/office/drawing/2015/06/chart">
            <c:ext xmlns:c16="http://schemas.microsoft.com/office/drawing/2014/chart" uri="{C3380CC4-5D6E-409C-BE32-E72D297353CC}">
              <c16:uniqueId val="{00000006-B0C9-4518-A974-9B7B5334E248}"/>
            </c:ext>
          </c:extLst>
        </c:ser>
        <c:ser>
          <c:idx val="0"/>
          <c:order val="1"/>
          <c:tx>
            <c:strRef>
              <c:f>'[Ingresos_y_gastos_(Empresas).xlsx]DIN Resultados historicos'!$D$2</c:f>
              <c:strCache>
                <c:ptCount val="1"/>
                <c:pt idx="0">
                  <c:v>Resultado Presupuestal</c:v>
                </c:pt>
              </c:strCache>
            </c:strRef>
          </c:tx>
          <c:spPr>
            <a:ln w="28575" cap="rnd">
              <a:solidFill>
                <a:schemeClr val="accent1"/>
              </a:solidFill>
              <a:round/>
            </a:ln>
            <a:effectLst>
              <a:outerShdw blurRad="50800" dist="38100" dir="18900000" algn="bl" rotWithShape="0">
                <a:prstClr val="black">
                  <a:alpha val="40000"/>
                </a:prstClr>
              </a:outerShdw>
            </a:effectLst>
          </c:spPr>
          <c:marker>
            <c:symbol val="circle"/>
            <c:size val="5"/>
            <c:spPr>
              <a:solidFill>
                <a:schemeClr val="accent6"/>
              </a:solidFill>
              <a:ln w="9525">
                <a:solidFill>
                  <a:schemeClr val="tx1"/>
                </a:solidFill>
              </a:ln>
              <a:effectLst>
                <a:outerShdw blurRad="50800" dist="38100" dir="18900000" algn="bl" rotWithShape="0">
                  <a:prstClr val="black">
                    <a:alpha val="40000"/>
                  </a:prstClr>
                </a:outerShdw>
              </a:effectLst>
            </c:spPr>
          </c:marker>
          <c:dLbls>
            <c:numFmt formatCode="#,##0.0" sourceLinked="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Resultados historicos'!$B$5:$H$5</c:f>
              <c:numCache>
                <c:formatCode>General</c:formatCode>
                <c:ptCount val="7"/>
                <c:pt idx="0">
                  <c:v>2014</c:v>
                </c:pt>
                <c:pt idx="1">
                  <c:v>2015</c:v>
                </c:pt>
                <c:pt idx="2">
                  <c:v>2016</c:v>
                </c:pt>
                <c:pt idx="3">
                  <c:v>2017</c:v>
                </c:pt>
                <c:pt idx="4">
                  <c:v>2018</c:v>
                </c:pt>
                <c:pt idx="5">
                  <c:v>2019</c:v>
                </c:pt>
                <c:pt idx="6">
                  <c:v>2020</c:v>
                </c:pt>
              </c:numCache>
            </c:numRef>
          </c:cat>
          <c:val>
            <c:numRef>
              <c:f>'[Ingresos_y_gastos_(Empresas).xlsx]DIN Resultados historicos'!$B$22:$H$22</c:f>
              <c:numCache>
                <c:formatCode>_(* #,##0.00_);_(* \(#,##0.00\);_(* "-"??_);_(@_)</c:formatCode>
                <c:ptCount val="7"/>
                <c:pt idx="0">
                  <c:v>0.49371494999999932</c:v>
                </c:pt>
                <c:pt idx="1">
                  <c:v>-0.75547250999999793</c:v>
                </c:pt>
                <c:pt idx="2">
                  <c:v>0.93500285000000183</c:v>
                </c:pt>
                <c:pt idx="3">
                  <c:v>-1.9706554600000015</c:v>
                </c:pt>
                <c:pt idx="4">
                  <c:v>-1.8838568600000052</c:v>
                </c:pt>
                <c:pt idx="5">
                  <c:v>3.2160710100000109</c:v>
                </c:pt>
                <c:pt idx="6">
                  <c:v>1.1378789899999973</c:v>
                </c:pt>
              </c:numCache>
            </c:numRef>
          </c:val>
          <c:smooth val="1"/>
          <c:extLst xmlns:c16r2="http://schemas.microsoft.com/office/drawing/2015/06/chart">
            <c:ext xmlns:c16="http://schemas.microsoft.com/office/drawing/2014/chart" uri="{C3380CC4-5D6E-409C-BE32-E72D297353CC}">
              <c16:uniqueId val="{00000007-B0C9-4518-A974-9B7B5334E248}"/>
            </c:ext>
          </c:extLst>
        </c:ser>
        <c:dLbls>
          <c:showLegendKey val="0"/>
          <c:showVal val="0"/>
          <c:showCatName val="0"/>
          <c:showSerName val="0"/>
          <c:showPercent val="0"/>
          <c:showBubbleSize val="0"/>
        </c:dLbls>
        <c:marker val="1"/>
        <c:smooth val="0"/>
        <c:axId val="301839488"/>
        <c:axId val="301841024"/>
      </c:lineChart>
      <c:catAx>
        <c:axId val="301839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1841024"/>
        <c:crosses val="autoZero"/>
        <c:auto val="1"/>
        <c:lblAlgn val="ctr"/>
        <c:lblOffset val="100"/>
        <c:noMultiLvlLbl val="0"/>
      </c:catAx>
      <c:valAx>
        <c:axId val="301841024"/>
        <c:scaling>
          <c:orientation val="minMax"/>
          <c:min val="-25"/>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30183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500"/>
      </a:pPr>
      <a:endParaRPr lang="es-GT"/>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5414114902304"/>
          <c:y val="4.4101312904684338E-2"/>
          <c:w val="0.88430592009332154"/>
          <c:h val="0.71397966516321387"/>
        </c:manualLayout>
      </c:layout>
      <c:barChart>
        <c:barDir val="col"/>
        <c:grouping val="stacked"/>
        <c:varyColors val="0"/>
        <c:ser>
          <c:idx val="4"/>
          <c:order val="0"/>
          <c:tx>
            <c:strRef>
              <c:f>Hoja1!$B$1</c:f>
              <c:strCache>
                <c:ptCount val="1"/>
                <c:pt idx="0">
                  <c:v>Endeudamiento</c:v>
                </c:pt>
              </c:strCache>
            </c:strRef>
          </c:tx>
          <c:spPr>
            <a:solidFill>
              <a:srgbClr val="FFC000"/>
            </a:solidFill>
            <a:ln w="25400">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numFmt formatCode="0.0%" sourceLinked="0"/>
            <c:spPr>
              <a:noFill/>
              <a:ln w="12700">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Hoja1!$A$2:$A$6</c:f>
              <c:numCache>
                <c:formatCode>General</c:formatCode>
                <c:ptCount val="5"/>
                <c:pt idx="0">
                  <c:v>2016</c:v>
                </c:pt>
                <c:pt idx="1">
                  <c:v>2017</c:v>
                </c:pt>
                <c:pt idx="2">
                  <c:v>2018</c:v>
                </c:pt>
                <c:pt idx="3">
                  <c:v>2019</c:v>
                </c:pt>
                <c:pt idx="4">
                  <c:v>2020</c:v>
                </c:pt>
              </c:numCache>
            </c:numRef>
          </c:cat>
          <c:val>
            <c:numRef>
              <c:f>Hoja1!$B$2:$B$6</c:f>
              <c:numCache>
                <c:formatCode>0.0%</c:formatCode>
                <c:ptCount val="5"/>
                <c:pt idx="0">
                  <c:v>0.25800000000000001</c:v>
                </c:pt>
                <c:pt idx="1">
                  <c:v>0.24199999999999999</c:v>
                </c:pt>
                <c:pt idx="2">
                  <c:v>0.23499999999999999</c:v>
                </c:pt>
                <c:pt idx="3">
                  <c:v>0.246</c:v>
                </c:pt>
                <c:pt idx="4">
                  <c:v>0.214</c:v>
                </c:pt>
              </c:numCache>
            </c:numRef>
          </c:val>
          <c:extLst xmlns:c16r2="http://schemas.microsoft.com/office/drawing/2015/06/chart">
            <c:ext xmlns:c16="http://schemas.microsoft.com/office/drawing/2014/chart" uri="{C3380CC4-5D6E-409C-BE32-E72D297353CC}">
              <c16:uniqueId val="{00000000-1A07-4D13-83B2-80F67BD18C35}"/>
            </c:ext>
          </c:extLst>
        </c:ser>
        <c:ser>
          <c:idx val="0"/>
          <c:order val="1"/>
          <c:tx>
            <c:strRef>
              <c:f>Hoja1!$C$1</c:f>
              <c:strCache>
                <c:ptCount val="1"/>
                <c:pt idx="0">
                  <c:v>Otras Obligaciones</c:v>
                </c:pt>
              </c:strCache>
            </c:strRef>
          </c:tx>
          <c:spPr>
            <a:solidFill>
              <a:srgbClr val="FF0000"/>
            </a:solidFill>
            <a:ln w="15875" cap="rnd">
              <a:noFill/>
              <a:prstDash val="sysDash"/>
              <a:round/>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spPr>
              <a:noFill/>
              <a:ln w="12700" cap="flat" cmpd="sng" algn="ctr">
                <a:noFill/>
                <a:prstDash val="solid"/>
              </a:ln>
              <a:effectLst/>
            </c:spPr>
            <c:txPr>
              <a:bodyPr wrap="square" lIns="38100" tIns="19050" rIns="38100" bIns="19050" anchor="ctr">
                <a:spAutoFit/>
              </a:bodyPr>
              <a:lstStyle/>
              <a:p>
                <a:pPr>
                  <a:defRPr sz="700" b="1">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Hoja1!$A$2:$A$6</c:f>
              <c:numCache>
                <c:formatCode>General</c:formatCode>
                <c:ptCount val="5"/>
                <c:pt idx="0">
                  <c:v>2016</c:v>
                </c:pt>
                <c:pt idx="1">
                  <c:v>2017</c:v>
                </c:pt>
                <c:pt idx="2">
                  <c:v>2018</c:v>
                </c:pt>
                <c:pt idx="3">
                  <c:v>2019</c:v>
                </c:pt>
                <c:pt idx="4">
                  <c:v>2020</c:v>
                </c:pt>
              </c:numCache>
            </c:numRef>
          </c:cat>
          <c:val>
            <c:numRef>
              <c:f>Hoja1!$C$2:$C$6</c:f>
              <c:numCache>
                <c:formatCode>0.0%</c:formatCode>
                <c:ptCount val="5"/>
                <c:pt idx="0">
                  <c:v>4.1000000000000002E-2</c:v>
                </c:pt>
                <c:pt idx="1">
                  <c:v>3.9E-2</c:v>
                </c:pt>
                <c:pt idx="2">
                  <c:v>4.1000000000000002E-2</c:v>
                </c:pt>
                <c:pt idx="3">
                  <c:v>4.2999999999999997E-2</c:v>
                </c:pt>
                <c:pt idx="4">
                  <c:v>4.5999999999999999E-2</c:v>
                </c:pt>
              </c:numCache>
            </c:numRef>
          </c:val>
          <c:extLst xmlns:c16r2="http://schemas.microsoft.com/office/drawing/2015/06/chart">
            <c:ext xmlns:c16="http://schemas.microsoft.com/office/drawing/2014/chart" uri="{C3380CC4-5D6E-409C-BE32-E72D297353CC}">
              <c16:uniqueId val="{00000001-1A07-4D13-83B2-80F67BD18C35}"/>
            </c:ext>
          </c:extLst>
        </c:ser>
        <c:dLbls>
          <c:showLegendKey val="0"/>
          <c:showVal val="0"/>
          <c:showCatName val="0"/>
          <c:showSerName val="0"/>
          <c:showPercent val="0"/>
          <c:showBubbleSize val="0"/>
        </c:dLbls>
        <c:gapWidth val="150"/>
        <c:overlap val="100"/>
        <c:axId val="302053248"/>
        <c:axId val="302054784"/>
      </c:barChart>
      <c:lineChart>
        <c:grouping val="standard"/>
        <c:varyColors val="0"/>
        <c:ser>
          <c:idx val="1"/>
          <c:order val="2"/>
          <c:tx>
            <c:strRef>
              <c:f>Hoja1!$D$1</c:f>
              <c:strCache>
                <c:ptCount val="1"/>
                <c:pt idx="0">
                  <c:v>Promedio</c:v>
                </c:pt>
              </c:strCache>
            </c:strRef>
          </c:tx>
          <c:spPr>
            <a:ln w="15875">
              <a:solidFill>
                <a:sysClr val="windowText" lastClr="000000"/>
              </a:solidFill>
              <a:prstDash val="sysDash"/>
            </a:ln>
            <a:effectLst>
              <a:outerShdw blurRad="50800" dist="38100" dir="18900000" algn="bl" rotWithShape="0">
                <a:prstClr val="black">
                  <a:alpha val="40000"/>
                </a:prstClr>
              </a:outerShdw>
            </a:effectLst>
          </c:spPr>
          <c:marker>
            <c:symbol val="none"/>
          </c:marker>
          <c:dLbls>
            <c:dLbl>
              <c:idx val="4"/>
              <c:layout>
                <c:manualLayout>
                  <c:x val="-5.0636118401867006E-3"/>
                  <c:y val="-6.8965517241379309E-2"/>
                </c:manualLayout>
              </c:layout>
              <c:tx>
                <c:rich>
                  <a:bodyPr wrap="square" lIns="38100" tIns="19050" rIns="38100" bIns="19050" anchor="ctr">
                    <a:spAutoFit/>
                  </a:bodyPr>
                  <a:lstStyle/>
                  <a:p>
                    <a:pPr>
                      <a:defRPr sz="700" b="1">
                        <a:solidFill>
                          <a:schemeClr val="tx1"/>
                        </a:solidFill>
                      </a:defRPr>
                    </a:pPr>
                    <a:r>
                      <a:rPr lang="en-US" sz="700" b="1">
                        <a:solidFill>
                          <a:schemeClr val="tx1"/>
                        </a:solidFill>
                      </a:rPr>
                      <a:t>Promedio de</a:t>
                    </a:r>
                    <a:r>
                      <a:rPr lang="en-US" sz="700" b="1" baseline="0">
                        <a:solidFill>
                          <a:schemeClr val="tx1"/>
                        </a:solidFill>
                      </a:rPr>
                      <a:t> Obligaciones Financieras</a:t>
                    </a:r>
                    <a:endParaRPr lang="en-US" sz="700" b="1">
                      <a:solidFill>
                        <a:schemeClr val="tx1"/>
                      </a:solidFill>
                    </a:endParaRPr>
                  </a:p>
                  <a:p>
                    <a:pPr>
                      <a:defRPr sz="700" b="1">
                        <a:solidFill>
                          <a:schemeClr val="tx1"/>
                        </a:solidFill>
                      </a:defRPr>
                    </a:pPr>
                    <a:fld id="{BDC52C93-89C7-4D0F-9FE2-D42F53C0E383}" type="VALUE">
                      <a:rPr lang="en-US" sz="700" b="1">
                        <a:solidFill>
                          <a:schemeClr val="tx1"/>
                        </a:solidFill>
                      </a:rPr>
                      <a:pPr>
                        <a:defRPr sz="700" b="1">
                          <a:solidFill>
                            <a:schemeClr val="tx1"/>
                          </a:solidFill>
                        </a:defRPr>
                      </a:pPr>
                      <a:t>[VALOR]</a:t>
                    </a:fld>
                    <a:endParaRPr lang="es-GT"/>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8675925925925927"/>
                      <c:h val="0.20804597701149424"/>
                    </c:manualLayout>
                  </c15:layout>
                  <c15:dlblFieldTable/>
                  <c15:showDataLabelsRange val="0"/>
                </c:ext>
                <c:ext xmlns:c16="http://schemas.microsoft.com/office/drawing/2014/chart" uri="{C3380CC4-5D6E-409C-BE32-E72D297353CC}">
                  <c16:uniqueId val="{00000002-1A07-4D13-83B2-80F67BD18C35}"/>
                </c:ext>
              </c:extLst>
            </c:dLbl>
            <c:spPr>
              <a:noFill/>
              <a:ln>
                <a:noFill/>
              </a:ln>
              <a:effectLst/>
            </c:spPr>
            <c:txPr>
              <a:bodyPr wrap="square" lIns="38100" tIns="19050" rIns="38100" bIns="19050" anchor="ctr">
                <a:spAutoFit/>
              </a:bodyPr>
              <a:lstStyle/>
              <a:p>
                <a:pPr>
                  <a:defRPr b="1">
                    <a:solidFill>
                      <a:schemeClr val="tx1"/>
                    </a:solidFill>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Hoja1!$A$2:$A$6</c:f>
              <c:numCache>
                <c:formatCode>General</c:formatCode>
                <c:ptCount val="5"/>
                <c:pt idx="0">
                  <c:v>2016</c:v>
                </c:pt>
                <c:pt idx="1">
                  <c:v>2017</c:v>
                </c:pt>
                <c:pt idx="2">
                  <c:v>2018</c:v>
                </c:pt>
                <c:pt idx="3">
                  <c:v>2019</c:v>
                </c:pt>
                <c:pt idx="4">
                  <c:v>2020</c:v>
                </c:pt>
              </c:numCache>
            </c:numRef>
          </c:cat>
          <c:val>
            <c:numRef>
              <c:f>Hoja1!$D$2:$D$6</c:f>
              <c:numCache>
                <c:formatCode>0.0%</c:formatCode>
                <c:ptCount val="5"/>
                <c:pt idx="0">
                  <c:v>0.28099999999999997</c:v>
                </c:pt>
                <c:pt idx="1">
                  <c:v>0.28099999999999997</c:v>
                </c:pt>
                <c:pt idx="2">
                  <c:v>0.28099999999999997</c:v>
                </c:pt>
                <c:pt idx="3">
                  <c:v>0.28099999999999997</c:v>
                </c:pt>
                <c:pt idx="4">
                  <c:v>0.28099999999999997</c:v>
                </c:pt>
              </c:numCache>
            </c:numRef>
          </c:val>
          <c:smooth val="0"/>
          <c:extLst xmlns:c16r2="http://schemas.microsoft.com/office/drawing/2015/06/chart">
            <c:ext xmlns:c16="http://schemas.microsoft.com/office/drawing/2014/chart" uri="{C3380CC4-5D6E-409C-BE32-E72D297353CC}">
              <c16:uniqueId val="{00000003-1A07-4D13-83B2-80F67BD18C35}"/>
            </c:ext>
          </c:extLst>
        </c:ser>
        <c:dLbls>
          <c:showLegendKey val="0"/>
          <c:showVal val="0"/>
          <c:showCatName val="0"/>
          <c:showSerName val="0"/>
          <c:showPercent val="0"/>
          <c:showBubbleSize val="0"/>
        </c:dLbls>
        <c:marker val="1"/>
        <c:smooth val="0"/>
        <c:axId val="302053248"/>
        <c:axId val="302054784"/>
      </c:lineChart>
      <c:catAx>
        <c:axId val="302053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054784"/>
        <c:crosses val="autoZero"/>
        <c:auto val="1"/>
        <c:lblAlgn val="ctr"/>
        <c:lblOffset val="100"/>
        <c:noMultiLvlLbl val="0"/>
      </c:catAx>
      <c:valAx>
        <c:axId val="30205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053248"/>
        <c:crosses val="autoZero"/>
        <c:crossBetween val="between"/>
      </c:valAx>
      <c:spPr>
        <a:noFill/>
        <a:ln>
          <a:noFill/>
        </a:ln>
        <a:effectLst/>
      </c:spPr>
    </c:plotArea>
    <c:legend>
      <c:legendPos val="b"/>
      <c:legendEntry>
        <c:idx val="2"/>
        <c:delete val="1"/>
      </c:legendEntry>
      <c:layout>
        <c:manualLayout>
          <c:xMode val="edge"/>
          <c:yMode val="edge"/>
          <c:x val="0.12302311169437154"/>
          <c:y val="0.87000633541496963"/>
          <c:w val="0.78404618693496642"/>
          <c:h val="0.12999366458503031"/>
        </c:manualLayout>
      </c:layout>
      <c:overlay val="0"/>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b="1" i="0" baseline="0">
                <a:solidFill>
                  <a:sysClr val="windowText" lastClr="000000"/>
                </a:solidFill>
                <a:effectLst/>
                <a:latin typeface="Times New Roman" panose="02020603050405020304" pitchFamily="18" charset="0"/>
                <a:cs typeface="Times New Roman" panose="02020603050405020304" pitchFamily="18" charset="0"/>
              </a:rPr>
              <a:t>Gráfica 54.  Endeudamiento 2020 </a:t>
            </a:r>
            <a:endParaRPr lang="es-GT" sz="105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b="1" i="0" baseline="0">
                <a:solidFill>
                  <a:sysClr val="windowText" lastClr="000000"/>
                </a:solidFill>
                <a:effectLst/>
                <a:latin typeface="Times New Roman" panose="02020603050405020304" pitchFamily="18" charset="0"/>
                <a:cs typeface="Times New Roman" panose="02020603050405020304" pitchFamily="18" charset="0"/>
              </a:rPr>
              <a:t>De las Empresas Públicas </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b="1" i="0" baseline="0">
                <a:solidFill>
                  <a:sysClr val="windowText" lastClr="000000"/>
                </a:solidFill>
                <a:effectLst/>
                <a:latin typeface="Times New Roman" panose="02020603050405020304" pitchFamily="18" charset="0"/>
                <a:cs typeface="Times New Roman" panose="02020603050405020304" pitchFamily="18" charset="0"/>
              </a:rPr>
              <a:t>No Financieras Nacionales                                </a:t>
            </a:r>
            <a:endParaRPr lang="es-GT" sz="105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800" b="0" i="0" baseline="0">
                <a:solidFill>
                  <a:sysClr val="windowText" lastClr="000000"/>
                </a:solidFill>
                <a:effectLst/>
                <a:latin typeface="Times New Roman" panose="02020603050405020304" pitchFamily="18" charset="0"/>
                <a:cs typeface="Times New Roman" panose="02020603050405020304" pitchFamily="18" charset="0"/>
              </a:rPr>
              <a:t>Cifras en porcentajes respecto a sus ingresos totales</a:t>
            </a:r>
            <a:endParaRPr lang="es-GT" sz="8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9655314681861408"/>
          <c:y val="0"/>
        </c:manualLayout>
      </c:layout>
      <c:overlay val="0"/>
      <c:spPr>
        <a:noFill/>
        <a:ln>
          <a:noFill/>
        </a:ln>
        <a:effectLst/>
      </c:spPr>
    </c:title>
    <c:autoTitleDeleted val="0"/>
    <c:plotArea>
      <c:layout>
        <c:manualLayout>
          <c:layoutTarget val="inner"/>
          <c:xMode val="edge"/>
          <c:yMode val="edge"/>
          <c:x val="0.13438362688985139"/>
          <c:y val="0.34564304461942258"/>
          <c:w val="0.86455810860781568"/>
          <c:h val="0.62219527559055121"/>
        </c:manualLayout>
      </c:layout>
      <c:barChart>
        <c:barDir val="bar"/>
        <c:grouping val="clustered"/>
        <c:varyColors val="0"/>
        <c:ser>
          <c:idx val="0"/>
          <c:order val="0"/>
          <c:spPr>
            <a:solidFill>
              <a:srgbClr val="FFC000"/>
            </a:solidFill>
            <a:ln>
              <a:solidFill>
                <a:sysClr val="windowText" lastClr="000000"/>
              </a:solidFill>
            </a:ln>
            <a:effectLst>
              <a:outerShdw blurRad="25400" dist="38100" dir="18900000" algn="bl" rotWithShape="0">
                <a:prstClr val="black">
                  <a:alpha val="40000"/>
                </a:prstClr>
              </a:outerShdw>
            </a:effectLst>
            <a:scene3d>
              <a:camera prst="orthographicFront"/>
              <a:lightRig rig="threePt" dir="t"/>
            </a:scene3d>
            <a:sp3d>
              <a:bevelT w="19050" h="19050" prst="relaxedInse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'[Ingresos_y_gastos_(Empresas).xlsx]DIN Endeudamie (individual)'!$D$11:$D$12</c:f>
              <c:strCache>
                <c:ptCount val="2"/>
                <c:pt idx="0">
                  <c:v>Indeca</c:v>
                </c:pt>
                <c:pt idx="1">
                  <c:v>INDE</c:v>
                </c:pt>
              </c:strCache>
            </c:strRef>
          </c:cat>
          <c:val>
            <c:numRef>
              <c:f>'[Ingresos_y_gastos_(Empresas).xlsx]DIN Endeudamie (individual)'!$B$11:$B$12</c:f>
              <c:numCache>
                <c:formatCode>_(* #,##0.00_);_(* \(#,##0.00\);_(* "-"??_);_(@_)</c:formatCode>
                <c:ptCount val="2"/>
                <c:pt idx="0">
                  <c:v>36.258710344696418</c:v>
                </c:pt>
                <c:pt idx="1">
                  <c:v>32.378704275470284</c:v>
                </c:pt>
              </c:numCache>
            </c:numRef>
          </c:val>
          <c:extLst xmlns:c16r2="http://schemas.microsoft.com/office/drawing/2015/06/chart">
            <c:ext xmlns:c16="http://schemas.microsoft.com/office/drawing/2014/chart" uri="{C3380CC4-5D6E-409C-BE32-E72D297353CC}">
              <c16:uniqueId val="{00000000-3540-47A4-A331-CBD85E7390E6}"/>
            </c:ext>
          </c:extLst>
        </c:ser>
        <c:dLbls>
          <c:showLegendKey val="0"/>
          <c:showVal val="0"/>
          <c:showCatName val="0"/>
          <c:showSerName val="0"/>
          <c:showPercent val="0"/>
          <c:showBubbleSize val="0"/>
        </c:dLbls>
        <c:gapWidth val="219"/>
        <c:axId val="302101248"/>
        <c:axId val="302102784"/>
      </c:barChart>
      <c:catAx>
        <c:axId val="30210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102784"/>
        <c:crosses val="autoZero"/>
        <c:auto val="1"/>
        <c:lblAlgn val="ctr"/>
        <c:lblOffset val="100"/>
        <c:noMultiLvlLbl val="0"/>
      </c:catAx>
      <c:valAx>
        <c:axId val="302102784"/>
        <c:scaling>
          <c:orientation val="minMax"/>
        </c:scaling>
        <c:delete val="1"/>
        <c:axPos val="b"/>
        <c:numFmt formatCode="_(* #,##0_);_(* \(#,##0\);_(* &quot;-&quot;_);_(@_)" sourceLinked="0"/>
        <c:majorTickMark val="out"/>
        <c:minorTickMark val="none"/>
        <c:tickLblPos val="nextTo"/>
        <c:crossAx val="302101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677943075751533E-2"/>
          <c:y val="3.1686225440646303E-2"/>
          <c:w val="0.92749717497971218"/>
          <c:h val="0.87799674889366675"/>
        </c:manualLayout>
      </c:layout>
      <c:areaChart>
        <c:grouping val="stacked"/>
        <c:varyColors val="0"/>
        <c:ser>
          <c:idx val="0"/>
          <c:order val="0"/>
          <c:tx>
            <c:strRef>
              <c:f>'Fanchart '!$AA$16</c:f>
              <c:strCache>
                <c:ptCount val="1"/>
                <c:pt idx="0">
                  <c:v>base</c:v>
                </c:pt>
              </c:strCache>
            </c:strRef>
          </c:tx>
          <c:spPr>
            <a:noFill/>
            <a:ln>
              <a:noFill/>
            </a:ln>
            <a:effectLst/>
          </c:spPr>
          <c:cat>
            <c:numRef>
              <c:f>'Fanchart '!$AD$14:$AL$14</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'Fanchart '!$AD$16:$AL$16</c:f>
              <c:numCache>
                <c:formatCode>_(* #,##0.00_);_(* \(#,##0.00\);_(* "-"??_);_(@_)</c:formatCode>
                <c:ptCount val="9"/>
                <c:pt idx="0">
                  <c:v>3.3220982448518122</c:v>
                </c:pt>
                <c:pt idx="1">
                  <c:v>3.8668564018079277</c:v>
                </c:pt>
                <c:pt idx="2">
                  <c:v>-1.5193281207126708</c:v>
                </c:pt>
                <c:pt idx="3">
                  <c:v>3.976774527881576</c:v>
                </c:pt>
                <c:pt idx="4">
                  <c:v>3.1870031292221235</c:v>
                </c:pt>
                <c:pt idx="5">
                  <c:v>2.1464411515035895</c:v>
                </c:pt>
                <c:pt idx="6">
                  <c:v>1.7431420179924932</c:v>
                </c:pt>
                <c:pt idx="7">
                  <c:v>1.5659139943419333</c:v>
                </c:pt>
                <c:pt idx="8">
                  <c:v>1.3512397941569292</c:v>
                </c:pt>
              </c:numCache>
            </c:numRef>
          </c:val>
          <c:extLst xmlns:c16r2="http://schemas.microsoft.com/office/drawing/2015/06/chart">
            <c:ext xmlns:c16="http://schemas.microsoft.com/office/drawing/2014/chart" uri="{C3380CC4-5D6E-409C-BE32-E72D297353CC}">
              <c16:uniqueId val="{00000000-FC91-4EDB-B1BE-A2A705AFBF1F}"/>
            </c:ext>
          </c:extLst>
        </c:ser>
        <c:ser>
          <c:idx val="1"/>
          <c:order val="1"/>
          <c:tx>
            <c:strRef>
              <c:f>'Fanchart '!$AA$17</c:f>
              <c:strCache>
                <c:ptCount val="1"/>
                <c:pt idx="0">
                  <c:v>5-10</c:v>
                </c:pt>
              </c:strCache>
            </c:strRef>
          </c:tx>
          <c:spPr>
            <a:solidFill>
              <a:srgbClr val="F2F7FC"/>
            </a:solidFill>
            <a:ln w="25400">
              <a:noFill/>
            </a:ln>
            <a:effectLst/>
          </c:spPr>
          <c:val>
            <c:numRef>
              <c:f>'Fanchart '!$AD$17:$AL$17</c:f>
              <c:numCache>
                <c:formatCode>_(* #,##0.00_);_(* \(#,##0.00\);_(* "-"??_);_(@_)</c:formatCode>
                <c:ptCount val="9"/>
                <c:pt idx="0">
                  <c:v>0</c:v>
                </c:pt>
                <c:pt idx="1">
                  <c:v>0</c:v>
                </c:pt>
                <c:pt idx="2">
                  <c:v>0</c:v>
                </c:pt>
                <c:pt idx="3">
                  <c:v>0.22600182606741503</c:v>
                </c:pt>
                <c:pt idx="4">
                  <c:v>0.27605036614402145</c:v>
                </c:pt>
                <c:pt idx="5">
                  <c:v>0.32662719805237828</c:v>
                </c:pt>
                <c:pt idx="6">
                  <c:v>0.3903941716989332</c:v>
                </c:pt>
                <c:pt idx="7">
                  <c:v>0.42765538831610117</c:v>
                </c:pt>
                <c:pt idx="8">
                  <c:v>0.49381390712938988</c:v>
                </c:pt>
              </c:numCache>
            </c:numRef>
          </c:val>
          <c:extLst xmlns:c16r2="http://schemas.microsoft.com/office/drawing/2015/06/chart">
            <c:ext xmlns:c16="http://schemas.microsoft.com/office/drawing/2014/chart" uri="{C3380CC4-5D6E-409C-BE32-E72D297353CC}">
              <c16:uniqueId val="{00000001-FC91-4EDB-B1BE-A2A705AFBF1F}"/>
            </c:ext>
          </c:extLst>
        </c:ser>
        <c:ser>
          <c:idx val="2"/>
          <c:order val="2"/>
          <c:tx>
            <c:strRef>
              <c:f>'Fanchart '!$AA$18</c:f>
              <c:strCache>
                <c:ptCount val="1"/>
                <c:pt idx="0">
                  <c:v>10-15</c:v>
                </c:pt>
              </c:strCache>
            </c:strRef>
          </c:tx>
          <c:spPr>
            <a:solidFill>
              <a:schemeClr val="accent1">
                <a:lumMod val="20000"/>
                <a:lumOff val="80000"/>
              </a:schemeClr>
            </a:solidFill>
            <a:ln w="25400">
              <a:solidFill>
                <a:schemeClr val="accent1">
                  <a:lumMod val="20000"/>
                  <a:lumOff val="80000"/>
                </a:schemeClr>
              </a:solidFill>
            </a:ln>
            <a:effectLst/>
          </c:spPr>
          <c:val>
            <c:numRef>
              <c:f>'Fanchart '!$AD$18:$AL$18</c:f>
              <c:numCache>
                <c:formatCode>_(* #,##0.00_);_(* \(#,##0.00\);_(* "-"??_);_(@_)</c:formatCode>
                <c:ptCount val="9"/>
                <c:pt idx="0">
                  <c:v>0</c:v>
                </c:pt>
                <c:pt idx="1">
                  <c:v>0</c:v>
                </c:pt>
                <c:pt idx="2">
                  <c:v>0</c:v>
                </c:pt>
                <c:pt idx="3">
                  <c:v>0.15248235910160801</c:v>
                </c:pt>
                <c:pt idx="4">
                  <c:v>0.18512985939171323</c:v>
                </c:pt>
                <c:pt idx="5">
                  <c:v>0.21904860367907775</c:v>
                </c:pt>
                <c:pt idx="6">
                  <c:v>0.2618131579519849</c:v>
                </c:pt>
                <c:pt idx="7">
                  <c:v>0.28680194492393074</c:v>
                </c:pt>
                <c:pt idx="8">
                  <c:v>0.33117036021187896</c:v>
                </c:pt>
              </c:numCache>
            </c:numRef>
          </c:val>
          <c:extLst xmlns:c16r2="http://schemas.microsoft.com/office/drawing/2015/06/chart">
            <c:ext xmlns:c16="http://schemas.microsoft.com/office/drawing/2014/chart" uri="{C3380CC4-5D6E-409C-BE32-E72D297353CC}">
              <c16:uniqueId val="{00000002-FC91-4EDB-B1BE-A2A705AFBF1F}"/>
            </c:ext>
          </c:extLst>
        </c:ser>
        <c:ser>
          <c:idx val="3"/>
          <c:order val="3"/>
          <c:tx>
            <c:strRef>
              <c:f>'Fanchart '!$AA$19</c:f>
              <c:strCache>
                <c:ptCount val="1"/>
                <c:pt idx="0">
                  <c:v>15-20</c:v>
                </c:pt>
              </c:strCache>
            </c:strRef>
          </c:tx>
          <c:spPr>
            <a:solidFill>
              <a:schemeClr val="accent1">
                <a:lumMod val="20000"/>
                <a:lumOff val="80000"/>
              </a:schemeClr>
            </a:solidFill>
            <a:ln w="25400">
              <a:solidFill>
                <a:schemeClr val="accent1">
                  <a:lumMod val="20000"/>
                  <a:lumOff val="80000"/>
                </a:schemeClr>
              </a:solidFill>
            </a:ln>
            <a:effectLst/>
          </c:spPr>
          <c:val>
            <c:numRef>
              <c:f>'Fanchart '!$AD$19:$AL$19</c:f>
              <c:numCache>
                <c:formatCode>_(* #,##0.00_);_(* \(#,##0.00\);_(* "-"??_);_(@_)</c:formatCode>
                <c:ptCount val="9"/>
                <c:pt idx="0">
                  <c:v>0</c:v>
                </c:pt>
                <c:pt idx="1">
                  <c:v>0</c:v>
                </c:pt>
                <c:pt idx="2">
                  <c:v>0</c:v>
                </c:pt>
                <c:pt idx="3">
                  <c:v>0.12118814522480736</c:v>
                </c:pt>
                <c:pt idx="4">
                  <c:v>0.14627596260223141</c:v>
                </c:pt>
                <c:pt idx="5">
                  <c:v>0.17307605302089923</c:v>
                </c:pt>
                <c:pt idx="6">
                  <c:v>0.2068654501612559</c:v>
                </c:pt>
                <c:pt idx="7">
                  <c:v>0.22660974684356061</c:v>
                </c:pt>
                <c:pt idx="8">
                  <c:v>0.26166639668224523</c:v>
                </c:pt>
              </c:numCache>
            </c:numRef>
          </c:val>
          <c:extLst xmlns:c16r2="http://schemas.microsoft.com/office/drawing/2015/06/chart">
            <c:ext xmlns:c16="http://schemas.microsoft.com/office/drawing/2014/chart" uri="{C3380CC4-5D6E-409C-BE32-E72D297353CC}">
              <c16:uniqueId val="{00000003-FC91-4EDB-B1BE-A2A705AFBF1F}"/>
            </c:ext>
          </c:extLst>
        </c:ser>
        <c:ser>
          <c:idx val="4"/>
          <c:order val="4"/>
          <c:tx>
            <c:strRef>
              <c:f>'Fanchart '!$AA$20</c:f>
              <c:strCache>
                <c:ptCount val="1"/>
                <c:pt idx="0">
                  <c:v>20-25</c:v>
                </c:pt>
              </c:strCache>
            </c:strRef>
          </c:tx>
          <c:spPr>
            <a:solidFill>
              <a:schemeClr val="accent1">
                <a:lumMod val="60000"/>
                <a:lumOff val="40000"/>
              </a:schemeClr>
            </a:solidFill>
            <a:ln w="25400">
              <a:solidFill>
                <a:schemeClr val="accent1">
                  <a:lumMod val="60000"/>
                  <a:lumOff val="40000"/>
                </a:schemeClr>
              </a:solidFill>
            </a:ln>
            <a:effectLst/>
          </c:spPr>
          <c:val>
            <c:numRef>
              <c:f>'Fanchart '!$AD$20:$AL$20</c:f>
              <c:numCache>
                <c:formatCode>_(* #,##0.00_);_(* \(#,##0.00\);_(* "-"??_);_(@_)</c:formatCode>
                <c:ptCount val="9"/>
                <c:pt idx="0">
                  <c:v>0</c:v>
                </c:pt>
                <c:pt idx="1">
                  <c:v>0</c:v>
                </c:pt>
                <c:pt idx="2">
                  <c:v>0</c:v>
                </c:pt>
                <c:pt idx="3">
                  <c:v>0.10396863780582333</c:v>
                </c:pt>
                <c:pt idx="4">
                  <c:v>0.12472710642318363</c:v>
                </c:pt>
                <c:pt idx="5">
                  <c:v>0.14757910254294204</c:v>
                </c:pt>
                <c:pt idx="6">
                  <c:v>0.17639076549921784</c:v>
                </c:pt>
                <c:pt idx="7">
                  <c:v>0.19322640239905153</c:v>
                </c:pt>
                <c:pt idx="8">
                  <c:v>0.22311863087927142</c:v>
                </c:pt>
              </c:numCache>
            </c:numRef>
          </c:val>
          <c:extLst xmlns:c16r2="http://schemas.microsoft.com/office/drawing/2015/06/chart">
            <c:ext xmlns:c16="http://schemas.microsoft.com/office/drawing/2014/chart" uri="{C3380CC4-5D6E-409C-BE32-E72D297353CC}">
              <c16:uniqueId val="{00000004-FC91-4EDB-B1BE-A2A705AFBF1F}"/>
            </c:ext>
          </c:extLst>
        </c:ser>
        <c:ser>
          <c:idx val="5"/>
          <c:order val="5"/>
          <c:tx>
            <c:strRef>
              <c:f>'Fanchart '!$AA$21</c:f>
              <c:strCache>
                <c:ptCount val="1"/>
                <c:pt idx="0">
                  <c:v>25-30</c:v>
                </c:pt>
              </c:strCache>
            </c:strRef>
          </c:tx>
          <c:spPr>
            <a:solidFill>
              <a:schemeClr val="accent1">
                <a:lumMod val="60000"/>
                <a:lumOff val="40000"/>
              </a:schemeClr>
            </a:solidFill>
            <a:ln w="25400">
              <a:solidFill>
                <a:schemeClr val="accent1">
                  <a:lumMod val="60000"/>
                  <a:lumOff val="40000"/>
                </a:schemeClr>
              </a:solidFill>
            </a:ln>
            <a:effectLst/>
          </c:spPr>
          <c:val>
            <c:numRef>
              <c:f>'Fanchart '!$AD$21:$AL$21</c:f>
              <c:numCache>
                <c:formatCode>_(* #,##0.00_);_(* \(#,##0.00\);_(* "-"??_);_(@_)</c:formatCode>
                <c:ptCount val="9"/>
                <c:pt idx="0">
                  <c:v>0</c:v>
                </c:pt>
                <c:pt idx="1">
                  <c:v>0</c:v>
                </c:pt>
                <c:pt idx="2">
                  <c:v>0</c:v>
                </c:pt>
                <c:pt idx="3">
                  <c:v>9.3367050035465304E-2</c:v>
                </c:pt>
                <c:pt idx="4">
                  <c:v>0.11127109888733422</c:v>
                </c:pt>
                <c:pt idx="5">
                  <c:v>0.13165773971412742</c:v>
                </c:pt>
                <c:pt idx="6">
                  <c:v>0.15736109714662616</c:v>
                </c:pt>
                <c:pt idx="7">
                  <c:v>0.17238044516193796</c:v>
                </c:pt>
                <c:pt idx="8">
                  <c:v>0.19904779283454443</c:v>
                </c:pt>
              </c:numCache>
            </c:numRef>
          </c:val>
          <c:extLst xmlns:c16r2="http://schemas.microsoft.com/office/drawing/2015/06/chart">
            <c:ext xmlns:c16="http://schemas.microsoft.com/office/drawing/2014/chart" uri="{C3380CC4-5D6E-409C-BE32-E72D297353CC}">
              <c16:uniqueId val="{00000005-FC91-4EDB-B1BE-A2A705AFBF1F}"/>
            </c:ext>
          </c:extLst>
        </c:ser>
        <c:ser>
          <c:idx val="6"/>
          <c:order val="6"/>
          <c:tx>
            <c:strRef>
              <c:f>'Fanchart '!$AA$22</c:f>
              <c:strCache>
                <c:ptCount val="1"/>
                <c:pt idx="0">
                  <c:v>30-35</c:v>
                </c:pt>
              </c:strCache>
            </c:strRef>
          </c:tx>
          <c:spPr>
            <a:solidFill>
              <a:schemeClr val="accent1">
                <a:lumMod val="75000"/>
              </a:schemeClr>
            </a:solidFill>
            <a:ln w="25400">
              <a:solidFill>
                <a:schemeClr val="accent1">
                  <a:lumMod val="75000"/>
                </a:schemeClr>
              </a:solidFill>
            </a:ln>
            <a:effectLst/>
          </c:spPr>
          <c:val>
            <c:numRef>
              <c:f>'Fanchart '!$AD$22:$AL$22</c:f>
              <c:numCache>
                <c:formatCode>_(* #,##0.00_);_(* \(#,##0.00\);_(* "-"??_);_(@_)</c:formatCode>
                <c:ptCount val="9"/>
                <c:pt idx="0">
                  <c:v>0</c:v>
                </c:pt>
                <c:pt idx="1">
                  <c:v>0</c:v>
                </c:pt>
                <c:pt idx="2">
                  <c:v>0</c:v>
                </c:pt>
                <c:pt idx="3">
                  <c:v>8.6518486329879352E-2</c:v>
                </c:pt>
                <c:pt idx="4">
                  <c:v>0.1023576350574471</c:v>
                </c:pt>
                <c:pt idx="5">
                  <c:v>0.12111118708185042</c:v>
                </c:pt>
                <c:pt idx="6">
                  <c:v>0.14475555571067789</c:v>
                </c:pt>
                <c:pt idx="7">
                  <c:v>0.15857176637386816</c:v>
                </c:pt>
                <c:pt idx="8">
                  <c:v>0.18310290400365448</c:v>
                </c:pt>
              </c:numCache>
            </c:numRef>
          </c:val>
          <c:extLst xmlns:c16r2="http://schemas.microsoft.com/office/drawing/2015/06/chart">
            <c:ext xmlns:c16="http://schemas.microsoft.com/office/drawing/2014/chart" uri="{C3380CC4-5D6E-409C-BE32-E72D297353CC}">
              <c16:uniqueId val="{00000006-FC91-4EDB-B1BE-A2A705AFBF1F}"/>
            </c:ext>
          </c:extLst>
        </c:ser>
        <c:ser>
          <c:idx val="7"/>
          <c:order val="7"/>
          <c:tx>
            <c:strRef>
              <c:f>'Fanchart '!$AA$23</c:f>
              <c:strCache>
                <c:ptCount val="1"/>
                <c:pt idx="0">
                  <c:v>35-40</c:v>
                </c:pt>
              </c:strCache>
            </c:strRef>
          </c:tx>
          <c:spPr>
            <a:solidFill>
              <a:schemeClr val="accent1">
                <a:lumMod val="75000"/>
              </a:schemeClr>
            </a:solidFill>
            <a:ln w="25400">
              <a:solidFill>
                <a:schemeClr val="accent1">
                  <a:lumMod val="75000"/>
                </a:schemeClr>
              </a:solidFill>
            </a:ln>
            <a:effectLst/>
          </c:spPr>
          <c:val>
            <c:numRef>
              <c:f>'Fanchart '!$AD$23:$AL$23</c:f>
              <c:numCache>
                <c:formatCode>_(* #,##0.00_);_(* \(#,##0.00\);_(* "-"??_);_(@_)</c:formatCode>
                <c:ptCount val="9"/>
                <c:pt idx="0">
                  <c:v>0</c:v>
                </c:pt>
                <c:pt idx="1">
                  <c:v>0</c:v>
                </c:pt>
                <c:pt idx="2">
                  <c:v>0</c:v>
                </c:pt>
                <c:pt idx="3">
                  <c:v>8.2097582865831242E-2</c:v>
                </c:pt>
                <c:pt idx="4">
                  <c:v>9.6328768466552361E-2</c:v>
                </c:pt>
                <c:pt idx="5">
                  <c:v>0.11397773593117044</c:v>
                </c:pt>
                <c:pt idx="6">
                  <c:v>0.13622945081209537</c:v>
                </c:pt>
                <c:pt idx="7">
                  <c:v>0.14923188641265028</c:v>
                </c:pt>
                <c:pt idx="8">
                  <c:v>0.17231813958403874</c:v>
                </c:pt>
              </c:numCache>
            </c:numRef>
          </c:val>
          <c:extLst xmlns:c16r2="http://schemas.microsoft.com/office/drawing/2015/06/chart">
            <c:ext xmlns:c16="http://schemas.microsoft.com/office/drawing/2014/chart" uri="{C3380CC4-5D6E-409C-BE32-E72D297353CC}">
              <c16:uniqueId val="{00000007-FC91-4EDB-B1BE-A2A705AFBF1F}"/>
            </c:ext>
          </c:extLst>
        </c:ser>
        <c:ser>
          <c:idx val="8"/>
          <c:order val="8"/>
          <c:tx>
            <c:strRef>
              <c:f>'Fanchart '!$AA$24</c:f>
              <c:strCache>
                <c:ptCount val="1"/>
                <c:pt idx="0">
                  <c:v>40-45</c:v>
                </c:pt>
              </c:strCache>
            </c:strRef>
          </c:tx>
          <c:spPr>
            <a:solidFill>
              <a:srgbClr val="002060"/>
            </a:solidFill>
            <a:ln w="25400">
              <a:solidFill>
                <a:srgbClr val="002060"/>
              </a:solidFill>
            </a:ln>
            <a:effectLst/>
          </c:spPr>
          <c:val>
            <c:numRef>
              <c:f>'Fanchart '!$AD$24:$AL$24</c:f>
              <c:numCache>
                <c:formatCode>_(* #,##0.00_);_(* \(#,##0.00\);_(* "-"??_);_(@_)</c:formatCode>
                <c:ptCount val="9"/>
                <c:pt idx="0">
                  <c:v>0</c:v>
                </c:pt>
                <c:pt idx="1">
                  <c:v>0</c:v>
                </c:pt>
                <c:pt idx="2">
                  <c:v>0</c:v>
                </c:pt>
                <c:pt idx="3">
                  <c:v>7.943036153027716E-2</c:v>
                </c:pt>
                <c:pt idx="4">
                  <c:v>9.2319894129769153E-2</c:v>
                </c:pt>
                <c:pt idx="5">
                  <c:v>0.10923437184780571</c:v>
                </c:pt>
                <c:pt idx="6">
                  <c:v>0.1305600463551686</c:v>
                </c:pt>
                <c:pt idx="7">
                  <c:v>0.14302136499529228</c:v>
                </c:pt>
                <c:pt idx="8">
                  <c:v>0.16514684715979921</c:v>
                </c:pt>
              </c:numCache>
            </c:numRef>
          </c:val>
          <c:extLst xmlns:c16r2="http://schemas.microsoft.com/office/drawing/2015/06/chart">
            <c:ext xmlns:c16="http://schemas.microsoft.com/office/drawing/2014/chart" uri="{C3380CC4-5D6E-409C-BE32-E72D297353CC}">
              <c16:uniqueId val="{00000008-FC91-4EDB-B1BE-A2A705AFBF1F}"/>
            </c:ext>
          </c:extLst>
        </c:ser>
        <c:ser>
          <c:idx val="9"/>
          <c:order val="9"/>
          <c:tx>
            <c:strRef>
              <c:f>'Fanchart '!$AA$25</c:f>
              <c:strCache>
                <c:ptCount val="1"/>
                <c:pt idx="0">
                  <c:v>45-50</c:v>
                </c:pt>
              </c:strCache>
            </c:strRef>
          </c:tx>
          <c:spPr>
            <a:solidFill>
              <a:srgbClr val="002060"/>
            </a:solidFill>
            <a:ln w="25400">
              <a:solidFill>
                <a:srgbClr val="002060"/>
              </a:solidFill>
            </a:ln>
            <a:effectLst/>
          </c:spPr>
          <c:val>
            <c:numRef>
              <c:f>'Fanchart '!$AD$25:$AL$25</c:f>
              <c:numCache>
                <c:formatCode>_(* #,##0.00_);_(* \(#,##0.00\);_(* "-"??_);_(@_)</c:formatCode>
                <c:ptCount val="9"/>
                <c:pt idx="0">
                  <c:v>0</c:v>
                </c:pt>
                <c:pt idx="1">
                  <c:v>0</c:v>
                </c:pt>
                <c:pt idx="2">
                  <c:v>0</c:v>
                </c:pt>
                <c:pt idx="3">
                  <c:v>7.8171023157317165E-2</c:v>
                </c:pt>
                <c:pt idx="4">
                  <c:v>8.9760191314288917E-2</c:v>
                </c:pt>
                <c:pt idx="5">
                  <c:v>0.10620569063232388</c:v>
                </c:pt>
                <c:pt idx="6">
                  <c:v>0.12694007991787171</c:v>
                </c:pt>
                <c:pt idx="7">
                  <c:v>0.13905589044505318</c:v>
                </c:pt>
                <c:pt idx="8">
                  <c:v>0.16056791156170913</c:v>
                </c:pt>
              </c:numCache>
            </c:numRef>
          </c:val>
          <c:extLst xmlns:c16r2="http://schemas.microsoft.com/office/drawing/2015/06/chart">
            <c:ext xmlns:c16="http://schemas.microsoft.com/office/drawing/2014/chart" uri="{C3380CC4-5D6E-409C-BE32-E72D297353CC}">
              <c16:uniqueId val="{00000009-FC91-4EDB-B1BE-A2A705AFBF1F}"/>
            </c:ext>
          </c:extLst>
        </c:ser>
        <c:ser>
          <c:idx val="10"/>
          <c:order val="10"/>
          <c:tx>
            <c:strRef>
              <c:f>'Fanchart '!$AA$26</c:f>
              <c:strCache>
                <c:ptCount val="1"/>
                <c:pt idx="0">
                  <c:v>50-55</c:v>
                </c:pt>
              </c:strCache>
            </c:strRef>
          </c:tx>
          <c:spPr>
            <a:solidFill>
              <a:srgbClr val="002060"/>
            </a:solidFill>
            <a:ln>
              <a:solidFill>
                <a:srgbClr val="002060"/>
              </a:solidFill>
            </a:ln>
            <a:effectLst/>
          </c:spPr>
          <c:val>
            <c:numRef>
              <c:f>'Fanchart '!$AD$26:$AL$26</c:f>
              <c:numCache>
                <c:formatCode>_(* #,##0.00_);_(* \(#,##0.00\);_(* "-"??_);_(@_)</c:formatCode>
                <c:ptCount val="9"/>
                <c:pt idx="0">
                  <c:v>0</c:v>
                </c:pt>
                <c:pt idx="1">
                  <c:v>0</c:v>
                </c:pt>
                <c:pt idx="2">
                  <c:v>0</c:v>
                </c:pt>
                <c:pt idx="3">
                  <c:v>7.8171023157317165E-2</c:v>
                </c:pt>
                <c:pt idx="4">
                  <c:v>8.8775988361335045E-2</c:v>
                </c:pt>
                <c:pt idx="5">
                  <c:v>0.10504116599383551</c:v>
                </c:pt>
                <c:pt idx="6">
                  <c:v>0.12554820675367573</c:v>
                </c:pt>
                <c:pt idx="7">
                  <c:v>0.13753116978662039</c:v>
                </c:pt>
                <c:pt idx="8">
                  <c:v>0.15880731579653995</c:v>
                </c:pt>
              </c:numCache>
            </c:numRef>
          </c:val>
          <c:extLst xmlns:c16r2="http://schemas.microsoft.com/office/drawing/2015/06/chart">
            <c:ext xmlns:c16="http://schemas.microsoft.com/office/drawing/2014/chart" uri="{C3380CC4-5D6E-409C-BE32-E72D297353CC}">
              <c16:uniqueId val="{0000000A-FC91-4EDB-B1BE-A2A705AFBF1F}"/>
            </c:ext>
          </c:extLst>
        </c:ser>
        <c:ser>
          <c:idx val="11"/>
          <c:order val="11"/>
          <c:tx>
            <c:strRef>
              <c:f>'Fanchart '!$AA$27</c:f>
              <c:strCache>
                <c:ptCount val="1"/>
                <c:pt idx="0">
                  <c:v>55-60</c:v>
                </c:pt>
              </c:strCache>
            </c:strRef>
          </c:tx>
          <c:spPr>
            <a:solidFill>
              <a:srgbClr val="002060"/>
            </a:solidFill>
            <a:ln>
              <a:solidFill>
                <a:srgbClr val="002060"/>
              </a:solidFill>
            </a:ln>
            <a:effectLst/>
          </c:spPr>
          <c:val>
            <c:numRef>
              <c:f>'Fanchart '!$AD$27:$AL$27</c:f>
              <c:numCache>
                <c:formatCode>_(* #,##0.00_);_(* \(#,##0.00\);_(* "-"??_);_(@_)</c:formatCode>
                <c:ptCount val="9"/>
                <c:pt idx="0">
                  <c:v>0</c:v>
                </c:pt>
                <c:pt idx="1">
                  <c:v>0</c:v>
                </c:pt>
                <c:pt idx="2">
                  <c:v>0</c:v>
                </c:pt>
                <c:pt idx="3">
                  <c:v>7.943036153027716E-2</c:v>
                </c:pt>
                <c:pt idx="4">
                  <c:v>8.8775988361334157E-2</c:v>
                </c:pt>
                <c:pt idx="5">
                  <c:v>0.10504116599383551</c:v>
                </c:pt>
                <c:pt idx="6">
                  <c:v>0.12554820675367484</c:v>
                </c:pt>
                <c:pt idx="7">
                  <c:v>0.13753116978662083</c:v>
                </c:pt>
                <c:pt idx="8">
                  <c:v>0.15880731579653862</c:v>
                </c:pt>
              </c:numCache>
            </c:numRef>
          </c:val>
          <c:extLst xmlns:c16r2="http://schemas.microsoft.com/office/drawing/2015/06/chart">
            <c:ext xmlns:c16="http://schemas.microsoft.com/office/drawing/2014/chart" uri="{C3380CC4-5D6E-409C-BE32-E72D297353CC}">
              <c16:uniqueId val="{0000000B-FC91-4EDB-B1BE-A2A705AFBF1F}"/>
            </c:ext>
          </c:extLst>
        </c:ser>
        <c:ser>
          <c:idx val="12"/>
          <c:order val="12"/>
          <c:tx>
            <c:strRef>
              <c:f>'Fanchart '!$AA$28</c:f>
              <c:strCache>
                <c:ptCount val="1"/>
                <c:pt idx="0">
                  <c:v>60-65</c:v>
                </c:pt>
              </c:strCache>
            </c:strRef>
          </c:tx>
          <c:spPr>
            <a:solidFill>
              <a:schemeClr val="accent1">
                <a:lumMod val="75000"/>
              </a:schemeClr>
            </a:solidFill>
            <a:ln>
              <a:solidFill>
                <a:schemeClr val="accent1">
                  <a:lumMod val="75000"/>
                </a:schemeClr>
              </a:solidFill>
            </a:ln>
            <a:effectLst/>
          </c:spPr>
          <c:val>
            <c:numRef>
              <c:f>'Fanchart '!$AD$28:$AL$28</c:f>
              <c:numCache>
                <c:formatCode>_(* #,##0.00_);_(* \(#,##0.00\);_(* "-"??_);_(@_)</c:formatCode>
                <c:ptCount val="9"/>
                <c:pt idx="0">
                  <c:v>0</c:v>
                </c:pt>
                <c:pt idx="1">
                  <c:v>0</c:v>
                </c:pt>
                <c:pt idx="2">
                  <c:v>0</c:v>
                </c:pt>
                <c:pt idx="3">
                  <c:v>8.2097582865830354E-2</c:v>
                </c:pt>
                <c:pt idx="4">
                  <c:v>9.0552361713897689E-2</c:v>
                </c:pt>
                <c:pt idx="5">
                  <c:v>0.10714299928950322</c:v>
                </c:pt>
                <c:pt idx="6">
                  <c:v>0.12806037804070813</c:v>
                </c:pt>
                <c:pt idx="7">
                  <c:v>0.14028311555107065</c:v>
                </c:pt>
                <c:pt idx="8">
                  <c:v>0.16198498905233949</c:v>
                </c:pt>
              </c:numCache>
            </c:numRef>
          </c:val>
          <c:extLst xmlns:c16r2="http://schemas.microsoft.com/office/drawing/2015/06/chart">
            <c:ext xmlns:c16="http://schemas.microsoft.com/office/drawing/2014/chart" uri="{C3380CC4-5D6E-409C-BE32-E72D297353CC}">
              <c16:uniqueId val="{0000000C-FC91-4EDB-B1BE-A2A705AFBF1F}"/>
            </c:ext>
          </c:extLst>
        </c:ser>
        <c:ser>
          <c:idx val="13"/>
          <c:order val="13"/>
          <c:tx>
            <c:strRef>
              <c:f>'Fanchart '!$AA$29</c:f>
              <c:strCache>
                <c:ptCount val="1"/>
                <c:pt idx="0">
                  <c:v>65-70</c:v>
                </c:pt>
              </c:strCache>
            </c:strRef>
          </c:tx>
          <c:spPr>
            <a:solidFill>
              <a:schemeClr val="accent1">
                <a:lumMod val="75000"/>
              </a:schemeClr>
            </a:solidFill>
            <a:ln>
              <a:solidFill>
                <a:schemeClr val="accent1">
                  <a:lumMod val="75000"/>
                </a:schemeClr>
              </a:solidFill>
            </a:ln>
            <a:effectLst/>
          </c:spPr>
          <c:val>
            <c:numRef>
              <c:f>'Fanchart '!$AD$29:$AL$29</c:f>
              <c:numCache>
                <c:formatCode>_(* #,##0.00_);_(* \(#,##0.00\);_(* "-"??_);_(@_)</c:formatCode>
                <c:ptCount val="9"/>
                <c:pt idx="0">
                  <c:v>0</c:v>
                </c:pt>
                <c:pt idx="1">
                  <c:v>0</c:v>
                </c:pt>
                <c:pt idx="2">
                  <c:v>0</c:v>
                </c:pt>
                <c:pt idx="3">
                  <c:v>8.651848632988024E-2</c:v>
                </c:pt>
                <c:pt idx="4">
                  <c:v>9.4368306615027819E-2</c:v>
                </c:pt>
                <c:pt idx="5">
                  <c:v>0.11165808618610118</c:v>
                </c:pt>
                <c:pt idx="6">
                  <c:v>0.13345693907315459</c:v>
                </c:pt>
                <c:pt idx="7">
                  <c:v>0.146194751971918</c:v>
                </c:pt>
                <c:pt idx="8">
                  <c:v>0.16881115881019593</c:v>
                </c:pt>
              </c:numCache>
            </c:numRef>
          </c:val>
          <c:extLst xmlns:c16r2="http://schemas.microsoft.com/office/drawing/2015/06/chart">
            <c:ext xmlns:c16="http://schemas.microsoft.com/office/drawing/2014/chart" uri="{C3380CC4-5D6E-409C-BE32-E72D297353CC}">
              <c16:uniqueId val="{0000000D-FC91-4EDB-B1BE-A2A705AFBF1F}"/>
            </c:ext>
          </c:extLst>
        </c:ser>
        <c:ser>
          <c:idx val="14"/>
          <c:order val="14"/>
          <c:tx>
            <c:strRef>
              <c:f>'Fanchart '!$AA$30</c:f>
              <c:strCache>
                <c:ptCount val="1"/>
                <c:pt idx="0">
                  <c:v>70-75</c:v>
                </c:pt>
              </c:strCache>
            </c:strRef>
          </c:tx>
          <c:spPr>
            <a:solidFill>
              <a:schemeClr val="accent1">
                <a:lumMod val="60000"/>
                <a:lumOff val="40000"/>
              </a:schemeClr>
            </a:solidFill>
            <a:ln>
              <a:solidFill>
                <a:schemeClr val="accent1">
                  <a:lumMod val="60000"/>
                  <a:lumOff val="40000"/>
                </a:schemeClr>
              </a:solidFill>
            </a:ln>
            <a:effectLst/>
          </c:spPr>
          <c:val>
            <c:numRef>
              <c:f>'Fanchart '!$AD$30:$AL$30</c:f>
              <c:numCache>
                <c:formatCode>_(* #,##0.00_);_(* \(#,##0.00\);_(* "-"??_);_(@_)</c:formatCode>
                <c:ptCount val="9"/>
                <c:pt idx="0">
                  <c:v>0</c:v>
                </c:pt>
                <c:pt idx="1">
                  <c:v>0</c:v>
                </c:pt>
                <c:pt idx="2">
                  <c:v>0</c:v>
                </c:pt>
                <c:pt idx="3">
                  <c:v>9.3367050035465304E-2</c:v>
                </c:pt>
                <c:pt idx="4">
                  <c:v>0.10086070571064987</c:v>
                </c:pt>
                <c:pt idx="5">
                  <c:v>0.11933999639278792</c:v>
                </c:pt>
                <c:pt idx="6">
                  <c:v>0.14263857792652246</c:v>
                </c:pt>
                <c:pt idx="7">
                  <c:v>0.15625273340163126</c:v>
                </c:pt>
                <c:pt idx="8">
                  <c:v>0.18042511538209194</c:v>
                </c:pt>
              </c:numCache>
            </c:numRef>
          </c:val>
          <c:extLst xmlns:c16r2="http://schemas.microsoft.com/office/drawing/2015/06/chart">
            <c:ext xmlns:c16="http://schemas.microsoft.com/office/drawing/2014/chart" uri="{C3380CC4-5D6E-409C-BE32-E72D297353CC}">
              <c16:uniqueId val="{0000000E-FC91-4EDB-B1BE-A2A705AFBF1F}"/>
            </c:ext>
          </c:extLst>
        </c:ser>
        <c:ser>
          <c:idx val="15"/>
          <c:order val="15"/>
          <c:tx>
            <c:strRef>
              <c:f>'Fanchart '!$AA$31</c:f>
              <c:strCache>
                <c:ptCount val="1"/>
                <c:pt idx="0">
                  <c:v>75-80</c:v>
                </c:pt>
              </c:strCache>
            </c:strRef>
          </c:tx>
          <c:spPr>
            <a:solidFill>
              <a:schemeClr val="accent1">
                <a:lumMod val="60000"/>
                <a:lumOff val="40000"/>
              </a:schemeClr>
            </a:solidFill>
            <a:ln>
              <a:solidFill>
                <a:schemeClr val="accent1">
                  <a:lumMod val="60000"/>
                  <a:lumOff val="40000"/>
                </a:schemeClr>
              </a:solidFill>
            </a:ln>
            <a:effectLst/>
          </c:spPr>
          <c:val>
            <c:numRef>
              <c:f>'Fanchart '!$AD$31:$AL$31</c:f>
              <c:numCache>
                <c:formatCode>_(* #,##0.00_);_(* \(#,##0.00\);_(* "-"??_);_(@_)</c:formatCode>
                <c:ptCount val="9"/>
                <c:pt idx="0">
                  <c:v>0</c:v>
                </c:pt>
                <c:pt idx="1">
                  <c:v>0</c:v>
                </c:pt>
                <c:pt idx="2">
                  <c:v>0</c:v>
                </c:pt>
                <c:pt idx="3">
                  <c:v>0.10396863780582333</c:v>
                </c:pt>
                <c:pt idx="4">
                  <c:v>0.11136141125560961</c:v>
                </c:pt>
                <c:pt idx="5">
                  <c:v>0.13176459874935098</c:v>
                </c:pt>
                <c:pt idx="6">
                  <c:v>0.15748881812269122</c:v>
                </c:pt>
                <c:pt idx="7">
                  <c:v>0.17252035648125119</c:v>
                </c:pt>
                <c:pt idx="8">
                  <c:v>0.19920934851028349</c:v>
                </c:pt>
              </c:numCache>
            </c:numRef>
          </c:val>
          <c:extLst xmlns:c16r2="http://schemas.microsoft.com/office/drawing/2015/06/chart">
            <c:ext xmlns:c16="http://schemas.microsoft.com/office/drawing/2014/chart" uri="{C3380CC4-5D6E-409C-BE32-E72D297353CC}">
              <c16:uniqueId val="{0000000F-FC91-4EDB-B1BE-A2A705AFBF1F}"/>
            </c:ext>
          </c:extLst>
        </c:ser>
        <c:ser>
          <c:idx val="16"/>
          <c:order val="16"/>
          <c:tx>
            <c:strRef>
              <c:f>'Fanchart '!$AA$32</c:f>
              <c:strCache>
                <c:ptCount val="1"/>
                <c:pt idx="0">
                  <c:v>80-85</c:v>
                </c:pt>
              </c:strCache>
            </c:strRef>
          </c:tx>
          <c:spPr>
            <a:solidFill>
              <a:schemeClr val="accent1">
                <a:lumMod val="20000"/>
                <a:lumOff val="80000"/>
              </a:schemeClr>
            </a:solidFill>
            <a:ln>
              <a:solidFill>
                <a:schemeClr val="accent1">
                  <a:lumMod val="20000"/>
                  <a:lumOff val="80000"/>
                </a:schemeClr>
              </a:solidFill>
            </a:ln>
            <a:effectLst/>
          </c:spPr>
          <c:val>
            <c:numRef>
              <c:f>'Fanchart '!$AD$32:$AL$32</c:f>
              <c:numCache>
                <c:formatCode>_(* #,##0.00_);_(* \(#,##0.00\);_(* "-"??_);_(@_)</c:formatCode>
                <c:ptCount val="9"/>
                <c:pt idx="0">
                  <c:v>0</c:v>
                </c:pt>
                <c:pt idx="1">
                  <c:v>0</c:v>
                </c:pt>
                <c:pt idx="2">
                  <c:v>0</c:v>
                </c:pt>
                <c:pt idx="3">
                  <c:v>0.12118814522480559</c:v>
                </c:pt>
                <c:pt idx="4">
                  <c:v>0.12880903367120844</c:v>
                </c:pt>
                <c:pt idx="5">
                  <c:v>0.15240890399656593</c:v>
                </c:pt>
                <c:pt idx="6">
                  <c:v>0.18216348237399504</c:v>
                </c:pt>
                <c:pt idx="7">
                  <c:v>0.19955009689986447</c:v>
                </c:pt>
                <c:pt idx="8">
                  <c:v>0.23042060432390343</c:v>
                </c:pt>
              </c:numCache>
            </c:numRef>
          </c:val>
          <c:extLst xmlns:c16r2="http://schemas.microsoft.com/office/drawing/2015/06/chart">
            <c:ext xmlns:c16="http://schemas.microsoft.com/office/drawing/2014/chart" uri="{C3380CC4-5D6E-409C-BE32-E72D297353CC}">
              <c16:uniqueId val="{00000010-FC91-4EDB-B1BE-A2A705AFBF1F}"/>
            </c:ext>
          </c:extLst>
        </c:ser>
        <c:ser>
          <c:idx val="17"/>
          <c:order val="17"/>
          <c:tx>
            <c:strRef>
              <c:f>'Fanchart '!$AA$33</c:f>
              <c:strCache>
                <c:ptCount val="1"/>
                <c:pt idx="0">
                  <c:v>85-90</c:v>
                </c:pt>
              </c:strCache>
            </c:strRef>
          </c:tx>
          <c:spPr>
            <a:solidFill>
              <a:schemeClr val="accent1">
                <a:lumMod val="20000"/>
                <a:lumOff val="80000"/>
              </a:schemeClr>
            </a:solidFill>
            <a:ln>
              <a:solidFill>
                <a:schemeClr val="accent1">
                  <a:lumMod val="20000"/>
                  <a:lumOff val="80000"/>
                </a:schemeClr>
              </a:solidFill>
            </a:ln>
            <a:effectLst/>
          </c:spPr>
          <c:val>
            <c:numRef>
              <c:f>'Fanchart '!$AD$33:$AL$33</c:f>
              <c:numCache>
                <c:formatCode>_(* #,##0.00_);_(* \(#,##0.00\);_(* "-"??_);_(@_)</c:formatCode>
                <c:ptCount val="9"/>
                <c:pt idx="0">
                  <c:v>0</c:v>
                </c:pt>
                <c:pt idx="1">
                  <c:v>0</c:v>
                </c:pt>
                <c:pt idx="2">
                  <c:v>0</c:v>
                </c:pt>
                <c:pt idx="3">
                  <c:v>0.15248235910160979</c:v>
                </c:pt>
                <c:pt idx="4">
                  <c:v>0.16090258119702217</c:v>
                </c:pt>
                <c:pt idx="5">
                  <c:v>0.19038250153365066</c:v>
                </c:pt>
                <c:pt idx="6">
                  <c:v>0.2275506125496678</c:v>
                </c:pt>
                <c:pt idx="7">
                  <c:v>0.24926920693514187</c:v>
                </c:pt>
                <c:pt idx="8">
                  <c:v>0.2878312874493778</c:v>
                </c:pt>
              </c:numCache>
            </c:numRef>
          </c:val>
          <c:extLst xmlns:c16r2="http://schemas.microsoft.com/office/drawing/2015/06/chart">
            <c:ext xmlns:c16="http://schemas.microsoft.com/office/drawing/2014/chart" uri="{C3380CC4-5D6E-409C-BE32-E72D297353CC}">
              <c16:uniqueId val="{00000011-FC91-4EDB-B1BE-A2A705AFBF1F}"/>
            </c:ext>
          </c:extLst>
        </c:ser>
        <c:ser>
          <c:idx val="18"/>
          <c:order val="18"/>
          <c:tx>
            <c:strRef>
              <c:f>'Fanchart '!$AA$34</c:f>
              <c:strCache>
                <c:ptCount val="1"/>
                <c:pt idx="0">
                  <c:v>90-95</c:v>
                </c:pt>
              </c:strCache>
            </c:strRef>
          </c:tx>
          <c:spPr>
            <a:solidFill>
              <a:srgbClr val="F5F9FD"/>
            </a:solidFill>
            <a:ln>
              <a:solidFill>
                <a:srgbClr val="F5F9FD"/>
              </a:solidFill>
            </a:ln>
            <a:effectLst/>
          </c:spPr>
          <c:val>
            <c:numRef>
              <c:f>'Fanchart '!$AD$34:$AL$34</c:f>
              <c:numCache>
                <c:formatCode>_(* #,##0.00_);_(* \(#,##0.00\);_(* "-"??_);_(@_)</c:formatCode>
                <c:ptCount val="9"/>
                <c:pt idx="0">
                  <c:v>0</c:v>
                </c:pt>
                <c:pt idx="1">
                  <c:v>0</c:v>
                </c:pt>
                <c:pt idx="2">
                  <c:v>0</c:v>
                </c:pt>
                <c:pt idx="3">
                  <c:v>0.22600182606741459</c:v>
                </c:pt>
                <c:pt idx="4">
                  <c:v>0.23674719836648972</c:v>
                </c:pt>
                <c:pt idx="5">
                  <c:v>0.28012306279229104</c:v>
                </c:pt>
                <c:pt idx="6">
                  <c:v>0.33481109878372273</c:v>
                </c:pt>
                <c:pt idx="7">
                  <c:v>0.3667671826138692</c:v>
                </c:pt>
                <c:pt idx="8">
                  <c:v>0.42350626322407869</c:v>
                </c:pt>
              </c:numCache>
            </c:numRef>
          </c:val>
          <c:extLst xmlns:c16r2="http://schemas.microsoft.com/office/drawing/2015/06/chart">
            <c:ext xmlns:c16="http://schemas.microsoft.com/office/drawing/2014/chart" uri="{C3380CC4-5D6E-409C-BE32-E72D297353CC}">
              <c16:uniqueId val="{00000012-FC91-4EDB-B1BE-A2A705AFBF1F}"/>
            </c:ext>
          </c:extLst>
        </c:ser>
        <c:dLbls>
          <c:showLegendKey val="0"/>
          <c:showVal val="0"/>
          <c:showCatName val="0"/>
          <c:showSerName val="0"/>
          <c:showPercent val="0"/>
          <c:showBubbleSize val="0"/>
        </c:dLbls>
        <c:axId val="247983104"/>
        <c:axId val="248185600"/>
      </c:areaChart>
      <c:lineChart>
        <c:grouping val="standard"/>
        <c:varyColors val="0"/>
        <c:ser>
          <c:idx val="19"/>
          <c:order val="19"/>
          <c:tx>
            <c:strRef>
              <c:f>'Fanchart '!$AA$35</c:f>
              <c:strCache>
                <c:ptCount val="1"/>
                <c:pt idx="0">
                  <c:v>Escenario base</c:v>
                </c:pt>
              </c:strCache>
            </c:strRef>
          </c:tx>
          <c:spPr>
            <a:ln w="28575" cap="rnd">
              <a:solidFill>
                <a:schemeClr val="tx1"/>
              </a:solidFill>
              <a:round/>
            </a:ln>
            <a:effectLst/>
          </c:spPr>
          <c:marker>
            <c:symbol val="none"/>
          </c:marker>
          <c:val>
            <c:numRef>
              <c:f>'Fanchart '!$AD$35:$AL$35</c:f>
              <c:numCache>
                <c:formatCode>_-* #,##0.0_-;\-* #,##0.0_-;_-* "-"??_-;_-@_-</c:formatCode>
                <c:ptCount val="9"/>
                <c:pt idx="0">
                  <c:v>3.3220982448518122</c:v>
                </c:pt>
                <c:pt idx="1">
                  <c:v>3.8668564018079277</c:v>
                </c:pt>
                <c:pt idx="2">
                  <c:v>-1.5193281207126708</c:v>
                </c:pt>
                <c:pt idx="3" formatCode="_(* #,##0.00_);_(* \(#,##0.00\);_(* &quot;-&quot;??_);_(@_)">
                  <c:v>5</c:v>
                </c:pt>
                <c:pt idx="4" formatCode="_(* #,##0.00_);_(* \(#,##0.00\);_(* &quot;-&quot;??_);_(@_)">
                  <c:v>4.5</c:v>
                </c:pt>
                <c:pt idx="5" formatCode="_(* #,##0.00_);_(* \(#,##0.00\);_(* &quot;-&quot;??_);_(@_)">
                  <c:v>3.7</c:v>
                </c:pt>
                <c:pt idx="6" formatCode="_(* #,##0.00_);_(* \(#,##0.00\);_(* &quot;-&quot;??_);_(@_)">
                  <c:v>3.6</c:v>
                </c:pt>
                <c:pt idx="7" formatCode="_(* #,##0.00_);_(* \(#,##0.00\);_(* &quot;-&quot;??_);_(@_)">
                  <c:v>3.6</c:v>
                </c:pt>
                <c:pt idx="8" formatCode="_(* #,##0.00_);_(* \(#,##0.00\);_(* &quot;-&quot;??_);_(@_)">
                  <c:v>3.7</c:v>
                </c:pt>
              </c:numCache>
            </c:numRef>
          </c:val>
          <c:smooth val="0"/>
          <c:extLst xmlns:c16r2="http://schemas.microsoft.com/office/drawing/2015/06/chart">
            <c:ext xmlns:c16="http://schemas.microsoft.com/office/drawing/2014/chart" uri="{C3380CC4-5D6E-409C-BE32-E72D297353CC}">
              <c16:uniqueId val="{00000013-FC91-4EDB-B1BE-A2A705AFBF1F}"/>
            </c:ext>
          </c:extLst>
        </c:ser>
        <c:dLbls>
          <c:showLegendKey val="0"/>
          <c:showVal val="0"/>
          <c:showCatName val="0"/>
          <c:showSerName val="0"/>
          <c:showPercent val="0"/>
          <c:showBubbleSize val="0"/>
        </c:dLbls>
        <c:marker val="1"/>
        <c:smooth val="0"/>
        <c:axId val="247983104"/>
        <c:axId val="248185600"/>
      </c:lineChart>
      <c:catAx>
        <c:axId val="24798310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8185600"/>
        <c:crosses val="autoZero"/>
        <c:auto val="1"/>
        <c:lblAlgn val="ctr"/>
        <c:lblOffset val="100"/>
        <c:noMultiLvlLbl val="0"/>
      </c:catAx>
      <c:valAx>
        <c:axId val="248185600"/>
        <c:scaling>
          <c:orientation val="minMax"/>
          <c:max val="8"/>
        </c:scaling>
        <c:delete val="0"/>
        <c:axPos val="l"/>
        <c:numFmt formatCode="_(* #,##0.00_);_(* \(#,##0.00\);_(* &quot;-&quot;??_);_(@_)"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47983104"/>
        <c:crosses val="autoZero"/>
        <c:crossBetween val="midCat"/>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ayout>
        <c:manualLayout>
          <c:xMode val="edge"/>
          <c:yMode val="edge"/>
          <c:x val="0.38555319124212362"/>
          <c:y val="0.8276734669103829"/>
          <c:w val="0.2068672889422454"/>
          <c:h val="8.338410755263595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G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GT"/>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60" b="1" i="0" baseline="0">
                <a:solidFill>
                  <a:sysClr val="windowText" lastClr="000000"/>
                </a:solidFill>
                <a:effectLst/>
                <a:latin typeface="Times New Roman" panose="02020603050405020304" pitchFamily="18" charset="0"/>
                <a:cs typeface="Times New Roman" panose="02020603050405020304" pitchFamily="18" charset="0"/>
              </a:rPr>
              <a:t>Gráfica 55.  </a:t>
            </a:r>
            <a:r>
              <a:rPr lang="es-GT" sz="840" b="1" i="0" baseline="0">
                <a:solidFill>
                  <a:sysClr val="windowText" lastClr="000000"/>
                </a:solidFill>
                <a:effectLst/>
                <a:latin typeface="Times New Roman" panose="02020603050405020304" pitchFamily="18" charset="0"/>
                <a:cs typeface="Times New Roman" panose="02020603050405020304" pitchFamily="18" charset="0"/>
              </a:rPr>
              <a:t>Otras Obligaciones por pagar 2020</a:t>
            </a:r>
            <a:endParaRPr lang="es-GT" sz="840">
              <a:solidFill>
                <a:sysClr val="windowText" lastClr="000000"/>
              </a:solidFill>
              <a:effectLst/>
              <a:latin typeface="Times New Roman" panose="02020603050405020304" pitchFamily="18" charset="0"/>
              <a:cs typeface="Times New Roman" panose="02020603050405020304" pitchFamily="18" charset="0"/>
            </a:endParaRPr>
          </a:p>
          <a:p>
            <a:pPr>
              <a:defRPr sz="7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40" b="1" i="0" baseline="0">
                <a:solidFill>
                  <a:sysClr val="windowText" lastClr="000000"/>
                </a:solidFill>
                <a:effectLst/>
                <a:latin typeface="Times New Roman" panose="02020603050405020304" pitchFamily="18" charset="0"/>
                <a:cs typeface="Times New Roman" panose="02020603050405020304" pitchFamily="18" charset="0"/>
              </a:rPr>
              <a:t>De las Empresas Públicas No Financieras Nacionales</a:t>
            </a:r>
            <a:endParaRPr lang="es-GT" sz="840">
              <a:solidFill>
                <a:sysClr val="windowText" lastClr="000000"/>
              </a:solidFill>
              <a:effectLst/>
              <a:latin typeface="Times New Roman" panose="02020603050405020304" pitchFamily="18" charset="0"/>
              <a:cs typeface="Times New Roman" panose="02020603050405020304" pitchFamily="18" charset="0"/>
            </a:endParaRPr>
          </a:p>
          <a:p>
            <a:pPr>
              <a:defRPr sz="7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700" b="0" i="0" baseline="0">
                <a:solidFill>
                  <a:sysClr val="windowText" lastClr="000000"/>
                </a:solidFill>
                <a:effectLst/>
                <a:latin typeface="Times New Roman" panose="02020603050405020304" pitchFamily="18" charset="0"/>
                <a:cs typeface="Times New Roman" panose="02020603050405020304" pitchFamily="18" charset="0"/>
              </a:rPr>
              <a:t>Cifras en porcentajes respecto a sus ingresos totales</a:t>
            </a:r>
            <a:endParaRPr lang="es-GT" sz="7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987426229255591"/>
          <c:y val="4.7546378684088621E-3"/>
        </c:manualLayout>
      </c:layout>
      <c:overlay val="0"/>
      <c:spPr>
        <a:noFill/>
        <a:ln>
          <a:noFill/>
        </a:ln>
        <a:effectLst/>
      </c:spPr>
    </c:title>
    <c:autoTitleDeleted val="0"/>
    <c:plotArea>
      <c:layout>
        <c:manualLayout>
          <c:layoutTarget val="inner"/>
          <c:xMode val="edge"/>
          <c:yMode val="edge"/>
          <c:x val="0.24537898516110143"/>
          <c:y val="0.29216417107697601"/>
          <c:w val="0.75338047742884573"/>
          <c:h val="0.68818843853534684"/>
        </c:manualLayout>
      </c:layout>
      <c:barChart>
        <c:barDir val="bar"/>
        <c:grouping val="clustered"/>
        <c:varyColors val="0"/>
        <c:ser>
          <c:idx val="0"/>
          <c:order val="0"/>
          <c:tx>
            <c:strRef>
              <c:f>Sheet1!$B$1</c:f>
              <c:strCache>
                <c:ptCount val="1"/>
                <c:pt idx="0">
                  <c:v>Series 1</c:v>
                </c:pt>
              </c:strCache>
            </c:strRef>
          </c:tx>
          <c:spPr>
            <a:solidFill>
              <a:srgbClr val="FF0000"/>
            </a:solidFill>
            <a:ln>
              <a:solidFill>
                <a:sysClr val="windowText" lastClr="000000"/>
              </a:solidFill>
            </a:ln>
            <a:effectLst>
              <a:outerShdw blurRad="50800" dist="38100" dir="18900000" algn="bl" rotWithShape="0">
                <a:prstClr val="black">
                  <a:alpha val="40000"/>
                </a:prstClr>
              </a:outerShdw>
            </a:effectLst>
          </c:spPr>
          <c:invertIfNegative val="0"/>
          <c:dLbls>
            <c:dLbl>
              <c:idx val="7"/>
              <c:layout>
                <c:manualLayout>
                  <c:x val="-7.8277886497064575E-3"/>
                  <c:y val="-2.837944512004456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3F-48F6-B625-337783CD671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EPNCH</c:v>
                </c:pt>
                <c:pt idx="1">
                  <c:v>Indeca</c:v>
                </c:pt>
                <c:pt idx="2">
                  <c:v>Inde</c:v>
                </c:pt>
                <c:pt idx="3">
                  <c:v>EMPRONAC</c:v>
                </c:pt>
                <c:pt idx="4">
                  <c:v>EPQ</c:v>
                </c:pt>
                <c:pt idx="5">
                  <c:v>Zolic</c:v>
                </c:pt>
                <c:pt idx="6">
                  <c:v>Fegua</c:v>
                </c:pt>
                <c:pt idx="7">
                  <c:v>Guatel</c:v>
                </c:pt>
              </c:strCache>
            </c:strRef>
          </c:cat>
          <c:val>
            <c:numRef>
              <c:f>Sheet1!$B$2:$B$9</c:f>
              <c:numCache>
                <c:formatCode>_(* #,##0.00_);_(* \(#,##0.00\);_(* "-"??_);_(@_)</c:formatCode>
                <c:ptCount val="8"/>
                <c:pt idx="0">
                  <c:v>0.19274416340314846</c:v>
                </c:pt>
                <c:pt idx="1">
                  <c:v>0.98059200142406111</c:v>
                </c:pt>
                <c:pt idx="2">
                  <c:v>2.4292269211732807</c:v>
                </c:pt>
                <c:pt idx="3">
                  <c:v>5.8939866849035871</c:v>
                </c:pt>
                <c:pt idx="4">
                  <c:v>7.2658617265480192</c:v>
                </c:pt>
                <c:pt idx="5">
                  <c:v>40.368029491894674</c:v>
                </c:pt>
                <c:pt idx="6">
                  <c:v>40.47425555740827</c:v>
                </c:pt>
                <c:pt idx="7">
                  <c:v>85.513870012501997</c:v>
                </c:pt>
              </c:numCache>
            </c:numRef>
          </c:val>
          <c:extLst xmlns:c16r2="http://schemas.microsoft.com/office/drawing/2015/06/chart">
            <c:ext xmlns:c16="http://schemas.microsoft.com/office/drawing/2014/chart" uri="{C3380CC4-5D6E-409C-BE32-E72D297353CC}">
              <c16:uniqueId val="{00000001-5A3F-48F6-B625-337783CD671A}"/>
            </c:ext>
          </c:extLst>
        </c:ser>
        <c:dLbls>
          <c:showLegendKey val="0"/>
          <c:showVal val="0"/>
          <c:showCatName val="0"/>
          <c:showSerName val="0"/>
          <c:showPercent val="0"/>
          <c:showBubbleSize val="0"/>
        </c:dLbls>
        <c:gapWidth val="60"/>
        <c:axId val="292904320"/>
        <c:axId val="293401728"/>
      </c:barChart>
      <c:catAx>
        <c:axId val="292904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3401728"/>
        <c:crosses val="autoZero"/>
        <c:auto val="1"/>
        <c:lblAlgn val="ctr"/>
        <c:lblOffset val="100"/>
        <c:noMultiLvlLbl val="0"/>
      </c:catAx>
      <c:valAx>
        <c:axId val="293401728"/>
        <c:scaling>
          <c:orientation val="minMax"/>
          <c:max val="125"/>
          <c:min val="0"/>
        </c:scaling>
        <c:delete val="1"/>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292904320"/>
        <c:crosses val="autoZero"/>
        <c:crossBetween val="between"/>
        <c:majorUnit val="25"/>
        <c:min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1200" b="1">
                <a:solidFill>
                  <a:sysClr val="windowText" lastClr="000000"/>
                </a:solidFill>
                <a:latin typeface="Times New Roman" panose="02020603050405020304" pitchFamily="18" charset="0"/>
                <a:cs typeface="Times New Roman" panose="02020603050405020304" pitchFamily="18" charset="0"/>
              </a:rPr>
              <a:t>Gráfica</a:t>
            </a:r>
            <a:r>
              <a:rPr lang="es-GT" sz="1200" b="1" baseline="0">
                <a:solidFill>
                  <a:sysClr val="windowText" lastClr="000000"/>
                </a:solidFill>
                <a:latin typeface="Times New Roman" panose="02020603050405020304" pitchFamily="18" charset="0"/>
                <a:cs typeface="Times New Roman" panose="02020603050405020304" pitchFamily="18" charset="0"/>
              </a:rPr>
              <a:t> 56.  </a:t>
            </a:r>
            <a:r>
              <a:rPr lang="es-GT" sz="1200" b="1">
                <a:solidFill>
                  <a:sysClr val="windowText" lastClr="000000"/>
                </a:solidFill>
                <a:latin typeface="Times New Roman" panose="02020603050405020304" pitchFamily="18" charset="0"/>
                <a:cs typeface="Times New Roman" panose="02020603050405020304" pitchFamily="18" charset="0"/>
              </a:rPr>
              <a:t>Liquidez Financiera</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00" b="1">
                <a:solidFill>
                  <a:sysClr val="windowText" lastClr="000000"/>
                </a:solidFill>
                <a:latin typeface="Times New Roman" panose="02020603050405020304" pitchFamily="18" charset="0"/>
                <a:cs typeface="Times New Roman" panose="02020603050405020304" pitchFamily="18" charset="0"/>
              </a:rPr>
              <a:t>De las Empresas Públicas </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00" b="1">
                <a:solidFill>
                  <a:sysClr val="windowText" lastClr="000000"/>
                </a:solidFill>
                <a:latin typeface="Times New Roman" panose="02020603050405020304" pitchFamily="18" charset="0"/>
                <a:cs typeface="Times New Roman" panose="02020603050405020304" pitchFamily="18" charset="0"/>
              </a:rPr>
              <a:t>No Financieras Nacionales</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700">
                <a:solidFill>
                  <a:sysClr val="windowText" lastClr="000000"/>
                </a:solidFill>
                <a:latin typeface="Times New Roman" panose="02020603050405020304" pitchFamily="18" charset="0"/>
                <a:cs typeface="Times New Roman" panose="02020603050405020304" pitchFamily="18" charset="0"/>
              </a:rPr>
              <a:t>En cantidad de veces mayor del activo corrientes respecto al pasivo corriente</a:t>
            </a:r>
          </a:p>
        </c:rich>
      </c:tx>
      <c:layout>
        <c:manualLayout>
          <c:xMode val="edge"/>
          <c:yMode val="edge"/>
          <c:x val="0.19468588603843875"/>
          <c:y val="0"/>
        </c:manualLayout>
      </c:layout>
      <c:overlay val="0"/>
      <c:spPr>
        <a:noFill/>
        <a:ln>
          <a:noFill/>
        </a:ln>
        <a:effectLst/>
      </c:spPr>
    </c:title>
    <c:autoTitleDeleted val="0"/>
    <c:plotArea>
      <c:layout>
        <c:manualLayout>
          <c:layoutTarget val="inner"/>
          <c:xMode val="edge"/>
          <c:yMode val="edge"/>
          <c:x val="0"/>
          <c:y val="0.31320505354837075"/>
          <c:w val="1"/>
          <c:h val="0.50394257791731023"/>
        </c:manualLayout>
      </c:layout>
      <c:barChart>
        <c:barDir val="col"/>
        <c:grouping val="clustered"/>
        <c:varyColors val="0"/>
        <c:ser>
          <c:idx val="0"/>
          <c:order val="0"/>
          <c:tx>
            <c:v>Resultado Presupuestal</c:v>
          </c:tx>
          <c:spPr>
            <a:solidFill>
              <a:schemeClr val="accent2">
                <a:lumMod val="75000"/>
              </a:schemeClr>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'[Ingresos_y_gastos_(Empresas).xlsx]DIN Liquedez (sector)'!$A$4:$A$8</c:f>
              <c:numCache>
                <c:formatCode>General</c:formatCode>
                <c:ptCount val="5"/>
                <c:pt idx="0">
                  <c:v>2016</c:v>
                </c:pt>
                <c:pt idx="1">
                  <c:v>2017</c:v>
                </c:pt>
                <c:pt idx="2">
                  <c:v>2018</c:v>
                </c:pt>
                <c:pt idx="3">
                  <c:v>2019</c:v>
                </c:pt>
                <c:pt idx="4">
                  <c:v>2020</c:v>
                </c:pt>
              </c:numCache>
            </c:numRef>
          </c:cat>
          <c:val>
            <c:numRef>
              <c:f>'[Ingresos_y_gastos_(Empresas).xlsx]DIN Liquedez (sector)'!$B$4:$B$8</c:f>
              <c:numCache>
                <c:formatCode>_(* #,##0.00_);_(* \(#,##0.00\);_(* "-"??_);_(@_)</c:formatCode>
                <c:ptCount val="5"/>
                <c:pt idx="0">
                  <c:v>21.363021699407891</c:v>
                </c:pt>
                <c:pt idx="1">
                  <c:v>16.197353723073356</c:v>
                </c:pt>
                <c:pt idx="2">
                  <c:v>18.865960216859332</c:v>
                </c:pt>
                <c:pt idx="3">
                  <c:v>13.085417090099236</c:v>
                </c:pt>
                <c:pt idx="4">
                  <c:v>14.46536863364649</c:v>
                </c:pt>
              </c:numCache>
            </c:numRef>
          </c:val>
          <c:extLst xmlns:c16r2="http://schemas.microsoft.com/office/drawing/2015/06/chart">
            <c:ext xmlns:c16="http://schemas.microsoft.com/office/drawing/2014/chart" uri="{C3380CC4-5D6E-409C-BE32-E72D297353CC}">
              <c16:uniqueId val="{00000000-9214-4A72-A743-42EDF9321E91}"/>
            </c:ext>
          </c:extLst>
        </c:ser>
        <c:dLbls>
          <c:showLegendKey val="0"/>
          <c:showVal val="0"/>
          <c:showCatName val="0"/>
          <c:showSerName val="0"/>
          <c:showPercent val="0"/>
          <c:showBubbleSize val="0"/>
        </c:dLbls>
        <c:gapWidth val="219"/>
        <c:overlap val="-27"/>
        <c:axId val="302388736"/>
        <c:axId val="302390272"/>
      </c:barChart>
      <c:lineChart>
        <c:grouping val="standard"/>
        <c:varyColors val="0"/>
        <c:ser>
          <c:idx val="1"/>
          <c:order val="1"/>
          <c:tx>
            <c:v>Promedio</c:v>
          </c:tx>
          <c:spPr>
            <a:ln w="12700" cap="rnd">
              <a:solidFill>
                <a:sysClr val="windowText" lastClr="000000"/>
              </a:solidFill>
              <a:prstDash val="sysDash"/>
              <a:round/>
            </a:ln>
            <a:effectLst/>
          </c:spPr>
          <c:marker>
            <c:symbol val="none"/>
          </c:marker>
          <c:dLbls>
            <c:dLbl>
              <c:idx val="3"/>
              <c:layout>
                <c:manualLayout>
                  <c:x val="1.0752688172042918E-2"/>
                  <c:y val="-8.657987353853499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Promedio</a:t>
                    </a:r>
                  </a:p>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8F1123DB-2E5A-429B-B79E-70C55A7DDAE0}" type="VALUE">
                      <a:rPr lang="en-US" b="1">
                        <a:latin typeface="Times New Roman" panose="02020603050405020304" pitchFamily="18" charset="0"/>
                        <a:cs typeface="Times New Roman" panose="02020603050405020304" pitchFamily="18" charset="0"/>
                      </a:rPr>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[VALOR]</a:t>
                    </a:fld>
                    <a:endParaRPr lang="es-GT"/>
                  </a:p>
                </c:rich>
              </c:tx>
              <c:numFmt formatCode="#,##0.0" sourceLinked="0"/>
              <c:spPr>
                <a:noFill/>
                <a:ln>
                  <a:noFill/>
                </a:ln>
                <a:effectLst/>
              </c:spPr>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layout>
                    <c:manualLayout>
                      <c:w val="0.19501333502667006"/>
                      <c:h val="0.17307921737055593"/>
                    </c:manualLayout>
                  </c15:layout>
                  <c15:dlblFieldTable/>
                  <c15:showDataLabelsRange val="0"/>
                </c:ext>
                <c:ext xmlns:c16="http://schemas.microsoft.com/office/drawing/2014/chart" uri="{C3380CC4-5D6E-409C-BE32-E72D297353CC}">
                  <c16:uniqueId val="{00000001-9214-4A72-A743-42EDF9321E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'[Ingresos_y_gastos_(Empresas).xlsx]DIN Liquedez (sector)'!$C$4:$C$8</c:f>
              <c:numCache>
                <c:formatCode>_(* #,##0.00_);_(* \(#,##0.00\);_(* "-"??_);_(@_)</c:formatCode>
                <c:ptCount val="5"/>
                <c:pt idx="0">
                  <c:v>16.795424272617261</c:v>
                </c:pt>
                <c:pt idx="1">
                  <c:v>16.795424272617261</c:v>
                </c:pt>
                <c:pt idx="2">
                  <c:v>16.795424272617261</c:v>
                </c:pt>
                <c:pt idx="3">
                  <c:v>16.795424272617261</c:v>
                </c:pt>
                <c:pt idx="4">
                  <c:v>16.795424272617261</c:v>
                </c:pt>
              </c:numCache>
            </c:numRef>
          </c:val>
          <c:smooth val="0"/>
          <c:extLst xmlns:c16r2="http://schemas.microsoft.com/office/drawing/2015/06/chart">
            <c:ext xmlns:c16="http://schemas.microsoft.com/office/drawing/2014/chart" uri="{C3380CC4-5D6E-409C-BE32-E72D297353CC}">
              <c16:uniqueId val="{00000002-9214-4A72-A743-42EDF9321E91}"/>
            </c:ext>
          </c:extLst>
        </c:ser>
        <c:dLbls>
          <c:showLegendKey val="0"/>
          <c:showVal val="0"/>
          <c:showCatName val="0"/>
          <c:showSerName val="0"/>
          <c:showPercent val="0"/>
          <c:showBubbleSize val="0"/>
        </c:dLbls>
        <c:marker val="1"/>
        <c:smooth val="0"/>
        <c:axId val="302388736"/>
        <c:axId val="302390272"/>
      </c:lineChart>
      <c:catAx>
        <c:axId val="30238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390272"/>
        <c:crosses val="autoZero"/>
        <c:auto val="1"/>
        <c:lblAlgn val="ctr"/>
        <c:lblOffset val="100"/>
        <c:noMultiLvlLbl val="0"/>
      </c:catAx>
      <c:valAx>
        <c:axId val="302390272"/>
        <c:scaling>
          <c:orientation val="minMax"/>
        </c:scaling>
        <c:delete val="1"/>
        <c:axPos val="l"/>
        <c:numFmt formatCode="_(* #,##0_);_(* \(#,##0\);_(* &quot;-&quot;_);_(@_)" sourceLinked="0"/>
        <c:majorTickMark val="none"/>
        <c:minorTickMark val="none"/>
        <c:tickLblPos val="nextTo"/>
        <c:crossAx val="302388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GT" sz="1200" b="1" i="0" baseline="0">
                <a:solidFill>
                  <a:schemeClr val="tx1"/>
                </a:solidFill>
                <a:effectLst/>
                <a:latin typeface="Times New Roman" panose="02020603050405020304" pitchFamily="18" charset="0"/>
                <a:cs typeface="Times New Roman" panose="02020603050405020304" pitchFamily="18" charset="0"/>
              </a:rPr>
              <a:t>Gráfica 57.  Liquidez Financiera para el año 2020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GT" sz="1200" b="1" i="0" baseline="0">
                <a:solidFill>
                  <a:schemeClr val="tx1"/>
                </a:solidFill>
                <a:effectLst/>
                <a:latin typeface="Times New Roman" panose="02020603050405020304" pitchFamily="18" charset="0"/>
                <a:cs typeface="Times New Roman" panose="02020603050405020304" pitchFamily="18" charset="0"/>
              </a:rPr>
              <a:t>De las Empresas Públicas No Financieras Nacionales</a:t>
            </a:r>
            <a:endParaRPr lang="es-GT" sz="1200">
              <a:solidFill>
                <a:schemeClr val="tx1"/>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GT" sz="1000" b="0" i="0" baseline="0">
                <a:solidFill>
                  <a:schemeClr val="tx1"/>
                </a:solidFill>
                <a:effectLst/>
                <a:latin typeface="Times New Roman" panose="02020603050405020304" pitchFamily="18" charset="0"/>
                <a:cs typeface="Times New Roman" panose="02020603050405020304" pitchFamily="18" charset="0"/>
              </a:rPr>
              <a:t>En cantidad de veces mayor el activo corriente respecto al pasivo corriente</a:t>
            </a:r>
            <a:endParaRPr lang="es-GT" sz="1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9660253771740854"/>
          <c:y val="0"/>
        </c:manualLayout>
      </c:layout>
      <c:overlay val="0"/>
      <c:spPr>
        <a:noFill/>
        <a:ln>
          <a:noFill/>
        </a:ln>
        <a:effectLst/>
      </c:spPr>
    </c:title>
    <c:autoTitleDeleted val="0"/>
    <c:plotArea>
      <c:layout>
        <c:manualLayout>
          <c:layoutTarget val="inner"/>
          <c:xMode val="edge"/>
          <c:yMode val="edge"/>
          <c:x val="3.6690918968768596E-2"/>
          <c:y val="0.24717832957110608"/>
          <c:w val="0.96085416881023422"/>
          <c:h val="0.56756812001208656"/>
        </c:manualLayout>
      </c:layout>
      <c:barChart>
        <c:barDir val="col"/>
        <c:grouping val="clustered"/>
        <c:varyColors val="0"/>
        <c:ser>
          <c:idx val="0"/>
          <c:order val="0"/>
          <c:tx>
            <c:v>Resultado Presupuestario</c:v>
          </c:tx>
          <c:spPr>
            <a:solidFill>
              <a:srgbClr val="ED7D31">
                <a:lumMod val="40000"/>
                <a:lumOff val="60000"/>
              </a:srgbClr>
            </a:solidFill>
            <a:ln>
              <a:noFill/>
            </a:ln>
            <a:effectLst>
              <a:outerShdw blurRad="50800" dist="38100" dir="18900000" algn="bl" rotWithShape="0">
                <a:prstClr val="black">
                  <a:alpha val="40000"/>
                </a:prstClr>
              </a:outerShdw>
            </a:effectLst>
            <a:scene3d>
              <a:camera prst="orthographicFront"/>
              <a:lightRig rig="threePt" dir="t"/>
            </a:scene3d>
            <a:sp3d>
              <a:bevelT w="19050" prst="relaxedInse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'[Ingresos_y_gastos_(Empresas).xlsx]DIN Liquedez (individual)'!$A$5:$A$12</c:f>
              <c:strCache>
                <c:ptCount val="8"/>
                <c:pt idx="0">
                  <c:v>EMPRESA PORTUARIA NACIONAL DE CHAMPERICO (EPNCH)</c:v>
                </c:pt>
                <c:pt idx="1">
                  <c:v>INSTITUTO NACIONAL DE COMERCIALIZACIÓN AGRICOLA (INDECA)</c:v>
                </c:pt>
                <c:pt idx="2">
                  <c:v>EMPRESA PORTUARIA QUETZAL (EPQ)</c:v>
                </c:pt>
                <c:pt idx="3">
                  <c:v>EMPRESA PORTUARIA NACIONAL SANTO TOMAS DE CASTILLA (EMPORNAC)</c:v>
                </c:pt>
                <c:pt idx="4">
                  <c:v>INSTITUTO NACIONAL DE ELECTRIFICACIÓN (INDE)</c:v>
                </c:pt>
                <c:pt idx="5">
                  <c:v>EMPRESA GUATEMALTECA DE TELECOMUNICACIONES (GUATEL)</c:v>
                </c:pt>
                <c:pt idx="6">
                  <c:v>ZONA LIBRE DE INDUSTRIA Y COMERCIO SANTO TOMÁS DE CASTILLA (ZOLIC)</c:v>
                </c:pt>
                <c:pt idx="7">
                  <c:v>EMPRESA FERROCARRILES DE GUATEMALA  (FEGUA)</c:v>
                </c:pt>
              </c:strCache>
            </c:strRef>
          </c:cat>
          <c:val>
            <c:numRef>
              <c:f>'[Ingresos_y_gastos_(Empresas).xlsx]DIN Liquedez (individual)'!$B$5:$B$12</c:f>
              <c:numCache>
                <c:formatCode>_(* #,##0.00_);_(* \(#,##0.00\);_(* "-"??_);_(@_)</c:formatCode>
                <c:ptCount val="8"/>
                <c:pt idx="0">
                  <c:v>123.59938214996194</c:v>
                </c:pt>
                <c:pt idx="1">
                  <c:v>48.399184494238945</c:v>
                </c:pt>
                <c:pt idx="2">
                  <c:v>21.171171412958525</c:v>
                </c:pt>
                <c:pt idx="3">
                  <c:v>16.918388648663065</c:v>
                </c:pt>
                <c:pt idx="4">
                  <c:v>13.732127598685789</c:v>
                </c:pt>
                <c:pt idx="5">
                  <c:v>5.3142615812568463</c:v>
                </c:pt>
                <c:pt idx="6">
                  <c:v>2.5812421566949828</c:v>
                </c:pt>
                <c:pt idx="7">
                  <c:v>0.58949025626443607</c:v>
                </c:pt>
              </c:numCache>
            </c:numRef>
          </c:val>
          <c:extLst xmlns:c16r2="http://schemas.microsoft.com/office/drawing/2015/06/chart">
            <c:ext xmlns:c16="http://schemas.microsoft.com/office/drawing/2014/chart" uri="{C3380CC4-5D6E-409C-BE32-E72D297353CC}">
              <c16:uniqueId val="{00000000-7BEE-48F2-9FFF-F6016DC699BB}"/>
            </c:ext>
          </c:extLst>
        </c:ser>
        <c:dLbls>
          <c:showLegendKey val="0"/>
          <c:showVal val="0"/>
          <c:showCatName val="0"/>
          <c:showSerName val="0"/>
          <c:showPercent val="0"/>
          <c:showBubbleSize val="0"/>
        </c:dLbls>
        <c:gapWidth val="219"/>
        <c:overlap val="-27"/>
        <c:axId val="302453504"/>
        <c:axId val="302455040"/>
      </c:barChart>
      <c:catAx>
        <c:axId val="302453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2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455040"/>
        <c:crosses val="autoZero"/>
        <c:auto val="1"/>
        <c:lblAlgn val="ctr"/>
        <c:lblOffset val="100"/>
        <c:noMultiLvlLbl val="0"/>
      </c:catAx>
      <c:valAx>
        <c:axId val="302455040"/>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453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5.4612359501573934E-2"/>
          <c:w val="0.90849737532808394"/>
          <c:h val="0.65606810512322333"/>
        </c:manualLayout>
      </c:layout>
      <c:barChart>
        <c:barDir val="col"/>
        <c:grouping val="stacked"/>
        <c:varyColors val="0"/>
        <c:ser>
          <c:idx val="0"/>
          <c:order val="0"/>
          <c:tx>
            <c:strRef>
              <c:f>Hoja1!$B$1</c:f>
              <c:strCache>
                <c:ptCount val="1"/>
                <c:pt idx="0">
                  <c:v>demandas</c:v>
                </c:pt>
              </c:strCache>
            </c:strRef>
          </c:tx>
          <c:spPr>
            <a:solidFill>
              <a:schemeClr val="accent1"/>
            </a:solidFill>
            <a:ln>
              <a:noFill/>
            </a:ln>
            <a:effectLst>
              <a:outerShdw blurRad="50800" dist="38100" dir="18900000" algn="bl" rotWithShape="0">
                <a:prstClr val="black">
                  <a:alpha val="40000"/>
                </a:prstClr>
              </a:outerShdw>
            </a:effectLst>
          </c:spPr>
          <c:invertIfNegative val="0"/>
          <c:dLbls>
            <c:dLbl>
              <c:idx val="4"/>
              <c:layout>
                <c:manualLayout>
                  <c:x val="-4.6296296296296294E-3"/>
                  <c:y val="-1.293413904657266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5-4AA7-9CE5-01727D73A199}"/>
                </c:ext>
              </c:extLst>
            </c:dLbl>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Hoja1!$B$2:$B$13</c:f>
              <c:numCache>
                <c:formatCode>General</c:formatCode>
                <c:ptCount val="12"/>
                <c:pt idx="0">
                  <c:v>62</c:v>
                </c:pt>
                <c:pt idx="1">
                  <c:v>68</c:v>
                </c:pt>
                <c:pt idx="2">
                  <c:v>57</c:v>
                </c:pt>
                <c:pt idx="3">
                  <c:v>90</c:v>
                </c:pt>
                <c:pt idx="4">
                  <c:v>45</c:v>
                </c:pt>
                <c:pt idx="5">
                  <c:v>54</c:v>
                </c:pt>
                <c:pt idx="6">
                  <c:v>105</c:v>
                </c:pt>
                <c:pt idx="7">
                  <c:v>127</c:v>
                </c:pt>
                <c:pt idx="8">
                  <c:v>174</c:v>
                </c:pt>
                <c:pt idx="9">
                  <c:v>316</c:v>
                </c:pt>
                <c:pt idx="10">
                  <c:v>145</c:v>
                </c:pt>
                <c:pt idx="11">
                  <c:v>61</c:v>
                </c:pt>
              </c:numCache>
            </c:numRef>
          </c:val>
          <c:extLst xmlns:c16r2="http://schemas.microsoft.com/office/drawing/2015/06/chart">
            <c:ext xmlns:c16="http://schemas.microsoft.com/office/drawing/2014/chart" uri="{C3380CC4-5D6E-409C-BE32-E72D297353CC}">
              <c16:uniqueId val="{00000001-D525-4AA7-9CE5-01727D73A199}"/>
            </c:ext>
          </c:extLst>
        </c:ser>
        <c:ser>
          <c:idx val="1"/>
          <c:order val="1"/>
          <c:tx>
            <c:strRef>
              <c:f>Hoja1!$C$1</c:f>
              <c:strCache>
                <c:ptCount val="1"/>
                <c:pt idx="0">
                  <c:v>Columna2</c:v>
                </c:pt>
              </c:strCache>
            </c:strRef>
          </c:tx>
          <c:spPr>
            <a:solidFill>
              <a:schemeClr val="accent2"/>
            </a:solidFill>
            <a:ln>
              <a:no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Hoja1!$C$2:$C$13</c:f>
              <c:numCache>
                <c:formatCode>General</c:formatCode>
                <c:ptCount val="12"/>
                <c:pt idx="10">
                  <c:v>292</c:v>
                </c:pt>
              </c:numCache>
            </c:numRef>
          </c:val>
          <c:extLst xmlns:c16r2="http://schemas.microsoft.com/office/drawing/2015/06/chart">
            <c:ext xmlns:c16="http://schemas.microsoft.com/office/drawing/2014/chart" uri="{C3380CC4-5D6E-409C-BE32-E72D297353CC}">
              <c16:uniqueId val="{00000002-D525-4AA7-9CE5-01727D73A199}"/>
            </c:ext>
          </c:extLst>
        </c:ser>
        <c:dLbls>
          <c:showLegendKey val="0"/>
          <c:showVal val="0"/>
          <c:showCatName val="0"/>
          <c:showSerName val="0"/>
          <c:showPercent val="0"/>
          <c:showBubbleSize val="0"/>
        </c:dLbls>
        <c:gapWidth val="50"/>
        <c:overlap val="100"/>
        <c:axId val="302487040"/>
        <c:axId val="302488576"/>
      </c:barChart>
      <c:catAx>
        <c:axId val="30248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488576"/>
        <c:crosses val="autoZero"/>
        <c:auto val="1"/>
        <c:lblAlgn val="ctr"/>
        <c:lblOffset val="100"/>
        <c:noMultiLvlLbl val="0"/>
      </c:catAx>
      <c:valAx>
        <c:axId val="302488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487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userShapes r:id="rId2"/>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3.1422965451794092E-2"/>
          <c:w val="0.90849737532808394"/>
          <c:h val="0.81284925069850156"/>
        </c:manualLayout>
      </c:layout>
      <c:barChart>
        <c:barDir val="col"/>
        <c:grouping val="clustered"/>
        <c:varyColors val="0"/>
        <c:ser>
          <c:idx val="0"/>
          <c:order val="0"/>
          <c:tx>
            <c:strRef>
              <c:f>Hoja1!$B$1</c:f>
              <c:strCache>
                <c:ptCount val="1"/>
                <c:pt idx="0">
                  <c:v>Casos</c:v>
                </c:pt>
              </c:strCache>
            </c:strRef>
          </c:tx>
          <c:spPr>
            <a:solidFill>
              <a:schemeClr val="accent1"/>
            </a:solidFill>
            <a:ln>
              <a:no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Hoja1!$A$2:$A$19</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Hoja1!$B$2:$B$19</c:f>
              <c:numCache>
                <c:formatCode>General</c:formatCode>
                <c:ptCount val="18"/>
                <c:pt idx="0">
                  <c:v>63</c:v>
                </c:pt>
                <c:pt idx="1">
                  <c:v>85</c:v>
                </c:pt>
                <c:pt idx="2">
                  <c:v>103</c:v>
                </c:pt>
                <c:pt idx="3">
                  <c:v>118</c:v>
                </c:pt>
                <c:pt idx="4">
                  <c:v>130</c:v>
                </c:pt>
                <c:pt idx="5">
                  <c:v>145</c:v>
                </c:pt>
                <c:pt idx="6">
                  <c:v>154</c:v>
                </c:pt>
                <c:pt idx="7">
                  <c:v>154</c:v>
                </c:pt>
                <c:pt idx="8">
                  <c:v>159</c:v>
                </c:pt>
                <c:pt idx="9">
                  <c:v>172</c:v>
                </c:pt>
                <c:pt idx="10">
                  <c:v>195</c:v>
                </c:pt>
                <c:pt idx="11">
                  <c:v>209</c:v>
                </c:pt>
                <c:pt idx="12">
                  <c:v>243</c:v>
                </c:pt>
                <c:pt idx="13">
                  <c:v>247</c:v>
                </c:pt>
                <c:pt idx="14">
                  <c:v>258</c:v>
                </c:pt>
                <c:pt idx="15">
                  <c:v>279</c:v>
                </c:pt>
                <c:pt idx="16">
                  <c:v>306</c:v>
                </c:pt>
                <c:pt idx="17">
                  <c:v>303</c:v>
                </c:pt>
              </c:numCache>
            </c:numRef>
          </c:val>
          <c:extLst xmlns:c16r2="http://schemas.microsoft.com/office/drawing/2015/06/chart">
            <c:ext xmlns:c16="http://schemas.microsoft.com/office/drawing/2014/chart" uri="{C3380CC4-5D6E-409C-BE32-E72D297353CC}">
              <c16:uniqueId val="{00000000-781A-42B2-9F6F-DC0362750D80}"/>
            </c:ext>
          </c:extLst>
        </c:ser>
        <c:dLbls>
          <c:showLegendKey val="0"/>
          <c:showVal val="0"/>
          <c:showCatName val="0"/>
          <c:showSerName val="0"/>
          <c:showPercent val="0"/>
          <c:showBubbleSize val="0"/>
        </c:dLbls>
        <c:gapWidth val="50"/>
        <c:overlap val="-27"/>
        <c:axId val="302535040"/>
        <c:axId val="302536576"/>
      </c:barChart>
      <c:catAx>
        <c:axId val="3025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536576"/>
        <c:crosses val="autoZero"/>
        <c:auto val="1"/>
        <c:lblAlgn val="ctr"/>
        <c:lblOffset val="100"/>
        <c:noMultiLvlLbl val="0"/>
      </c:catAx>
      <c:valAx>
        <c:axId val="302536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535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3.8142497812773402E-2"/>
          <c:w val="0.95377515310586192"/>
          <c:h val="0.8451099081364829"/>
        </c:manualLayout>
      </c:layout>
      <c:barChart>
        <c:barDir val="col"/>
        <c:grouping val="clustered"/>
        <c:varyColors val="0"/>
        <c:ser>
          <c:idx val="0"/>
          <c:order val="0"/>
          <c:tx>
            <c:strRef>
              <c:f>Hoja1!$A$2</c:f>
              <c:strCache>
                <c:ptCount val="1"/>
                <c:pt idx="0">
                  <c:v>Gasto</c:v>
                </c:pt>
              </c:strCache>
            </c:strRef>
          </c:tx>
          <c:spPr>
            <a:solidFill>
              <a:schemeClr val="accent1"/>
            </a:solidFill>
            <a:ln>
              <a:no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Hoja1!$B$1:$N$1</c:f>
              <c:strCach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Hoja1!$B$2:$N$2</c:f>
              <c:numCache>
                <c:formatCode>General</c:formatCode>
                <c:ptCount val="13"/>
                <c:pt idx="0">
                  <c:v>3.5</c:v>
                </c:pt>
                <c:pt idx="1">
                  <c:v>17.399999999999999</c:v>
                </c:pt>
                <c:pt idx="2">
                  <c:v>19.100000000000001</c:v>
                </c:pt>
                <c:pt idx="3">
                  <c:v>21.7</c:v>
                </c:pt>
                <c:pt idx="4">
                  <c:v>18</c:v>
                </c:pt>
                <c:pt idx="5">
                  <c:v>11.9</c:v>
                </c:pt>
                <c:pt idx="6">
                  <c:v>13</c:v>
                </c:pt>
                <c:pt idx="7">
                  <c:v>0</c:v>
                </c:pt>
                <c:pt idx="8">
                  <c:v>1.5</c:v>
                </c:pt>
                <c:pt idx="9">
                  <c:v>31</c:v>
                </c:pt>
                <c:pt idx="10">
                  <c:v>26.3</c:v>
                </c:pt>
                <c:pt idx="11">
                  <c:v>15.5</c:v>
                </c:pt>
                <c:pt idx="12">
                  <c:v>0.2</c:v>
                </c:pt>
              </c:numCache>
            </c:numRef>
          </c:val>
          <c:extLst xmlns:c16r2="http://schemas.microsoft.com/office/drawing/2015/06/chart">
            <c:ext xmlns:c16="http://schemas.microsoft.com/office/drawing/2014/chart" uri="{C3380CC4-5D6E-409C-BE32-E72D297353CC}">
              <c16:uniqueId val="{00000000-E74E-4A0F-8EAF-53F7C9A36D1C}"/>
            </c:ext>
          </c:extLst>
        </c:ser>
        <c:dLbls>
          <c:showLegendKey val="0"/>
          <c:showVal val="0"/>
          <c:showCatName val="0"/>
          <c:showSerName val="0"/>
          <c:showPercent val="0"/>
          <c:showBubbleSize val="0"/>
        </c:dLbls>
        <c:gapWidth val="60"/>
        <c:overlap val="-27"/>
        <c:axId val="302553344"/>
        <c:axId val="302792704"/>
      </c:barChart>
      <c:catAx>
        <c:axId val="3025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792704"/>
        <c:crosses val="autoZero"/>
        <c:auto val="1"/>
        <c:lblAlgn val="ctr"/>
        <c:lblOffset val="100"/>
        <c:noMultiLvlLbl val="0"/>
      </c:catAx>
      <c:valAx>
        <c:axId val="302792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02553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7692089030388"/>
          <c:y val="2.6752668853764639E-2"/>
          <c:w val="0.87119247278205747"/>
          <c:h val="0.74298990338645188"/>
        </c:manualLayout>
      </c:layout>
      <c:barChart>
        <c:barDir val="col"/>
        <c:grouping val="clustered"/>
        <c:varyColors val="0"/>
        <c:ser>
          <c:idx val="0"/>
          <c:order val="0"/>
          <c:tx>
            <c:strRef>
              <c:f>'EscenarioDeProyecns Imp-Exp'!$M$93</c:f>
              <c:strCache>
                <c:ptCount val="1"/>
                <c:pt idx="0">
                  <c:v>Pronostico 2020</c:v>
                </c:pt>
              </c:strCache>
            </c:strRef>
          </c:tx>
          <c:spPr>
            <a:solidFill>
              <a:schemeClr val="accent6">
                <a:alpha val="62000"/>
              </a:schemeClr>
            </a:solidFill>
            <a:ln>
              <a:noFill/>
            </a:ln>
            <a:effectLst>
              <a:outerShdw blurRad="50800" dist="38100" dir="2700000" algn="tl" rotWithShape="0">
                <a:prstClr val="black">
                  <a:alpha val="40000"/>
                </a:prstClr>
              </a:outerShdw>
            </a:effectLst>
          </c:spPr>
          <c:invertIfNegative val="0"/>
          <c:dLbls>
            <c:dLbl>
              <c:idx val="0"/>
              <c:layout>
                <c:manualLayout>
                  <c:x val="0"/>
                  <c:y val="6.904534422736906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61-4731-B3E1-A1775312F5D1}"/>
                </c:ext>
              </c:extLst>
            </c:dLbl>
            <c:dLbl>
              <c:idx val="3"/>
              <c:layout>
                <c:manualLayout>
                  <c:x val="-8.8246072431041104E-17"/>
                  <c:y val="0.111466378204321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61-4731-B3E1-A1775312F5D1}"/>
                </c:ext>
              </c:extLst>
            </c:dLbl>
            <c:dLbl>
              <c:idx val="4"/>
              <c:layout>
                <c:manualLayout>
                  <c:x val="0"/>
                  <c:y val="6.210522847823943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C61-4731-B3E1-A1775312F5D1}"/>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'EscenarioDeProyecns Imp-Exp'!$L$94:$L$98</c:f>
              <c:strCache>
                <c:ptCount val="5"/>
                <c:pt idx="0">
                  <c:v>ENERO</c:v>
                </c:pt>
                <c:pt idx="1">
                  <c:v>MAYO</c:v>
                </c:pt>
                <c:pt idx="2">
                  <c:v>JULIO</c:v>
                </c:pt>
                <c:pt idx="3">
                  <c:v>OCTUBRE</c:v>
                </c:pt>
                <c:pt idx="4">
                  <c:v>DICIEMBRE</c:v>
                </c:pt>
              </c:strCache>
            </c:strRef>
          </c:cat>
          <c:val>
            <c:numRef>
              <c:f>'EscenarioDeProyecns Imp-Exp'!$M$94:$M$98</c:f>
              <c:numCache>
                <c:formatCode>#,##0.0</c:formatCode>
                <c:ptCount val="5"/>
                <c:pt idx="0">
                  <c:v>2.5</c:v>
                </c:pt>
                <c:pt idx="1">
                  <c:v>-8</c:v>
                </c:pt>
                <c:pt idx="2">
                  <c:v>-10</c:v>
                </c:pt>
                <c:pt idx="3">
                  <c:v>-3</c:v>
                </c:pt>
                <c:pt idx="4">
                  <c:v>-1</c:v>
                </c:pt>
              </c:numCache>
            </c:numRef>
          </c:val>
          <c:extLst xmlns:c16r2="http://schemas.microsoft.com/office/drawing/2015/06/chart">
            <c:ext xmlns:c16="http://schemas.microsoft.com/office/drawing/2014/chart" uri="{C3380CC4-5D6E-409C-BE32-E72D297353CC}">
              <c16:uniqueId val="{00000003-9C61-4731-B3E1-A1775312F5D1}"/>
            </c:ext>
          </c:extLst>
        </c:ser>
        <c:dLbls>
          <c:showLegendKey val="0"/>
          <c:showVal val="0"/>
          <c:showCatName val="0"/>
          <c:showSerName val="0"/>
          <c:showPercent val="0"/>
          <c:showBubbleSize val="0"/>
        </c:dLbls>
        <c:gapWidth val="60"/>
        <c:axId val="247726848"/>
        <c:axId val="247728384"/>
      </c:barChart>
      <c:lineChart>
        <c:grouping val="standard"/>
        <c:varyColors val="0"/>
        <c:ser>
          <c:idx val="1"/>
          <c:order val="1"/>
          <c:tx>
            <c:strRef>
              <c:f>'EscenarioDeProyecns Imp-Exp'!$N$93</c:f>
              <c:strCache>
                <c:ptCount val="1"/>
                <c:pt idx="0">
                  <c:v>Desviación con respecto al observado</c:v>
                </c:pt>
              </c:strCache>
            </c:strRef>
          </c:tx>
          <c:spPr>
            <a:ln w="28575" cap="rnd">
              <a:solidFill>
                <a:srgbClr val="002060"/>
              </a:solidFill>
              <a:round/>
            </a:ln>
            <a:effectLst/>
          </c:spPr>
          <c:marker>
            <c:symbol val="circle"/>
            <c:size val="14"/>
            <c:spPr>
              <a:solidFill>
                <a:schemeClr val="accent6">
                  <a:lumMod val="40000"/>
                  <a:lumOff val="60000"/>
                </a:schemeClr>
              </a:solidFill>
              <a:ln w="9525">
                <a:noFill/>
              </a:ln>
              <a:effectLst/>
            </c:spPr>
          </c:marker>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'EscenarioDeProyecns Imp-Exp'!$L$94:$L$98</c:f>
              <c:strCache>
                <c:ptCount val="5"/>
                <c:pt idx="0">
                  <c:v>ENERO</c:v>
                </c:pt>
                <c:pt idx="1">
                  <c:v>MAYO</c:v>
                </c:pt>
                <c:pt idx="2">
                  <c:v>JULIO</c:v>
                </c:pt>
                <c:pt idx="3">
                  <c:v>OCTUBRE</c:v>
                </c:pt>
                <c:pt idx="4">
                  <c:v>DICIEMBRE</c:v>
                </c:pt>
              </c:strCache>
            </c:strRef>
          </c:cat>
          <c:val>
            <c:numRef>
              <c:f>'EscenarioDeProyecns Imp-Exp'!$N$94:$N$98</c:f>
              <c:numCache>
                <c:formatCode>#,##0.0</c:formatCode>
                <c:ptCount val="5"/>
                <c:pt idx="0">
                  <c:v>-0.60000000000000009</c:v>
                </c:pt>
                <c:pt idx="1">
                  <c:v>-11.1</c:v>
                </c:pt>
                <c:pt idx="2">
                  <c:v>-13.1</c:v>
                </c:pt>
                <c:pt idx="3">
                  <c:v>-6.1</c:v>
                </c:pt>
                <c:pt idx="4">
                  <c:v>-4.0999999999999996</c:v>
                </c:pt>
              </c:numCache>
            </c:numRef>
          </c:val>
          <c:smooth val="1"/>
          <c:extLst xmlns:c16r2="http://schemas.microsoft.com/office/drawing/2015/06/chart">
            <c:ext xmlns:c16="http://schemas.microsoft.com/office/drawing/2014/chart" uri="{C3380CC4-5D6E-409C-BE32-E72D297353CC}">
              <c16:uniqueId val="{00000004-9C61-4731-B3E1-A1775312F5D1}"/>
            </c:ext>
          </c:extLst>
        </c:ser>
        <c:dLbls>
          <c:showLegendKey val="0"/>
          <c:showVal val="0"/>
          <c:showCatName val="0"/>
          <c:showSerName val="0"/>
          <c:showPercent val="0"/>
          <c:showBubbleSize val="0"/>
        </c:dLbls>
        <c:marker val="1"/>
        <c:smooth val="0"/>
        <c:axId val="247726848"/>
        <c:axId val="247728384"/>
      </c:lineChart>
      <c:catAx>
        <c:axId val="2477268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47728384"/>
        <c:crosses val="autoZero"/>
        <c:auto val="1"/>
        <c:lblAlgn val="ctr"/>
        <c:lblOffset val="100"/>
        <c:noMultiLvlLbl val="0"/>
      </c:catAx>
      <c:valAx>
        <c:axId val="2477283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47726848"/>
        <c:crosses val="autoZero"/>
        <c:crossBetween val="between"/>
      </c:valAx>
      <c:spPr>
        <a:noFill/>
        <a:ln>
          <a:noFill/>
        </a:ln>
        <a:effectLst/>
      </c:spPr>
    </c:plotArea>
    <c:legend>
      <c:legendPos val="b"/>
      <c:layout>
        <c:manualLayout>
          <c:xMode val="edge"/>
          <c:yMode val="edge"/>
          <c:x val="0"/>
          <c:y val="0.86449562078777198"/>
          <c:w val="1"/>
          <c:h val="0.135504379212227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88307131711629"/>
          <c:y val="2.8611316264090927E-2"/>
          <c:w val="0.87611692868288371"/>
          <c:h val="0.74982716986898246"/>
        </c:manualLayout>
      </c:layout>
      <c:barChart>
        <c:barDir val="col"/>
        <c:grouping val="clustered"/>
        <c:varyColors val="0"/>
        <c:ser>
          <c:idx val="0"/>
          <c:order val="0"/>
          <c:tx>
            <c:strRef>
              <c:f>'EscenarioDeProyecns Imp-Exp'!$M$65</c:f>
              <c:strCache>
                <c:ptCount val="1"/>
                <c:pt idx="0">
                  <c:v>Pronostico 2020</c:v>
                </c:pt>
              </c:strCache>
            </c:strRef>
          </c:tx>
          <c:spPr>
            <a:solidFill>
              <a:schemeClr val="accent6">
                <a:alpha val="62000"/>
              </a:schemeClr>
            </a:solidFill>
            <a:ln>
              <a:noFill/>
            </a:ln>
            <a:effectLst>
              <a:outerShdw blurRad="50800" dist="38100" dir="2700000" algn="tl" rotWithShape="0">
                <a:prstClr val="black">
                  <a:alpha val="40000"/>
                </a:prstClr>
              </a:outerShdw>
            </a:effectLst>
          </c:spPr>
          <c:invertIfNegative val="0"/>
          <c:dLbls>
            <c:dLbl>
              <c:idx val="0"/>
              <c:layout>
                <c:manualLayout>
                  <c:x val="-4.2000278459447396E-17"/>
                  <c:y val="7.192711043278175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84-4273-A5CE-E01DBB6F85A9}"/>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'EscenarioDeProyecns Imp-Exp'!$L$66:$L$70</c:f>
              <c:strCache>
                <c:ptCount val="5"/>
                <c:pt idx="0">
                  <c:v>ENERO</c:v>
                </c:pt>
                <c:pt idx="1">
                  <c:v>MAYO</c:v>
                </c:pt>
                <c:pt idx="2">
                  <c:v>JULIO</c:v>
                </c:pt>
                <c:pt idx="3">
                  <c:v>OCTUBRE</c:v>
                </c:pt>
                <c:pt idx="4">
                  <c:v>DICIEMBRE</c:v>
                </c:pt>
              </c:strCache>
            </c:strRef>
          </c:cat>
          <c:val>
            <c:numRef>
              <c:f>'EscenarioDeProyecns Imp-Exp'!$M$66:$M$70</c:f>
              <c:numCache>
                <c:formatCode>#,##0.0</c:formatCode>
                <c:ptCount val="5"/>
                <c:pt idx="0">
                  <c:v>3</c:v>
                </c:pt>
                <c:pt idx="1">
                  <c:v>-7</c:v>
                </c:pt>
                <c:pt idx="2">
                  <c:v>-9</c:v>
                </c:pt>
                <c:pt idx="3">
                  <c:v>-9</c:v>
                </c:pt>
                <c:pt idx="4">
                  <c:v>-9</c:v>
                </c:pt>
              </c:numCache>
            </c:numRef>
          </c:val>
          <c:extLst xmlns:c16r2="http://schemas.microsoft.com/office/drawing/2015/06/chart">
            <c:ext xmlns:c16="http://schemas.microsoft.com/office/drawing/2014/chart" uri="{C3380CC4-5D6E-409C-BE32-E72D297353CC}">
              <c16:uniqueId val="{00000001-F584-4273-A5CE-E01DBB6F85A9}"/>
            </c:ext>
          </c:extLst>
        </c:ser>
        <c:dLbls>
          <c:showLegendKey val="0"/>
          <c:showVal val="0"/>
          <c:showCatName val="0"/>
          <c:showSerName val="0"/>
          <c:showPercent val="0"/>
          <c:showBubbleSize val="0"/>
        </c:dLbls>
        <c:gapWidth val="60"/>
        <c:axId val="247760768"/>
        <c:axId val="247762304"/>
      </c:barChart>
      <c:lineChart>
        <c:grouping val="standard"/>
        <c:varyColors val="0"/>
        <c:ser>
          <c:idx val="1"/>
          <c:order val="1"/>
          <c:tx>
            <c:strRef>
              <c:f>'EscenarioDeProyecns Imp-Exp'!$N$65</c:f>
              <c:strCache>
                <c:ptCount val="1"/>
                <c:pt idx="0">
                  <c:v>Desviación con respecto al observado</c:v>
                </c:pt>
              </c:strCache>
            </c:strRef>
          </c:tx>
          <c:spPr>
            <a:ln w="28575" cap="rnd">
              <a:solidFill>
                <a:srgbClr val="002060"/>
              </a:solidFill>
              <a:round/>
            </a:ln>
            <a:effectLst/>
          </c:spPr>
          <c:marker>
            <c:symbol val="circle"/>
            <c:size val="14"/>
            <c:spPr>
              <a:solidFill>
                <a:schemeClr val="accent6">
                  <a:lumMod val="40000"/>
                  <a:lumOff val="60000"/>
                </a:schemeClr>
              </a:solidFill>
              <a:ln w="9525">
                <a:solidFill>
                  <a:schemeClr val="accent2"/>
                </a:solidFill>
              </a:ln>
              <a:effectLst/>
            </c:spPr>
          </c:marker>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'EscenarioDeProyecns Imp-Exp'!$L$66:$L$70</c:f>
              <c:strCache>
                <c:ptCount val="5"/>
                <c:pt idx="0">
                  <c:v>ENERO</c:v>
                </c:pt>
                <c:pt idx="1">
                  <c:v>MAYO</c:v>
                </c:pt>
                <c:pt idx="2">
                  <c:v>JULIO</c:v>
                </c:pt>
                <c:pt idx="3">
                  <c:v>OCTUBRE</c:v>
                </c:pt>
                <c:pt idx="4">
                  <c:v>DICIEMBRE</c:v>
                </c:pt>
              </c:strCache>
            </c:strRef>
          </c:cat>
          <c:val>
            <c:numRef>
              <c:f>'EscenarioDeProyecns Imp-Exp'!$N$66:$N$70</c:f>
              <c:numCache>
                <c:formatCode>#,##0.0</c:formatCode>
                <c:ptCount val="5"/>
                <c:pt idx="0">
                  <c:v>11.4</c:v>
                </c:pt>
                <c:pt idx="1">
                  <c:v>1.4000000000000004</c:v>
                </c:pt>
                <c:pt idx="2">
                  <c:v>-0.59999999999999964</c:v>
                </c:pt>
                <c:pt idx="3">
                  <c:v>-0.59999999999999964</c:v>
                </c:pt>
                <c:pt idx="4">
                  <c:v>-0.59999999999999964</c:v>
                </c:pt>
              </c:numCache>
            </c:numRef>
          </c:val>
          <c:smooth val="1"/>
          <c:extLst xmlns:c16r2="http://schemas.microsoft.com/office/drawing/2015/06/chart">
            <c:ext xmlns:c16="http://schemas.microsoft.com/office/drawing/2014/chart" uri="{C3380CC4-5D6E-409C-BE32-E72D297353CC}">
              <c16:uniqueId val="{00000002-F584-4273-A5CE-E01DBB6F85A9}"/>
            </c:ext>
          </c:extLst>
        </c:ser>
        <c:dLbls>
          <c:showLegendKey val="0"/>
          <c:showVal val="0"/>
          <c:showCatName val="0"/>
          <c:showSerName val="0"/>
          <c:showPercent val="0"/>
          <c:showBubbleSize val="0"/>
        </c:dLbls>
        <c:marker val="1"/>
        <c:smooth val="0"/>
        <c:axId val="247760768"/>
        <c:axId val="247762304"/>
      </c:lineChart>
      <c:catAx>
        <c:axId val="2477607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8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47762304"/>
        <c:crosses val="autoZero"/>
        <c:auto val="1"/>
        <c:lblAlgn val="ctr"/>
        <c:lblOffset val="100"/>
        <c:noMultiLvlLbl val="0"/>
      </c:catAx>
      <c:valAx>
        <c:axId val="2477623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47760768"/>
        <c:crosses val="autoZero"/>
        <c:crossBetween val="between"/>
      </c:valAx>
      <c:spPr>
        <a:noFill/>
        <a:ln>
          <a:noFill/>
        </a:ln>
        <a:effectLst/>
      </c:spPr>
    </c:plotArea>
    <c:legend>
      <c:legendPos val="b"/>
      <c:layout>
        <c:manualLayout>
          <c:xMode val="edge"/>
          <c:yMode val="edge"/>
          <c:x val="1.21258038621461E-3"/>
          <c:y val="0.87735983163821663"/>
          <c:w val="0.99757483922757073"/>
          <c:h val="0.122640168361783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0.81088</cdr:x>
      <cdr:y>0.05209</cdr:y>
    </cdr:from>
    <cdr:to>
      <cdr:x>0.96438</cdr:x>
      <cdr:y>0.81259</cdr:y>
    </cdr:to>
    <cdr:sp macro="" textlink="">
      <cdr:nvSpPr>
        <cdr:cNvPr id="2" name="Rectángulo redondeado 1"/>
        <cdr:cNvSpPr/>
      </cdr:nvSpPr>
      <cdr:spPr>
        <a:xfrm xmlns:a="http://schemas.openxmlformats.org/drawingml/2006/main">
          <a:off x="4510600" y="129398"/>
          <a:ext cx="853880" cy="1889173"/>
        </a:xfrm>
        <a:prstGeom xmlns:a="http://schemas.openxmlformats.org/drawingml/2006/main" prst="roundRect">
          <a:avLst/>
        </a:prstGeom>
        <a:solidFill xmlns:a="http://schemas.openxmlformats.org/drawingml/2006/main">
          <a:schemeClr val="accent1">
            <a:alpha val="12000"/>
          </a:schemeClr>
        </a:solidFill>
        <a:ln xmlns:a="http://schemas.openxmlformats.org/drawingml/2006/main" w="3175">
          <a:solidFill>
            <a:schemeClr val="accent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drawings/drawing10.xml><?xml version="1.0" encoding="utf-8"?>
<c:userShapes xmlns:c="http://schemas.openxmlformats.org/drawingml/2006/chart">
  <cdr:relSizeAnchor xmlns:cdr="http://schemas.openxmlformats.org/drawingml/2006/chartDrawing">
    <cdr:from>
      <cdr:x>0.18892</cdr:x>
      <cdr:y>0.25901</cdr:y>
    </cdr:from>
    <cdr:to>
      <cdr:x>0.97745</cdr:x>
      <cdr:y>0.77977</cdr:y>
    </cdr:to>
    <cdr:sp macro="" textlink="">
      <cdr:nvSpPr>
        <cdr:cNvPr id="2" name="Rectángulo 1"/>
        <cdr:cNvSpPr/>
      </cdr:nvSpPr>
      <cdr:spPr>
        <a:xfrm xmlns:a="http://schemas.openxmlformats.org/drawingml/2006/main">
          <a:off x="1149857" y="771864"/>
          <a:ext cx="4799368" cy="1551893"/>
        </a:xfrm>
        <a:prstGeom xmlns:a="http://schemas.openxmlformats.org/drawingml/2006/main" prst="rect">
          <a:avLst/>
        </a:prstGeom>
        <a:solidFill xmlns:a="http://schemas.openxmlformats.org/drawingml/2006/main">
          <a:schemeClr val="accent6">
            <a:alpha val="1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0.18991</cdr:x>
      <cdr:y>0.78525</cdr:y>
    </cdr:from>
    <cdr:to>
      <cdr:x>0.97797</cdr:x>
      <cdr:y>0.85264</cdr:y>
    </cdr:to>
    <cdr:sp macro="" textlink="">
      <cdr:nvSpPr>
        <cdr:cNvPr id="4" name="Rectángulo 3"/>
        <cdr:cNvSpPr/>
      </cdr:nvSpPr>
      <cdr:spPr>
        <a:xfrm xmlns:a="http://schemas.openxmlformats.org/drawingml/2006/main" flipV="1">
          <a:off x="1055553" y="1919233"/>
          <a:ext cx="4380160" cy="164710"/>
        </a:xfrm>
        <a:prstGeom xmlns:a="http://schemas.openxmlformats.org/drawingml/2006/main" prst="rect">
          <a:avLst/>
        </a:prstGeom>
        <a:solidFill xmlns:a="http://schemas.openxmlformats.org/drawingml/2006/main">
          <a:srgbClr val="FF0000">
            <a:alpha val="1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userShapes>
</file>

<file path=word/drawings/drawing11.xml><?xml version="1.0" encoding="utf-8"?>
<c:userShapes xmlns:c="http://schemas.openxmlformats.org/drawingml/2006/chart">
  <cdr:relSizeAnchor xmlns:cdr="http://schemas.openxmlformats.org/drawingml/2006/chartDrawing">
    <cdr:from>
      <cdr:x>0.23578</cdr:x>
      <cdr:y>0.17349</cdr:y>
    </cdr:from>
    <cdr:to>
      <cdr:x>0.96883</cdr:x>
      <cdr:y>0.49093</cdr:y>
    </cdr:to>
    <cdr:grpSp>
      <cdr:nvGrpSpPr>
        <cdr:cNvPr id="2" name="Grupo 1">
          <a:extLst xmlns:a="http://schemas.openxmlformats.org/drawingml/2006/main">
            <a:ext uri="{FF2B5EF4-FFF2-40B4-BE49-F238E27FC236}">
              <a16:creationId xmlns="" xmlns:a16="http://schemas.microsoft.com/office/drawing/2014/main" id="{814F5EB4-73E4-47CF-A7E3-94C42C471A88}"/>
            </a:ext>
          </a:extLst>
        </cdr:cNvPr>
        <cdr:cNvGrpSpPr/>
      </cdr:nvGrpSpPr>
      <cdr:grpSpPr>
        <a:xfrm xmlns:a="http://schemas.openxmlformats.org/drawingml/2006/main">
          <a:off x="1295959" y="294149"/>
          <a:ext cx="4029253" cy="538191"/>
          <a:chOff x="609146" y="786882"/>
          <a:chExt cx="4714396" cy="368523"/>
        </a:xfrm>
      </cdr:grpSpPr>
      <cdr:sp macro="" textlink="">
        <cdr:nvSpPr>
          <cdr:cNvPr id="3" name="Rectángulo 2"/>
          <cdr:cNvSpPr/>
        </cdr:nvSpPr>
        <cdr:spPr>
          <a:xfrm xmlns:a="http://schemas.openxmlformats.org/drawingml/2006/main">
            <a:off x="609146" y="786882"/>
            <a:ext cx="4714396" cy="368523"/>
          </a:xfrm>
          <a:prstGeom xmlns:a="http://schemas.openxmlformats.org/drawingml/2006/main" prst="rect">
            <a:avLst/>
          </a:prstGeom>
          <a:solidFill xmlns:a="http://schemas.openxmlformats.org/drawingml/2006/main">
            <a:srgbClr val="FF0000">
              <a:alpha val="10000"/>
            </a:srgbClr>
          </a:solidFill>
          <a:ln xmlns:a="http://schemas.openxmlformats.org/drawingml/2006/main">
            <a:noFill/>
          </a:ln>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es-GT"/>
          </a:p>
        </cdr:txBody>
      </cdr:sp>
    </cdr:grpSp>
  </cdr:relSizeAnchor>
  <cdr:relSizeAnchor xmlns:cdr="http://schemas.openxmlformats.org/drawingml/2006/chartDrawing">
    <cdr:from>
      <cdr:x>0.23657</cdr:x>
      <cdr:y>0.66033</cdr:y>
    </cdr:from>
    <cdr:to>
      <cdr:x>0.97061</cdr:x>
      <cdr:y>0.82627</cdr:y>
    </cdr:to>
    <cdr:sp macro="" textlink="">
      <cdr:nvSpPr>
        <cdr:cNvPr id="5" name="Rectángulo 4"/>
        <cdr:cNvSpPr/>
      </cdr:nvSpPr>
      <cdr:spPr>
        <a:xfrm xmlns:a="http://schemas.openxmlformats.org/drawingml/2006/main">
          <a:off x="1300317" y="1119552"/>
          <a:ext cx="4034695" cy="281355"/>
        </a:xfrm>
        <a:prstGeom xmlns:a="http://schemas.openxmlformats.org/drawingml/2006/main" prst="rect">
          <a:avLst/>
        </a:prstGeom>
        <a:solidFill xmlns:a="http://schemas.openxmlformats.org/drawingml/2006/main">
          <a:schemeClr val="accent6">
            <a:alpha val="1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0.24733</cdr:x>
      <cdr:y>0.48142</cdr:y>
    </cdr:from>
    <cdr:to>
      <cdr:x>0.9735</cdr:x>
      <cdr:y>0.66724</cdr:y>
    </cdr:to>
    <cdr:sp macro="" textlink="">
      <cdr:nvSpPr>
        <cdr:cNvPr id="6" name="Rectángulo 5"/>
        <cdr:cNvSpPr/>
      </cdr:nvSpPr>
      <cdr:spPr>
        <a:xfrm xmlns:a="http://schemas.openxmlformats.org/drawingml/2006/main">
          <a:off x="1359459" y="816217"/>
          <a:ext cx="3991437" cy="315060"/>
        </a:xfrm>
        <a:prstGeom xmlns:a="http://schemas.openxmlformats.org/drawingml/2006/main" prst="rect">
          <a:avLst/>
        </a:prstGeom>
        <a:solidFill xmlns:a="http://schemas.openxmlformats.org/drawingml/2006/main">
          <a:schemeClr val="accent4">
            <a:alpha val="1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userShapes>
</file>

<file path=word/drawings/drawing12.xml><?xml version="1.0" encoding="utf-8"?>
<c:userShapes xmlns:c="http://schemas.openxmlformats.org/drawingml/2006/chart">
  <cdr:relSizeAnchor xmlns:cdr="http://schemas.openxmlformats.org/drawingml/2006/chartDrawing">
    <cdr:from>
      <cdr:x>0.24634</cdr:x>
      <cdr:y>0.26236</cdr:y>
    </cdr:from>
    <cdr:to>
      <cdr:x>0.96456</cdr:x>
      <cdr:y>0.53404</cdr:y>
    </cdr:to>
    <cdr:grpSp>
      <cdr:nvGrpSpPr>
        <cdr:cNvPr id="2" name="Grupo 1"/>
        <cdr:cNvGrpSpPr/>
      </cdr:nvGrpSpPr>
      <cdr:grpSpPr>
        <a:xfrm xmlns:a="http://schemas.openxmlformats.org/drawingml/2006/main">
          <a:off x="1354023" y="475140"/>
          <a:ext cx="3947739" cy="492014"/>
          <a:chOff x="-202475" y="1111014"/>
          <a:chExt cx="5516044" cy="460634"/>
        </a:xfrm>
      </cdr:grpSpPr>
      <cdr:sp macro="" textlink="">
        <cdr:nvSpPr>
          <cdr:cNvPr id="3" name="Rectángulo 2"/>
          <cdr:cNvSpPr/>
        </cdr:nvSpPr>
        <cdr:spPr>
          <a:xfrm xmlns:a="http://schemas.openxmlformats.org/drawingml/2006/main">
            <a:off x="-202475" y="1111014"/>
            <a:ext cx="5516044" cy="460634"/>
          </a:xfrm>
          <a:prstGeom xmlns:a="http://schemas.openxmlformats.org/drawingml/2006/main" prst="rect">
            <a:avLst/>
          </a:prstGeom>
          <a:solidFill xmlns:a="http://schemas.openxmlformats.org/drawingml/2006/main">
            <a:srgbClr val="FF0000">
              <a:alpha val="10000"/>
            </a:srgbClr>
          </a:solidFill>
          <a:ln xmlns:a="http://schemas.openxmlformats.org/drawingml/2006/main">
            <a:noFill/>
          </a:ln>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es-GT"/>
          </a:p>
        </cdr:txBody>
      </cdr:sp>
    </cdr:grpSp>
  </cdr:relSizeAnchor>
  <cdr:relSizeAnchor xmlns:cdr="http://schemas.openxmlformats.org/drawingml/2006/chartDrawing">
    <cdr:from>
      <cdr:x>0.24474</cdr:x>
      <cdr:y>0.5335</cdr:y>
    </cdr:from>
    <cdr:to>
      <cdr:x>0.96456</cdr:x>
      <cdr:y>0.63524</cdr:y>
    </cdr:to>
    <cdr:grpSp>
      <cdr:nvGrpSpPr>
        <cdr:cNvPr id="4" name="Grupo 3"/>
        <cdr:cNvGrpSpPr/>
      </cdr:nvGrpSpPr>
      <cdr:grpSpPr>
        <a:xfrm xmlns:a="http://schemas.openxmlformats.org/drawingml/2006/main">
          <a:off x="1345228" y="966172"/>
          <a:ext cx="3956534" cy="184254"/>
          <a:chOff x="-2400138" y="1934018"/>
          <a:chExt cx="7707369" cy="395282"/>
        </a:xfrm>
        <a:solidFill xmlns:a="http://schemas.openxmlformats.org/drawingml/2006/main">
          <a:schemeClr val="accent4">
            <a:alpha val="10000"/>
          </a:schemeClr>
        </a:solidFill>
      </cdr:grpSpPr>
      <cdr:sp macro="" textlink="">
        <cdr:nvSpPr>
          <cdr:cNvPr id="5" name="Rectángulo 4"/>
          <cdr:cNvSpPr/>
        </cdr:nvSpPr>
        <cdr:spPr>
          <a:xfrm xmlns:a="http://schemas.openxmlformats.org/drawingml/2006/main">
            <a:off x="-2400138" y="1934018"/>
            <a:ext cx="7707369" cy="395282"/>
          </a:xfrm>
          <a:prstGeom xmlns:a="http://schemas.openxmlformats.org/drawingml/2006/main" prst="rect">
            <a:avLst/>
          </a:prstGeom>
          <a:grpFill xmlns:a="http://schemas.openxmlformats.org/drawingml/2006/main"/>
          <a:ln xmlns:a="http://schemas.openxmlformats.org/drawingml/2006/main">
            <a:noFill/>
          </a:ln>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es-GT"/>
          </a:p>
        </cdr:txBody>
      </cdr:sp>
    </cdr:grpSp>
  </cdr:relSizeAnchor>
  <cdr:relSizeAnchor xmlns:cdr="http://schemas.openxmlformats.org/drawingml/2006/chartDrawing">
    <cdr:from>
      <cdr:x>0.24954</cdr:x>
      <cdr:y>0.62657</cdr:y>
    </cdr:from>
    <cdr:to>
      <cdr:x>0.96136</cdr:x>
      <cdr:y>0.8318</cdr:y>
    </cdr:to>
    <cdr:grpSp>
      <cdr:nvGrpSpPr>
        <cdr:cNvPr id="6" name="Grupo 5"/>
        <cdr:cNvGrpSpPr/>
      </cdr:nvGrpSpPr>
      <cdr:grpSpPr>
        <a:xfrm xmlns:a="http://schemas.openxmlformats.org/drawingml/2006/main">
          <a:off x="1371600" y="1134726"/>
          <a:ext cx="3912577" cy="371689"/>
          <a:chOff x="-9628805" y="2744827"/>
          <a:chExt cx="15014015" cy="488899"/>
        </a:xfrm>
        <a:solidFill xmlns:a="http://schemas.openxmlformats.org/drawingml/2006/main">
          <a:schemeClr val="accent6">
            <a:alpha val="10000"/>
          </a:schemeClr>
        </a:solidFill>
      </cdr:grpSpPr>
      <cdr:sp macro="" textlink="">
        <cdr:nvSpPr>
          <cdr:cNvPr id="7" name="Rectángulo 6"/>
          <cdr:cNvSpPr/>
        </cdr:nvSpPr>
        <cdr:spPr>
          <a:xfrm xmlns:a="http://schemas.openxmlformats.org/drawingml/2006/main">
            <a:off x="-9628805" y="2744827"/>
            <a:ext cx="15014015" cy="488899"/>
          </a:xfrm>
          <a:prstGeom xmlns:a="http://schemas.openxmlformats.org/drawingml/2006/main" prst="rect">
            <a:avLst/>
          </a:prstGeom>
          <a:grpFill xmlns:a="http://schemas.openxmlformats.org/drawingml/2006/main"/>
          <a:ln xmlns:a="http://schemas.openxmlformats.org/drawingml/2006/main">
            <a:noFill/>
          </a:ln>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es-GT"/>
          </a:p>
        </cdr:txBody>
      </cdr:sp>
    </cdr:grpSp>
  </cdr:relSizeAnchor>
</c:userShapes>
</file>

<file path=word/drawings/drawing13.xml><?xml version="1.0" encoding="utf-8"?>
<c:userShapes xmlns:c="http://schemas.openxmlformats.org/drawingml/2006/chart">
  <cdr:relSizeAnchor xmlns:cdr="http://schemas.openxmlformats.org/drawingml/2006/chartDrawing">
    <cdr:from>
      <cdr:x>0.28614</cdr:x>
      <cdr:y>0.80801</cdr:y>
    </cdr:from>
    <cdr:to>
      <cdr:x>0.44295</cdr:x>
      <cdr:y>0.89605</cdr:y>
    </cdr:to>
    <cdr:sp macro="" textlink="">
      <cdr:nvSpPr>
        <cdr:cNvPr id="2" name="Cuadro de texto 1"/>
        <cdr:cNvSpPr txBox="1"/>
      </cdr:nvSpPr>
      <cdr:spPr>
        <a:xfrm xmlns:a="http://schemas.openxmlformats.org/drawingml/2006/main">
          <a:off x="1630907" y="1753737"/>
          <a:ext cx="893777" cy="191068"/>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s-GT" sz="800" b="1">
              <a:solidFill>
                <a:schemeClr val="tx1">
                  <a:lumMod val="65000"/>
                  <a:lumOff val="35000"/>
                </a:schemeClr>
              </a:solidFill>
              <a:latin typeface="Times New Roman" panose="02020603050405020304" pitchFamily="18" charset="0"/>
              <a:cs typeface="Times New Roman" panose="02020603050405020304" pitchFamily="18" charset="0"/>
            </a:rPr>
            <a:t>EMPORNAC</a:t>
          </a:r>
        </a:p>
      </cdr:txBody>
    </cdr:sp>
  </cdr:relSizeAnchor>
</c:userShapes>
</file>

<file path=word/drawings/drawing14.xml><?xml version="1.0" encoding="utf-8"?>
<c:userShapes xmlns:c="http://schemas.openxmlformats.org/drawingml/2006/chart">
  <cdr:relSizeAnchor xmlns:cdr="http://schemas.openxmlformats.org/drawingml/2006/chartDrawing">
    <cdr:from>
      <cdr:x>0.07369</cdr:x>
      <cdr:y>0.17837</cdr:y>
    </cdr:from>
    <cdr:to>
      <cdr:x>1</cdr:x>
      <cdr:y>0.50451</cdr:y>
    </cdr:to>
    <cdr:sp macro="" textlink="">
      <cdr:nvSpPr>
        <cdr:cNvPr id="2" name="Rectángulo 1">
          <a:extLst xmlns:a="http://schemas.openxmlformats.org/drawingml/2006/main">
            <a:ext uri="{FF2B5EF4-FFF2-40B4-BE49-F238E27FC236}">
              <a16:creationId xmlns="" xmlns:a16="http://schemas.microsoft.com/office/drawing/2014/main" id="{47DE632B-700F-4A56-A872-24FD2A499CAD}"/>
            </a:ext>
          </a:extLst>
        </cdr:cNvPr>
        <cdr:cNvSpPr/>
      </cdr:nvSpPr>
      <cdr:spPr>
        <a:xfrm xmlns:a="http://schemas.openxmlformats.org/drawingml/2006/main">
          <a:off x="206264" y="281018"/>
          <a:ext cx="2592816" cy="513807"/>
        </a:xfrm>
        <a:prstGeom xmlns:a="http://schemas.openxmlformats.org/drawingml/2006/main" prst="rect">
          <a:avLst/>
        </a:prstGeom>
        <a:solidFill xmlns:a="http://schemas.openxmlformats.org/drawingml/2006/main">
          <a:schemeClr val="accent6">
            <a:lumMod val="40000"/>
            <a:lumOff val="60000"/>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0.08178</cdr:x>
      <cdr:y>0.49952</cdr:y>
    </cdr:from>
    <cdr:to>
      <cdr:x>1</cdr:x>
      <cdr:y>0.79462</cdr:y>
    </cdr:to>
    <cdr:sp macro="" textlink="">
      <cdr:nvSpPr>
        <cdr:cNvPr id="3" name="Rectángulo 2">
          <a:extLst xmlns:a="http://schemas.openxmlformats.org/drawingml/2006/main">
            <a:ext uri="{FF2B5EF4-FFF2-40B4-BE49-F238E27FC236}">
              <a16:creationId xmlns="" xmlns:a16="http://schemas.microsoft.com/office/drawing/2014/main" id="{1E90AF85-207A-4D1D-AF8A-6F357D52DAE2}"/>
            </a:ext>
          </a:extLst>
        </cdr:cNvPr>
        <cdr:cNvSpPr/>
      </cdr:nvSpPr>
      <cdr:spPr>
        <a:xfrm xmlns:a="http://schemas.openxmlformats.org/drawingml/2006/main">
          <a:off x="228909" y="786954"/>
          <a:ext cx="2570171" cy="464924"/>
        </a:xfrm>
        <a:prstGeom xmlns:a="http://schemas.openxmlformats.org/drawingml/2006/main" prst="rect">
          <a:avLst/>
        </a:prstGeom>
        <a:solidFill xmlns:a="http://schemas.openxmlformats.org/drawingml/2006/main">
          <a:srgbClr val="FFD5D5">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0.8374</cdr:x>
      <cdr:y>0.1713</cdr:y>
    </cdr:from>
    <cdr:to>
      <cdr:x>1</cdr:x>
      <cdr:y>0.49558</cdr:y>
    </cdr:to>
    <cdr:sp macro="" textlink="">
      <cdr:nvSpPr>
        <cdr:cNvPr id="4" name="Rectángulo: esquinas redondeadas 3">
          <a:extLst xmlns:a="http://schemas.openxmlformats.org/drawingml/2006/main">
            <a:ext uri="{FF2B5EF4-FFF2-40B4-BE49-F238E27FC236}">
              <a16:creationId xmlns="" xmlns:a16="http://schemas.microsoft.com/office/drawing/2014/main" id="{00B57FA4-A8DC-4750-A3A4-24DB9DE44CCE}"/>
            </a:ext>
          </a:extLst>
        </cdr:cNvPr>
        <cdr:cNvSpPr/>
      </cdr:nvSpPr>
      <cdr:spPr>
        <a:xfrm xmlns:a="http://schemas.openxmlformats.org/drawingml/2006/main">
          <a:off x="2532184" y="269872"/>
          <a:ext cx="491685" cy="510885"/>
        </a:xfrm>
        <a:prstGeom xmlns:a="http://schemas.openxmlformats.org/drawingml/2006/main" prst="roundRect">
          <a:avLst/>
        </a:prstGeom>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s-GT" sz="500"/>
            <a:t>Superavit</a:t>
          </a:r>
        </a:p>
      </cdr:txBody>
    </cdr:sp>
  </cdr:relSizeAnchor>
  <cdr:relSizeAnchor xmlns:cdr="http://schemas.openxmlformats.org/drawingml/2006/chartDrawing">
    <cdr:from>
      <cdr:x>0.8369</cdr:x>
      <cdr:y>0.49856</cdr:y>
    </cdr:from>
    <cdr:to>
      <cdr:x>1</cdr:x>
      <cdr:y>0.77462</cdr:y>
    </cdr:to>
    <cdr:sp macro="" textlink="">
      <cdr:nvSpPr>
        <cdr:cNvPr id="5" name="Rectángulo: esquinas redondeadas 4">
          <a:extLst xmlns:a="http://schemas.openxmlformats.org/drawingml/2006/main">
            <a:ext uri="{FF2B5EF4-FFF2-40B4-BE49-F238E27FC236}">
              <a16:creationId xmlns="" xmlns:a16="http://schemas.microsoft.com/office/drawing/2014/main" id="{18E5FCCE-79F8-4C17-81A3-33D4004FBE42}"/>
            </a:ext>
          </a:extLst>
        </cdr:cNvPr>
        <cdr:cNvSpPr/>
      </cdr:nvSpPr>
      <cdr:spPr>
        <a:xfrm xmlns:a="http://schemas.openxmlformats.org/drawingml/2006/main">
          <a:off x="2530670" y="785446"/>
          <a:ext cx="493200" cy="434917"/>
        </a:xfrm>
        <a:prstGeom xmlns:a="http://schemas.openxmlformats.org/drawingml/2006/main" prst="roundRect">
          <a:avLst/>
        </a:prstGeom>
        <a:solidFill xmlns:a="http://schemas.openxmlformats.org/drawingml/2006/main">
          <a:srgbClr val="C00000"/>
        </a:solidFill>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500"/>
            <a:t>Déficit</a:t>
          </a:r>
        </a:p>
      </cdr:txBody>
    </cdr:sp>
  </cdr:relSizeAnchor>
</c:userShapes>
</file>

<file path=word/drawings/drawing15.xml><?xml version="1.0" encoding="utf-8"?>
<c:userShapes xmlns:c="http://schemas.openxmlformats.org/drawingml/2006/chart">
  <cdr:relSizeAnchor xmlns:cdr="http://schemas.openxmlformats.org/drawingml/2006/chartDrawing">
    <cdr:from>
      <cdr:x>0.06803</cdr:x>
      <cdr:y>0.17422</cdr:y>
    </cdr:from>
    <cdr:to>
      <cdr:x>0.85713</cdr:x>
      <cdr:y>0.65028</cdr:y>
    </cdr:to>
    <cdr:sp macro="" textlink="">
      <cdr:nvSpPr>
        <cdr:cNvPr id="2" name="Rectángulo 1">
          <a:extLst xmlns:a="http://schemas.openxmlformats.org/drawingml/2006/main">
            <a:ext uri="{FF2B5EF4-FFF2-40B4-BE49-F238E27FC236}">
              <a16:creationId xmlns="" xmlns:a16="http://schemas.microsoft.com/office/drawing/2014/main" id="{47DE632B-700F-4A56-A872-24FD2A499CAD}"/>
            </a:ext>
          </a:extLst>
        </cdr:cNvPr>
        <cdr:cNvSpPr/>
      </cdr:nvSpPr>
      <cdr:spPr>
        <a:xfrm xmlns:a="http://schemas.openxmlformats.org/drawingml/2006/main">
          <a:off x="202128" y="269715"/>
          <a:ext cx="2344547" cy="737003"/>
        </a:xfrm>
        <a:prstGeom xmlns:a="http://schemas.openxmlformats.org/drawingml/2006/main" prst="rect">
          <a:avLst/>
        </a:prstGeom>
        <a:solidFill xmlns:a="http://schemas.openxmlformats.org/drawingml/2006/main">
          <a:schemeClr val="accent6">
            <a:lumMod val="40000"/>
            <a:lumOff val="60000"/>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0.07842</cdr:x>
      <cdr:y>0.66448</cdr:y>
    </cdr:from>
    <cdr:to>
      <cdr:x>1</cdr:x>
      <cdr:y>0.78658</cdr:y>
    </cdr:to>
    <cdr:sp macro="" textlink="">
      <cdr:nvSpPr>
        <cdr:cNvPr id="3" name="Rectángulo 2">
          <a:extLst xmlns:a="http://schemas.openxmlformats.org/drawingml/2006/main">
            <a:ext uri="{FF2B5EF4-FFF2-40B4-BE49-F238E27FC236}">
              <a16:creationId xmlns="" xmlns:a16="http://schemas.microsoft.com/office/drawing/2014/main" id="{1E90AF85-207A-4D1D-AF8A-6F357D52DAE2}"/>
            </a:ext>
          </a:extLst>
        </cdr:cNvPr>
        <cdr:cNvSpPr/>
      </cdr:nvSpPr>
      <cdr:spPr>
        <a:xfrm xmlns:a="http://schemas.openxmlformats.org/drawingml/2006/main">
          <a:off x="232997" y="1028699"/>
          <a:ext cx="2738168" cy="189035"/>
        </a:xfrm>
        <a:prstGeom xmlns:a="http://schemas.openxmlformats.org/drawingml/2006/main" prst="rect">
          <a:avLst/>
        </a:prstGeom>
        <a:solidFill xmlns:a="http://schemas.openxmlformats.org/drawingml/2006/main">
          <a:srgbClr val="FFD5D5">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0.8369</cdr:x>
      <cdr:y>0.18391</cdr:y>
    </cdr:from>
    <cdr:to>
      <cdr:x>1</cdr:x>
      <cdr:y>0.66448</cdr:y>
    </cdr:to>
    <cdr:sp macro="" textlink="">
      <cdr:nvSpPr>
        <cdr:cNvPr id="4" name="Rectángulo: esquinas redondeadas 3">
          <a:extLst xmlns:a="http://schemas.openxmlformats.org/drawingml/2006/main">
            <a:ext uri="{FF2B5EF4-FFF2-40B4-BE49-F238E27FC236}">
              <a16:creationId xmlns="" xmlns:a16="http://schemas.microsoft.com/office/drawing/2014/main" id="{00B57FA4-A8DC-4750-A3A4-24DB9DE44CCE}"/>
            </a:ext>
          </a:extLst>
        </cdr:cNvPr>
        <cdr:cNvSpPr/>
      </cdr:nvSpPr>
      <cdr:spPr>
        <a:xfrm xmlns:a="http://schemas.openxmlformats.org/drawingml/2006/main">
          <a:off x="2486568" y="284717"/>
          <a:ext cx="484597" cy="743983"/>
        </a:xfrm>
        <a:prstGeom xmlns:a="http://schemas.openxmlformats.org/drawingml/2006/main" prst="roundRect">
          <a:avLst/>
        </a:prstGeom>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s-GT" sz="500"/>
            <a:t>Superavit</a:t>
          </a:r>
        </a:p>
      </cdr:txBody>
    </cdr:sp>
  </cdr:relSizeAnchor>
  <cdr:relSizeAnchor xmlns:cdr="http://schemas.openxmlformats.org/drawingml/2006/chartDrawing">
    <cdr:from>
      <cdr:x>0.8369</cdr:x>
      <cdr:y>0.66448</cdr:y>
    </cdr:from>
    <cdr:to>
      <cdr:x>1</cdr:x>
      <cdr:y>0.77807</cdr:y>
    </cdr:to>
    <cdr:sp macro="" textlink="">
      <cdr:nvSpPr>
        <cdr:cNvPr id="5" name="Rectángulo: esquinas redondeadas 4">
          <a:extLst xmlns:a="http://schemas.openxmlformats.org/drawingml/2006/main">
            <a:ext uri="{FF2B5EF4-FFF2-40B4-BE49-F238E27FC236}">
              <a16:creationId xmlns="" xmlns:a16="http://schemas.microsoft.com/office/drawing/2014/main" id="{18E5FCCE-79F8-4C17-81A3-33D4004FBE42}"/>
            </a:ext>
          </a:extLst>
        </cdr:cNvPr>
        <cdr:cNvSpPr/>
      </cdr:nvSpPr>
      <cdr:spPr>
        <a:xfrm xmlns:a="http://schemas.openxmlformats.org/drawingml/2006/main">
          <a:off x="2486568" y="1028700"/>
          <a:ext cx="484597" cy="175846"/>
        </a:xfrm>
        <a:prstGeom xmlns:a="http://schemas.openxmlformats.org/drawingml/2006/main" prst="roundRect">
          <a:avLst/>
        </a:prstGeom>
        <a:solidFill xmlns:a="http://schemas.openxmlformats.org/drawingml/2006/main">
          <a:srgbClr val="C00000"/>
        </a:solidFill>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500"/>
            <a:t>Déficit</a:t>
          </a:r>
        </a:p>
      </cdr:txBody>
    </cdr:sp>
  </cdr:relSizeAnchor>
</c:userShapes>
</file>

<file path=word/drawings/drawing16.xml><?xml version="1.0" encoding="utf-8"?>
<c:userShapes xmlns:c="http://schemas.openxmlformats.org/drawingml/2006/chart">
  <cdr:relSizeAnchor xmlns:cdr="http://schemas.openxmlformats.org/drawingml/2006/chartDrawing">
    <cdr:from>
      <cdr:x>0.08287</cdr:x>
      <cdr:y>0.16268</cdr:y>
    </cdr:from>
    <cdr:to>
      <cdr:x>1</cdr:x>
      <cdr:y>0.55175</cdr:y>
    </cdr:to>
    <cdr:sp macro="" textlink="">
      <cdr:nvSpPr>
        <cdr:cNvPr id="2" name="Rectángulo 1">
          <a:extLst xmlns:a="http://schemas.openxmlformats.org/drawingml/2006/main">
            <a:ext uri="{FF2B5EF4-FFF2-40B4-BE49-F238E27FC236}">
              <a16:creationId xmlns="" xmlns:a16="http://schemas.microsoft.com/office/drawing/2014/main" id="{47DE632B-700F-4A56-A872-24FD2A499CAD}"/>
            </a:ext>
          </a:extLst>
        </cdr:cNvPr>
        <cdr:cNvSpPr/>
      </cdr:nvSpPr>
      <cdr:spPr>
        <a:xfrm xmlns:a="http://schemas.openxmlformats.org/drawingml/2006/main">
          <a:off x="250581" y="256492"/>
          <a:ext cx="2773289" cy="613458"/>
        </a:xfrm>
        <a:prstGeom xmlns:a="http://schemas.openxmlformats.org/drawingml/2006/main" prst="rect">
          <a:avLst/>
        </a:prstGeom>
        <a:solidFill xmlns:a="http://schemas.openxmlformats.org/drawingml/2006/main">
          <a:schemeClr val="accent6">
            <a:lumMod val="40000"/>
            <a:lumOff val="60000"/>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0.07124</cdr:x>
      <cdr:y>0.55764</cdr:y>
    </cdr:from>
    <cdr:to>
      <cdr:x>1</cdr:x>
      <cdr:y>0.78496</cdr:y>
    </cdr:to>
    <cdr:sp macro="" textlink="">
      <cdr:nvSpPr>
        <cdr:cNvPr id="3" name="Rectángulo 2">
          <a:extLst xmlns:a="http://schemas.openxmlformats.org/drawingml/2006/main">
            <a:ext uri="{FF2B5EF4-FFF2-40B4-BE49-F238E27FC236}">
              <a16:creationId xmlns="" xmlns:a16="http://schemas.microsoft.com/office/drawing/2014/main" id="{1E90AF85-207A-4D1D-AF8A-6F357D52DAE2}"/>
            </a:ext>
          </a:extLst>
        </cdr:cNvPr>
        <cdr:cNvSpPr/>
      </cdr:nvSpPr>
      <cdr:spPr>
        <a:xfrm xmlns:a="http://schemas.openxmlformats.org/drawingml/2006/main">
          <a:off x="215412" y="879231"/>
          <a:ext cx="2808458" cy="358412"/>
        </a:xfrm>
        <a:prstGeom xmlns:a="http://schemas.openxmlformats.org/drawingml/2006/main" prst="rect">
          <a:avLst/>
        </a:prstGeom>
        <a:solidFill xmlns:a="http://schemas.openxmlformats.org/drawingml/2006/main">
          <a:srgbClr val="FFD5D5">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0.8369</cdr:x>
      <cdr:y>0.17866</cdr:y>
    </cdr:from>
    <cdr:to>
      <cdr:x>1</cdr:x>
      <cdr:y>0.55176</cdr:y>
    </cdr:to>
    <cdr:sp macro="" textlink="">
      <cdr:nvSpPr>
        <cdr:cNvPr id="4" name="Rectángulo: esquinas redondeadas 3">
          <a:extLst xmlns:a="http://schemas.openxmlformats.org/drawingml/2006/main">
            <a:ext uri="{FF2B5EF4-FFF2-40B4-BE49-F238E27FC236}">
              <a16:creationId xmlns="" xmlns:a16="http://schemas.microsoft.com/office/drawing/2014/main" id="{00B57FA4-A8DC-4750-A3A4-24DB9DE44CCE}"/>
            </a:ext>
          </a:extLst>
        </cdr:cNvPr>
        <cdr:cNvSpPr/>
      </cdr:nvSpPr>
      <cdr:spPr>
        <a:xfrm xmlns:a="http://schemas.openxmlformats.org/drawingml/2006/main">
          <a:off x="2649416" y="281694"/>
          <a:ext cx="493200" cy="588269"/>
        </a:xfrm>
        <a:prstGeom xmlns:a="http://schemas.openxmlformats.org/drawingml/2006/main" prst="roundRect">
          <a:avLst/>
        </a:prstGeom>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s-GT" sz="500"/>
            <a:t>Superavit</a:t>
          </a:r>
        </a:p>
      </cdr:txBody>
    </cdr:sp>
  </cdr:relSizeAnchor>
  <cdr:relSizeAnchor xmlns:cdr="http://schemas.openxmlformats.org/drawingml/2006/chartDrawing">
    <cdr:from>
      <cdr:x>0.8369</cdr:x>
      <cdr:y>0.55392</cdr:y>
    </cdr:from>
    <cdr:to>
      <cdr:x>1</cdr:x>
      <cdr:y>0.8117</cdr:y>
    </cdr:to>
    <cdr:sp macro="" textlink="">
      <cdr:nvSpPr>
        <cdr:cNvPr id="5" name="Rectángulo: esquinas redondeadas 4">
          <a:extLst xmlns:a="http://schemas.openxmlformats.org/drawingml/2006/main">
            <a:ext uri="{FF2B5EF4-FFF2-40B4-BE49-F238E27FC236}">
              <a16:creationId xmlns="" xmlns:a16="http://schemas.microsoft.com/office/drawing/2014/main" id="{18E5FCCE-79F8-4C17-81A3-33D4004FBE42}"/>
            </a:ext>
          </a:extLst>
        </cdr:cNvPr>
        <cdr:cNvSpPr/>
      </cdr:nvSpPr>
      <cdr:spPr>
        <a:xfrm xmlns:a="http://schemas.openxmlformats.org/drawingml/2006/main">
          <a:off x="2530670" y="873369"/>
          <a:ext cx="493200" cy="406442"/>
        </a:xfrm>
        <a:prstGeom xmlns:a="http://schemas.openxmlformats.org/drawingml/2006/main" prst="roundRect">
          <a:avLst/>
        </a:prstGeom>
        <a:solidFill xmlns:a="http://schemas.openxmlformats.org/drawingml/2006/main">
          <a:srgbClr val="C00000"/>
        </a:solidFill>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500"/>
            <a:t>Déficit</a:t>
          </a:r>
        </a:p>
      </cdr:txBody>
    </cdr:sp>
  </cdr:relSizeAnchor>
</c:userShapes>
</file>

<file path=word/drawings/drawing17.xml><?xml version="1.0" encoding="utf-8"?>
<c:userShapes xmlns:c="http://schemas.openxmlformats.org/drawingml/2006/chart">
  <cdr:relSizeAnchor xmlns:cdr="http://schemas.openxmlformats.org/drawingml/2006/chartDrawing">
    <cdr:from>
      <cdr:x>0.04982</cdr:x>
      <cdr:y>0.17844</cdr:y>
    </cdr:from>
    <cdr:to>
      <cdr:x>1</cdr:x>
      <cdr:y>0.57994</cdr:y>
    </cdr:to>
    <cdr:sp macro="" textlink="">
      <cdr:nvSpPr>
        <cdr:cNvPr id="2" name="Rectángulo 1">
          <a:extLst xmlns:a="http://schemas.openxmlformats.org/drawingml/2006/main">
            <a:ext uri="{FF2B5EF4-FFF2-40B4-BE49-F238E27FC236}">
              <a16:creationId xmlns="" xmlns:a16="http://schemas.microsoft.com/office/drawing/2014/main" id="{47DE632B-700F-4A56-A872-24FD2A499CAD}"/>
            </a:ext>
          </a:extLst>
        </cdr:cNvPr>
        <cdr:cNvSpPr/>
      </cdr:nvSpPr>
      <cdr:spPr>
        <a:xfrm xmlns:a="http://schemas.openxmlformats.org/drawingml/2006/main">
          <a:off x="150649" y="281355"/>
          <a:ext cx="2873221" cy="633040"/>
        </a:xfrm>
        <a:prstGeom xmlns:a="http://schemas.openxmlformats.org/drawingml/2006/main" prst="rect">
          <a:avLst/>
        </a:prstGeom>
        <a:solidFill xmlns:a="http://schemas.openxmlformats.org/drawingml/2006/main">
          <a:schemeClr val="accent6">
            <a:lumMod val="40000"/>
            <a:lumOff val="60000"/>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0.04361</cdr:x>
      <cdr:y>0.57837</cdr:y>
    </cdr:from>
    <cdr:to>
      <cdr:x>1</cdr:x>
      <cdr:y>0.7927</cdr:y>
    </cdr:to>
    <cdr:sp macro="" textlink="">
      <cdr:nvSpPr>
        <cdr:cNvPr id="3" name="Rectángulo 2">
          <a:extLst xmlns:a="http://schemas.openxmlformats.org/drawingml/2006/main">
            <a:ext uri="{FF2B5EF4-FFF2-40B4-BE49-F238E27FC236}">
              <a16:creationId xmlns="" xmlns:a16="http://schemas.microsoft.com/office/drawing/2014/main" id="{1E90AF85-207A-4D1D-AF8A-6F357D52DAE2}"/>
            </a:ext>
          </a:extLst>
        </cdr:cNvPr>
        <cdr:cNvSpPr/>
      </cdr:nvSpPr>
      <cdr:spPr>
        <a:xfrm xmlns:a="http://schemas.openxmlformats.org/drawingml/2006/main">
          <a:off x="131871" y="911926"/>
          <a:ext cx="2891999" cy="337933"/>
        </a:xfrm>
        <a:prstGeom xmlns:a="http://schemas.openxmlformats.org/drawingml/2006/main" prst="rect">
          <a:avLst/>
        </a:prstGeom>
        <a:solidFill xmlns:a="http://schemas.openxmlformats.org/drawingml/2006/main">
          <a:srgbClr val="FFD5D5">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0.8369</cdr:x>
      <cdr:y>0.17866</cdr:y>
    </cdr:from>
    <cdr:to>
      <cdr:x>1</cdr:x>
      <cdr:y>0.58337</cdr:y>
    </cdr:to>
    <cdr:sp macro="" textlink="">
      <cdr:nvSpPr>
        <cdr:cNvPr id="4" name="Rectángulo: esquinas redondeadas 3">
          <a:extLst xmlns:a="http://schemas.openxmlformats.org/drawingml/2006/main">
            <a:ext uri="{FF2B5EF4-FFF2-40B4-BE49-F238E27FC236}">
              <a16:creationId xmlns="" xmlns:a16="http://schemas.microsoft.com/office/drawing/2014/main" id="{00B57FA4-A8DC-4750-A3A4-24DB9DE44CCE}"/>
            </a:ext>
          </a:extLst>
        </cdr:cNvPr>
        <cdr:cNvSpPr/>
      </cdr:nvSpPr>
      <cdr:spPr>
        <a:xfrm xmlns:a="http://schemas.openxmlformats.org/drawingml/2006/main">
          <a:off x="2530670" y="281694"/>
          <a:ext cx="493200" cy="638116"/>
        </a:xfrm>
        <a:prstGeom xmlns:a="http://schemas.openxmlformats.org/drawingml/2006/main" prst="roundRect">
          <a:avLst/>
        </a:prstGeom>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s-GT" sz="500"/>
            <a:t>Superavit</a:t>
          </a:r>
        </a:p>
      </cdr:txBody>
    </cdr:sp>
  </cdr:relSizeAnchor>
  <cdr:relSizeAnchor xmlns:cdr="http://schemas.openxmlformats.org/drawingml/2006/chartDrawing">
    <cdr:from>
      <cdr:x>0.8369</cdr:x>
      <cdr:y>0.58681</cdr:y>
    </cdr:from>
    <cdr:to>
      <cdr:x>1</cdr:x>
      <cdr:y>0.78241</cdr:y>
    </cdr:to>
    <cdr:sp macro="" textlink="">
      <cdr:nvSpPr>
        <cdr:cNvPr id="5" name="Rectángulo: esquinas redondeadas 4">
          <a:extLst xmlns:a="http://schemas.openxmlformats.org/drawingml/2006/main">
            <a:ext uri="{FF2B5EF4-FFF2-40B4-BE49-F238E27FC236}">
              <a16:creationId xmlns="" xmlns:a16="http://schemas.microsoft.com/office/drawing/2014/main" id="{18E5FCCE-79F8-4C17-81A3-33D4004FBE42}"/>
            </a:ext>
          </a:extLst>
        </cdr:cNvPr>
        <cdr:cNvSpPr/>
      </cdr:nvSpPr>
      <cdr:spPr>
        <a:xfrm xmlns:a="http://schemas.openxmlformats.org/drawingml/2006/main">
          <a:off x="2530670" y="925222"/>
          <a:ext cx="493200" cy="308406"/>
        </a:xfrm>
        <a:prstGeom xmlns:a="http://schemas.openxmlformats.org/drawingml/2006/main" prst="roundRect">
          <a:avLst/>
        </a:prstGeom>
        <a:solidFill xmlns:a="http://schemas.openxmlformats.org/drawingml/2006/main">
          <a:srgbClr val="C00000"/>
        </a:solidFill>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500"/>
            <a:t>Déficit</a:t>
          </a:r>
        </a:p>
      </cdr:txBody>
    </cdr:sp>
  </cdr:relSizeAnchor>
</c:userShapes>
</file>

<file path=word/drawings/drawing18.xml><?xml version="1.0" encoding="utf-8"?>
<c:userShapes xmlns:c="http://schemas.openxmlformats.org/drawingml/2006/chart">
  <cdr:relSizeAnchor xmlns:cdr="http://schemas.openxmlformats.org/drawingml/2006/chartDrawing">
    <cdr:from>
      <cdr:x>0.04982</cdr:x>
      <cdr:y>0.16952</cdr:y>
    </cdr:from>
    <cdr:to>
      <cdr:x>1</cdr:x>
      <cdr:y>0.4839</cdr:y>
    </cdr:to>
    <cdr:sp macro="" textlink="">
      <cdr:nvSpPr>
        <cdr:cNvPr id="2" name="Rectángulo 1">
          <a:extLst xmlns:a="http://schemas.openxmlformats.org/drawingml/2006/main">
            <a:ext uri="{FF2B5EF4-FFF2-40B4-BE49-F238E27FC236}">
              <a16:creationId xmlns="" xmlns:a16="http://schemas.microsoft.com/office/drawing/2014/main" id="{47DE632B-700F-4A56-A872-24FD2A499CAD}"/>
            </a:ext>
          </a:extLst>
        </cdr:cNvPr>
        <cdr:cNvSpPr/>
      </cdr:nvSpPr>
      <cdr:spPr>
        <a:xfrm xmlns:a="http://schemas.openxmlformats.org/drawingml/2006/main">
          <a:off x="150649" y="267286"/>
          <a:ext cx="2873221" cy="495683"/>
        </a:xfrm>
        <a:prstGeom xmlns:a="http://schemas.openxmlformats.org/drawingml/2006/main" prst="rect">
          <a:avLst/>
        </a:prstGeom>
        <a:solidFill xmlns:a="http://schemas.openxmlformats.org/drawingml/2006/main">
          <a:schemeClr val="accent6">
            <a:lumMod val="40000"/>
            <a:lumOff val="60000"/>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0.04361</cdr:x>
      <cdr:y>0.46818</cdr:y>
    </cdr:from>
    <cdr:to>
      <cdr:x>1</cdr:x>
      <cdr:y>0.79212</cdr:y>
    </cdr:to>
    <cdr:sp macro="" textlink="">
      <cdr:nvSpPr>
        <cdr:cNvPr id="3" name="Rectángulo 2">
          <a:extLst xmlns:a="http://schemas.openxmlformats.org/drawingml/2006/main">
            <a:ext uri="{FF2B5EF4-FFF2-40B4-BE49-F238E27FC236}">
              <a16:creationId xmlns="" xmlns:a16="http://schemas.microsoft.com/office/drawing/2014/main" id="{1E90AF85-207A-4D1D-AF8A-6F357D52DAE2}"/>
            </a:ext>
          </a:extLst>
        </cdr:cNvPr>
        <cdr:cNvSpPr/>
      </cdr:nvSpPr>
      <cdr:spPr>
        <a:xfrm xmlns:a="http://schemas.openxmlformats.org/drawingml/2006/main">
          <a:off x="131871" y="738180"/>
          <a:ext cx="2891999" cy="510758"/>
        </a:xfrm>
        <a:prstGeom xmlns:a="http://schemas.openxmlformats.org/drawingml/2006/main" prst="rect">
          <a:avLst/>
        </a:prstGeom>
        <a:solidFill xmlns:a="http://schemas.openxmlformats.org/drawingml/2006/main">
          <a:srgbClr val="FFD5D5">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0.8369</cdr:x>
      <cdr:y>0.17866</cdr:y>
    </cdr:from>
    <cdr:to>
      <cdr:x>1</cdr:x>
      <cdr:y>0.4684</cdr:y>
    </cdr:to>
    <cdr:sp macro="" textlink="">
      <cdr:nvSpPr>
        <cdr:cNvPr id="4" name="Rectángulo: esquinas redondeadas 3">
          <a:extLst xmlns:a="http://schemas.openxmlformats.org/drawingml/2006/main">
            <a:ext uri="{FF2B5EF4-FFF2-40B4-BE49-F238E27FC236}">
              <a16:creationId xmlns="" xmlns:a16="http://schemas.microsoft.com/office/drawing/2014/main" id="{00B57FA4-A8DC-4750-A3A4-24DB9DE44CCE}"/>
            </a:ext>
          </a:extLst>
        </cdr:cNvPr>
        <cdr:cNvSpPr/>
      </cdr:nvSpPr>
      <cdr:spPr>
        <a:xfrm xmlns:a="http://schemas.openxmlformats.org/drawingml/2006/main">
          <a:off x="2593586" y="281694"/>
          <a:ext cx="493200" cy="456835"/>
        </a:xfrm>
        <a:prstGeom xmlns:a="http://schemas.openxmlformats.org/drawingml/2006/main" prst="roundRect">
          <a:avLst/>
        </a:prstGeom>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s-GT" sz="500"/>
            <a:t>Superavit</a:t>
          </a:r>
        </a:p>
      </cdr:txBody>
    </cdr:sp>
  </cdr:relSizeAnchor>
  <cdr:relSizeAnchor xmlns:cdr="http://schemas.openxmlformats.org/drawingml/2006/chartDrawing">
    <cdr:from>
      <cdr:x>0.8369</cdr:x>
      <cdr:y>0.4647</cdr:y>
    </cdr:from>
    <cdr:to>
      <cdr:x>1</cdr:x>
      <cdr:y>0.76939</cdr:y>
    </cdr:to>
    <cdr:sp macro="" textlink="">
      <cdr:nvSpPr>
        <cdr:cNvPr id="5" name="Rectángulo: esquinas redondeadas 4">
          <a:extLst xmlns:a="http://schemas.openxmlformats.org/drawingml/2006/main">
            <a:ext uri="{FF2B5EF4-FFF2-40B4-BE49-F238E27FC236}">
              <a16:creationId xmlns="" xmlns:a16="http://schemas.microsoft.com/office/drawing/2014/main" id="{18E5FCCE-79F8-4C17-81A3-33D4004FBE42}"/>
            </a:ext>
          </a:extLst>
        </cdr:cNvPr>
        <cdr:cNvSpPr/>
      </cdr:nvSpPr>
      <cdr:spPr>
        <a:xfrm xmlns:a="http://schemas.openxmlformats.org/drawingml/2006/main">
          <a:off x="2530677" y="732692"/>
          <a:ext cx="493193" cy="480409"/>
        </a:xfrm>
        <a:prstGeom xmlns:a="http://schemas.openxmlformats.org/drawingml/2006/main" prst="roundRect">
          <a:avLst/>
        </a:prstGeom>
        <a:solidFill xmlns:a="http://schemas.openxmlformats.org/drawingml/2006/main">
          <a:srgbClr val="C00000"/>
        </a:solidFill>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500"/>
            <a:t>Déficit</a:t>
          </a:r>
        </a:p>
      </cdr:txBody>
    </cdr:sp>
  </cdr:relSizeAnchor>
</c:userShapes>
</file>

<file path=word/drawings/drawing19.xml><?xml version="1.0" encoding="utf-8"?>
<c:userShapes xmlns:c="http://schemas.openxmlformats.org/drawingml/2006/chart">
  <cdr:relSizeAnchor xmlns:cdr="http://schemas.openxmlformats.org/drawingml/2006/chartDrawing">
    <cdr:from>
      <cdr:x>0.04982</cdr:x>
      <cdr:y>0.15614</cdr:y>
    </cdr:from>
    <cdr:to>
      <cdr:x>1</cdr:x>
      <cdr:y>0.29443</cdr:y>
    </cdr:to>
    <cdr:sp macro="" textlink="">
      <cdr:nvSpPr>
        <cdr:cNvPr id="2" name="Rectángulo 1">
          <a:extLst xmlns:a="http://schemas.openxmlformats.org/drawingml/2006/main">
            <a:ext uri="{FF2B5EF4-FFF2-40B4-BE49-F238E27FC236}">
              <a16:creationId xmlns="" xmlns:a16="http://schemas.microsoft.com/office/drawing/2014/main" id="{47DE632B-700F-4A56-A872-24FD2A499CAD}"/>
            </a:ext>
          </a:extLst>
        </cdr:cNvPr>
        <cdr:cNvSpPr/>
      </cdr:nvSpPr>
      <cdr:spPr>
        <a:xfrm xmlns:a="http://schemas.openxmlformats.org/drawingml/2006/main">
          <a:off x="150649" y="246184"/>
          <a:ext cx="2873221" cy="218050"/>
        </a:xfrm>
        <a:prstGeom xmlns:a="http://schemas.openxmlformats.org/drawingml/2006/main" prst="rect">
          <a:avLst/>
        </a:prstGeom>
        <a:solidFill xmlns:a="http://schemas.openxmlformats.org/drawingml/2006/main">
          <a:schemeClr val="accent6">
            <a:lumMod val="40000"/>
            <a:lumOff val="60000"/>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0.04361</cdr:x>
      <cdr:y>0.29741</cdr:y>
    </cdr:from>
    <cdr:to>
      <cdr:x>1</cdr:x>
      <cdr:y>0.77751</cdr:y>
    </cdr:to>
    <cdr:sp macro="" textlink="">
      <cdr:nvSpPr>
        <cdr:cNvPr id="3" name="Rectángulo 2">
          <a:extLst xmlns:a="http://schemas.openxmlformats.org/drawingml/2006/main">
            <a:ext uri="{FF2B5EF4-FFF2-40B4-BE49-F238E27FC236}">
              <a16:creationId xmlns="" xmlns:a16="http://schemas.microsoft.com/office/drawing/2014/main" id="{1E90AF85-207A-4D1D-AF8A-6F357D52DAE2}"/>
            </a:ext>
          </a:extLst>
        </cdr:cNvPr>
        <cdr:cNvSpPr/>
      </cdr:nvSpPr>
      <cdr:spPr>
        <a:xfrm xmlns:a="http://schemas.openxmlformats.org/drawingml/2006/main">
          <a:off x="131871" y="468924"/>
          <a:ext cx="2891999" cy="756976"/>
        </a:xfrm>
        <a:prstGeom xmlns:a="http://schemas.openxmlformats.org/drawingml/2006/main" prst="rect">
          <a:avLst/>
        </a:prstGeom>
        <a:solidFill xmlns:a="http://schemas.openxmlformats.org/drawingml/2006/main">
          <a:srgbClr val="FFD5D5">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0.8369</cdr:x>
      <cdr:y>0.16193</cdr:y>
    </cdr:from>
    <cdr:to>
      <cdr:x>1</cdr:x>
      <cdr:y>0.29146</cdr:y>
    </cdr:to>
    <cdr:sp macro="" textlink="">
      <cdr:nvSpPr>
        <cdr:cNvPr id="4" name="Rectángulo: esquinas redondeadas 3">
          <a:extLst xmlns:a="http://schemas.openxmlformats.org/drawingml/2006/main">
            <a:ext uri="{FF2B5EF4-FFF2-40B4-BE49-F238E27FC236}">
              <a16:creationId xmlns="" xmlns:a16="http://schemas.microsoft.com/office/drawing/2014/main" id="{00B57FA4-A8DC-4750-A3A4-24DB9DE44CCE}"/>
            </a:ext>
          </a:extLst>
        </cdr:cNvPr>
        <cdr:cNvSpPr/>
      </cdr:nvSpPr>
      <cdr:spPr>
        <a:xfrm xmlns:a="http://schemas.openxmlformats.org/drawingml/2006/main">
          <a:off x="2530670" y="255317"/>
          <a:ext cx="493200" cy="204228"/>
        </a:xfrm>
        <a:prstGeom xmlns:a="http://schemas.openxmlformats.org/drawingml/2006/main" prst="roundRect">
          <a:avLst/>
        </a:prstGeom>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s-GT" sz="500"/>
            <a:t>Superavit</a:t>
          </a:r>
        </a:p>
      </cdr:txBody>
    </cdr:sp>
  </cdr:relSizeAnchor>
  <cdr:relSizeAnchor xmlns:cdr="http://schemas.openxmlformats.org/drawingml/2006/chartDrawing">
    <cdr:from>
      <cdr:x>0.8369</cdr:x>
      <cdr:y>0.29369</cdr:y>
    </cdr:from>
    <cdr:to>
      <cdr:x>1</cdr:x>
      <cdr:y>0.76939</cdr:y>
    </cdr:to>
    <cdr:sp macro="" textlink="">
      <cdr:nvSpPr>
        <cdr:cNvPr id="5" name="Rectángulo: esquinas redondeadas 4">
          <a:extLst xmlns:a="http://schemas.openxmlformats.org/drawingml/2006/main">
            <a:ext uri="{FF2B5EF4-FFF2-40B4-BE49-F238E27FC236}">
              <a16:creationId xmlns="" xmlns:a16="http://schemas.microsoft.com/office/drawing/2014/main" id="{18E5FCCE-79F8-4C17-81A3-33D4004FBE42}"/>
            </a:ext>
          </a:extLst>
        </cdr:cNvPr>
        <cdr:cNvSpPr/>
      </cdr:nvSpPr>
      <cdr:spPr>
        <a:xfrm xmlns:a="http://schemas.openxmlformats.org/drawingml/2006/main">
          <a:off x="2530677" y="463062"/>
          <a:ext cx="493193" cy="750039"/>
        </a:xfrm>
        <a:prstGeom xmlns:a="http://schemas.openxmlformats.org/drawingml/2006/main" prst="roundRect">
          <a:avLst/>
        </a:prstGeom>
        <a:solidFill xmlns:a="http://schemas.openxmlformats.org/drawingml/2006/main">
          <a:srgbClr val="C00000"/>
        </a:solidFill>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500"/>
            <a:t>Déficit</a:t>
          </a:r>
        </a:p>
      </cdr:txBody>
    </cdr:sp>
  </cdr:relSizeAnchor>
</c:userShapes>
</file>

<file path=word/drawings/drawing2.xml><?xml version="1.0" encoding="utf-8"?>
<c:userShapes xmlns:c="http://schemas.openxmlformats.org/drawingml/2006/chart">
  <cdr:relSizeAnchor xmlns:cdr="http://schemas.openxmlformats.org/drawingml/2006/chartDrawing">
    <cdr:from>
      <cdr:x>0.86045</cdr:x>
      <cdr:y>0</cdr:y>
    </cdr:from>
    <cdr:to>
      <cdr:x>0.99935</cdr:x>
      <cdr:y>0.9624</cdr:y>
    </cdr:to>
    <cdr:sp macro="" textlink="">
      <cdr:nvSpPr>
        <cdr:cNvPr id="2" name="Rectángulo redondeado 1"/>
        <cdr:cNvSpPr/>
      </cdr:nvSpPr>
      <cdr:spPr>
        <a:xfrm xmlns:a="http://schemas.openxmlformats.org/drawingml/2006/main">
          <a:off x="3964553" y="-1216550"/>
          <a:ext cx="639997" cy="2035037"/>
        </a:xfrm>
        <a:prstGeom xmlns:a="http://schemas.openxmlformats.org/drawingml/2006/main" prst="roundRect">
          <a:avLst/>
        </a:prstGeom>
        <a:solidFill xmlns:a="http://schemas.openxmlformats.org/drawingml/2006/main">
          <a:schemeClr val="accent1">
            <a:lumMod val="40000"/>
            <a:lumOff val="60000"/>
            <a:alpha val="4000"/>
          </a:schemeClr>
        </a:solidFill>
        <a:ln xmlns:a="http://schemas.openxmlformats.org/drawingml/2006/main" w="3175">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0.86045</cdr:x>
      <cdr:y>0.69565</cdr:y>
    </cdr:from>
    <cdr:to>
      <cdr:x>1</cdr:x>
      <cdr:y>0.85358</cdr:y>
    </cdr:to>
    <cdr:sp macro="" textlink="">
      <cdr:nvSpPr>
        <cdr:cNvPr id="3" name="Cuadro de texto 2"/>
        <cdr:cNvSpPr txBox="1"/>
      </cdr:nvSpPr>
      <cdr:spPr>
        <a:xfrm xmlns:a="http://schemas.openxmlformats.org/drawingml/2006/main">
          <a:off x="3964553" y="1470988"/>
          <a:ext cx="643007" cy="333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GT" sz="800">
              <a:solidFill>
                <a:schemeClr val="tx1">
                  <a:lumMod val="65000"/>
                  <a:lumOff val="35000"/>
                </a:schemeClr>
              </a:solidFill>
              <a:latin typeface="Times New Roman" panose="02020603050405020304" pitchFamily="18" charset="0"/>
              <a:cs typeface="Times New Roman" panose="02020603050405020304" pitchFamily="18" charset="0"/>
            </a:rPr>
            <a:t>Proyección              del FMI</a:t>
          </a:r>
        </a:p>
      </cdr:txBody>
    </cdr:sp>
  </cdr:relSizeAnchor>
</c:userShapes>
</file>

<file path=word/drawings/drawing20.xml><?xml version="1.0" encoding="utf-8"?>
<c:userShapes xmlns:c="http://schemas.openxmlformats.org/drawingml/2006/chart">
  <cdr:relSizeAnchor xmlns:cdr="http://schemas.openxmlformats.org/drawingml/2006/chartDrawing">
    <cdr:from>
      <cdr:x>0.06699</cdr:x>
      <cdr:y>0.18046</cdr:y>
    </cdr:from>
    <cdr:to>
      <cdr:x>1</cdr:x>
      <cdr:y>0.30133</cdr:y>
    </cdr:to>
    <cdr:sp macro="" textlink="">
      <cdr:nvSpPr>
        <cdr:cNvPr id="2" name="Rectángulo 1">
          <a:extLst xmlns:a="http://schemas.openxmlformats.org/drawingml/2006/main">
            <a:ext uri="{FF2B5EF4-FFF2-40B4-BE49-F238E27FC236}">
              <a16:creationId xmlns="" xmlns:a16="http://schemas.microsoft.com/office/drawing/2014/main" id="{47DE632B-700F-4A56-A872-24FD2A499CAD}"/>
            </a:ext>
          </a:extLst>
        </cdr:cNvPr>
        <cdr:cNvSpPr/>
      </cdr:nvSpPr>
      <cdr:spPr>
        <a:xfrm xmlns:a="http://schemas.openxmlformats.org/drawingml/2006/main">
          <a:off x="351692" y="484414"/>
          <a:ext cx="4898279" cy="324480"/>
        </a:xfrm>
        <a:prstGeom xmlns:a="http://schemas.openxmlformats.org/drawingml/2006/main" prst="rect">
          <a:avLst/>
        </a:prstGeom>
        <a:solidFill xmlns:a="http://schemas.openxmlformats.org/drawingml/2006/main">
          <a:schemeClr val="accent6">
            <a:lumMod val="40000"/>
            <a:lumOff val="60000"/>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0.0662</cdr:x>
      <cdr:y>0.29443</cdr:y>
    </cdr:from>
    <cdr:to>
      <cdr:x>0.98569</cdr:x>
      <cdr:y>0.77623</cdr:y>
    </cdr:to>
    <cdr:sp macro="" textlink="">
      <cdr:nvSpPr>
        <cdr:cNvPr id="3" name="Rectángulo 2">
          <a:extLst xmlns:a="http://schemas.openxmlformats.org/drawingml/2006/main">
            <a:ext uri="{FF2B5EF4-FFF2-40B4-BE49-F238E27FC236}">
              <a16:creationId xmlns="" xmlns:a16="http://schemas.microsoft.com/office/drawing/2014/main" id="{1E90AF85-207A-4D1D-AF8A-6F357D52DAE2}"/>
            </a:ext>
          </a:extLst>
        </cdr:cNvPr>
        <cdr:cNvSpPr/>
      </cdr:nvSpPr>
      <cdr:spPr>
        <a:xfrm xmlns:a="http://schemas.openxmlformats.org/drawingml/2006/main">
          <a:off x="200193" y="464233"/>
          <a:ext cx="2780391" cy="759655"/>
        </a:xfrm>
        <a:prstGeom xmlns:a="http://schemas.openxmlformats.org/drawingml/2006/main" prst="rect">
          <a:avLst/>
        </a:prstGeom>
        <a:solidFill xmlns:a="http://schemas.openxmlformats.org/drawingml/2006/main">
          <a:srgbClr val="FFD5D5">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0.8369</cdr:x>
      <cdr:y>0.17604</cdr:y>
    </cdr:from>
    <cdr:to>
      <cdr:x>1</cdr:x>
      <cdr:y>0.29347</cdr:y>
    </cdr:to>
    <cdr:sp macro="" textlink="">
      <cdr:nvSpPr>
        <cdr:cNvPr id="4" name="Rectángulo: esquinas redondeadas 3">
          <a:extLst xmlns:a="http://schemas.openxmlformats.org/drawingml/2006/main">
            <a:ext uri="{FF2B5EF4-FFF2-40B4-BE49-F238E27FC236}">
              <a16:creationId xmlns="" xmlns:a16="http://schemas.microsoft.com/office/drawing/2014/main" id="{00B57FA4-A8DC-4750-A3A4-24DB9DE44CCE}"/>
            </a:ext>
          </a:extLst>
        </cdr:cNvPr>
        <cdr:cNvSpPr/>
      </cdr:nvSpPr>
      <cdr:spPr>
        <a:xfrm xmlns:a="http://schemas.openxmlformats.org/drawingml/2006/main">
          <a:off x="2588342" y="277563"/>
          <a:ext cx="493200" cy="185153"/>
        </a:xfrm>
        <a:prstGeom xmlns:a="http://schemas.openxmlformats.org/drawingml/2006/main" prst="roundRect">
          <a:avLst/>
        </a:prstGeom>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s-GT" sz="500"/>
            <a:t>Superavit</a:t>
          </a:r>
        </a:p>
      </cdr:txBody>
    </cdr:sp>
  </cdr:relSizeAnchor>
  <cdr:relSizeAnchor xmlns:cdr="http://schemas.openxmlformats.org/drawingml/2006/chartDrawing">
    <cdr:from>
      <cdr:x>0.8369</cdr:x>
      <cdr:y>0.28625</cdr:y>
    </cdr:from>
    <cdr:to>
      <cdr:x>1</cdr:x>
      <cdr:y>0.78871</cdr:y>
    </cdr:to>
    <cdr:sp macro="" textlink="">
      <cdr:nvSpPr>
        <cdr:cNvPr id="5" name="Rectángulo: esquinas redondeadas 4">
          <a:extLst xmlns:a="http://schemas.openxmlformats.org/drawingml/2006/main">
            <a:ext uri="{FF2B5EF4-FFF2-40B4-BE49-F238E27FC236}">
              <a16:creationId xmlns="" xmlns:a16="http://schemas.microsoft.com/office/drawing/2014/main" id="{18E5FCCE-79F8-4C17-81A3-33D4004FBE42}"/>
            </a:ext>
          </a:extLst>
        </cdr:cNvPr>
        <cdr:cNvSpPr/>
      </cdr:nvSpPr>
      <cdr:spPr>
        <a:xfrm xmlns:a="http://schemas.openxmlformats.org/drawingml/2006/main">
          <a:off x="2530670" y="451338"/>
          <a:ext cx="493200" cy="792225"/>
        </a:xfrm>
        <a:prstGeom xmlns:a="http://schemas.openxmlformats.org/drawingml/2006/main" prst="roundRect">
          <a:avLst/>
        </a:prstGeom>
        <a:solidFill xmlns:a="http://schemas.openxmlformats.org/drawingml/2006/main">
          <a:srgbClr val="C00000"/>
        </a:solidFill>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500"/>
            <a:t>Déficit</a:t>
          </a:r>
        </a:p>
      </cdr:txBody>
    </cdr:sp>
  </cdr:relSizeAnchor>
</c:userShapes>
</file>

<file path=word/drawings/drawing21.xml><?xml version="1.0" encoding="utf-8"?>
<c:userShapes xmlns:c="http://schemas.openxmlformats.org/drawingml/2006/chart">
  <cdr:relSizeAnchor xmlns:cdr="http://schemas.openxmlformats.org/drawingml/2006/chartDrawing">
    <cdr:from>
      <cdr:x>0.06297</cdr:x>
      <cdr:y>0.26767</cdr:y>
    </cdr:from>
    <cdr:to>
      <cdr:x>1</cdr:x>
      <cdr:y>0.78218</cdr:y>
    </cdr:to>
    <cdr:sp macro="" textlink="">
      <cdr:nvSpPr>
        <cdr:cNvPr id="3" name="Rectángulo 2">
          <a:extLst xmlns:a="http://schemas.openxmlformats.org/drawingml/2006/main">
            <a:ext uri="{FF2B5EF4-FFF2-40B4-BE49-F238E27FC236}">
              <a16:creationId xmlns="" xmlns:a16="http://schemas.microsoft.com/office/drawing/2014/main" id="{1E90AF85-207A-4D1D-AF8A-6F357D52DAE2}"/>
            </a:ext>
          </a:extLst>
        </cdr:cNvPr>
        <cdr:cNvSpPr/>
      </cdr:nvSpPr>
      <cdr:spPr>
        <a:xfrm xmlns:a="http://schemas.openxmlformats.org/drawingml/2006/main">
          <a:off x="190413" y="422031"/>
          <a:ext cx="2833457" cy="811236"/>
        </a:xfrm>
        <a:prstGeom xmlns:a="http://schemas.openxmlformats.org/drawingml/2006/main" prst="rect">
          <a:avLst/>
        </a:prstGeom>
        <a:solidFill xmlns:a="http://schemas.openxmlformats.org/drawingml/2006/main">
          <a:srgbClr val="FFD5D5">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0.06163</cdr:x>
      <cdr:y>0.17566</cdr:y>
    </cdr:from>
    <cdr:to>
      <cdr:x>1</cdr:x>
      <cdr:y>0.27324</cdr:y>
    </cdr:to>
    <cdr:sp macro="" textlink="">
      <cdr:nvSpPr>
        <cdr:cNvPr id="2" name="Rectángulo 1">
          <a:extLst xmlns:a="http://schemas.openxmlformats.org/drawingml/2006/main">
            <a:ext uri="{FF2B5EF4-FFF2-40B4-BE49-F238E27FC236}">
              <a16:creationId xmlns="" xmlns:a16="http://schemas.microsoft.com/office/drawing/2014/main" id="{47DE632B-700F-4A56-A872-24FD2A499CAD}"/>
            </a:ext>
          </a:extLst>
        </cdr:cNvPr>
        <cdr:cNvSpPr/>
      </cdr:nvSpPr>
      <cdr:spPr>
        <a:xfrm xmlns:a="http://schemas.openxmlformats.org/drawingml/2006/main">
          <a:off x="186361" y="276958"/>
          <a:ext cx="2837509" cy="153865"/>
        </a:xfrm>
        <a:prstGeom xmlns:a="http://schemas.openxmlformats.org/drawingml/2006/main" prst="rect">
          <a:avLst/>
        </a:prstGeom>
        <a:solidFill xmlns:a="http://schemas.openxmlformats.org/drawingml/2006/main">
          <a:schemeClr val="accent6">
            <a:lumMod val="40000"/>
            <a:lumOff val="60000"/>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0.8369</cdr:x>
      <cdr:y>0.18128</cdr:y>
    </cdr:from>
    <cdr:to>
      <cdr:x>1</cdr:x>
      <cdr:y>0.29085</cdr:y>
    </cdr:to>
    <cdr:sp macro="" textlink="">
      <cdr:nvSpPr>
        <cdr:cNvPr id="4" name="Rectángulo: esquinas redondeadas 3">
          <a:extLst xmlns:a="http://schemas.openxmlformats.org/drawingml/2006/main">
            <a:ext uri="{FF2B5EF4-FFF2-40B4-BE49-F238E27FC236}">
              <a16:creationId xmlns="" xmlns:a16="http://schemas.microsoft.com/office/drawing/2014/main" id="{00B57FA4-A8DC-4750-A3A4-24DB9DE44CCE}"/>
            </a:ext>
          </a:extLst>
        </cdr:cNvPr>
        <cdr:cNvSpPr/>
      </cdr:nvSpPr>
      <cdr:spPr>
        <a:xfrm xmlns:a="http://schemas.openxmlformats.org/drawingml/2006/main">
          <a:off x="2588342" y="285825"/>
          <a:ext cx="493200" cy="172760"/>
        </a:xfrm>
        <a:prstGeom xmlns:a="http://schemas.openxmlformats.org/drawingml/2006/main" prst="roundRect">
          <a:avLst/>
        </a:prstGeom>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s-GT" sz="500"/>
            <a:t>Superavit</a:t>
          </a:r>
        </a:p>
      </cdr:txBody>
    </cdr:sp>
  </cdr:relSizeAnchor>
  <cdr:relSizeAnchor xmlns:cdr="http://schemas.openxmlformats.org/drawingml/2006/chartDrawing">
    <cdr:from>
      <cdr:x>0.8369</cdr:x>
      <cdr:y>0.28718</cdr:y>
    </cdr:from>
    <cdr:to>
      <cdr:x>1</cdr:x>
      <cdr:y>0.78871</cdr:y>
    </cdr:to>
    <cdr:sp macro="" textlink="">
      <cdr:nvSpPr>
        <cdr:cNvPr id="5" name="Rectángulo: esquinas redondeadas 4">
          <a:extLst xmlns:a="http://schemas.openxmlformats.org/drawingml/2006/main">
            <a:ext uri="{FF2B5EF4-FFF2-40B4-BE49-F238E27FC236}">
              <a16:creationId xmlns="" xmlns:a16="http://schemas.microsoft.com/office/drawing/2014/main" id="{18E5FCCE-79F8-4C17-81A3-33D4004FBE42}"/>
            </a:ext>
          </a:extLst>
        </cdr:cNvPr>
        <cdr:cNvSpPr/>
      </cdr:nvSpPr>
      <cdr:spPr>
        <a:xfrm xmlns:a="http://schemas.openxmlformats.org/drawingml/2006/main">
          <a:off x="2530670" y="452804"/>
          <a:ext cx="493200" cy="790759"/>
        </a:xfrm>
        <a:prstGeom xmlns:a="http://schemas.openxmlformats.org/drawingml/2006/main" prst="roundRect">
          <a:avLst/>
        </a:prstGeom>
        <a:solidFill xmlns:a="http://schemas.openxmlformats.org/drawingml/2006/main">
          <a:srgbClr val="C00000"/>
        </a:solidFill>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500"/>
            <a:t>Déficit</a:t>
          </a:r>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0.62934</cdr:y>
    </cdr:from>
    <cdr:to>
      <cdr:x>0.23678</cdr:x>
      <cdr:y>0.71739</cdr:y>
    </cdr:to>
    <cdr:sp macro="" textlink="">
      <cdr:nvSpPr>
        <cdr:cNvPr id="2" name="Cuadro de texto 1"/>
        <cdr:cNvSpPr txBox="1"/>
      </cdr:nvSpPr>
      <cdr:spPr>
        <a:xfrm xmlns:a="http://schemas.openxmlformats.org/drawingml/2006/main">
          <a:off x="0" y="1170116"/>
          <a:ext cx="655098" cy="163709"/>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s-GT" sz="600" b="1">
              <a:solidFill>
                <a:schemeClr val="tx1">
                  <a:lumMod val="65000"/>
                  <a:lumOff val="35000"/>
                </a:schemeClr>
              </a:solidFill>
              <a:latin typeface="Times New Roman" panose="02020603050405020304" pitchFamily="18" charset="0"/>
              <a:cs typeface="Times New Roman" panose="02020603050405020304" pitchFamily="18" charset="0"/>
            </a:rPr>
            <a:t>EMPORNAC</a:t>
          </a:r>
        </a:p>
      </cdr:txBody>
    </cdr:sp>
  </cdr:relSizeAnchor>
</c:userShapes>
</file>

<file path=word/drawings/drawing23.xml><?xml version="1.0" encoding="utf-8"?>
<c:userShapes xmlns:c="http://schemas.openxmlformats.org/drawingml/2006/chart">
  <cdr:relSizeAnchor xmlns:cdr="http://schemas.openxmlformats.org/drawingml/2006/chartDrawing">
    <cdr:from>
      <cdr:x>0</cdr:x>
      <cdr:y>0.90702</cdr:y>
    </cdr:from>
    <cdr:to>
      <cdr:x>0.31144</cdr:x>
      <cdr:y>1</cdr:y>
    </cdr:to>
    <cdr:sp macro="" textlink="">
      <cdr:nvSpPr>
        <cdr:cNvPr id="2" name="Rectángulo 1"/>
        <cdr:cNvSpPr/>
      </cdr:nvSpPr>
      <cdr:spPr>
        <a:xfrm xmlns:a="http://schemas.openxmlformats.org/drawingml/2006/main">
          <a:off x="-717452" y="2128740"/>
          <a:ext cx="1471367" cy="21822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l"/>
          <a:r>
            <a:rPr lang="es-GT" sz="900">
              <a:solidFill>
                <a:schemeClr val="dk1"/>
              </a:solidFill>
              <a:effectLst/>
              <a:latin typeface="Times New Roman" panose="02020603050405020304" pitchFamily="18" charset="0"/>
              <a:ea typeface="+mn-ea"/>
              <a:cs typeface="Times New Roman" panose="02020603050405020304" pitchFamily="18" charset="0"/>
            </a:rPr>
            <a:t>Fuente: Sicoin</a:t>
          </a:r>
          <a:endParaRPr lang="es-GT" sz="900">
            <a:latin typeface="Times New Roman" panose="02020603050405020304" pitchFamily="18" charset="0"/>
            <a:cs typeface="Times New Roman" panose="02020603050405020304"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0.01944</cdr:x>
      <cdr:y>0.81842</cdr:y>
    </cdr:from>
    <cdr:to>
      <cdr:x>0.57222</cdr:x>
      <cdr:y>1</cdr:y>
    </cdr:to>
    <cdr:sp macro="" textlink="">
      <cdr:nvSpPr>
        <cdr:cNvPr id="2" name="Cuadro de texto 1"/>
        <cdr:cNvSpPr txBox="1"/>
      </cdr:nvSpPr>
      <cdr:spPr>
        <a:xfrm xmlns:a="http://schemas.openxmlformats.org/drawingml/2006/main">
          <a:off x="106656" y="1503485"/>
          <a:ext cx="3032772" cy="3335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800" b="0">
              <a:latin typeface="Times New Roman" panose="02020603050405020304" pitchFamily="18" charset="0"/>
              <a:cs typeface="Times New Roman" panose="02020603050405020304" pitchFamily="18" charset="0"/>
            </a:rPr>
            <a:t>* Observado preliminar a junio</a:t>
          </a:r>
          <a:r>
            <a:rPr lang="es-GT" sz="800" b="0" baseline="0">
              <a:latin typeface="Times New Roman" panose="02020603050405020304" pitchFamily="18" charset="0"/>
              <a:cs typeface="Times New Roman" panose="02020603050405020304" pitchFamily="18" charset="0"/>
            </a:rPr>
            <a:t> 2021</a:t>
          </a:r>
        </a:p>
        <a:p xmlns:a="http://schemas.openxmlformats.org/drawingml/2006/main">
          <a:r>
            <a:rPr lang="es-GT" sz="800" b="0" baseline="0">
              <a:latin typeface="Times New Roman" panose="02020603050405020304" pitchFamily="18" charset="0"/>
              <a:cs typeface="Times New Roman" panose="02020603050405020304" pitchFamily="18" charset="0"/>
            </a:rPr>
            <a:t>Fuente: SICOIN</a:t>
          </a:r>
          <a:endParaRPr lang="es-GT" sz="8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0.81401</cdr:x>
      <cdr:y>0.0358</cdr:y>
    </cdr:from>
    <cdr:to>
      <cdr:x>0.90984</cdr:x>
      <cdr:y>0.13547</cdr:y>
    </cdr:to>
    <cdr:sp macro="" textlink="">
      <cdr:nvSpPr>
        <cdr:cNvPr id="3" name="Cuadro de texto 41"/>
        <cdr:cNvSpPr txBox="1"/>
      </cdr:nvSpPr>
      <cdr:spPr>
        <a:xfrm xmlns:a="http://schemas.openxmlformats.org/drawingml/2006/main">
          <a:off x="4465977" y="82101"/>
          <a:ext cx="525762" cy="22860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s-GT" sz="800" b="1">
              <a:effectLst/>
              <a:latin typeface="Times New Roman" panose="02020603050405020304" pitchFamily="18" charset="0"/>
              <a:ea typeface="Times New Roman" panose="02020603050405020304" pitchFamily="18" charset="0"/>
              <a:cs typeface="Times New Roman" panose="02020603050405020304" pitchFamily="18" charset="0"/>
            </a:rPr>
            <a:t>437</a:t>
          </a:r>
          <a:endParaRPr lang="es-GT" sz="1050">
            <a:effectLst/>
            <a:latin typeface="Times New Roman" panose="02020603050405020304" pitchFamily="18"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0.14086</cdr:x>
      <cdr:y>0.20347</cdr:y>
    </cdr:from>
    <cdr:to>
      <cdr:x>0.94827</cdr:x>
      <cdr:y>0.41462</cdr:y>
    </cdr:to>
    <cdr:sp macro="" textlink="">
      <cdr:nvSpPr>
        <cdr:cNvPr id="2" name="Rectángulo 1"/>
        <cdr:cNvSpPr/>
      </cdr:nvSpPr>
      <cdr:spPr>
        <a:xfrm xmlns:a="http://schemas.openxmlformats.org/drawingml/2006/main">
          <a:off x="818817" y="366162"/>
          <a:ext cx="4693305" cy="379984"/>
        </a:xfrm>
        <a:prstGeom xmlns:a="http://schemas.openxmlformats.org/drawingml/2006/main" prst="rect">
          <a:avLst/>
        </a:prstGeom>
        <a:solidFill xmlns:a="http://schemas.openxmlformats.org/drawingml/2006/main">
          <a:schemeClr val="accent1">
            <a:alpha val="12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0.24193</cdr:x>
      <cdr:y>0.07555</cdr:y>
    </cdr:from>
    <cdr:to>
      <cdr:x>0.24304</cdr:x>
      <cdr:y>0.77131</cdr:y>
    </cdr:to>
    <cdr:cxnSp macro="">
      <cdr:nvCxnSpPr>
        <cdr:cNvPr id="2" name="Conector recto 1">
          <a:extLst xmlns:a="http://schemas.openxmlformats.org/drawingml/2006/main">
            <a:ext uri="{FF2B5EF4-FFF2-40B4-BE49-F238E27FC236}">
              <a16:creationId xmlns="" xmlns:a16="http://schemas.microsoft.com/office/drawing/2014/main" id="{F538C51B-2182-44F3-B375-2C81CF2DF727}"/>
            </a:ext>
          </a:extLst>
        </cdr:cNvPr>
        <cdr:cNvCxnSpPr/>
      </cdr:nvCxnSpPr>
      <cdr:spPr>
        <a:xfrm xmlns:a="http://schemas.openxmlformats.org/drawingml/2006/main" flipH="1">
          <a:off x="1503976" y="187614"/>
          <a:ext cx="6906" cy="1727824"/>
        </a:xfrm>
        <a:prstGeom xmlns:a="http://schemas.openxmlformats.org/drawingml/2006/main" prst="line">
          <a:avLst/>
        </a:prstGeom>
        <a:ln xmlns:a="http://schemas.openxmlformats.org/drawingml/2006/main" w="22225">
          <a:solidFill>
            <a:schemeClr val="accent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0.24476</cdr:x>
      <cdr:y>0.05909</cdr:y>
    </cdr:from>
    <cdr:to>
      <cdr:x>0.66678</cdr:x>
      <cdr:y>0.76859</cdr:y>
    </cdr:to>
    <cdr:sp macro="" textlink="">
      <cdr:nvSpPr>
        <cdr:cNvPr id="3" name="Rectángulo 2">
          <a:extLst xmlns:a="http://schemas.openxmlformats.org/drawingml/2006/main">
            <a:ext uri="{FF2B5EF4-FFF2-40B4-BE49-F238E27FC236}">
              <a16:creationId xmlns="" xmlns:a16="http://schemas.microsoft.com/office/drawing/2014/main" id="{B9B7B1E4-FF58-4709-926D-029ED57B72B7}"/>
            </a:ext>
          </a:extLst>
        </cdr:cNvPr>
        <cdr:cNvSpPr/>
      </cdr:nvSpPr>
      <cdr:spPr>
        <a:xfrm xmlns:a="http://schemas.openxmlformats.org/drawingml/2006/main">
          <a:off x="1200150" y="107726"/>
          <a:ext cx="2069410" cy="1293479"/>
        </a:xfrm>
        <a:prstGeom xmlns:a="http://schemas.openxmlformats.org/drawingml/2006/main" prst="rect">
          <a:avLst/>
        </a:prstGeom>
        <a:solidFill xmlns:a="http://schemas.openxmlformats.org/drawingml/2006/main">
          <a:schemeClr val="accent6">
            <a:lumMod val="20000"/>
            <a:lumOff val="80000"/>
            <a:alpha val="1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s-GT" sz="105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0.66663</cdr:x>
      <cdr:y>0.06035</cdr:y>
    </cdr:from>
    <cdr:to>
      <cdr:x>0.66941</cdr:x>
      <cdr:y>0.75269</cdr:y>
    </cdr:to>
    <cdr:cxnSp macro="">
      <cdr:nvCxnSpPr>
        <cdr:cNvPr id="4" name="Conector recto 3">
          <a:extLst xmlns:a="http://schemas.openxmlformats.org/drawingml/2006/main">
            <a:ext uri="{FF2B5EF4-FFF2-40B4-BE49-F238E27FC236}">
              <a16:creationId xmlns="" xmlns:a16="http://schemas.microsoft.com/office/drawing/2014/main" id="{8DA809D0-07A8-4A57-97A1-90EDF4FAAB8F}"/>
            </a:ext>
          </a:extLst>
        </cdr:cNvPr>
        <cdr:cNvCxnSpPr/>
      </cdr:nvCxnSpPr>
      <cdr:spPr>
        <a:xfrm xmlns:a="http://schemas.openxmlformats.org/drawingml/2006/main" flipH="1">
          <a:off x="4144183" y="149862"/>
          <a:ext cx="17263" cy="1719349"/>
        </a:xfrm>
        <a:prstGeom xmlns:a="http://schemas.openxmlformats.org/drawingml/2006/main" prst="line">
          <a:avLst/>
        </a:prstGeom>
        <a:ln xmlns:a="http://schemas.openxmlformats.org/drawingml/2006/main" w="22225">
          <a:solidFill>
            <a:schemeClr val="accent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0.34517</cdr:x>
      <cdr:y>0.08685</cdr:y>
    </cdr:from>
    <cdr:to>
      <cdr:x>0.64363</cdr:x>
      <cdr:y>0.17404</cdr:y>
    </cdr:to>
    <cdr:sp macro="" textlink="">
      <cdr:nvSpPr>
        <cdr:cNvPr id="5" name="CuadroTexto 10">
          <a:extLst xmlns:a="http://schemas.openxmlformats.org/drawingml/2006/main">
            <a:ext uri="{FF2B5EF4-FFF2-40B4-BE49-F238E27FC236}">
              <a16:creationId xmlns="" xmlns:a16="http://schemas.microsoft.com/office/drawing/2014/main" id="{05A926BA-17B0-4934-9EC8-7F92EC19C1E4}"/>
            </a:ext>
          </a:extLst>
        </cdr:cNvPr>
        <cdr:cNvSpPr txBox="1"/>
      </cdr:nvSpPr>
      <cdr:spPr>
        <a:xfrm xmlns:a="http://schemas.openxmlformats.org/drawingml/2006/main">
          <a:off x="1579078" y="218559"/>
          <a:ext cx="1365434" cy="2194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1000" b="1">
              <a:solidFill>
                <a:schemeClr val="accent6">
                  <a:lumMod val="50000"/>
                </a:schemeClr>
              </a:solidFill>
              <a:latin typeface="Times New Roman" panose="02020603050405020304" pitchFamily="18" charset="0"/>
              <a:cs typeface="Times New Roman" panose="02020603050405020304" pitchFamily="18" charset="0"/>
            </a:rPr>
            <a:t>Ingreso medio alto</a:t>
          </a:r>
        </a:p>
      </cdr:txBody>
    </cdr:sp>
  </cdr:relSizeAnchor>
  <cdr:relSizeAnchor xmlns:cdr="http://schemas.openxmlformats.org/drawingml/2006/chartDrawing">
    <cdr:from>
      <cdr:x>0.04814</cdr:x>
      <cdr:y>0.63386</cdr:y>
    </cdr:from>
    <cdr:to>
      <cdr:x>0.25362</cdr:x>
      <cdr:y>0.72105</cdr:y>
    </cdr:to>
    <cdr:sp macro="" textlink="">
      <cdr:nvSpPr>
        <cdr:cNvPr id="6" name="CuadroTexto 1">
          <a:extLst xmlns:a="http://schemas.openxmlformats.org/drawingml/2006/main">
            <a:ext uri="{FF2B5EF4-FFF2-40B4-BE49-F238E27FC236}">
              <a16:creationId xmlns="" xmlns:a16="http://schemas.microsoft.com/office/drawing/2014/main" id="{C49CC387-D664-448A-914A-210EEBA552F1}"/>
            </a:ext>
          </a:extLst>
        </cdr:cNvPr>
        <cdr:cNvSpPr txBox="1"/>
      </cdr:nvSpPr>
      <cdr:spPr>
        <a:xfrm xmlns:a="http://schemas.openxmlformats.org/drawingml/2006/main">
          <a:off x="220213" y="1595112"/>
          <a:ext cx="940080" cy="2194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1000" b="1">
              <a:solidFill>
                <a:schemeClr val="tx1"/>
              </a:solidFill>
              <a:latin typeface="Times New Roman" panose="02020603050405020304" pitchFamily="18" charset="0"/>
              <a:cs typeface="Times New Roman" panose="02020603050405020304" pitchFamily="18" charset="0"/>
            </a:rPr>
            <a:t>Ingreso bajo y mediano bajo</a:t>
          </a:r>
        </a:p>
      </cdr:txBody>
    </cdr:sp>
  </cdr:relSizeAnchor>
  <cdr:relSizeAnchor xmlns:cdr="http://schemas.openxmlformats.org/drawingml/2006/chartDrawing">
    <cdr:from>
      <cdr:x>0.74907</cdr:x>
      <cdr:y>0.63639</cdr:y>
    </cdr:from>
    <cdr:to>
      <cdr:x>0.95455</cdr:x>
      <cdr:y>0.72358</cdr:y>
    </cdr:to>
    <cdr:sp macro="" textlink="">
      <cdr:nvSpPr>
        <cdr:cNvPr id="7" name="CuadroTexto 1">
          <a:extLst xmlns:a="http://schemas.openxmlformats.org/drawingml/2006/main">
            <a:ext uri="{FF2B5EF4-FFF2-40B4-BE49-F238E27FC236}">
              <a16:creationId xmlns="" xmlns:a16="http://schemas.microsoft.com/office/drawing/2014/main" id="{CA1A6184-CDD6-49DF-8E7A-CC3ACB25CCD5}"/>
            </a:ext>
          </a:extLst>
        </cdr:cNvPr>
        <cdr:cNvSpPr txBox="1"/>
      </cdr:nvSpPr>
      <cdr:spPr>
        <a:xfrm xmlns:a="http://schemas.openxmlformats.org/drawingml/2006/main">
          <a:off x="3426895" y="1601473"/>
          <a:ext cx="940032" cy="2194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1000" b="1">
              <a:solidFill>
                <a:schemeClr val="tx1"/>
              </a:solidFill>
              <a:latin typeface="Times New Roman" panose="02020603050405020304" pitchFamily="18" charset="0"/>
              <a:cs typeface="Times New Roman" panose="02020603050405020304" pitchFamily="18" charset="0"/>
            </a:rPr>
            <a:t>Ingreso alto</a:t>
          </a:r>
        </a:p>
      </cdr:txBody>
    </cdr:sp>
  </cdr:relSizeAnchor>
</c:userShapes>
</file>

<file path=word/drawings/drawing5.xml><?xml version="1.0" encoding="utf-8"?>
<c:userShapes xmlns:c="http://schemas.openxmlformats.org/drawingml/2006/chart">
  <cdr:relSizeAnchor xmlns:cdr="http://schemas.openxmlformats.org/drawingml/2006/chartDrawing">
    <cdr:from>
      <cdr:x>0.5725</cdr:x>
      <cdr:y>0.03464</cdr:y>
    </cdr:from>
    <cdr:to>
      <cdr:x>0.95015</cdr:x>
      <cdr:y>0.69284</cdr:y>
    </cdr:to>
    <cdr:sp macro="" textlink="">
      <cdr:nvSpPr>
        <cdr:cNvPr id="2" name="Rectángulo 1"/>
        <cdr:cNvSpPr/>
      </cdr:nvSpPr>
      <cdr:spPr>
        <a:xfrm xmlns:a="http://schemas.openxmlformats.org/drawingml/2006/main">
          <a:off x="1551213" y="76200"/>
          <a:ext cx="1023257" cy="1447801"/>
        </a:xfrm>
        <a:prstGeom xmlns:a="http://schemas.openxmlformats.org/drawingml/2006/main" prst="rect">
          <a:avLst/>
        </a:prstGeom>
        <a:solidFill xmlns:a="http://schemas.openxmlformats.org/drawingml/2006/main">
          <a:schemeClr val="bg1">
            <a:lumMod val="50000"/>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drawings/drawing6.xml><?xml version="1.0" encoding="utf-8"?>
<c:userShapes xmlns:c="http://schemas.openxmlformats.org/drawingml/2006/chart">
  <cdr:relSizeAnchor xmlns:cdr="http://schemas.openxmlformats.org/drawingml/2006/chartDrawing">
    <cdr:from>
      <cdr:x>0.55094</cdr:x>
      <cdr:y>0.03341</cdr:y>
    </cdr:from>
    <cdr:to>
      <cdr:x>0.9285</cdr:x>
      <cdr:y>0.69223</cdr:y>
    </cdr:to>
    <cdr:sp macro="" textlink="">
      <cdr:nvSpPr>
        <cdr:cNvPr id="2" name="Rectángulo 1"/>
        <cdr:cNvSpPr/>
      </cdr:nvSpPr>
      <cdr:spPr>
        <a:xfrm xmlns:a="http://schemas.openxmlformats.org/drawingml/2006/main">
          <a:off x="1493155" y="70757"/>
          <a:ext cx="1023257" cy="1395187"/>
        </a:xfrm>
        <a:prstGeom xmlns:a="http://schemas.openxmlformats.org/drawingml/2006/main" prst="rect">
          <a:avLst/>
        </a:prstGeom>
        <a:solidFill xmlns:a="http://schemas.openxmlformats.org/drawingml/2006/main">
          <a:schemeClr val="bg1">
            <a:lumMod val="50000"/>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userShapes>
</file>

<file path=word/drawings/drawing7.xml><?xml version="1.0" encoding="utf-8"?>
<c:userShapes xmlns:c="http://schemas.openxmlformats.org/drawingml/2006/chart">
  <cdr:relSizeAnchor xmlns:cdr="http://schemas.openxmlformats.org/drawingml/2006/chartDrawing">
    <cdr:from>
      <cdr:x>0.30526</cdr:x>
      <cdr:y>0.02772</cdr:y>
    </cdr:from>
    <cdr:to>
      <cdr:x>0.90631</cdr:x>
      <cdr:y>0.83757</cdr:y>
    </cdr:to>
    <cdr:sp macro="" textlink="">
      <cdr:nvSpPr>
        <cdr:cNvPr id="2" name="Rectángulo 1"/>
        <cdr:cNvSpPr/>
      </cdr:nvSpPr>
      <cdr:spPr>
        <a:xfrm xmlns:a="http://schemas.openxmlformats.org/drawingml/2006/main">
          <a:off x="549728" y="59873"/>
          <a:ext cx="1082403" cy="1748972"/>
        </a:xfrm>
        <a:prstGeom xmlns:a="http://schemas.openxmlformats.org/drawingml/2006/main" prst="rect">
          <a:avLst/>
        </a:prstGeom>
        <a:solidFill xmlns:a="http://schemas.openxmlformats.org/drawingml/2006/main">
          <a:schemeClr val="bg1">
            <a:lumMod val="50000"/>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0.29307</cdr:x>
      <cdr:y>0.01254</cdr:y>
    </cdr:from>
    <cdr:to>
      <cdr:x>0.94325</cdr:x>
      <cdr:y>0.84201</cdr:y>
    </cdr:to>
    <cdr:sp macro="" textlink="">
      <cdr:nvSpPr>
        <cdr:cNvPr id="2" name="Rectángulo 1"/>
        <cdr:cNvSpPr/>
      </cdr:nvSpPr>
      <cdr:spPr>
        <a:xfrm xmlns:a="http://schemas.openxmlformats.org/drawingml/2006/main">
          <a:off x="527957" y="27215"/>
          <a:ext cx="1171303" cy="1799773"/>
        </a:xfrm>
        <a:prstGeom xmlns:a="http://schemas.openxmlformats.org/drawingml/2006/main" prst="rect">
          <a:avLst/>
        </a:prstGeom>
        <a:solidFill xmlns:a="http://schemas.openxmlformats.org/drawingml/2006/main">
          <a:schemeClr val="bg1">
            <a:lumMod val="50000"/>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userShapes>
</file>

<file path=word/drawings/drawing9.xml><?xml version="1.0" encoding="utf-8"?>
<c:userShapes xmlns:c="http://schemas.openxmlformats.org/drawingml/2006/chart">
  <cdr:relSizeAnchor xmlns:cdr="http://schemas.openxmlformats.org/drawingml/2006/chartDrawing">
    <cdr:from>
      <cdr:x>0.06301</cdr:x>
      <cdr:y>0.09801</cdr:y>
    </cdr:from>
    <cdr:to>
      <cdr:x>0.25659</cdr:x>
      <cdr:y>0.19375</cdr:y>
    </cdr:to>
    <cdr:sp macro="" textlink="">
      <cdr:nvSpPr>
        <cdr:cNvPr id="2" name="CuadroTexto 1">
          <a:extLst xmlns:a="http://schemas.openxmlformats.org/drawingml/2006/main">
            <a:ext uri="{FF2B5EF4-FFF2-40B4-BE49-F238E27FC236}">
              <a16:creationId xmlns="" xmlns:a16="http://schemas.microsoft.com/office/drawing/2014/main" id="{8ECFEC50-D79E-4CE3-9F3F-44BA5CC7CC66}"/>
            </a:ext>
          </a:extLst>
        </cdr:cNvPr>
        <cdr:cNvSpPr txBox="1"/>
      </cdr:nvSpPr>
      <cdr:spPr>
        <a:xfrm xmlns:a="http://schemas.openxmlformats.org/drawingml/2006/main">
          <a:off x="362930" y="405757"/>
          <a:ext cx="1115021" cy="3963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GT" sz="1050">
              <a:latin typeface="Times New Roman" panose="02020603050405020304" pitchFamily="18" charset="0"/>
              <a:cs typeface="Times New Roman" panose="02020603050405020304" pitchFamily="18" charset="0"/>
            </a:rPr>
            <a:t>(Como</a:t>
          </a:r>
          <a:r>
            <a:rPr lang="es-GT" sz="1050" baseline="0">
              <a:latin typeface="Times New Roman" panose="02020603050405020304" pitchFamily="18" charset="0"/>
              <a:cs typeface="Times New Roman" panose="02020603050405020304" pitchFamily="18" charset="0"/>
            </a:rPr>
            <a:t> porcentaje del PIB)</a:t>
          </a:r>
          <a:endParaRPr lang="es-GT" sz="105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0.4642</cdr:x>
      <cdr:y>0.03258</cdr:y>
    </cdr:from>
    <cdr:to>
      <cdr:x>0.5504</cdr:x>
      <cdr:y>0.12832</cdr:y>
    </cdr:to>
    <cdr:sp macro="" textlink="">
      <cdr:nvSpPr>
        <cdr:cNvPr id="3" name="CuadroTexto 1">
          <a:extLst xmlns:a="http://schemas.openxmlformats.org/drawingml/2006/main">
            <a:ext uri="{FF2B5EF4-FFF2-40B4-BE49-F238E27FC236}">
              <a16:creationId xmlns="" xmlns:a16="http://schemas.microsoft.com/office/drawing/2014/main" id="{508CF774-3693-4F56-A95F-FC8CC2C58EE5}"/>
            </a:ext>
          </a:extLst>
        </cdr:cNvPr>
        <cdr:cNvSpPr txBox="1"/>
      </cdr:nvSpPr>
      <cdr:spPr>
        <a:xfrm xmlns:a="http://schemas.openxmlformats.org/drawingml/2006/main">
          <a:off x="2339590" y="82109"/>
          <a:ext cx="434448" cy="241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1000">
              <a:latin typeface="Times New Roman" panose="02020603050405020304" pitchFamily="18" charset="0"/>
              <a:cs typeface="Times New Roman" panose="02020603050405020304" pitchFamily="18" charset="0"/>
            </a:rPr>
            <a:t>Proyección</a:t>
          </a:r>
          <a:endParaRPr lang="es-GT"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0.60937</cdr:x>
      <cdr:y>0.08624</cdr:y>
    </cdr:from>
    <cdr:to>
      <cdr:x>0.66318</cdr:x>
      <cdr:y>0.08624</cdr:y>
    </cdr:to>
    <cdr:cxnSp macro="">
      <cdr:nvCxnSpPr>
        <cdr:cNvPr id="5" name="Conector recto de flecha 4">
          <a:extLst xmlns:a="http://schemas.openxmlformats.org/drawingml/2006/main">
            <a:ext uri="{FF2B5EF4-FFF2-40B4-BE49-F238E27FC236}">
              <a16:creationId xmlns="" xmlns:a16="http://schemas.microsoft.com/office/drawing/2014/main" id="{4FA123A3-9CE3-4E54-8CAA-EF536972550C}"/>
            </a:ext>
          </a:extLst>
        </cdr:cNvPr>
        <cdr:cNvCxnSpPr/>
      </cdr:nvCxnSpPr>
      <cdr:spPr>
        <a:xfrm xmlns:a="http://schemas.openxmlformats.org/drawingml/2006/main">
          <a:off x="3071212" y="217291"/>
          <a:ext cx="271202"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0.63856</cdr:x>
      <cdr:y>0.04838</cdr:y>
    </cdr:from>
    <cdr:to>
      <cdr:x>1</cdr:x>
      <cdr:y>0.815</cdr:y>
    </cdr:to>
    <cdr:sp macro="" textlink="">
      <cdr:nvSpPr>
        <cdr:cNvPr id="6" name="Rectángulo 5">
          <a:extLst xmlns:a="http://schemas.openxmlformats.org/drawingml/2006/main">
            <a:ext uri="{FF2B5EF4-FFF2-40B4-BE49-F238E27FC236}">
              <a16:creationId xmlns="" xmlns:a16="http://schemas.microsoft.com/office/drawing/2014/main" id="{00000000-0008-0000-0000-000003000000}"/>
            </a:ext>
          </a:extLst>
        </cdr:cNvPr>
        <cdr:cNvSpPr/>
      </cdr:nvSpPr>
      <cdr:spPr>
        <a:xfrm xmlns:a="http://schemas.openxmlformats.org/drawingml/2006/main">
          <a:off x="3218330" y="121921"/>
          <a:ext cx="1821670" cy="1931885"/>
        </a:xfrm>
        <a:prstGeom xmlns:a="http://schemas.openxmlformats.org/drawingml/2006/main" prst="rect">
          <a:avLst/>
        </a:prstGeom>
        <a:solidFill xmlns:a="http://schemas.openxmlformats.org/drawingml/2006/main">
          <a:schemeClr val="bg1">
            <a:lumMod val="50000"/>
            <a:alpha val="11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GT"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Jul07</b:Tag>
    <b:SourceType>JournalArticle</b:SourceType>
    <b:Guid>{814BC1F0-6944-4008-B3E4-CDDAAF1F1DE3}</b:Guid>
    <b:Title>The Fan Chart; The Techinal Details Of The New Implementation</b:Title>
    <b:JournalName>Borradores de Economía No. 468</b:JournalName>
    <b:Year>2007</b:Year>
    <b:Author>
      <b:Author>
        <b:NameList>
          <b:Person>
            <b:Last>Julio</b:Last>
            <b:Middle>Manuel</b:Middle>
            <b:First>Juan</b:First>
          </b:Person>
        </b:NameList>
      </b:Author>
    </b:Author>
    <b:RefOrder>1</b:RefOrder>
  </b:Source>
  <b:Source>
    <b:Tag>Sec16</b:Tag>
    <b:SourceType>JournalArticle</b:SourceType>
    <b:Guid>{B503CE69-BB9C-4F99-A104-3CA31E5034BC}</b:Guid>
    <b:Author>
      <b:Author>
        <b:Corporate>Secretaría Ejecutiva del Consejo Monetario Centroamericano</b:Corporate>
      </b:Author>
    </b:Author>
    <b:Title>Propuesta de actualización del índice de tipo de cambio efectivo real (ITCER)</b:Title>
    <b:JournalName>Notas Económicas Regionales</b:JournalName>
    <b:Year>2016</b:Year>
    <b:RefOrder>1</b:RefOrder>
  </b:Source>
</b:Sources>
</file>

<file path=customXml/itemProps1.xml><?xml version="1.0" encoding="utf-8"?>
<ds:datastoreItem xmlns:ds="http://schemas.openxmlformats.org/officeDocument/2006/customXml" ds:itemID="{9C954F78-4B99-4F7E-83DB-49B206B7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28695</Words>
  <Characters>157824</Characters>
  <Application>Microsoft Office Word</Application>
  <DocSecurity>0</DocSecurity>
  <Lines>1315</Lines>
  <Paragraphs>372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Patricia Taracena Rodriguez</dc:creator>
  <cp:lastModifiedBy>René Augusto Castro González</cp:lastModifiedBy>
  <cp:revision>2</cp:revision>
  <cp:lastPrinted>2021-09-27T17:39:00Z</cp:lastPrinted>
  <dcterms:created xsi:type="dcterms:W3CDTF">2021-09-27T18:35:00Z</dcterms:created>
  <dcterms:modified xsi:type="dcterms:W3CDTF">2021-09-27T18:35:00Z</dcterms:modified>
</cp:coreProperties>
</file>