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1D5A5B" w:rsidRDefault="005364DE"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1D5A5B" w:rsidSect="00754057">
          <w:headerReference w:type="default" r:id="rId8"/>
          <w:footerReference w:type="default" r:id="rId9"/>
          <w:pgSz w:w="12240" w:h="15840" w:code="1"/>
          <w:pgMar w:top="1418" w:right="1418" w:bottom="1418" w:left="1418" w:header="709" w:footer="709" w:gutter="0"/>
          <w:cols w:space="708"/>
          <w:docGrid w:linePitch="360"/>
        </w:sectPr>
      </w:pPr>
      <w:bookmarkStart w:id="0" w:name="_GoBack"/>
      <w:bookmarkEnd w:id="0"/>
      <w:r w:rsidRPr="001D5A5B">
        <w:rPr>
          <w:rFonts w:ascii="Times New Roman" w:hAnsi="Times New Roman" w:cs="Times New Roman"/>
          <w:b/>
          <w:lang w:val="es-MX"/>
        </w:rPr>
        <w:t>R</w:t>
      </w:r>
      <w:r w:rsidR="00157402" w:rsidRPr="001D5A5B">
        <w:rPr>
          <w:rFonts w:ascii="Times New Roman" w:hAnsi="Times New Roman" w:cs="Times New Roman"/>
          <w:b/>
          <w:lang w:val="es-MX"/>
        </w:rPr>
        <w:t xml:space="preserve">esultado fiscal </w:t>
      </w:r>
      <w:r w:rsidRPr="001D5A5B">
        <w:rPr>
          <w:rFonts w:ascii="Times New Roman" w:hAnsi="Times New Roman" w:cs="Times New Roman"/>
          <w:b/>
          <w:lang w:val="es-MX"/>
        </w:rPr>
        <w:t>muestra un déficit moderado</w:t>
      </w:r>
    </w:p>
    <w:p w:rsidR="007D4651" w:rsidRPr="009D2C22" w:rsidRDefault="007D4651" w:rsidP="007D4651">
      <w:pPr>
        <w:pStyle w:val="Sinespaciado"/>
        <w:rPr>
          <w:rFonts w:ascii="Times New Roman" w:hAnsi="Times New Roman" w:cs="Times New Roman"/>
          <w:b/>
          <w:color w:val="FF0000"/>
          <w:sz w:val="18"/>
          <w:lang w:val="es-MX"/>
        </w:rPr>
      </w:pPr>
    </w:p>
    <w:p w:rsidR="007D4651" w:rsidRPr="009D2C22" w:rsidRDefault="007D4651" w:rsidP="007D4651">
      <w:pPr>
        <w:pStyle w:val="Sinespaciado"/>
        <w:jc w:val="center"/>
        <w:rPr>
          <w:rFonts w:ascii="Times New Roman" w:hAnsi="Times New Roman" w:cs="Times New Roman"/>
          <w:b/>
          <w:color w:val="FF0000"/>
          <w:lang w:val="es-MX"/>
        </w:rPr>
        <w:sectPr w:rsidR="007D4651" w:rsidRPr="009D2C22" w:rsidSect="00213F7F">
          <w:type w:val="continuous"/>
          <w:pgSz w:w="12240" w:h="15840"/>
          <w:pgMar w:top="1417" w:right="1701" w:bottom="1417" w:left="1701" w:header="708" w:footer="708" w:gutter="0"/>
          <w:cols w:space="708"/>
          <w:docGrid w:linePitch="360"/>
        </w:sectPr>
      </w:pPr>
    </w:p>
    <w:p w:rsidR="00FD61B9" w:rsidRPr="00203EB7" w:rsidRDefault="00203EB7" w:rsidP="00FD61B9">
      <w:pPr>
        <w:pStyle w:val="Sinespaciado"/>
        <w:jc w:val="both"/>
        <w:rPr>
          <w:rFonts w:ascii="Times New Roman" w:hAnsi="Times New Roman" w:cs="Times New Roman"/>
          <w:color w:val="FF0000"/>
          <w:lang w:val="es-MX"/>
        </w:rPr>
      </w:pPr>
      <w:r>
        <w:rPr>
          <w:rFonts w:ascii="Times New Roman" w:hAnsi="Times New Roman" w:cs="Times New Roman"/>
          <w:color w:val="000000" w:themeColor="text1"/>
          <w:lang w:val="es-MX"/>
        </w:rPr>
        <w:lastRenderedPageBreak/>
        <w:t xml:space="preserve">Dado el comportamiento estacional de los ingresos, en octubre se observa una reducción en el nivel de déficit fiscal con respecto a lo </w:t>
      </w:r>
      <w:r w:rsidR="00CD2E5B">
        <w:rPr>
          <w:rFonts w:ascii="Times New Roman" w:hAnsi="Times New Roman" w:cs="Times New Roman"/>
          <w:color w:val="000000" w:themeColor="text1"/>
          <w:lang w:val="es-MX"/>
        </w:rPr>
        <w:t>registrado</w:t>
      </w:r>
      <w:r>
        <w:rPr>
          <w:rFonts w:ascii="Times New Roman" w:hAnsi="Times New Roman" w:cs="Times New Roman"/>
          <w:color w:val="000000" w:themeColor="text1"/>
          <w:lang w:val="es-MX"/>
        </w:rPr>
        <w:t xml:space="preserve"> en septiembre, principalmente como resultado del vencimiento del ISO y del ISR en el régimen de utilidades.  Asimismo, el gasto público aunque también aumentó, no fue suficiente para absorber el nivel de recursos que se obtuvieron en este mes, lo cual es normal, dado el comportamiento estacional del gasto, que suele ser mucho más dinámico en </w:t>
      </w:r>
      <w:r>
        <w:rPr>
          <w:rFonts w:ascii="Times New Roman" w:hAnsi="Times New Roman" w:cs="Times New Roman"/>
          <w:color w:val="000000" w:themeColor="text1"/>
          <w:lang w:val="es-MX"/>
        </w:rPr>
        <w:lastRenderedPageBreak/>
        <w:t>los meses de noviembre y diciembre.   De esa cuenta, el déficit fiscal al 31 de octubre de este año se ubicó en Q 770.1 millones, que contrasta con el déficit observado a esa misma fecha del 2015         (Q 4,328.2 millones).  Se espera que dado el comportamiento de los ingresos y gastos y lo que podría esperarse para el resto del año, el déficit fiscal podría ubicarse como máximo en 1.1% del PIB.</w:t>
      </w:r>
    </w:p>
    <w:p w:rsidR="007D4651" w:rsidRPr="009D2C22" w:rsidRDefault="007D4651" w:rsidP="008F312E">
      <w:pPr>
        <w:pStyle w:val="Sinespaciado"/>
        <w:jc w:val="both"/>
        <w:rPr>
          <w:rFonts w:ascii="Times New Roman" w:hAnsi="Times New Roman" w:cs="Times New Roman"/>
          <w:color w:val="FF0000"/>
          <w:lang w:val="es-MX"/>
        </w:rPr>
      </w:pPr>
      <w:r w:rsidRPr="009D2C22">
        <w:rPr>
          <w:rFonts w:ascii="Times New Roman" w:hAnsi="Times New Roman" w:cs="Times New Roman"/>
          <w:color w:val="FF0000"/>
          <w:lang w:val="es-MX"/>
        </w:rPr>
        <w:t xml:space="preserve"> </w:t>
      </w:r>
    </w:p>
    <w:p w:rsidR="007D4651" w:rsidRPr="009D2C22" w:rsidRDefault="007D4651" w:rsidP="007D4651">
      <w:pPr>
        <w:pStyle w:val="Sinespaciado"/>
        <w:jc w:val="both"/>
        <w:rPr>
          <w:rFonts w:ascii="Times New Roman" w:hAnsi="Times New Roman" w:cs="Times New Roman"/>
          <w:color w:val="FF0000"/>
          <w:lang w:val="es-MX"/>
        </w:rPr>
      </w:pPr>
    </w:p>
    <w:p w:rsidR="007D4651" w:rsidRPr="009D2C22" w:rsidRDefault="007D4651" w:rsidP="007D4651">
      <w:pPr>
        <w:pStyle w:val="Sinespaciado"/>
        <w:jc w:val="center"/>
        <w:rPr>
          <w:rFonts w:ascii="Times New Roman" w:hAnsi="Times New Roman" w:cs="Times New Roman"/>
          <w:b/>
          <w:color w:val="FF0000"/>
          <w:lang w:val="es-MX"/>
        </w:rPr>
        <w:sectPr w:rsidR="007D4651" w:rsidRPr="009D2C22" w:rsidSect="005D6A2E">
          <w:type w:val="continuous"/>
          <w:pgSz w:w="12240" w:h="15840"/>
          <w:pgMar w:top="1417" w:right="1701" w:bottom="1417" w:left="1701" w:header="708" w:footer="708" w:gutter="0"/>
          <w:cols w:num="2" w:space="708"/>
          <w:docGrid w:linePitch="360"/>
        </w:sectPr>
      </w:pPr>
    </w:p>
    <w:p w:rsidR="007D4651" w:rsidRPr="009D2C22" w:rsidRDefault="007D4651" w:rsidP="007D4651">
      <w:pPr>
        <w:pStyle w:val="Sinespaciado"/>
        <w:jc w:val="center"/>
        <w:rPr>
          <w:rFonts w:ascii="Times New Roman" w:hAnsi="Times New Roman" w:cs="Times New Roman"/>
          <w:b/>
          <w:color w:val="FF0000"/>
          <w:lang w:val="es-MX"/>
        </w:rPr>
      </w:pPr>
    </w:p>
    <w:p w:rsidR="007D4651" w:rsidRPr="009D2C22" w:rsidRDefault="007D4651" w:rsidP="007D4651">
      <w:pPr>
        <w:pStyle w:val="Sinespaciado"/>
        <w:jc w:val="center"/>
        <w:rPr>
          <w:rFonts w:ascii="Times New Roman" w:hAnsi="Times New Roman" w:cs="Times New Roman"/>
          <w:b/>
          <w:color w:val="FF0000"/>
          <w:lang w:val="es-MX"/>
        </w:rPr>
        <w:sectPr w:rsidR="007D4651" w:rsidRPr="009D2C22" w:rsidSect="007D4651">
          <w:type w:val="continuous"/>
          <w:pgSz w:w="12240" w:h="15840" w:code="1"/>
          <w:pgMar w:top="1418" w:right="1418" w:bottom="1418" w:left="1418" w:header="709" w:footer="709" w:gutter="0"/>
          <w:cols w:num="2" w:space="708"/>
          <w:docGrid w:linePitch="360"/>
        </w:sectPr>
      </w:pPr>
    </w:p>
    <w:p w:rsidR="00476A61" w:rsidRDefault="00476A61" w:rsidP="00476A61">
      <w:pPr>
        <w:pStyle w:val="Sinespaciado"/>
        <w:jc w:val="center"/>
        <w:rPr>
          <w:rFonts w:ascii="Times New Roman" w:hAnsi="Times New Roman" w:cs="Times New Roman"/>
          <w:b/>
          <w:lang w:val="es-MX"/>
        </w:rPr>
      </w:pPr>
      <w:r w:rsidRPr="00C1022E">
        <w:rPr>
          <w:rFonts w:ascii="Times New Roman" w:hAnsi="Times New Roman" w:cs="Times New Roman"/>
          <w:b/>
          <w:lang w:val="es-MX"/>
        </w:rPr>
        <w:lastRenderedPageBreak/>
        <w:t>Resultado Presupuestario</w:t>
      </w:r>
    </w:p>
    <w:p w:rsidR="00476A61" w:rsidRPr="0098339E" w:rsidRDefault="00476A61" w:rsidP="00476A61">
      <w:pPr>
        <w:pStyle w:val="Sinespaciado"/>
        <w:jc w:val="center"/>
        <w:rPr>
          <w:rFonts w:ascii="Times New Roman" w:hAnsi="Times New Roman" w:cs="Times New Roman"/>
          <w:lang w:val="es-MX"/>
        </w:rPr>
      </w:pPr>
      <w:r>
        <w:rPr>
          <w:rFonts w:ascii="Times New Roman" w:hAnsi="Times New Roman" w:cs="Times New Roman"/>
          <w:b/>
          <w:lang w:val="es-MX"/>
        </w:rPr>
        <w:t xml:space="preserve"> </w:t>
      </w:r>
      <w:r w:rsidRPr="0098339E">
        <w:rPr>
          <w:rFonts w:ascii="Times New Roman" w:hAnsi="Times New Roman" w:cs="Times New Roman"/>
          <w:sz w:val="18"/>
          <w:lang w:val="es-MX"/>
        </w:rPr>
        <w:t>Mensual Acumulado 2016</w:t>
      </w:r>
    </w:p>
    <w:p w:rsidR="00476A61" w:rsidRDefault="00476A61" w:rsidP="00476A61">
      <w:pPr>
        <w:pStyle w:val="Sinespaciado"/>
        <w:jc w:val="center"/>
        <w:rPr>
          <w:rFonts w:ascii="Times New Roman" w:hAnsi="Times New Roman" w:cs="Times New Roman"/>
          <w:sz w:val="18"/>
          <w:lang w:val="es-MX"/>
        </w:rPr>
      </w:pPr>
      <w:r>
        <w:rPr>
          <w:rFonts w:ascii="Times New Roman" w:hAnsi="Times New Roman" w:cs="Times New Roman"/>
          <w:sz w:val="18"/>
          <w:lang w:val="es-MX"/>
        </w:rPr>
        <w:t>Millones de quetzales</w:t>
      </w:r>
    </w:p>
    <w:p w:rsidR="007D4651" w:rsidRPr="001D5A5B" w:rsidRDefault="00203EB7" w:rsidP="007D4651">
      <w:pPr>
        <w:pStyle w:val="Sinespaciado"/>
        <w:jc w:val="center"/>
        <w:rPr>
          <w:rFonts w:ascii="Times New Roman" w:hAnsi="Times New Roman" w:cs="Times New Roman"/>
          <w:lang w:val="es-MX"/>
        </w:rPr>
      </w:pPr>
      <w:r>
        <w:rPr>
          <w:rFonts w:ascii="Times New Roman" w:hAnsi="Times New Roman" w:cs="Times New Roman"/>
          <w:noProof/>
          <w:sz w:val="18"/>
          <w:lang w:eastAsia="es-GT"/>
        </w:rPr>
        <w:drawing>
          <wp:inline distT="0" distB="0" distL="0" distR="0" wp14:anchorId="29F3369F" wp14:editId="72834A8D">
            <wp:extent cx="2904024" cy="207981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524" cy="2088764"/>
                    </a:xfrm>
                    <a:prstGeom prst="rect">
                      <a:avLst/>
                    </a:prstGeom>
                    <a:noFill/>
                  </pic:spPr>
                </pic:pic>
              </a:graphicData>
            </a:graphic>
          </wp:inline>
        </w:drawing>
      </w:r>
    </w:p>
    <w:p w:rsidR="007D4651" w:rsidRPr="001D5A5B" w:rsidRDefault="007D4651" w:rsidP="00476A61">
      <w:pPr>
        <w:pStyle w:val="Sinespaciado"/>
        <w:ind w:left="2124" w:firstLine="708"/>
        <w:jc w:val="both"/>
        <w:rPr>
          <w:rFonts w:ascii="Times New Roman" w:hAnsi="Times New Roman" w:cs="Times New Roman"/>
          <w:sz w:val="16"/>
        </w:rPr>
      </w:pPr>
      <w:r w:rsidRPr="001D5A5B">
        <w:rPr>
          <w:rFonts w:ascii="Times New Roman" w:hAnsi="Times New Roman" w:cs="Times New Roman"/>
          <w:sz w:val="16"/>
        </w:rPr>
        <w:t>Fuente: Dirección de Análisis y Política fiscal</w:t>
      </w:r>
    </w:p>
    <w:p w:rsidR="00DF71A8" w:rsidRPr="009D2C22" w:rsidRDefault="00DF71A8" w:rsidP="007D4651">
      <w:pPr>
        <w:spacing w:after="0" w:line="240" w:lineRule="auto"/>
        <w:rPr>
          <w:rFonts w:ascii="Times New Roman" w:hAnsi="Times New Roman" w:cs="Times New Roman"/>
          <w:color w:val="FF0000"/>
          <w:lang w:val="es-MX"/>
        </w:rPr>
      </w:pPr>
    </w:p>
    <w:p w:rsidR="00DF71A8" w:rsidRPr="009D2C22" w:rsidRDefault="00DF71A8" w:rsidP="007D4651">
      <w:pPr>
        <w:spacing w:after="0" w:line="240" w:lineRule="auto"/>
        <w:rPr>
          <w:rFonts w:ascii="Times New Roman" w:hAnsi="Times New Roman" w:cs="Times New Roman"/>
          <w:color w:val="FF0000"/>
          <w:lang w:val="es-MX"/>
        </w:rPr>
        <w:sectPr w:rsidR="00DF71A8" w:rsidRPr="009D2C22" w:rsidSect="007D4651">
          <w:type w:val="continuous"/>
          <w:pgSz w:w="12240" w:h="15840" w:code="1"/>
          <w:pgMar w:top="1418" w:right="1418" w:bottom="1418" w:left="1418" w:header="709" w:footer="709" w:gutter="0"/>
          <w:cols w:space="708"/>
          <w:docGrid w:linePitch="360"/>
        </w:sectPr>
      </w:pPr>
    </w:p>
    <w:p w:rsidR="00E16925" w:rsidRPr="00367E12" w:rsidRDefault="007B3D0C" w:rsidP="007B3D0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367E12">
        <w:rPr>
          <w:rFonts w:ascii="Times New Roman" w:hAnsi="Times New Roman" w:cs="Times New Roman"/>
          <w:b/>
          <w:lang w:val="es-MX"/>
        </w:rPr>
        <w:lastRenderedPageBreak/>
        <w:t xml:space="preserve">La meta mensual de </w:t>
      </w:r>
      <w:r w:rsidR="00367E12" w:rsidRPr="00367E12">
        <w:rPr>
          <w:rFonts w:ascii="Times New Roman" w:hAnsi="Times New Roman" w:cs="Times New Roman"/>
          <w:b/>
          <w:lang w:val="es-MX"/>
        </w:rPr>
        <w:t>octu</w:t>
      </w:r>
      <w:r w:rsidRPr="00367E12">
        <w:rPr>
          <w:rFonts w:ascii="Times New Roman" w:hAnsi="Times New Roman" w:cs="Times New Roman"/>
          <w:b/>
          <w:lang w:val="es-MX"/>
        </w:rPr>
        <w:t>bre</w:t>
      </w:r>
      <w:r w:rsidR="00B21010" w:rsidRPr="00367E12">
        <w:rPr>
          <w:rFonts w:ascii="Times New Roman" w:hAnsi="Times New Roman" w:cs="Times New Roman"/>
          <w:b/>
          <w:lang w:val="es-MX"/>
        </w:rPr>
        <w:t xml:space="preserve"> </w:t>
      </w:r>
      <w:r w:rsidRPr="00367E12">
        <w:rPr>
          <w:rFonts w:ascii="Times New Roman" w:hAnsi="Times New Roman" w:cs="Times New Roman"/>
          <w:b/>
          <w:lang w:val="es-MX"/>
        </w:rPr>
        <w:t xml:space="preserve">no </w:t>
      </w:r>
      <w:r w:rsidR="00B21010" w:rsidRPr="00367E12">
        <w:rPr>
          <w:rFonts w:ascii="Times New Roman" w:hAnsi="Times New Roman" w:cs="Times New Roman"/>
          <w:b/>
          <w:lang w:val="es-MX"/>
        </w:rPr>
        <w:t xml:space="preserve">se </w:t>
      </w:r>
      <w:r w:rsidRPr="00367E12">
        <w:rPr>
          <w:rFonts w:ascii="Times New Roman" w:hAnsi="Times New Roman" w:cs="Times New Roman"/>
          <w:b/>
          <w:lang w:val="es-MX"/>
        </w:rPr>
        <w:t>alcanz</w:t>
      </w:r>
      <w:r w:rsidR="00B21010" w:rsidRPr="00367E12">
        <w:rPr>
          <w:rFonts w:ascii="Times New Roman" w:hAnsi="Times New Roman" w:cs="Times New Roman"/>
          <w:b/>
          <w:lang w:val="es-MX"/>
        </w:rPr>
        <w:t>ó</w:t>
      </w:r>
    </w:p>
    <w:p w:rsidR="00E16925" w:rsidRPr="00367E12" w:rsidRDefault="00E16925" w:rsidP="00E16925">
      <w:pPr>
        <w:rPr>
          <w:rFonts w:ascii="Times New Roman" w:hAnsi="Times New Roman" w:cs="Times New Roman"/>
          <w:b/>
          <w:lang w:val="es-MX"/>
        </w:rPr>
        <w:sectPr w:rsidR="00E16925" w:rsidRPr="00367E12"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p>
    <w:p w:rsidR="00E16925" w:rsidRPr="009D2C22" w:rsidRDefault="00E16925" w:rsidP="00E16925">
      <w:pPr>
        <w:pStyle w:val="Sinespaciado"/>
        <w:rPr>
          <w:rFonts w:ascii="Times New Roman" w:hAnsi="Times New Roman" w:cs="Times New Roman"/>
          <w:b/>
          <w:color w:val="FF0000"/>
          <w:sz w:val="18"/>
          <w:lang w:val="es-MX"/>
        </w:rPr>
      </w:pPr>
    </w:p>
    <w:p w:rsidR="00E16925" w:rsidRPr="009D2C22" w:rsidRDefault="00E16925" w:rsidP="00E16925">
      <w:pPr>
        <w:pStyle w:val="Sinespaciado"/>
        <w:jc w:val="center"/>
        <w:rPr>
          <w:rFonts w:ascii="Times New Roman" w:hAnsi="Times New Roman" w:cs="Times New Roman"/>
          <w:b/>
          <w:color w:val="FF0000"/>
          <w:lang w:val="es-MX"/>
        </w:rPr>
        <w:sectPr w:rsidR="00E16925" w:rsidRPr="009D2C22" w:rsidSect="00213F7F">
          <w:type w:val="continuous"/>
          <w:pgSz w:w="12240" w:h="15840"/>
          <w:pgMar w:top="1417" w:right="1701" w:bottom="1417" w:left="1701" w:header="708" w:footer="708" w:gutter="0"/>
          <w:cols w:space="708"/>
          <w:docGrid w:linePitch="360"/>
        </w:sectPr>
      </w:pPr>
    </w:p>
    <w:p w:rsidR="00660888" w:rsidRDefault="00660888" w:rsidP="00660888">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ejecución mensual respecto a presupuesto fue 94.7</w:t>
      </w:r>
      <w:r w:rsidRPr="009F78B7">
        <w:rPr>
          <w:rFonts w:ascii="Times New Roman" w:hAnsi="Times New Roman" w:cs="Times New Roman"/>
          <w:lang w:val="es-MX"/>
        </w:rPr>
        <w:t>%</w:t>
      </w:r>
      <w:r>
        <w:rPr>
          <w:rFonts w:ascii="Times New Roman" w:hAnsi="Times New Roman" w:cs="Times New Roman"/>
          <w:lang w:val="es-MX"/>
        </w:rPr>
        <w:t xml:space="preserve"> se dejó de recaudar Q</w:t>
      </w:r>
      <w:r w:rsidR="00244AAA">
        <w:rPr>
          <w:rFonts w:ascii="Times New Roman" w:hAnsi="Times New Roman" w:cs="Times New Roman"/>
          <w:lang w:val="es-MX"/>
        </w:rPr>
        <w:t xml:space="preserve"> </w:t>
      </w:r>
      <w:r>
        <w:rPr>
          <w:rFonts w:ascii="Times New Roman" w:hAnsi="Times New Roman" w:cs="Times New Roman"/>
          <w:lang w:val="es-MX"/>
        </w:rPr>
        <w:t>316.9 millones,</w:t>
      </w:r>
      <w:r w:rsidRPr="009F78B7">
        <w:rPr>
          <w:rFonts w:ascii="Times New Roman" w:hAnsi="Times New Roman" w:cs="Times New Roman"/>
          <w:lang w:val="es-MX"/>
        </w:rPr>
        <w:t xml:space="preserve"> </w:t>
      </w:r>
      <w:r>
        <w:rPr>
          <w:rFonts w:ascii="Times New Roman" w:hAnsi="Times New Roman" w:cs="Times New Roman"/>
          <w:lang w:val="es-MX"/>
        </w:rPr>
        <w:t xml:space="preserve">factores que impidieron alcanzar la meta mensual de presupuesto fueron la baja ejecución (90.19%) en la recaudación del IVA total, </w:t>
      </w:r>
      <w:r w:rsidRPr="00D30047">
        <w:rPr>
          <w:rFonts w:ascii="Times New Roman" w:hAnsi="Times New Roman" w:cs="Times New Roman"/>
          <w:lang w:val="es-MX"/>
        </w:rPr>
        <w:t>considerando r</w:t>
      </w:r>
      <w:r>
        <w:rPr>
          <w:rFonts w:ascii="Times New Roman" w:hAnsi="Times New Roman" w:cs="Times New Roman"/>
          <w:lang w:val="es-MX"/>
        </w:rPr>
        <w:t>ecaudación extraordinaria (Q</w:t>
      </w:r>
      <w:r w:rsidR="00244AAA">
        <w:rPr>
          <w:rFonts w:ascii="Times New Roman" w:hAnsi="Times New Roman" w:cs="Times New Roman"/>
          <w:lang w:val="es-MX"/>
        </w:rPr>
        <w:t xml:space="preserve"> </w:t>
      </w:r>
      <w:r>
        <w:rPr>
          <w:rFonts w:ascii="Times New Roman" w:hAnsi="Times New Roman" w:cs="Times New Roman"/>
          <w:lang w:val="es-MX"/>
        </w:rPr>
        <w:t xml:space="preserve">47.2 millones) en IVA </w:t>
      </w:r>
      <w:r w:rsidR="00367E12">
        <w:rPr>
          <w:rFonts w:ascii="Times New Roman" w:hAnsi="Times New Roman" w:cs="Times New Roman"/>
          <w:lang w:val="es-MX"/>
        </w:rPr>
        <w:t>doméstico</w:t>
      </w:r>
      <w:r w:rsidR="004A5188">
        <w:rPr>
          <w:rFonts w:ascii="Times New Roman" w:hAnsi="Times New Roman" w:cs="Times New Roman"/>
          <w:lang w:val="es-MX"/>
        </w:rPr>
        <w:t xml:space="preserve">.  Así mismo, </w:t>
      </w:r>
      <w:r>
        <w:rPr>
          <w:rFonts w:ascii="Times New Roman" w:hAnsi="Times New Roman" w:cs="Times New Roman"/>
          <w:lang w:val="es-MX"/>
        </w:rPr>
        <w:t xml:space="preserve">el IVA de importaciones se vio afectado por el paro del transporte pesado </w:t>
      </w:r>
      <w:r w:rsidR="004A5188">
        <w:rPr>
          <w:rFonts w:ascii="Times New Roman" w:hAnsi="Times New Roman" w:cs="Times New Roman"/>
          <w:lang w:val="es-MX"/>
        </w:rPr>
        <w:t>lo cual impidió que se alcanzara</w:t>
      </w:r>
      <w:r>
        <w:rPr>
          <w:rFonts w:ascii="Times New Roman" w:hAnsi="Times New Roman" w:cs="Times New Roman"/>
          <w:lang w:val="es-MX"/>
        </w:rPr>
        <w:t xml:space="preserve"> la meta establecida en el presupuesto de igual forma la </w:t>
      </w:r>
      <w:r>
        <w:rPr>
          <w:rFonts w:ascii="Times New Roman" w:hAnsi="Times New Roman" w:cs="Times New Roman"/>
          <w:lang w:val="es-MX"/>
        </w:rPr>
        <w:lastRenderedPageBreak/>
        <w:t>recaudación en los derechos arancelarios y los combustibles se vieron afectados.</w:t>
      </w:r>
    </w:p>
    <w:p w:rsidR="00660888" w:rsidRPr="009F78B7" w:rsidRDefault="00660888" w:rsidP="00660888">
      <w:pPr>
        <w:spacing w:after="0" w:line="240" w:lineRule="auto"/>
        <w:jc w:val="both"/>
        <w:rPr>
          <w:rFonts w:ascii="Times New Roman" w:hAnsi="Times New Roman" w:cs="Times New Roman"/>
          <w:lang w:val="es-MX"/>
        </w:rPr>
      </w:pPr>
      <w:r w:rsidRPr="009F78B7">
        <w:rPr>
          <w:rFonts w:ascii="Times New Roman" w:hAnsi="Times New Roman" w:cs="Times New Roman"/>
          <w:lang w:val="es-MX"/>
        </w:rPr>
        <w:t xml:space="preserve"> </w:t>
      </w:r>
    </w:p>
    <w:p w:rsidR="00660888" w:rsidRPr="007A2067" w:rsidRDefault="00660888" w:rsidP="00660888">
      <w:pPr>
        <w:spacing w:after="0" w:line="240" w:lineRule="auto"/>
        <w:jc w:val="both"/>
        <w:rPr>
          <w:rFonts w:ascii="Times New Roman" w:hAnsi="Times New Roman" w:cs="Times New Roman"/>
          <w:lang w:val="es-MX"/>
        </w:rPr>
      </w:pPr>
      <w:r w:rsidRPr="009F78B7">
        <w:rPr>
          <w:rFonts w:ascii="Times New Roman" w:hAnsi="Times New Roman" w:cs="Times New Roman"/>
          <w:lang w:val="es-MX"/>
        </w:rPr>
        <w:t xml:space="preserve">Con relación al año anterior </w:t>
      </w:r>
      <w:r>
        <w:rPr>
          <w:rFonts w:ascii="Times New Roman" w:hAnsi="Times New Roman" w:cs="Times New Roman"/>
          <w:lang w:val="es-MX"/>
        </w:rPr>
        <w:t xml:space="preserve">la ejecución mensual se </w:t>
      </w:r>
      <w:r w:rsidR="00244AAA">
        <w:rPr>
          <w:rFonts w:ascii="Times New Roman" w:hAnsi="Times New Roman" w:cs="Times New Roman"/>
          <w:lang w:val="es-MX"/>
        </w:rPr>
        <w:t>superó</w:t>
      </w:r>
      <w:r>
        <w:rPr>
          <w:rFonts w:ascii="Times New Roman" w:hAnsi="Times New Roman" w:cs="Times New Roman"/>
          <w:lang w:val="es-MX"/>
        </w:rPr>
        <w:t xml:space="preserve"> en 6% (Q</w:t>
      </w:r>
      <w:r w:rsidR="00244AAA">
        <w:rPr>
          <w:rFonts w:ascii="Times New Roman" w:hAnsi="Times New Roman" w:cs="Times New Roman"/>
          <w:lang w:val="es-MX"/>
        </w:rPr>
        <w:t xml:space="preserve"> </w:t>
      </w:r>
      <w:r>
        <w:rPr>
          <w:rFonts w:ascii="Times New Roman" w:hAnsi="Times New Roman" w:cs="Times New Roman"/>
          <w:lang w:val="es-MX"/>
        </w:rPr>
        <w:t xml:space="preserve">320.9 millones), </w:t>
      </w:r>
      <w:r w:rsidRPr="007A2067">
        <w:rPr>
          <w:rFonts w:ascii="Times New Roman" w:hAnsi="Times New Roman" w:cs="Times New Roman"/>
          <w:lang w:val="es-MX"/>
        </w:rPr>
        <w:t>impulsada principalmente por el ISR e  IVA total que en conjunto determinan el 7</w:t>
      </w:r>
      <w:r>
        <w:rPr>
          <w:rFonts w:ascii="Times New Roman" w:hAnsi="Times New Roman" w:cs="Times New Roman"/>
          <w:lang w:val="es-MX"/>
        </w:rPr>
        <w:t>2</w:t>
      </w:r>
      <w:r w:rsidRPr="007A2067">
        <w:rPr>
          <w:rFonts w:ascii="Times New Roman" w:hAnsi="Times New Roman" w:cs="Times New Roman"/>
          <w:lang w:val="es-MX"/>
        </w:rPr>
        <w:t>% de la recaudación total y aportan Q</w:t>
      </w:r>
      <w:r w:rsidR="00244AAA">
        <w:rPr>
          <w:rFonts w:ascii="Times New Roman" w:hAnsi="Times New Roman" w:cs="Times New Roman"/>
          <w:lang w:val="es-MX"/>
        </w:rPr>
        <w:t xml:space="preserve"> </w:t>
      </w:r>
      <w:r>
        <w:rPr>
          <w:rFonts w:ascii="Times New Roman" w:hAnsi="Times New Roman" w:cs="Times New Roman"/>
          <w:lang w:val="es-MX"/>
        </w:rPr>
        <w:t>4</w:t>
      </w:r>
      <w:r w:rsidRPr="007A2067">
        <w:rPr>
          <w:rFonts w:ascii="Times New Roman" w:hAnsi="Times New Roman" w:cs="Times New Roman"/>
          <w:lang w:val="es-MX"/>
        </w:rPr>
        <w:t>,</w:t>
      </w:r>
      <w:r>
        <w:rPr>
          <w:rFonts w:ascii="Times New Roman" w:hAnsi="Times New Roman" w:cs="Times New Roman"/>
          <w:lang w:val="es-MX"/>
        </w:rPr>
        <w:t xml:space="preserve">066.3 </w:t>
      </w:r>
      <w:r w:rsidRPr="007A2067">
        <w:rPr>
          <w:rFonts w:ascii="Times New Roman" w:hAnsi="Times New Roman" w:cs="Times New Roman"/>
          <w:lang w:val="es-MX"/>
        </w:rPr>
        <w:t xml:space="preserve">millones </w:t>
      </w:r>
      <w:r>
        <w:rPr>
          <w:rFonts w:ascii="Times New Roman" w:hAnsi="Times New Roman" w:cs="Times New Roman"/>
          <w:lang w:val="es-MX"/>
        </w:rPr>
        <w:t xml:space="preserve">de los </w:t>
      </w:r>
      <w:r w:rsidRPr="007A2067">
        <w:rPr>
          <w:rFonts w:ascii="Times New Roman" w:hAnsi="Times New Roman" w:cs="Times New Roman"/>
          <w:lang w:val="es-MX"/>
        </w:rPr>
        <w:t>Q</w:t>
      </w:r>
      <w:r w:rsidR="00244AAA">
        <w:rPr>
          <w:rFonts w:ascii="Times New Roman" w:hAnsi="Times New Roman" w:cs="Times New Roman"/>
          <w:lang w:val="es-MX"/>
        </w:rPr>
        <w:t xml:space="preserve"> </w:t>
      </w:r>
      <w:r>
        <w:rPr>
          <w:rFonts w:ascii="Times New Roman" w:hAnsi="Times New Roman" w:cs="Times New Roman"/>
          <w:lang w:val="es-MX"/>
        </w:rPr>
        <w:t>5</w:t>
      </w:r>
      <w:r w:rsidRPr="007A2067">
        <w:rPr>
          <w:rFonts w:ascii="Times New Roman" w:hAnsi="Times New Roman" w:cs="Times New Roman"/>
          <w:lang w:val="es-MX"/>
        </w:rPr>
        <w:t>,6</w:t>
      </w:r>
      <w:r>
        <w:rPr>
          <w:rFonts w:ascii="Times New Roman" w:hAnsi="Times New Roman" w:cs="Times New Roman"/>
          <w:lang w:val="es-MX"/>
        </w:rPr>
        <w:t xml:space="preserve">74.7 </w:t>
      </w:r>
      <w:r w:rsidRPr="007A2067">
        <w:rPr>
          <w:rFonts w:ascii="Times New Roman" w:hAnsi="Times New Roman" w:cs="Times New Roman"/>
          <w:lang w:val="es-MX"/>
        </w:rPr>
        <w:t>millones recaudados.</w:t>
      </w:r>
    </w:p>
    <w:p w:rsidR="00660888" w:rsidRDefault="00660888" w:rsidP="00660888">
      <w:pPr>
        <w:spacing w:after="0" w:line="240" w:lineRule="auto"/>
        <w:jc w:val="both"/>
        <w:rPr>
          <w:rFonts w:ascii="Times New Roman" w:hAnsi="Times New Roman" w:cs="Times New Roman"/>
          <w:lang w:val="es-MX"/>
        </w:rPr>
      </w:pPr>
    </w:p>
    <w:p w:rsidR="00660888" w:rsidRPr="006F5A21" w:rsidRDefault="00660888" w:rsidP="00660888">
      <w:pPr>
        <w:spacing w:after="0" w:line="240" w:lineRule="auto"/>
        <w:jc w:val="center"/>
        <w:rPr>
          <w:rFonts w:ascii="Times New Roman" w:hAnsi="Times New Roman" w:cs="Times New Roman"/>
          <w:b/>
          <w:lang w:val="es-MX"/>
        </w:rPr>
      </w:pPr>
      <w:r w:rsidRPr="006F5A21">
        <w:rPr>
          <w:rFonts w:ascii="Times New Roman" w:hAnsi="Times New Roman" w:cs="Times New Roman"/>
          <w:b/>
          <w:lang w:val="es-MX"/>
        </w:rPr>
        <w:t xml:space="preserve">Recaudación observada </w:t>
      </w:r>
      <w:r>
        <w:rPr>
          <w:rFonts w:ascii="Times New Roman" w:hAnsi="Times New Roman" w:cs="Times New Roman"/>
          <w:b/>
          <w:lang w:val="es-MX"/>
        </w:rPr>
        <w:t>vrs</w:t>
      </w:r>
      <w:r w:rsidRPr="006F5A21">
        <w:rPr>
          <w:rFonts w:ascii="Times New Roman" w:hAnsi="Times New Roman" w:cs="Times New Roman"/>
          <w:b/>
          <w:lang w:val="es-MX"/>
        </w:rPr>
        <w:t xml:space="preserve"> meta</w:t>
      </w:r>
      <w:r>
        <w:rPr>
          <w:rFonts w:ascii="Times New Roman" w:hAnsi="Times New Roman" w:cs="Times New Roman"/>
          <w:b/>
          <w:lang w:val="es-MX"/>
        </w:rPr>
        <w:t xml:space="preserve"> y 2015</w:t>
      </w:r>
    </w:p>
    <w:p w:rsidR="00660888" w:rsidRDefault="00660888" w:rsidP="00660888">
      <w:pPr>
        <w:spacing w:after="0" w:line="240" w:lineRule="auto"/>
        <w:jc w:val="center"/>
        <w:rPr>
          <w:rFonts w:ascii="Times New Roman" w:hAnsi="Times New Roman" w:cs="Times New Roman"/>
          <w:b/>
          <w:sz w:val="18"/>
          <w:lang w:val="es-MX"/>
        </w:rPr>
      </w:pPr>
      <w:r w:rsidRPr="009F78B7">
        <w:rPr>
          <w:rFonts w:ascii="Times New Roman" w:hAnsi="Times New Roman" w:cs="Times New Roman"/>
          <w:noProof/>
          <w:lang w:eastAsia="es-GT"/>
        </w:rPr>
        <w:lastRenderedPageBreak/>
        <w:drawing>
          <wp:inline distT="0" distB="0" distL="0" distR="0" wp14:anchorId="1828EB23" wp14:editId="74D1536F">
            <wp:extent cx="2693505" cy="2077278"/>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888" w:rsidRPr="00E43BF3" w:rsidRDefault="00660888" w:rsidP="00660888">
      <w:pPr>
        <w:spacing w:after="0" w:line="240" w:lineRule="auto"/>
        <w:jc w:val="center"/>
        <w:rPr>
          <w:rFonts w:ascii="Times New Roman" w:hAnsi="Times New Roman" w:cs="Times New Roman"/>
          <w:sz w:val="16"/>
          <w:lang w:val="es-MX"/>
        </w:rPr>
      </w:pPr>
      <w:r w:rsidRPr="00E43BF3">
        <w:rPr>
          <w:rFonts w:ascii="Times New Roman" w:hAnsi="Times New Roman" w:cs="Times New Roman"/>
          <w:sz w:val="16"/>
          <w:lang w:val="es-MX"/>
        </w:rPr>
        <w:t>Fuente: Dirección de Análisis y Política Fiscal</w:t>
      </w:r>
    </w:p>
    <w:p w:rsidR="00660888" w:rsidRDefault="00660888" w:rsidP="00660888">
      <w:pPr>
        <w:spacing w:after="0" w:line="240" w:lineRule="auto"/>
        <w:jc w:val="center"/>
        <w:rPr>
          <w:rFonts w:ascii="Times New Roman" w:hAnsi="Times New Roman" w:cs="Times New Roman"/>
          <w:lang w:val="es-MX"/>
        </w:rPr>
      </w:pPr>
    </w:p>
    <w:p w:rsidR="00660888" w:rsidRDefault="00660888" w:rsidP="00660888">
      <w:pPr>
        <w:spacing w:after="0" w:line="240" w:lineRule="auto"/>
        <w:jc w:val="both"/>
        <w:rPr>
          <w:rFonts w:ascii="Times New Roman" w:hAnsi="Times New Roman" w:cs="Times New Roman"/>
          <w:lang w:val="es-MX"/>
        </w:rPr>
      </w:pPr>
      <w:r>
        <w:rPr>
          <w:rFonts w:ascii="Times New Roman" w:hAnsi="Times New Roman" w:cs="Times New Roman"/>
          <w:lang w:val="es-MX"/>
        </w:rPr>
        <w:t>La recaudación acumulada tiene una ejecución de 98.8% respecto a la meta de presupuesto, la brecha negativa observada en septiembre (Q</w:t>
      </w:r>
      <w:r w:rsidR="00244AAA">
        <w:rPr>
          <w:rFonts w:ascii="Times New Roman" w:hAnsi="Times New Roman" w:cs="Times New Roman"/>
          <w:lang w:val="es-MX"/>
        </w:rPr>
        <w:t xml:space="preserve"> </w:t>
      </w:r>
      <w:r>
        <w:rPr>
          <w:rFonts w:ascii="Times New Roman" w:hAnsi="Times New Roman" w:cs="Times New Roman"/>
          <w:lang w:val="es-MX"/>
        </w:rPr>
        <w:t>244.2 millones) se amplió nuevamente ubicándola en Q</w:t>
      </w:r>
      <w:r w:rsidR="00244AAA">
        <w:rPr>
          <w:rFonts w:ascii="Times New Roman" w:hAnsi="Times New Roman" w:cs="Times New Roman"/>
          <w:lang w:val="es-MX"/>
        </w:rPr>
        <w:t xml:space="preserve"> </w:t>
      </w:r>
      <w:r>
        <w:rPr>
          <w:rFonts w:ascii="Times New Roman" w:hAnsi="Times New Roman" w:cs="Times New Roman"/>
          <w:lang w:val="es-MX"/>
        </w:rPr>
        <w:t>549.6 millones</w:t>
      </w:r>
      <w:r w:rsidR="00D006D5">
        <w:rPr>
          <w:rFonts w:ascii="Times New Roman" w:hAnsi="Times New Roman" w:cs="Times New Roman"/>
          <w:lang w:val="es-MX"/>
        </w:rPr>
        <w:t>. E</w:t>
      </w:r>
      <w:r>
        <w:rPr>
          <w:rFonts w:ascii="Times New Roman" w:hAnsi="Times New Roman" w:cs="Times New Roman"/>
          <w:lang w:val="es-MX"/>
        </w:rPr>
        <w:t>l deterioro nuevamente se fundamenta en la baja recaudación del IVA total</w:t>
      </w:r>
      <w:r w:rsidR="00D006D5">
        <w:rPr>
          <w:rFonts w:ascii="Times New Roman" w:hAnsi="Times New Roman" w:cs="Times New Roman"/>
          <w:lang w:val="es-MX"/>
        </w:rPr>
        <w:t>,</w:t>
      </w:r>
      <w:r>
        <w:rPr>
          <w:rFonts w:ascii="Times New Roman" w:hAnsi="Times New Roman" w:cs="Times New Roman"/>
          <w:lang w:val="es-MX"/>
        </w:rPr>
        <w:t xml:space="preserve"> principalmente en el IVA asociado al comercio exterior el cual a la fecha tiene una brecha negativa de Q 1,232.6 millones.</w:t>
      </w:r>
    </w:p>
    <w:p w:rsidR="00660888" w:rsidRDefault="00660888" w:rsidP="00660888">
      <w:pPr>
        <w:spacing w:after="0" w:line="240" w:lineRule="auto"/>
        <w:jc w:val="both"/>
        <w:rPr>
          <w:rFonts w:ascii="Times New Roman" w:hAnsi="Times New Roman" w:cs="Times New Roman"/>
          <w:lang w:val="es-MX"/>
        </w:rPr>
      </w:pPr>
    </w:p>
    <w:p w:rsidR="00660888" w:rsidRDefault="00660888" w:rsidP="00660888">
      <w:pPr>
        <w:spacing w:after="0" w:line="240" w:lineRule="auto"/>
        <w:jc w:val="center"/>
        <w:rPr>
          <w:rFonts w:ascii="Times New Roman" w:hAnsi="Times New Roman" w:cs="Times New Roman"/>
          <w:b/>
          <w:lang w:val="es-MX"/>
        </w:rPr>
      </w:pPr>
      <w:r>
        <w:rPr>
          <w:rFonts w:ascii="Times New Roman" w:hAnsi="Times New Roman" w:cs="Times New Roman"/>
          <w:b/>
          <w:lang w:val="es-MX"/>
        </w:rPr>
        <w:t>Variación de r</w:t>
      </w:r>
      <w:r w:rsidRPr="006F5A21">
        <w:rPr>
          <w:rFonts w:ascii="Times New Roman" w:hAnsi="Times New Roman" w:cs="Times New Roman"/>
          <w:b/>
          <w:lang w:val="es-MX"/>
        </w:rPr>
        <w:t xml:space="preserve">ecaudación </w:t>
      </w:r>
    </w:p>
    <w:p w:rsidR="00660888" w:rsidRPr="00810A4C" w:rsidRDefault="00660888" w:rsidP="00660888">
      <w:pPr>
        <w:spacing w:after="0" w:line="240" w:lineRule="auto"/>
        <w:jc w:val="center"/>
        <w:rPr>
          <w:rFonts w:ascii="Times New Roman" w:hAnsi="Times New Roman" w:cs="Times New Roman"/>
          <w:lang w:val="es-MX"/>
        </w:rPr>
      </w:pPr>
      <w:r w:rsidRPr="00810A4C">
        <w:rPr>
          <w:rFonts w:ascii="Times New Roman" w:hAnsi="Times New Roman" w:cs="Times New Roman"/>
          <w:sz w:val="18"/>
          <w:lang w:val="es-MX"/>
        </w:rPr>
        <w:t>Millones de quetzales</w:t>
      </w:r>
    </w:p>
    <w:p w:rsidR="00660888" w:rsidRDefault="00660888" w:rsidP="00660888">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1D7AD298" wp14:editId="0BEDE212">
            <wp:extent cx="2693505" cy="2415209"/>
            <wp:effectExtent l="0" t="0" r="0" b="444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888" w:rsidRPr="00E43BF3" w:rsidRDefault="00660888" w:rsidP="00660888">
      <w:pPr>
        <w:spacing w:after="0" w:line="240" w:lineRule="auto"/>
        <w:jc w:val="center"/>
        <w:rPr>
          <w:rFonts w:ascii="Times New Roman" w:hAnsi="Times New Roman" w:cs="Times New Roman"/>
          <w:sz w:val="16"/>
          <w:lang w:val="es-MX"/>
        </w:rPr>
      </w:pPr>
      <w:r w:rsidRPr="00E43BF3">
        <w:rPr>
          <w:rFonts w:ascii="Times New Roman" w:hAnsi="Times New Roman" w:cs="Times New Roman"/>
          <w:sz w:val="16"/>
          <w:lang w:val="es-MX"/>
        </w:rPr>
        <w:t>Fuente: Dirección de Análisis y Política Fiscal</w:t>
      </w:r>
    </w:p>
    <w:p w:rsidR="00660888" w:rsidRDefault="00660888" w:rsidP="00660888">
      <w:pPr>
        <w:spacing w:after="0" w:line="240" w:lineRule="auto"/>
        <w:jc w:val="both"/>
        <w:rPr>
          <w:rFonts w:ascii="Times New Roman" w:hAnsi="Times New Roman" w:cs="Times New Roman"/>
          <w:lang w:val="es-MX"/>
        </w:rPr>
      </w:pPr>
    </w:p>
    <w:p w:rsidR="00660888" w:rsidRDefault="00660888" w:rsidP="00660888">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recaudación acumulada del ISR con recaudación extraordinaria presenta crecimiento de 5.5% (Q</w:t>
      </w:r>
      <w:r w:rsidR="00244AAA">
        <w:rPr>
          <w:rFonts w:ascii="Times New Roman" w:hAnsi="Times New Roman" w:cs="Times New Roman"/>
          <w:lang w:val="es-MX"/>
        </w:rPr>
        <w:t xml:space="preserve"> </w:t>
      </w:r>
      <w:r>
        <w:rPr>
          <w:rFonts w:ascii="Times New Roman" w:hAnsi="Times New Roman" w:cs="Times New Roman"/>
          <w:lang w:val="es-MX"/>
        </w:rPr>
        <w:t>737.5 millones) respecto a la meta de presupuesto y de forma interanual 18.7%, dicho crecimiento en gran medida se debe a los procesos de recuperación de adeudos tributarios en tribunales que la fecha suman Q</w:t>
      </w:r>
      <w:r w:rsidR="00244AAA">
        <w:rPr>
          <w:rFonts w:ascii="Times New Roman" w:hAnsi="Times New Roman" w:cs="Times New Roman"/>
          <w:lang w:val="es-MX"/>
        </w:rPr>
        <w:t xml:space="preserve"> </w:t>
      </w:r>
      <w:r>
        <w:rPr>
          <w:rFonts w:ascii="Times New Roman" w:hAnsi="Times New Roman" w:cs="Times New Roman"/>
          <w:lang w:val="es-MX"/>
        </w:rPr>
        <w:t xml:space="preserve">1,316.7 millones, restando este monto a la recaudación </w:t>
      </w:r>
      <w:r w:rsidRPr="002B59C2">
        <w:rPr>
          <w:rFonts w:ascii="Times New Roman" w:hAnsi="Times New Roman" w:cs="Times New Roman"/>
          <w:lang w:val="es-MX"/>
        </w:rPr>
        <w:t>normal de ISR</w:t>
      </w:r>
      <w:r w:rsidRPr="00547B58">
        <w:rPr>
          <w:rFonts w:ascii="Times New Roman" w:hAnsi="Times New Roman" w:cs="Times New Roman"/>
          <w:lang w:val="es-MX"/>
        </w:rPr>
        <w:t xml:space="preserve"> </w:t>
      </w:r>
      <w:r>
        <w:rPr>
          <w:rFonts w:ascii="Times New Roman" w:hAnsi="Times New Roman" w:cs="Times New Roman"/>
          <w:lang w:val="es-MX"/>
        </w:rPr>
        <w:t xml:space="preserve">se observa una caída respecto a la meta de presupuesto de </w:t>
      </w:r>
      <w:r w:rsidR="00244AAA">
        <w:rPr>
          <w:rFonts w:ascii="Times New Roman" w:hAnsi="Times New Roman" w:cs="Times New Roman"/>
          <w:lang w:val="es-MX"/>
        </w:rPr>
        <w:t xml:space="preserve">    </w:t>
      </w:r>
      <w:r>
        <w:rPr>
          <w:rFonts w:ascii="Times New Roman" w:hAnsi="Times New Roman" w:cs="Times New Roman"/>
          <w:lang w:val="es-MX"/>
        </w:rPr>
        <w:t>Q</w:t>
      </w:r>
      <w:r w:rsidR="00244AAA">
        <w:rPr>
          <w:rFonts w:ascii="Times New Roman" w:hAnsi="Times New Roman" w:cs="Times New Roman"/>
          <w:lang w:val="es-MX"/>
        </w:rPr>
        <w:t xml:space="preserve"> </w:t>
      </w:r>
      <w:r>
        <w:rPr>
          <w:rFonts w:ascii="Times New Roman" w:hAnsi="Times New Roman" w:cs="Times New Roman"/>
          <w:lang w:val="es-MX"/>
        </w:rPr>
        <w:t>579.2 millones  y un crecimiento interanual de 7.7% (Q</w:t>
      </w:r>
      <w:r w:rsidR="00244AAA">
        <w:rPr>
          <w:rFonts w:ascii="Times New Roman" w:hAnsi="Times New Roman" w:cs="Times New Roman"/>
          <w:lang w:val="es-MX"/>
        </w:rPr>
        <w:t xml:space="preserve"> </w:t>
      </w:r>
      <w:r>
        <w:rPr>
          <w:rFonts w:ascii="Times New Roman" w:hAnsi="Times New Roman" w:cs="Times New Roman"/>
          <w:lang w:val="es-MX"/>
        </w:rPr>
        <w:t>920.4 millones).</w:t>
      </w:r>
    </w:p>
    <w:p w:rsidR="00660888" w:rsidRDefault="00660888" w:rsidP="00660888">
      <w:pPr>
        <w:spacing w:after="0" w:line="240" w:lineRule="auto"/>
        <w:jc w:val="both"/>
        <w:rPr>
          <w:rFonts w:ascii="Times New Roman" w:hAnsi="Times New Roman" w:cs="Times New Roman"/>
          <w:lang w:val="es-MX"/>
        </w:rPr>
      </w:pPr>
    </w:p>
    <w:p w:rsidR="00660888" w:rsidRDefault="00660888" w:rsidP="00660888">
      <w:pPr>
        <w:spacing w:after="0" w:line="240" w:lineRule="auto"/>
        <w:jc w:val="center"/>
        <w:rPr>
          <w:rFonts w:ascii="Times New Roman" w:hAnsi="Times New Roman" w:cs="Times New Roman"/>
          <w:b/>
          <w:lang w:val="es-MX"/>
        </w:rPr>
      </w:pPr>
      <w:r>
        <w:rPr>
          <w:rFonts w:ascii="Times New Roman" w:hAnsi="Times New Roman" w:cs="Times New Roman"/>
          <w:b/>
          <w:lang w:val="es-MX"/>
        </w:rPr>
        <w:t>Variación interanual de ISR</w:t>
      </w:r>
    </w:p>
    <w:p w:rsidR="00660888" w:rsidRPr="00810A4C" w:rsidRDefault="00660888" w:rsidP="00660888">
      <w:pPr>
        <w:spacing w:after="0" w:line="240" w:lineRule="auto"/>
        <w:jc w:val="center"/>
        <w:rPr>
          <w:rFonts w:ascii="Times New Roman" w:hAnsi="Times New Roman" w:cs="Times New Roman"/>
          <w:sz w:val="18"/>
          <w:lang w:val="es-MX"/>
        </w:rPr>
      </w:pPr>
      <w:r w:rsidRPr="00810A4C">
        <w:rPr>
          <w:rFonts w:ascii="Times New Roman" w:hAnsi="Times New Roman" w:cs="Times New Roman"/>
          <w:sz w:val="18"/>
          <w:lang w:val="es-MX"/>
        </w:rPr>
        <w:t>Porcentajes</w:t>
      </w:r>
    </w:p>
    <w:p w:rsidR="00660888" w:rsidRDefault="00660888" w:rsidP="00660888">
      <w:pPr>
        <w:spacing w:after="0" w:line="240" w:lineRule="auto"/>
        <w:jc w:val="both"/>
        <w:rPr>
          <w:rFonts w:ascii="Times New Roman" w:hAnsi="Times New Roman" w:cs="Times New Roman"/>
          <w:lang w:val="es-MX"/>
        </w:rPr>
      </w:pPr>
    </w:p>
    <w:p w:rsidR="00660888" w:rsidRDefault="00660888" w:rsidP="00660888">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40067FA4" wp14:editId="545B8BC5">
            <wp:extent cx="2752725" cy="250507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0888" w:rsidRPr="00E43BF3" w:rsidRDefault="00660888" w:rsidP="00660888">
      <w:pPr>
        <w:spacing w:after="0" w:line="240" w:lineRule="auto"/>
        <w:rPr>
          <w:rFonts w:ascii="Times New Roman" w:hAnsi="Times New Roman" w:cs="Times New Roman"/>
          <w:sz w:val="16"/>
          <w:lang w:val="es-MX"/>
        </w:rPr>
      </w:pPr>
      <w:r w:rsidRPr="00E43BF3">
        <w:rPr>
          <w:rFonts w:ascii="Times New Roman" w:hAnsi="Times New Roman" w:cs="Times New Roman"/>
          <w:sz w:val="16"/>
          <w:lang w:val="es-MX"/>
        </w:rPr>
        <w:t>Fuente: Dirección de Análisis y Política Fiscal</w:t>
      </w:r>
    </w:p>
    <w:p w:rsidR="00660888" w:rsidRDefault="00660888" w:rsidP="00660888">
      <w:pPr>
        <w:spacing w:after="0" w:line="240" w:lineRule="auto"/>
        <w:jc w:val="both"/>
        <w:rPr>
          <w:rFonts w:ascii="Times New Roman" w:hAnsi="Times New Roman" w:cs="Times New Roman"/>
          <w:lang w:val="es-MX"/>
        </w:rPr>
      </w:pPr>
    </w:p>
    <w:p w:rsidR="00660888" w:rsidRDefault="00660888" w:rsidP="00660888">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IVA total incluyendo recaudación extraordinaria tiene una caída de 7.3% </w:t>
      </w:r>
      <w:r w:rsidR="00244AAA">
        <w:rPr>
          <w:rFonts w:ascii="Times New Roman" w:hAnsi="Times New Roman" w:cs="Times New Roman"/>
          <w:lang w:val="es-MX"/>
        </w:rPr>
        <w:t xml:space="preserve">        </w:t>
      </w:r>
      <w:r>
        <w:rPr>
          <w:rFonts w:ascii="Times New Roman" w:hAnsi="Times New Roman" w:cs="Times New Roman"/>
          <w:lang w:val="es-MX"/>
        </w:rPr>
        <w:t>(Q</w:t>
      </w:r>
      <w:r w:rsidR="00244AAA">
        <w:rPr>
          <w:rFonts w:ascii="Times New Roman" w:hAnsi="Times New Roman" w:cs="Times New Roman"/>
          <w:lang w:val="es-MX"/>
        </w:rPr>
        <w:t xml:space="preserve"> </w:t>
      </w:r>
      <w:r>
        <w:rPr>
          <w:rFonts w:ascii="Times New Roman" w:hAnsi="Times New Roman" w:cs="Times New Roman"/>
          <w:lang w:val="es-MX"/>
        </w:rPr>
        <w:t xml:space="preserve">1,576.9 millones) respecto a la meta de presupuesto, este comportamiento está influenciado por el deterioro acumulado a septiembre del IVA asociado a las importaciones y al paro de transporte pesado. </w:t>
      </w:r>
    </w:p>
    <w:p w:rsidR="00660888" w:rsidRDefault="00660888" w:rsidP="00660888">
      <w:pPr>
        <w:spacing w:after="0" w:line="240" w:lineRule="auto"/>
        <w:jc w:val="both"/>
        <w:rPr>
          <w:rFonts w:ascii="Times New Roman" w:hAnsi="Times New Roman" w:cs="Times New Roman"/>
          <w:lang w:val="es-MX"/>
        </w:rPr>
      </w:pPr>
    </w:p>
    <w:p w:rsidR="00660888" w:rsidRDefault="00660888" w:rsidP="00660888">
      <w:pPr>
        <w:spacing w:after="0" w:line="240" w:lineRule="auto"/>
        <w:jc w:val="both"/>
        <w:rPr>
          <w:rFonts w:ascii="Times New Roman" w:hAnsi="Times New Roman" w:cs="Times New Roman"/>
          <w:lang w:val="es-MX"/>
        </w:rPr>
      </w:pPr>
      <w:r>
        <w:rPr>
          <w:rFonts w:ascii="Times New Roman" w:hAnsi="Times New Roman" w:cs="Times New Roman"/>
          <w:lang w:val="es-MX"/>
        </w:rPr>
        <w:t xml:space="preserve">De manera interanual el IVA total tiene un crecimiento de 3.3% </w:t>
      </w:r>
      <w:r w:rsidRPr="00C30294">
        <w:rPr>
          <w:rFonts w:ascii="Times New Roman" w:hAnsi="Times New Roman" w:cs="Times New Roman"/>
          <w:lang w:val="es-MX"/>
        </w:rPr>
        <w:t>(Q</w:t>
      </w:r>
      <w:r w:rsidR="00244AAA">
        <w:rPr>
          <w:rFonts w:ascii="Times New Roman" w:hAnsi="Times New Roman" w:cs="Times New Roman"/>
          <w:lang w:val="es-MX"/>
        </w:rPr>
        <w:t xml:space="preserve"> </w:t>
      </w:r>
      <w:r w:rsidRPr="00C30294">
        <w:rPr>
          <w:rFonts w:ascii="Times New Roman" w:hAnsi="Times New Roman" w:cs="Times New Roman"/>
          <w:lang w:val="es-MX"/>
        </w:rPr>
        <w:t>629.5 m</w:t>
      </w:r>
      <w:r>
        <w:rPr>
          <w:rFonts w:ascii="Times New Roman" w:hAnsi="Times New Roman" w:cs="Times New Roman"/>
          <w:lang w:val="es-MX"/>
        </w:rPr>
        <w:t xml:space="preserve">illones) influenciado por el crecimiento de </w:t>
      </w:r>
      <w:r w:rsidRPr="00C30294">
        <w:rPr>
          <w:rFonts w:ascii="Times New Roman" w:hAnsi="Times New Roman" w:cs="Times New Roman"/>
          <w:lang w:val="es-MX"/>
        </w:rPr>
        <w:t>11.1%</w:t>
      </w:r>
      <w:r w:rsidRPr="007A2067">
        <w:rPr>
          <w:rFonts w:ascii="Times New Roman" w:hAnsi="Times New Roman" w:cs="Times New Roman"/>
          <w:color w:val="FF0000"/>
          <w:lang w:val="es-MX"/>
        </w:rPr>
        <w:t xml:space="preserve"> </w:t>
      </w:r>
      <w:r>
        <w:rPr>
          <w:rFonts w:ascii="Times New Roman" w:hAnsi="Times New Roman" w:cs="Times New Roman"/>
          <w:lang w:val="es-MX"/>
        </w:rPr>
        <w:t xml:space="preserve">del </w:t>
      </w:r>
      <w:r>
        <w:rPr>
          <w:rFonts w:ascii="Times New Roman" w:hAnsi="Times New Roman" w:cs="Times New Roman"/>
          <w:lang w:val="es-MX"/>
        </w:rPr>
        <w:lastRenderedPageBreak/>
        <w:t xml:space="preserve">IVA doméstico, al restarle la recaudación extraordinaria al IVA total se observa una  caída respecto al presupuesto es de 9.2% y un crecimiento interanual de 1.2%, estos resultados sin recaudación extraordinaria están influenciados </w:t>
      </w:r>
      <w:r w:rsidRPr="000910A0">
        <w:rPr>
          <w:rFonts w:ascii="Times New Roman" w:hAnsi="Times New Roman" w:cs="Times New Roman"/>
          <w:lang w:val="es-MX"/>
        </w:rPr>
        <w:t>en gran medida por la brecha negativa (Q</w:t>
      </w:r>
      <w:r w:rsidR="00244AAA">
        <w:rPr>
          <w:rFonts w:ascii="Times New Roman" w:hAnsi="Times New Roman" w:cs="Times New Roman"/>
          <w:lang w:val="es-MX"/>
        </w:rPr>
        <w:t xml:space="preserve"> </w:t>
      </w:r>
      <w:r>
        <w:rPr>
          <w:rFonts w:ascii="Times New Roman" w:hAnsi="Times New Roman" w:cs="Times New Roman"/>
          <w:lang w:val="es-MX"/>
        </w:rPr>
        <w:t xml:space="preserve">1,036.1 </w:t>
      </w:r>
      <w:r w:rsidRPr="000910A0">
        <w:rPr>
          <w:rFonts w:ascii="Times New Roman" w:hAnsi="Times New Roman" w:cs="Times New Roman"/>
          <w:lang w:val="es-MX"/>
        </w:rPr>
        <w:t>millones) de recaudación de</w:t>
      </w:r>
      <w:r>
        <w:rPr>
          <w:rFonts w:ascii="Times New Roman" w:hAnsi="Times New Roman" w:cs="Times New Roman"/>
          <w:lang w:val="es-MX"/>
        </w:rPr>
        <w:t xml:space="preserve"> IVA importaciones q</w:t>
      </w:r>
      <w:r w:rsidRPr="000910A0">
        <w:rPr>
          <w:rFonts w:ascii="Times New Roman" w:hAnsi="Times New Roman" w:cs="Times New Roman"/>
          <w:lang w:val="es-MX"/>
        </w:rPr>
        <w:t xml:space="preserve">ue se generó de enero a </w:t>
      </w:r>
      <w:r>
        <w:rPr>
          <w:rFonts w:ascii="Times New Roman" w:hAnsi="Times New Roman" w:cs="Times New Roman"/>
          <w:lang w:val="es-MX"/>
        </w:rPr>
        <w:t>septiembre</w:t>
      </w:r>
      <w:r w:rsidRPr="000910A0">
        <w:rPr>
          <w:rFonts w:ascii="Times New Roman" w:hAnsi="Times New Roman" w:cs="Times New Roman"/>
          <w:lang w:val="es-MX"/>
        </w:rPr>
        <w:t>.</w:t>
      </w:r>
    </w:p>
    <w:p w:rsidR="00660888" w:rsidRDefault="00660888" w:rsidP="00660888">
      <w:pPr>
        <w:spacing w:after="0" w:line="240" w:lineRule="auto"/>
        <w:jc w:val="both"/>
        <w:rPr>
          <w:rFonts w:ascii="Times New Roman" w:hAnsi="Times New Roman" w:cs="Times New Roman"/>
          <w:lang w:val="es-MX"/>
        </w:rPr>
      </w:pPr>
    </w:p>
    <w:p w:rsidR="00244AAA" w:rsidRPr="009D2C22" w:rsidRDefault="00660888" w:rsidP="00244AAA">
      <w:pPr>
        <w:spacing w:after="0" w:line="240" w:lineRule="auto"/>
        <w:jc w:val="both"/>
        <w:rPr>
          <w:rFonts w:ascii="Times New Roman" w:hAnsi="Times New Roman" w:cs="Times New Roman"/>
          <w:color w:val="FF0000"/>
          <w:lang w:val="es-MX"/>
        </w:rPr>
      </w:pPr>
      <w:r>
        <w:rPr>
          <w:rFonts w:ascii="Times New Roman" w:hAnsi="Times New Roman" w:cs="Times New Roman"/>
          <w:lang w:val="es-MX"/>
        </w:rPr>
        <w:t xml:space="preserve">Los productos industriales </w:t>
      </w:r>
      <w:r w:rsidRPr="00D65A2E">
        <w:rPr>
          <w:rFonts w:ascii="Times New Roman" w:hAnsi="Times New Roman" w:cs="Times New Roman"/>
          <w:i/>
          <w:lang w:val="es-MX"/>
        </w:rPr>
        <w:t>(bebidas, tabacos, cemento y derivados del petróleo)</w:t>
      </w:r>
      <w:r>
        <w:rPr>
          <w:rFonts w:ascii="Times New Roman" w:hAnsi="Times New Roman" w:cs="Times New Roman"/>
          <w:lang w:val="es-MX"/>
        </w:rPr>
        <w:t xml:space="preserve"> mantienen un crecimiento positivo</w:t>
      </w:r>
      <w:r w:rsidRPr="00260929">
        <w:rPr>
          <w:rFonts w:ascii="Times New Roman" w:hAnsi="Times New Roman" w:cs="Times New Roman"/>
          <w:lang w:val="es-MX"/>
        </w:rPr>
        <w:t xml:space="preserve"> 5.4</w:t>
      </w:r>
      <w:r>
        <w:rPr>
          <w:rFonts w:ascii="Times New Roman" w:hAnsi="Times New Roman" w:cs="Times New Roman"/>
          <w:lang w:val="es-MX"/>
        </w:rPr>
        <w:t>% respecto a la meta de presupuesto y</w:t>
      </w:r>
      <w:r w:rsidRPr="00260929">
        <w:rPr>
          <w:rFonts w:ascii="Times New Roman" w:hAnsi="Times New Roman" w:cs="Times New Roman"/>
          <w:lang w:val="es-MX"/>
        </w:rPr>
        <w:t xml:space="preserve"> 1.7</w:t>
      </w:r>
      <w:r>
        <w:rPr>
          <w:rFonts w:ascii="Times New Roman" w:hAnsi="Times New Roman" w:cs="Times New Roman"/>
          <w:lang w:val="es-MX"/>
        </w:rPr>
        <w:t xml:space="preserve">% respecto al año anterior, el crecimiento se fundamenta en el impulso positivo de la recaudación de los derivados de petróleo que crecen en </w:t>
      </w:r>
      <w:r w:rsidRPr="00690792">
        <w:rPr>
          <w:rFonts w:ascii="Times New Roman" w:hAnsi="Times New Roman" w:cs="Times New Roman"/>
          <w:lang w:val="es-MX"/>
        </w:rPr>
        <w:t>8.1</w:t>
      </w:r>
      <w:r>
        <w:rPr>
          <w:rFonts w:ascii="Times New Roman" w:hAnsi="Times New Roman" w:cs="Times New Roman"/>
          <w:lang w:val="es-MX"/>
        </w:rPr>
        <w:t xml:space="preserve">%, el impuesto a la bebidas con crecimientos arriba del </w:t>
      </w:r>
      <w:r w:rsidRPr="00DD6179">
        <w:rPr>
          <w:rFonts w:ascii="Times New Roman" w:hAnsi="Times New Roman" w:cs="Times New Roman"/>
          <w:lang w:val="es-MX"/>
        </w:rPr>
        <w:t>5.9</w:t>
      </w:r>
      <w:r>
        <w:rPr>
          <w:rFonts w:ascii="Times New Roman" w:hAnsi="Times New Roman" w:cs="Times New Roman"/>
          <w:lang w:val="es-MX"/>
        </w:rPr>
        <w:t xml:space="preserve">%, el de tabacos cae respecto a la meta de presupuesto </w:t>
      </w:r>
      <w:r w:rsidRPr="00DD6179">
        <w:rPr>
          <w:rFonts w:ascii="Times New Roman" w:hAnsi="Times New Roman" w:cs="Times New Roman"/>
          <w:lang w:val="es-MX"/>
        </w:rPr>
        <w:t>14.8</w:t>
      </w:r>
      <w:r>
        <w:rPr>
          <w:rFonts w:ascii="Times New Roman" w:hAnsi="Times New Roman" w:cs="Times New Roman"/>
          <w:lang w:val="es-MX"/>
        </w:rPr>
        <w:t xml:space="preserve">% y cemento que crece respecto a lo presupuestado en </w:t>
      </w:r>
      <w:r w:rsidRPr="00DD6179">
        <w:rPr>
          <w:rFonts w:ascii="Times New Roman" w:hAnsi="Times New Roman" w:cs="Times New Roman"/>
          <w:lang w:val="es-MX"/>
        </w:rPr>
        <w:t>11.5</w:t>
      </w:r>
      <w:r>
        <w:rPr>
          <w:rFonts w:ascii="Times New Roman" w:hAnsi="Times New Roman" w:cs="Times New Roman"/>
          <w:lang w:val="es-MX"/>
        </w:rPr>
        <w:t>%.</w:t>
      </w:r>
    </w:p>
    <w:p w:rsidR="00B21010" w:rsidRPr="009D2C22" w:rsidRDefault="00B21010" w:rsidP="007B3D0C">
      <w:pPr>
        <w:spacing w:after="0" w:line="240" w:lineRule="auto"/>
        <w:jc w:val="both"/>
        <w:rPr>
          <w:rFonts w:ascii="Times New Roman" w:hAnsi="Times New Roman" w:cs="Times New Roman"/>
          <w:color w:val="FF0000"/>
          <w:lang w:val="es-MX"/>
        </w:rPr>
        <w:sectPr w:rsidR="00B21010" w:rsidRPr="009D2C22" w:rsidSect="006F5A21">
          <w:type w:val="continuous"/>
          <w:pgSz w:w="12240" w:h="15840"/>
          <w:pgMar w:top="1417" w:right="1701" w:bottom="1417" w:left="1701" w:header="708" w:footer="708" w:gutter="0"/>
          <w:cols w:num="2" w:space="708"/>
          <w:docGrid w:linePitch="360"/>
        </w:sectPr>
      </w:pPr>
    </w:p>
    <w:p w:rsidR="00DD01C5" w:rsidRPr="009D2C22" w:rsidRDefault="00DD01C5" w:rsidP="00B21010">
      <w:pPr>
        <w:spacing w:after="0" w:line="240" w:lineRule="auto"/>
        <w:jc w:val="both"/>
        <w:rPr>
          <w:rFonts w:ascii="Times New Roman" w:hAnsi="Times New Roman" w:cs="Times New Roman"/>
          <w:color w:val="FF0000"/>
          <w:sz w:val="12"/>
          <w:lang w:val="es-MX"/>
        </w:rPr>
        <w:sectPr w:rsidR="00DD01C5" w:rsidRPr="009D2C22" w:rsidSect="005A694E">
          <w:type w:val="continuous"/>
          <w:pgSz w:w="12240" w:h="15840"/>
          <w:pgMar w:top="1417" w:right="1701" w:bottom="1417" w:left="1701" w:header="708" w:footer="708" w:gutter="0"/>
          <w:cols w:num="2" w:space="708"/>
          <w:docGrid w:linePitch="360"/>
        </w:sectPr>
      </w:pPr>
    </w:p>
    <w:p w:rsidR="00EB0FC5" w:rsidRPr="009D2C22" w:rsidRDefault="00EB0FC5" w:rsidP="00B21010">
      <w:pPr>
        <w:pStyle w:val="Prrafodelista"/>
        <w:ind w:left="0"/>
        <w:rPr>
          <w:rFonts w:ascii="Times New Roman" w:hAnsi="Times New Roman" w:cs="Times New Roman"/>
          <w:b/>
          <w:color w:val="FF0000"/>
          <w:sz w:val="4"/>
          <w:lang w:val="es-MX"/>
        </w:rPr>
      </w:pPr>
    </w:p>
    <w:p w:rsidR="00244AAA" w:rsidRPr="00244AAA" w:rsidRDefault="00244AAA" w:rsidP="00244AAA">
      <w:pPr>
        <w:spacing w:after="0" w:line="240" w:lineRule="auto"/>
        <w:jc w:val="center"/>
        <w:rPr>
          <w:rFonts w:ascii="Times New Roman" w:hAnsi="Times New Roman" w:cs="Times New Roman"/>
          <w:b/>
          <w:lang w:val="es-MX"/>
        </w:rPr>
      </w:pPr>
      <w:r w:rsidRPr="006F5A21">
        <w:rPr>
          <w:rFonts w:ascii="Times New Roman" w:hAnsi="Times New Roman" w:cs="Times New Roman"/>
          <w:b/>
          <w:lang w:val="es-MX"/>
        </w:rPr>
        <w:t>Reca</w:t>
      </w:r>
      <w:r w:rsidRPr="00244AAA">
        <w:rPr>
          <w:rFonts w:ascii="Times New Roman" w:hAnsi="Times New Roman" w:cs="Times New Roman"/>
          <w:b/>
          <w:lang w:val="es-MX"/>
        </w:rPr>
        <w:t>udación tributaria al 31 de octubre</w:t>
      </w:r>
    </w:p>
    <w:p w:rsidR="00DD01C5" w:rsidRPr="00244AAA" w:rsidRDefault="00B21010" w:rsidP="00B21010">
      <w:pPr>
        <w:pStyle w:val="Prrafodelista"/>
        <w:ind w:left="0"/>
        <w:jc w:val="center"/>
        <w:rPr>
          <w:noProof/>
          <w:lang w:eastAsia="es-GT"/>
        </w:rPr>
      </w:pPr>
      <w:r w:rsidRPr="00244AAA">
        <w:rPr>
          <w:rFonts w:ascii="Times New Roman" w:hAnsi="Times New Roman" w:cs="Times New Roman"/>
          <w:sz w:val="18"/>
          <w:lang w:val="es-MX"/>
        </w:rPr>
        <w:t>Millones de quetzales y porcentajes</w:t>
      </w:r>
    </w:p>
    <w:p w:rsidR="007B3D0C" w:rsidRPr="00244AAA" w:rsidRDefault="009A6919" w:rsidP="00B21010">
      <w:pPr>
        <w:pStyle w:val="Prrafodelista"/>
        <w:ind w:left="0"/>
        <w:jc w:val="center"/>
        <w:rPr>
          <w:rFonts w:ascii="Times New Roman" w:hAnsi="Times New Roman" w:cs="Times New Roman"/>
          <w:b/>
          <w:sz w:val="16"/>
          <w:lang w:val="es-MX"/>
        </w:rPr>
      </w:pPr>
      <w:r w:rsidRPr="009A6919">
        <w:rPr>
          <w:noProof/>
          <w:lang w:eastAsia="es-GT"/>
        </w:rPr>
        <w:drawing>
          <wp:inline distT="0" distB="0" distL="0" distR="0" wp14:anchorId="3B2D42DE" wp14:editId="526B21ED">
            <wp:extent cx="5971540" cy="31293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3129359"/>
                    </a:xfrm>
                    <a:prstGeom prst="rect">
                      <a:avLst/>
                    </a:prstGeom>
                    <a:noFill/>
                    <a:ln>
                      <a:noFill/>
                    </a:ln>
                  </pic:spPr>
                </pic:pic>
              </a:graphicData>
            </a:graphic>
          </wp:inline>
        </w:drawing>
      </w:r>
    </w:p>
    <w:p w:rsidR="00DD23C0" w:rsidRPr="00244AAA" w:rsidRDefault="009A6919" w:rsidP="00A26C76">
      <w:pPr>
        <w:jc w:val="both"/>
        <w:rPr>
          <w:rFonts w:ascii="Times New Roman" w:hAnsi="Times New Roman" w:cs="Times New Roman"/>
          <w:sz w:val="16"/>
          <w:lang w:val="es-MX"/>
        </w:rPr>
      </w:pPr>
      <w:r>
        <w:rPr>
          <w:rFonts w:ascii="Times New Roman" w:hAnsi="Times New Roman" w:cs="Times New Roman"/>
          <w:sz w:val="18"/>
          <w:lang w:val="es-MX"/>
        </w:rPr>
        <w:t xml:space="preserve">   </w:t>
      </w:r>
      <w:r w:rsidR="00A26C76" w:rsidRPr="00244AAA">
        <w:rPr>
          <w:rFonts w:ascii="Times New Roman" w:hAnsi="Times New Roman" w:cs="Times New Roman"/>
          <w:sz w:val="18"/>
          <w:lang w:val="es-MX"/>
        </w:rPr>
        <w:t xml:space="preserve"> </w:t>
      </w:r>
      <w:r w:rsidR="00DD01C5" w:rsidRPr="00244AAA">
        <w:rPr>
          <w:rFonts w:ascii="Times New Roman" w:hAnsi="Times New Roman" w:cs="Times New Roman"/>
          <w:sz w:val="16"/>
          <w:lang w:val="es-MX"/>
        </w:rPr>
        <w:t>Fuente: Ministerio de Finanzas Públicas</w:t>
      </w:r>
    </w:p>
    <w:p w:rsidR="00FA3B81" w:rsidRPr="00810A4C" w:rsidRDefault="00476A61"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810A4C"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Pr>
          <w:rFonts w:ascii="Times New Roman" w:hAnsi="Times New Roman" w:cs="Times New Roman"/>
          <w:b/>
          <w:lang w:val="es-MX"/>
        </w:rPr>
        <w:t>Recuperación gradual en la ejecución</w:t>
      </w:r>
      <w:r w:rsidR="00810A4C" w:rsidRPr="00810A4C">
        <w:rPr>
          <w:rFonts w:ascii="Times New Roman" w:hAnsi="Times New Roman" w:cs="Times New Roman"/>
          <w:b/>
          <w:lang w:val="es-MX"/>
        </w:rPr>
        <w:t xml:space="preserve"> de g</w:t>
      </w:r>
      <w:r w:rsidR="00D532B4" w:rsidRPr="00810A4C">
        <w:rPr>
          <w:rFonts w:ascii="Times New Roman" w:hAnsi="Times New Roman" w:cs="Times New Roman"/>
          <w:b/>
          <w:lang w:val="es-MX"/>
        </w:rPr>
        <w:t>asto</w:t>
      </w:r>
    </w:p>
    <w:p w:rsidR="00FA3B81" w:rsidRPr="009D2C22" w:rsidRDefault="00FA3B81" w:rsidP="00FA3B81">
      <w:pPr>
        <w:pStyle w:val="Sinespaciado"/>
        <w:rPr>
          <w:rFonts w:ascii="Times New Roman" w:hAnsi="Times New Roman" w:cs="Times New Roman"/>
          <w:b/>
          <w:color w:val="FF0000"/>
          <w:sz w:val="18"/>
          <w:lang w:val="es-MX"/>
        </w:rPr>
      </w:pPr>
    </w:p>
    <w:p w:rsidR="00FA3B81" w:rsidRPr="009D2C22" w:rsidRDefault="00FA3B81" w:rsidP="00FA3B81">
      <w:pPr>
        <w:pStyle w:val="Sinespaciado"/>
        <w:jc w:val="center"/>
        <w:rPr>
          <w:rFonts w:ascii="Times New Roman" w:hAnsi="Times New Roman" w:cs="Times New Roman"/>
          <w:b/>
          <w:color w:val="FF0000"/>
          <w:lang w:val="es-MX"/>
        </w:rPr>
        <w:sectPr w:rsidR="00FA3B81" w:rsidRPr="009D2C22" w:rsidSect="00213F7F">
          <w:type w:val="continuous"/>
          <w:pgSz w:w="12240" w:h="15840"/>
          <w:pgMar w:top="1417" w:right="1701" w:bottom="1417" w:left="1701" w:header="708" w:footer="708" w:gutter="0"/>
          <w:cols w:space="708"/>
          <w:docGrid w:linePitch="360"/>
        </w:sectPr>
      </w:pPr>
    </w:p>
    <w:p w:rsidR="00476A61" w:rsidRDefault="00476A61" w:rsidP="00476A61">
      <w:pPr>
        <w:pStyle w:val="Sinespaciado"/>
        <w:jc w:val="both"/>
        <w:rPr>
          <w:rFonts w:ascii="Times New Roman" w:hAnsi="Times New Roman" w:cs="Times New Roman"/>
          <w:lang w:val="es-MX"/>
        </w:rPr>
      </w:pPr>
      <w:r>
        <w:rPr>
          <w:rFonts w:ascii="Times New Roman" w:hAnsi="Times New Roman" w:cs="Times New Roman"/>
          <w:lang w:val="es-MX"/>
        </w:rPr>
        <w:t>La ejecución de gasto público sigue mostrando una recuperación en su desempeño, como resultado principalmente de la mejora en la recaudación tributaria que ha permitido una mayor liquidez para atender los compromisos que como Estado deben realizarse.  No obstante, se ha observado demanda moderada de recursos por parte de algunas entidades, especialmente el ministerio de comunicaciones que ha tenido el espacio presupuestario y los recursos para gastar pero no ha acelerado su ejecución, afectando con ello los niveles de inversión pública.</w:t>
      </w:r>
    </w:p>
    <w:p w:rsidR="00476A61" w:rsidRDefault="00476A61" w:rsidP="00476A61">
      <w:pPr>
        <w:pStyle w:val="Sinespaciado"/>
        <w:jc w:val="both"/>
        <w:rPr>
          <w:rFonts w:ascii="Times New Roman" w:hAnsi="Times New Roman" w:cs="Times New Roman"/>
          <w:lang w:val="es-MX"/>
        </w:rPr>
      </w:pPr>
    </w:p>
    <w:p w:rsidR="00476A61" w:rsidRDefault="00476A61" w:rsidP="00476A61">
      <w:pPr>
        <w:pStyle w:val="Sinespaciado"/>
        <w:jc w:val="both"/>
        <w:rPr>
          <w:rFonts w:ascii="Times New Roman" w:hAnsi="Times New Roman" w:cs="Times New Roman"/>
          <w:lang w:val="es-MX"/>
        </w:rPr>
      </w:pPr>
      <w:r>
        <w:rPr>
          <w:rFonts w:ascii="Times New Roman" w:hAnsi="Times New Roman" w:cs="Times New Roman"/>
          <w:lang w:val="es-MX"/>
        </w:rPr>
        <w:t xml:space="preserve">De esa cuenta, el nivel de ejecución de gasto observado al 31 de octubre se ubicó en          Q 49,299.6 </w:t>
      </w:r>
      <w:r w:rsidRPr="00F92177">
        <w:rPr>
          <w:rFonts w:ascii="Times New Roman" w:hAnsi="Times New Roman" w:cs="Times New Roman"/>
          <w:lang w:val="es-MX"/>
        </w:rPr>
        <w:t>millones</w:t>
      </w:r>
      <w:r>
        <w:rPr>
          <w:rFonts w:ascii="Times New Roman" w:hAnsi="Times New Roman" w:cs="Times New Roman"/>
          <w:lang w:val="es-MX"/>
        </w:rPr>
        <w:t xml:space="preserve"> (sin incluir </w:t>
      </w:r>
      <w:r>
        <w:rPr>
          <w:rFonts w:ascii="Times New Roman" w:hAnsi="Times New Roman" w:cs="Times New Roman"/>
          <w:lang w:val="es-MX"/>
        </w:rPr>
        <w:lastRenderedPageBreak/>
        <w:t>amortizaciones de deuda)</w:t>
      </w:r>
      <w:r w:rsidRPr="00F92177">
        <w:rPr>
          <w:rFonts w:ascii="Times New Roman" w:hAnsi="Times New Roman" w:cs="Times New Roman"/>
          <w:lang w:val="es-MX"/>
        </w:rPr>
        <w:t xml:space="preserve">, </w:t>
      </w:r>
      <w:r>
        <w:rPr>
          <w:rFonts w:ascii="Times New Roman" w:hAnsi="Times New Roman" w:cs="Times New Roman"/>
          <w:lang w:val="es-MX"/>
        </w:rPr>
        <w:t xml:space="preserve">mostrando prácticamente el mismo nivel de ejecución que lo observado en igual fecha del año anterior.  Cifra que contrasta con el crecimiento interanual observado en octubre de 2015 (3.8%).  </w:t>
      </w:r>
      <w:r w:rsidRPr="00F92177">
        <w:rPr>
          <w:rFonts w:ascii="Times New Roman" w:hAnsi="Times New Roman" w:cs="Times New Roman"/>
          <w:lang w:val="es-MX"/>
        </w:rPr>
        <w:t xml:space="preserve"> </w:t>
      </w:r>
    </w:p>
    <w:p w:rsidR="00476A61" w:rsidRDefault="00476A61" w:rsidP="00476A61">
      <w:pPr>
        <w:pStyle w:val="Sinespaciado"/>
        <w:jc w:val="center"/>
        <w:rPr>
          <w:rFonts w:ascii="Times New Roman" w:hAnsi="Times New Roman" w:cs="Times New Roman"/>
          <w:b/>
          <w:lang w:val="es-MX"/>
        </w:rPr>
      </w:pPr>
    </w:p>
    <w:p w:rsidR="00476A61" w:rsidRPr="00C27D73" w:rsidRDefault="00476A61" w:rsidP="00476A61">
      <w:pPr>
        <w:pStyle w:val="Sinespaciado"/>
        <w:jc w:val="center"/>
        <w:rPr>
          <w:rFonts w:ascii="Times New Roman" w:hAnsi="Times New Roman" w:cs="Times New Roman"/>
          <w:b/>
          <w:lang w:val="es-MX"/>
        </w:rPr>
      </w:pPr>
      <w:r w:rsidRPr="00C27D73">
        <w:rPr>
          <w:rFonts w:ascii="Times New Roman" w:hAnsi="Times New Roman" w:cs="Times New Roman"/>
          <w:b/>
          <w:lang w:val="es-MX"/>
        </w:rPr>
        <w:t>Ritmo de Ejecución del Gasto</w:t>
      </w:r>
    </w:p>
    <w:p w:rsidR="00476A61" w:rsidRPr="00C27D73" w:rsidRDefault="00476A61" w:rsidP="00476A61">
      <w:pPr>
        <w:pStyle w:val="Sinespaciado"/>
        <w:jc w:val="center"/>
        <w:rPr>
          <w:rFonts w:ascii="Times New Roman" w:hAnsi="Times New Roman" w:cs="Times New Roman"/>
          <w:sz w:val="18"/>
          <w:lang w:val="es-MX"/>
        </w:rPr>
      </w:pPr>
      <w:r w:rsidRPr="00C27D73">
        <w:rPr>
          <w:rFonts w:ascii="Times New Roman" w:hAnsi="Times New Roman" w:cs="Times New Roman"/>
          <w:sz w:val="18"/>
          <w:lang w:val="es-MX"/>
        </w:rPr>
        <w:t>Variación Interanual</w:t>
      </w:r>
    </w:p>
    <w:p w:rsidR="00476A61" w:rsidRPr="00C27D73" w:rsidRDefault="00476A61" w:rsidP="00476A61">
      <w:pPr>
        <w:pStyle w:val="Sinespaciado"/>
        <w:jc w:val="both"/>
        <w:rPr>
          <w:rFonts w:ascii="Times New Roman" w:hAnsi="Times New Roman" w:cs="Times New Roman"/>
          <w:i/>
          <w:lang w:val="es-MX"/>
        </w:rPr>
      </w:pPr>
      <w:r>
        <w:rPr>
          <w:rFonts w:ascii="Times New Roman" w:hAnsi="Times New Roman" w:cs="Times New Roman"/>
          <w:i/>
          <w:noProof/>
          <w:lang w:eastAsia="es-GT"/>
        </w:rPr>
        <w:drawing>
          <wp:inline distT="0" distB="0" distL="0" distR="0" wp14:anchorId="5434AE61" wp14:editId="0412B0D5">
            <wp:extent cx="2519680" cy="178308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2219" cy="1784877"/>
                    </a:xfrm>
                    <a:prstGeom prst="rect">
                      <a:avLst/>
                    </a:prstGeom>
                    <a:noFill/>
                  </pic:spPr>
                </pic:pic>
              </a:graphicData>
            </a:graphic>
          </wp:inline>
        </w:drawing>
      </w:r>
    </w:p>
    <w:p w:rsidR="00476A61" w:rsidRPr="00C27D73" w:rsidRDefault="00476A61" w:rsidP="00476A61">
      <w:pPr>
        <w:pStyle w:val="Sinespaciado"/>
        <w:rPr>
          <w:rFonts w:ascii="Times New Roman" w:hAnsi="Times New Roman" w:cs="Times New Roman"/>
          <w:sz w:val="16"/>
        </w:rPr>
      </w:pPr>
      <w:r w:rsidRPr="00C27D73">
        <w:rPr>
          <w:rFonts w:ascii="Times New Roman" w:hAnsi="Times New Roman" w:cs="Times New Roman"/>
          <w:sz w:val="16"/>
        </w:rPr>
        <w:t>Fuente: Dirección de Análisis y Política fiscal</w:t>
      </w:r>
    </w:p>
    <w:p w:rsidR="00476A61" w:rsidRPr="009D459C" w:rsidRDefault="00476A61" w:rsidP="00476A61">
      <w:pPr>
        <w:pStyle w:val="Sinespaciado"/>
        <w:jc w:val="both"/>
        <w:rPr>
          <w:rFonts w:ascii="Times New Roman" w:hAnsi="Times New Roman" w:cs="Times New Roman"/>
        </w:rPr>
      </w:pPr>
    </w:p>
    <w:p w:rsidR="00476A61" w:rsidRDefault="00476A61" w:rsidP="00476A61">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Como se ha venido indicando, el crecimiento del gasto observado se debe a la baja ejecución en los rubros de bienes y servicios e inversión real directa, los cuales están asociados con los problemas en la planificación institucional y la baja gestión de las operaciones de la cooperación internacional. </w:t>
      </w:r>
    </w:p>
    <w:p w:rsidR="00476A61" w:rsidRDefault="00476A61" w:rsidP="00476A61">
      <w:pPr>
        <w:pStyle w:val="Sinespaciado"/>
        <w:jc w:val="both"/>
        <w:rPr>
          <w:rFonts w:ascii="Times New Roman" w:hAnsi="Times New Roman" w:cs="Times New Roman"/>
          <w:color w:val="000000" w:themeColor="text1"/>
          <w:lang w:val="es-MX"/>
        </w:rPr>
      </w:pPr>
    </w:p>
    <w:p w:rsidR="00476A61" w:rsidRDefault="00476A61" w:rsidP="00476A61">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Por su parte, hay rubros de gasto que muestran un mejor ritmo en su ejecución, siendo estas las prestaciones a la seguridad social, derivado del aumento a los pensionados, así como las transferencias corrientes, especialmente por los aportes adicionales aprobados para el Ministerio Público, Organismos Judicial y Universidad de San Carlos, entre otros.  Asimismo, las remuneraciones han aumentado aunque a un ritmo mucho más moderado que en los últimos 3 años ya que no se han realizado incrementos salariales importantes en lo que va del año.</w:t>
      </w:r>
    </w:p>
    <w:p w:rsidR="00476A61" w:rsidRDefault="00476A61" w:rsidP="00476A61">
      <w:pPr>
        <w:pStyle w:val="Sinespaciado"/>
        <w:jc w:val="both"/>
        <w:rPr>
          <w:rFonts w:ascii="Times New Roman" w:hAnsi="Times New Roman" w:cs="Times New Roman"/>
          <w:color w:val="000000" w:themeColor="text1"/>
          <w:lang w:val="es-MX"/>
        </w:rPr>
      </w:pPr>
    </w:p>
    <w:p w:rsidR="00476A61" w:rsidRPr="00C27D73" w:rsidRDefault="00476A61" w:rsidP="00476A61">
      <w:pPr>
        <w:pStyle w:val="Sinespaciado"/>
        <w:jc w:val="center"/>
        <w:rPr>
          <w:rFonts w:ascii="Times New Roman" w:hAnsi="Times New Roman" w:cs="Times New Roman"/>
          <w:b/>
          <w:lang w:val="es-MX"/>
        </w:rPr>
      </w:pPr>
      <w:r w:rsidRPr="00C27D73">
        <w:rPr>
          <w:rFonts w:ascii="Times New Roman" w:hAnsi="Times New Roman" w:cs="Times New Roman"/>
          <w:b/>
          <w:lang w:val="es-MX"/>
        </w:rPr>
        <w:lastRenderedPageBreak/>
        <w:t xml:space="preserve">Ritmo de Ejecución </w:t>
      </w:r>
      <w:r>
        <w:rPr>
          <w:rFonts w:ascii="Times New Roman" w:hAnsi="Times New Roman" w:cs="Times New Roman"/>
          <w:b/>
          <w:lang w:val="es-MX"/>
        </w:rPr>
        <w:t xml:space="preserve">por Rubro de </w:t>
      </w:r>
      <w:r w:rsidRPr="00C27D73">
        <w:rPr>
          <w:rFonts w:ascii="Times New Roman" w:hAnsi="Times New Roman" w:cs="Times New Roman"/>
          <w:b/>
          <w:lang w:val="es-MX"/>
        </w:rPr>
        <w:t>Gasto</w:t>
      </w:r>
    </w:p>
    <w:p w:rsidR="00476A61" w:rsidRDefault="00476A61" w:rsidP="00476A61">
      <w:pPr>
        <w:pStyle w:val="Sinespaciado"/>
        <w:jc w:val="center"/>
        <w:rPr>
          <w:rFonts w:ascii="Times New Roman" w:hAnsi="Times New Roman" w:cs="Times New Roman"/>
          <w:color w:val="000000" w:themeColor="text1"/>
          <w:lang w:val="es-MX"/>
        </w:rPr>
      </w:pPr>
      <w:r w:rsidRPr="00C27D73">
        <w:rPr>
          <w:rFonts w:ascii="Times New Roman" w:hAnsi="Times New Roman" w:cs="Times New Roman"/>
          <w:sz w:val="18"/>
          <w:lang w:val="es-MX"/>
        </w:rPr>
        <w:t>Variación Interanual</w:t>
      </w:r>
    </w:p>
    <w:p w:rsidR="00476A61" w:rsidRDefault="00476A61" w:rsidP="00476A61">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5C169CF1" wp14:editId="6A8FA0EA">
            <wp:extent cx="2483224" cy="148814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5159" cy="1495293"/>
                    </a:xfrm>
                    <a:prstGeom prst="rect">
                      <a:avLst/>
                    </a:prstGeom>
                    <a:noFill/>
                  </pic:spPr>
                </pic:pic>
              </a:graphicData>
            </a:graphic>
          </wp:inline>
        </w:drawing>
      </w:r>
    </w:p>
    <w:p w:rsidR="00476A61" w:rsidRPr="00184C99" w:rsidRDefault="00476A61" w:rsidP="00476A61">
      <w:pPr>
        <w:pStyle w:val="Sinespaciado"/>
        <w:jc w:val="both"/>
        <w:rPr>
          <w:rFonts w:ascii="Times New Roman" w:hAnsi="Times New Roman" w:cs="Times New Roman"/>
          <w:sz w:val="14"/>
        </w:rPr>
      </w:pPr>
      <w:r w:rsidRPr="00184C99">
        <w:rPr>
          <w:rFonts w:ascii="Times New Roman" w:hAnsi="Times New Roman" w:cs="Times New Roman"/>
          <w:sz w:val="14"/>
        </w:rPr>
        <w:t>Fuente: Dirección de Análisis y Política fiscal</w:t>
      </w:r>
    </w:p>
    <w:p w:rsidR="00476A61" w:rsidRPr="00554E5B" w:rsidRDefault="00476A61" w:rsidP="00476A61">
      <w:pPr>
        <w:pStyle w:val="Sinespaciado"/>
        <w:jc w:val="center"/>
        <w:rPr>
          <w:rFonts w:ascii="Times New Roman" w:hAnsi="Times New Roman" w:cs="Times New Roman"/>
          <w:sz w:val="14"/>
        </w:rPr>
      </w:pPr>
    </w:p>
    <w:p w:rsidR="00476A61" w:rsidRDefault="00476A61" w:rsidP="00476A61">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Al comparar el grado de ejecución de este año, con lo observado al inicio de cada administración en los últimos cuatro periodos, se puede observar que en 2016, se encuentra por arriba del promedio pero por debajo de lo realizado en los últimos dos años.   Es importante destacar acá que en buena medida esta situación se debe a que esta administración tuvo que atender pagos de compromisos que no fueron liquidados en el período anterior por más de Q 1,000 millones, situación que no se dio en las administraciones pasadas.   Además el efecto en los cambios en la Ley de Contrataciones y el problema que se ha venido gestando con la ejecución de la inversión pública especialmente con desembolsos de préstamos ha sido otra limitante en la ejecución de este ejercicio fiscal.</w:t>
      </w:r>
    </w:p>
    <w:p w:rsidR="00476A61" w:rsidRPr="00554E5B" w:rsidRDefault="00476A61" w:rsidP="00476A61">
      <w:pPr>
        <w:pStyle w:val="Sinespaciado"/>
        <w:jc w:val="center"/>
        <w:rPr>
          <w:rFonts w:ascii="Times New Roman" w:hAnsi="Times New Roman" w:cs="Times New Roman"/>
          <w:b/>
          <w:color w:val="000000" w:themeColor="text1"/>
          <w:sz w:val="14"/>
          <w:lang w:val="es-MX"/>
        </w:rPr>
      </w:pPr>
    </w:p>
    <w:p w:rsidR="00476A61" w:rsidRPr="00DD3893" w:rsidRDefault="00476A61" w:rsidP="00476A61">
      <w:pPr>
        <w:pStyle w:val="Sinespaciado"/>
        <w:jc w:val="center"/>
        <w:rPr>
          <w:rFonts w:ascii="Times New Roman" w:hAnsi="Times New Roman" w:cs="Times New Roman"/>
          <w:color w:val="000000" w:themeColor="text1"/>
          <w:sz w:val="18"/>
          <w:lang w:val="es-MX"/>
        </w:rPr>
      </w:pPr>
      <w:r>
        <w:rPr>
          <w:rFonts w:ascii="Times New Roman" w:hAnsi="Times New Roman" w:cs="Times New Roman"/>
          <w:b/>
          <w:color w:val="000000" w:themeColor="text1"/>
          <w:lang w:val="es-MX"/>
        </w:rPr>
        <w:t>Grado de Ejecución</w:t>
      </w:r>
    </w:p>
    <w:p w:rsidR="00476A61" w:rsidRDefault="00476A61" w:rsidP="00476A61">
      <w:pPr>
        <w:pStyle w:val="Sinespaciado"/>
        <w:jc w:val="center"/>
        <w:rPr>
          <w:rFonts w:ascii="Times New Roman" w:hAnsi="Times New Roman" w:cs="Times New Roman"/>
          <w:color w:val="000000" w:themeColor="text1"/>
          <w:sz w:val="18"/>
          <w:lang w:val="es-MX"/>
        </w:rPr>
      </w:pPr>
      <w:r>
        <w:rPr>
          <w:rFonts w:ascii="Times New Roman" w:hAnsi="Times New Roman" w:cs="Times New Roman"/>
          <w:color w:val="000000" w:themeColor="text1"/>
          <w:sz w:val="18"/>
          <w:lang w:val="es-MX"/>
        </w:rPr>
        <w:t xml:space="preserve">Al 31 de octubre </w:t>
      </w:r>
    </w:p>
    <w:p w:rsidR="00476A61" w:rsidRPr="00DD3893" w:rsidRDefault="00476A61" w:rsidP="00476A61">
      <w:pPr>
        <w:pStyle w:val="Sinespaciado"/>
        <w:jc w:val="center"/>
        <w:rPr>
          <w:rFonts w:ascii="Times New Roman" w:hAnsi="Times New Roman" w:cs="Times New Roman"/>
          <w:color w:val="000000" w:themeColor="text1"/>
          <w:sz w:val="18"/>
          <w:lang w:val="es-MX"/>
        </w:rPr>
      </w:pPr>
      <w:r>
        <w:rPr>
          <w:rFonts w:ascii="Times New Roman" w:hAnsi="Times New Roman" w:cs="Times New Roman"/>
          <w:color w:val="000000" w:themeColor="text1"/>
          <w:sz w:val="18"/>
          <w:lang w:val="es-MX"/>
        </w:rPr>
        <w:t>del primer año de cada administración</w:t>
      </w:r>
    </w:p>
    <w:p w:rsidR="00476A61" w:rsidRPr="00D602BF" w:rsidRDefault="00476A61" w:rsidP="00476A61">
      <w:pPr>
        <w:pStyle w:val="Sinespaciado"/>
        <w:jc w:val="center"/>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231D2945" wp14:editId="30C50400">
            <wp:extent cx="2483223" cy="164054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3031" cy="1647021"/>
                    </a:xfrm>
                    <a:prstGeom prst="rect">
                      <a:avLst/>
                    </a:prstGeom>
                    <a:noFill/>
                  </pic:spPr>
                </pic:pic>
              </a:graphicData>
            </a:graphic>
          </wp:inline>
        </w:drawing>
      </w:r>
    </w:p>
    <w:p w:rsidR="00476A61" w:rsidRPr="0031495F" w:rsidRDefault="00554E5B" w:rsidP="00554E5B">
      <w:pPr>
        <w:pStyle w:val="Sinespaciado"/>
        <w:jc w:val="both"/>
        <w:rPr>
          <w:rFonts w:ascii="Times New Roman" w:hAnsi="Times New Roman" w:cs="Times New Roman"/>
          <w:sz w:val="14"/>
        </w:rPr>
      </w:pPr>
      <w:r>
        <w:rPr>
          <w:rFonts w:ascii="Times New Roman" w:hAnsi="Times New Roman" w:cs="Times New Roman"/>
          <w:sz w:val="14"/>
        </w:rPr>
        <w:t xml:space="preserve">      </w:t>
      </w:r>
      <w:r w:rsidR="00476A61" w:rsidRPr="0031495F">
        <w:rPr>
          <w:rFonts w:ascii="Times New Roman" w:hAnsi="Times New Roman" w:cs="Times New Roman"/>
          <w:sz w:val="14"/>
        </w:rPr>
        <w:t>Fuente: Dirección de Análisis y Política fiscal</w:t>
      </w:r>
    </w:p>
    <w:p w:rsidR="00476A61" w:rsidRDefault="00476A61" w:rsidP="00476A61">
      <w:pPr>
        <w:pStyle w:val="Sinespaciado"/>
        <w:jc w:val="both"/>
        <w:rPr>
          <w:rFonts w:ascii="Times New Roman" w:hAnsi="Times New Roman" w:cs="Times New Roman"/>
          <w:color w:val="000000" w:themeColor="text1"/>
          <w:lang w:val="es-MX"/>
        </w:rPr>
      </w:pPr>
    </w:p>
    <w:p w:rsidR="00476A61" w:rsidRDefault="00476A61" w:rsidP="00476A61">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Por otro lado, a pesar que ha aumentado el espacio para que las entidades aumenten su ejecución, es importante indicar que la política de austeridad se mantiene, aunque está perdiendo el rigor que mostró en el primer semestre del año ya que la contracción (crecimiento negativo) de este gasto es de 8.9% al 31 de octubre, mientras que en marzo fue 49.9% y en junio de 29.5%. </w:t>
      </w:r>
    </w:p>
    <w:p w:rsidR="00476A61" w:rsidRDefault="00476A61" w:rsidP="00476A61">
      <w:pPr>
        <w:pStyle w:val="Sinespaciado"/>
        <w:jc w:val="both"/>
        <w:rPr>
          <w:rFonts w:ascii="Times New Roman" w:hAnsi="Times New Roman" w:cs="Times New Roman"/>
          <w:color w:val="000000" w:themeColor="text1"/>
          <w:lang w:val="es-MX"/>
        </w:rPr>
      </w:pPr>
    </w:p>
    <w:p w:rsidR="00476A61" w:rsidRDefault="00476A61" w:rsidP="00476A61">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lang w:val="es-MX"/>
        </w:rPr>
        <w:t>En ese sentido, la ejecución d</w:t>
      </w:r>
      <w:r w:rsidRPr="00022903">
        <w:rPr>
          <w:rFonts w:ascii="Times New Roman" w:hAnsi="Times New Roman" w:cs="Times New Roman"/>
          <w:color w:val="000000" w:themeColor="text1"/>
          <w:lang w:val="es-MX"/>
        </w:rPr>
        <w:t xml:space="preserve">el </w:t>
      </w:r>
      <w:r w:rsidRPr="00022903">
        <w:rPr>
          <w:rFonts w:ascii="Times New Roman" w:hAnsi="Times New Roman" w:cs="Times New Roman"/>
          <w:color w:val="000000" w:themeColor="text1"/>
        </w:rPr>
        <w:t>gasto considerado como superfluo</w:t>
      </w:r>
      <w:r w:rsidRPr="00022903">
        <w:rPr>
          <w:rStyle w:val="Refdenotaalpie"/>
          <w:rFonts w:ascii="Times New Roman" w:hAnsi="Times New Roman" w:cs="Times New Roman"/>
          <w:color w:val="000000" w:themeColor="text1"/>
        </w:rPr>
        <w:footnoteReference w:id="1"/>
      </w:r>
      <w:r w:rsidRPr="00022903">
        <w:rPr>
          <w:rFonts w:ascii="Times New Roman" w:hAnsi="Times New Roman" w:cs="Times New Roman"/>
          <w:color w:val="000000" w:themeColor="text1"/>
        </w:rPr>
        <w:t xml:space="preserve"> muestra un nivel de </w:t>
      </w:r>
      <w:r>
        <w:rPr>
          <w:rFonts w:ascii="Times New Roman" w:hAnsi="Times New Roman" w:cs="Times New Roman"/>
          <w:color w:val="000000" w:themeColor="text1"/>
        </w:rPr>
        <w:t>Q 406.9</w:t>
      </w:r>
      <w:r w:rsidRPr="00022903">
        <w:rPr>
          <w:rFonts w:ascii="Times New Roman" w:hAnsi="Times New Roman" w:cs="Times New Roman"/>
          <w:color w:val="000000" w:themeColor="text1"/>
        </w:rPr>
        <w:t xml:space="preserve"> millones, </w:t>
      </w:r>
      <w:r>
        <w:rPr>
          <w:rFonts w:ascii="Times New Roman" w:hAnsi="Times New Roman" w:cs="Times New Roman"/>
          <w:color w:val="000000" w:themeColor="text1"/>
        </w:rPr>
        <w:t>la disminución que se observa con respecto a lo observado el año anterior</w:t>
      </w:r>
      <w:r w:rsidR="004A5188">
        <w:rPr>
          <w:rFonts w:ascii="Times New Roman" w:hAnsi="Times New Roman" w:cs="Times New Roman"/>
          <w:color w:val="000000" w:themeColor="text1"/>
        </w:rPr>
        <w:t>, afectó</w:t>
      </w:r>
      <w:r w:rsidRPr="00022903">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 la mayor parte de</w:t>
      </w:r>
      <w:r w:rsidRPr="00022903">
        <w:rPr>
          <w:rFonts w:ascii="Times New Roman" w:hAnsi="Times New Roman" w:cs="Times New Roman"/>
          <w:color w:val="000000" w:themeColor="text1"/>
        </w:rPr>
        <w:t xml:space="preserve"> los renglones que componen este </w:t>
      </w:r>
      <w:r>
        <w:rPr>
          <w:rFonts w:ascii="Times New Roman" w:hAnsi="Times New Roman" w:cs="Times New Roman"/>
          <w:color w:val="000000" w:themeColor="text1"/>
        </w:rPr>
        <w:t>tipo de gasto a excepción de otros rubros principalmente asociados a los ministerios de relaciones exteriores y gobernación.</w:t>
      </w:r>
    </w:p>
    <w:p w:rsidR="00476A61" w:rsidRDefault="00476A61" w:rsidP="00476A61">
      <w:pPr>
        <w:pStyle w:val="Sinespaciado"/>
        <w:jc w:val="both"/>
        <w:rPr>
          <w:rFonts w:ascii="Times New Roman" w:hAnsi="Times New Roman" w:cs="Times New Roman"/>
          <w:color w:val="000000" w:themeColor="text1"/>
        </w:rPr>
      </w:pPr>
    </w:p>
    <w:p w:rsidR="00476A61" w:rsidRDefault="00476A61" w:rsidP="00476A61">
      <w:pPr>
        <w:pStyle w:val="Sinespaciado"/>
        <w:jc w:val="center"/>
        <w:rPr>
          <w:rFonts w:ascii="Times New Roman" w:hAnsi="Times New Roman" w:cs="Times New Roman"/>
          <w:b/>
        </w:rPr>
      </w:pPr>
      <w:r>
        <w:rPr>
          <w:rFonts w:ascii="Times New Roman" w:hAnsi="Times New Roman" w:cs="Times New Roman"/>
          <w:b/>
        </w:rPr>
        <w:t>Gasto S</w:t>
      </w:r>
      <w:r w:rsidRPr="00017CB5">
        <w:rPr>
          <w:rFonts w:ascii="Times New Roman" w:hAnsi="Times New Roman" w:cs="Times New Roman"/>
          <w:b/>
        </w:rPr>
        <w:t>uperfluo</w:t>
      </w:r>
    </w:p>
    <w:p w:rsidR="00476A61" w:rsidRDefault="00476A61" w:rsidP="00476A61">
      <w:pPr>
        <w:pStyle w:val="Sinespaciado"/>
        <w:jc w:val="center"/>
        <w:rPr>
          <w:rFonts w:ascii="Times New Roman" w:hAnsi="Times New Roman" w:cs="Times New Roman"/>
          <w:sz w:val="18"/>
        </w:rPr>
      </w:pPr>
      <w:r>
        <w:rPr>
          <w:rFonts w:ascii="Times New Roman" w:hAnsi="Times New Roman" w:cs="Times New Roman"/>
          <w:sz w:val="18"/>
        </w:rPr>
        <w:t>Millones de q</w:t>
      </w:r>
      <w:r w:rsidRPr="00890632">
        <w:rPr>
          <w:rFonts w:ascii="Times New Roman" w:hAnsi="Times New Roman" w:cs="Times New Roman"/>
          <w:sz w:val="18"/>
        </w:rPr>
        <w:t>uetzales</w:t>
      </w:r>
    </w:p>
    <w:p w:rsidR="00476A61" w:rsidRPr="00961484" w:rsidRDefault="00476A61" w:rsidP="00476A61">
      <w:pPr>
        <w:pStyle w:val="Sinespaciado"/>
        <w:jc w:val="both"/>
        <w:rPr>
          <w:rFonts w:ascii="Times New Roman" w:hAnsi="Times New Roman" w:cs="Times New Roman"/>
          <w:sz w:val="12"/>
        </w:rPr>
      </w:pPr>
      <w:r w:rsidRPr="00961484">
        <w:rPr>
          <w:rFonts w:ascii="Times New Roman" w:hAnsi="Times New Roman" w:cs="Times New Roman"/>
          <w:sz w:val="12"/>
        </w:rPr>
        <w:t xml:space="preserve">Acumulado a </w:t>
      </w:r>
      <w:r>
        <w:rPr>
          <w:rFonts w:ascii="Times New Roman" w:hAnsi="Times New Roman" w:cs="Times New Roman"/>
          <w:sz w:val="12"/>
        </w:rPr>
        <w:t>octubre</w:t>
      </w:r>
      <w:r w:rsidRPr="00961484">
        <w:rPr>
          <w:rFonts w:ascii="Times New Roman" w:hAnsi="Times New Roman" w:cs="Times New Roman"/>
          <w:sz w:val="12"/>
        </w:rPr>
        <w:t xml:space="preserve"> de cada año             </w:t>
      </w:r>
      <w:r>
        <w:rPr>
          <w:rFonts w:ascii="Times New Roman" w:hAnsi="Times New Roman" w:cs="Times New Roman"/>
          <w:sz w:val="12"/>
        </w:rPr>
        <w:t xml:space="preserve">     </w:t>
      </w:r>
      <w:r w:rsidRPr="00961484">
        <w:rPr>
          <w:rFonts w:ascii="Times New Roman" w:hAnsi="Times New Roman" w:cs="Times New Roman"/>
          <w:sz w:val="12"/>
        </w:rPr>
        <w:t xml:space="preserve">   Variación por rubro a </w:t>
      </w:r>
      <w:r>
        <w:rPr>
          <w:rFonts w:ascii="Times New Roman" w:hAnsi="Times New Roman" w:cs="Times New Roman"/>
          <w:sz w:val="12"/>
        </w:rPr>
        <w:t>octubre</w:t>
      </w:r>
      <w:r w:rsidRPr="00961484">
        <w:rPr>
          <w:rFonts w:ascii="Times New Roman" w:hAnsi="Times New Roman" w:cs="Times New Roman"/>
          <w:sz w:val="12"/>
        </w:rPr>
        <w:t xml:space="preserve">                  </w:t>
      </w:r>
    </w:p>
    <w:p w:rsidR="00476A61" w:rsidRPr="00961484" w:rsidRDefault="00476A61" w:rsidP="00476A61">
      <w:pPr>
        <w:pStyle w:val="Sinespaciado"/>
        <w:jc w:val="both"/>
        <w:rPr>
          <w:rFonts w:ascii="Times New Roman" w:hAnsi="Times New Roman" w:cs="Times New Roman"/>
          <w:sz w:val="12"/>
        </w:rPr>
      </w:pPr>
      <w:r w:rsidRPr="00961484">
        <w:rPr>
          <w:rFonts w:ascii="Times New Roman" w:hAnsi="Times New Roman" w:cs="Times New Roman"/>
          <w:sz w:val="12"/>
        </w:rPr>
        <w:t xml:space="preserve">                                                                           </w:t>
      </w:r>
      <w:r>
        <w:rPr>
          <w:rFonts w:ascii="Times New Roman" w:hAnsi="Times New Roman" w:cs="Times New Roman"/>
          <w:sz w:val="12"/>
        </w:rPr>
        <w:t xml:space="preserve">            </w:t>
      </w:r>
      <w:r w:rsidRPr="00961484">
        <w:rPr>
          <w:rFonts w:ascii="Times New Roman" w:hAnsi="Times New Roman" w:cs="Times New Roman"/>
          <w:sz w:val="12"/>
        </w:rPr>
        <w:t xml:space="preserve"> 2015-2016</w:t>
      </w:r>
    </w:p>
    <w:p w:rsidR="00476A61" w:rsidRDefault="00476A61" w:rsidP="00476A61">
      <w:pPr>
        <w:pStyle w:val="Sinespaciado"/>
        <w:jc w:val="both"/>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113735DD" wp14:editId="0E1A2C2A">
            <wp:extent cx="2584300" cy="1173480"/>
            <wp:effectExtent l="0" t="0" r="698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8893" cy="1175565"/>
                    </a:xfrm>
                    <a:prstGeom prst="rect">
                      <a:avLst/>
                    </a:prstGeom>
                    <a:noFill/>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476A61" w:rsidRDefault="00476A61" w:rsidP="00476A61">
      <w:pPr>
        <w:pStyle w:val="Sinespaciado"/>
        <w:jc w:val="both"/>
        <w:rPr>
          <w:rFonts w:ascii="Times New Roman" w:hAnsi="Times New Roman" w:cs="Times New Roman"/>
          <w:sz w:val="16"/>
        </w:rPr>
      </w:pPr>
    </w:p>
    <w:p w:rsidR="00476A61" w:rsidRDefault="00476A61" w:rsidP="00476A61">
      <w:pPr>
        <w:pStyle w:val="Sinespaciado"/>
        <w:jc w:val="both"/>
        <w:rPr>
          <w:rFonts w:ascii="Times New Roman" w:hAnsi="Times New Roman" w:cs="Times New Roman"/>
          <w:lang w:val="es-MX"/>
        </w:rPr>
      </w:pPr>
      <w:r>
        <w:rPr>
          <w:rFonts w:ascii="Times New Roman" w:hAnsi="Times New Roman" w:cs="Times New Roman"/>
          <w:lang w:val="es-MX"/>
        </w:rPr>
        <w:lastRenderedPageBreak/>
        <w:t>Por su parte, e</w:t>
      </w:r>
      <w:r w:rsidRPr="00EB44B4">
        <w:rPr>
          <w:rFonts w:ascii="Times New Roman" w:hAnsi="Times New Roman" w:cs="Times New Roman"/>
          <w:lang w:val="es-MX"/>
        </w:rPr>
        <w:t>l gasto social, en los rubros de salud, educación y vivienda</w:t>
      </w:r>
      <w:r>
        <w:rPr>
          <w:rFonts w:ascii="Times New Roman" w:hAnsi="Times New Roman" w:cs="Times New Roman"/>
          <w:lang w:val="es-MX"/>
        </w:rPr>
        <w:t>,</w:t>
      </w:r>
      <w:r w:rsidRPr="00EB44B4">
        <w:rPr>
          <w:rFonts w:ascii="Times New Roman" w:hAnsi="Times New Roman" w:cs="Times New Roman"/>
          <w:lang w:val="es-MX"/>
        </w:rPr>
        <w:t xml:space="preserve"> se reporta una ejecución al cierre de </w:t>
      </w:r>
      <w:r>
        <w:rPr>
          <w:rFonts w:ascii="Times New Roman" w:hAnsi="Times New Roman" w:cs="Times New Roman"/>
          <w:lang w:val="es-MX"/>
        </w:rPr>
        <w:t>octubre</w:t>
      </w:r>
      <w:r w:rsidRPr="00EB44B4">
        <w:rPr>
          <w:rFonts w:ascii="Times New Roman" w:hAnsi="Times New Roman" w:cs="Times New Roman"/>
          <w:lang w:val="es-MX"/>
        </w:rPr>
        <w:t xml:space="preserve"> de Q</w:t>
      </w:r>
      <w:r>
        <w:rPr>
          <w:rFonts w:ascii="Times New Roman" w:hAnsi="Times New Roman" w:cs="Times New Roman"/>
          <w:lang w:val="es-MX"/>
        </w:rPr>
        <w:t xml:space="preserve"> 19</w:t>
      </w:r>
      <w:r w:rsidRPr="00EB44B4">
        <w:rPr>
          <w:rFonts w:ascii="Times New Roman" w:hAnsi="Times New Roman" w:cs="Times New Roman"/>
          <w:lang w:val="es-MX"/>
        </w:rPr>
        <w:t>,</w:t>
      </w:r>
      <w:r>
        <w:rPr>
          <w:rFonts w:ascii="Times New Roman" w:hAnsi="Times New Roman" w:cs="Times New Roman"/>
          <w:lang w:val="es-MX"/>
        </w:rPr>
        <w:t>346</w:t>
      </w:r>
      <w:r w:rsidRPr="00EB44B4">
        <w:rPr>
          <w:rFonts w:ascii="Times New Roman" w:hAnsi="Times New Roman" w:cs="Times New Roman"/>
          <w:lang w:val="es-MX"/>
        </w:rPr>
        <w:t xml:space="preserve">.5 millones, al incorporar los compromisos de los Acuerdos de Paz en Seguridad Interna, Organismo Judicial, Corte de Constitucionalidad y Ministerio Público, el gasto social alcanza una ejecución de </w:t>
      </w:r>
      <w:r>
        <w:rPr>
          <w:rFonts w:ascii="Times New Roman" w:hAnsi="Times New Roman" w:cs="Times New Roman"/>
          <w:lang w:val="es-MX"/>
        </w:rPr>
        <w:t xml:space="preserve">           </w:t>
      </w:r>
      <w:r w:rsidRPr="00EB44B4">
        <w:rPr>
          <w:rFonts w:ascii="Times New Roman" w:hAnsi="Times New Roman" w:cs="Times New Roman"/>
          <w:lang w:val="es-MX"/>
        </w:rPr>
        <w:t>Q</w:t>
      </w:r>
      <w:r>
        <w:rPr>
          <w:rFonts w:ascii="Times New Roman" w:hAnsi="Times New Roman" w:cs="Times New Roman"/>
          <w:lang w:val="es-MX"/>
        </w:rPr>
        <w:t xml:space="preserve"> 25</w:t>
      </w:r>
      <w:r w:rsidRPr="00EB44B4">
        <w:rPr>
          <w:rFonts w:ascii="Times New Roman" w:hAnsi="Times New Roman" w:cs="Times New Roman"/>
          <w:lang w:val="es-MX"/>
        </w:rPr>
        <w:t>,4</w:t>
      </w:r>
      <w:r>
        <w:rPr>
          <w:rFonts w:ascii="Times New Roman" w:hAnsi="Times New Roman" w:cs="Times New Roman"/>
          <w:lang w:val="es-MX"/>
        </w:rPr>
        <w:t>82.8 millones, lo cual equivale a un crecimiento interanual de 2.7%, mientras que al cierre del primer semestre el gasto social reportaba una contracción de 6.0%, afectado por la fuerte contención de gasto, principalmente en el primer trimestre.</w:t>
      </w:r>
    </w:p>
    <w:p w:rsidR="00476A61" w:rsidRDefault="00476A61" w:rsidP="00476A61">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476A61" w:rsidRDefault="00476A61" w:rsidP="00476A61">
      <w:pPr>
        <w:pStyle w:val="Sinespaciado"/>
        <w:jc w:val="both"/>
        <w:rPr>
          <w:rFonts w:ascii="Times New Roman" w:hAnsi="Times New Roman" w:cs="Times New Roman"/>
          <w:lang w:val="es-MX"/>
        </w:rPr>
      </w:pPr>
      <w:r w:rsidRPr="00542677">
        <w:rPr>
          <w:noProof/>
          <w:lang w:eastAsia="es-GT"/>
        </w:rPr>
        <w:drawing>
          <wp:anchor distT="0" distB="0" distL="114300" distR="114300" simplePos="0" relativeHeight="251662336" behindDoc="1" locked="0" layoutInCell="1" allowOverlap="1" wp14:anchorId="1ABDB68B" wp14:editId="7B10AEF6">
            <wp:simplePos x="0" y="0"/>
            <wp:positionH relativeFrom="column">
              <wp:posOffset>27940</wp:posOffset>
            </wp:positionH>
            <wp:positionV relativeFrom="paragraph">
              <wp:posOffset>121285</wp:posOffset>
            </wp:positionV>
            <wp:extent cx="2631440" cy="185420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14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A61" w:rsidRPr="00476A61" w:rsidRDefault="00476A61" w:rsidP="00476A61">
      <w:pPr>
        <w:pStyle w:val="Sinespaciado"/>
        <w:jc w:val="both"/>
        <w:rPr>
          <w:rFonts w:ascii="Times New Roman" w:hAnsi="Times New Roman" w:cs="Times New Roman"/>
          <w:color w:val="FF0000"/>
          <w:lang w:val="es-MX"/>
        </w:rPr>
      </w:pPr>
      <w:r>
        <w:rPr>
          <w:rFonts w:ascii="Times New Roman" w:hAnsi="Times New Roman" w:cs="Times New Roman"/>
          <w:lang w:val="es-MX"/>
        </w:rPr>
        <w:t>A la fecha, únicamente el gasto en vivienda y seguridad interna reportan contracciones de 68.3% y 5.8%, respectivamente. El rubro de vivienda, se ve afectado por los problemas de ejecución en el</w:t>
      </w:r>
      <w:r w:rsidRPr="0024234C">
        <w:rPr>
          <w:rFonts w:ascii="Times New Roman" w:hAnsi="Times New Roman" w:cs="Times New Roman"/>
          <w:lang w:val="es-MX"/>
        </w:rPr>
        <w:t xml:space="preserve"> Fondo para la Vivienda (FOPAVI</w:t>
      </w:r>
      <w:r>
        <w:rPr>
          <w:rFonts w:ascii="Times New Roman" w:hAnsi="Times New Roman" w:cs="Times New Roman"/>
          <w:lang w:val="es-MX"/>
        </w:rPr>
        <w:t>). Mientras que el Organismo Judicial y la Corte de Constitucionalidad reportan un crecimiento de 28.0% y el Ministerio Público de 37.7%, como resultado de mayores montos en las asignaciones de trasferencias corrientes y de capital.</w:t>
      </w:r>
    </w:p>
    <w:p w:rsidR="00810A4C" w:rsidRPr="00476A61" w:rsidRDefault="00810A4C" w:rsidP="00810A4C">
      <w:pPr>
        <w:pStyle w:val="Sinespaciado"/>
        <w:jc w:val="both"/>
        <w:rPr>
          <w:rFonts w:ascii="Times New Roman" w:hAnsi="Times New Roman" w:cs="Times New Roman"/>
          <w:color w:val="FF0000"/>
        </w:rPr>
        <w:sectPr w:rsidR="00810A4C" w:rsidRPr="00476A61" w:rsidSect="00516433">
          <w:type w:val="continuous"/>
          <w:pgSz w:w="12240" w:h="15840"/>
          <w:pgMar w:top="1417" w:right="1701" w:bottom="1417" w:left="1701" w:header="708" w:footer="708" w:gutter="0"/>
          <w:cols w:num="2" w:space="708"/>
          <w:docGrid w:linePitch="360"/>
        </w:sectPr>
      </w:pPr>
    </w:p>
    <w:p w:rsidR="00810A4C" w:rsidRPr="00476A61" w:rsidRDefault="00810A4C" w:rsidP="00810A4C">
      <w:pPr>
        <w:pStyle w:val="Sinespaciado"/>
        <w:jc w:val="both"/>
        <w:rPr>
          <w:rFonts w:ascii="Times New Roman" w:hAnsi="Times New Roman" w:cs="Times New Roman"/>
          <w:color w:val="FF0000"/>
        </w:rPr>
        <w:sectPr w:rsidR="00810A4C" w:rsidRPr="00476A61" w:rsidSect="00BC7539">
          <w:type w:val="continuous"/>
          <w:pgSz w:w="12240" w:h="15840"/>
          <w:pgMar w:top="1417" w:right="1701" w:bottom="1417" w:left="1701" w:header="708" w:footer="708" w:gutter="0"/>
          <w:cols w:num="2" w:space="708"/>
          <w:docGrid w:linePitch="360"/>
        </w:sectPr>
      </w:pPr>
    </w:p>
    <w:p w:rsidR="00DD23C0" w:rsidRPr="00476A61" w:rsidRDefault="00DD23C0" w:rsidP="00BC7539">
      <w:pPr>
        <w:pStyle w:val="Sinespaciado"/>
        <w:jc w:val="both"/>
        <w:rPr>
          <w:rFonts w:ascii="Times New Roman" w:hAnsi="Times New Roman" w:cs="Times New Roman"/>
          <w:color w:val="FF0000"/>
          <w:sz w:val="16"/>
          <w:lang w:val="es-MX"/>
        </w:rPr>
      </w:pPr>
    </w:p>
    <w:p w:rsidR="00F76491" w:rsidRPr="00476A61" w:rsidRDefault="004A73AA"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476A61" w:rsidSect="00FA3B81">
          <w:headerReference w:type="default" r:id="rId24"/>
          <w:footerReference w:type="default" r:id="rId25"/>
          <w:type w:val="continuous"/>
          <w:pgSz w:w="12240" w:h="15840" w:code="1"/>
          <w:pgMar w:top="1418" w:right="1418" w:bottom="1418" w:left="1418" w:header="709" w:footer="709" w:gutter="0"/>
          <w:cols w:space="708"/>
          <w:docGrid w:linePitch="360"/>
        </w:sectPr>
      </w:pPr>
      <w:r w:rsidRPr="00476A61">
        <w:rPr>
          <w:rFonts w:ascii="Times New Roman" w:hAnsi="Times New Roman" w:cs="Times New Roman"/>
          <w:b/>
          <w:lang w:val="es-MX"/>
        </w:rPr>
        <w:t>Aumenta la</w:t>
      </w:r>
      <w:r w:rsidR="00D532B4" w:rsidRPr="00476A61">
        <w:rPr>
          <w:rFonts w:ascii="Times New Roman" w:hAnsi="Times New Roman" w:cs="Times New Roman"/>
          <w:b/>
          <w:lang w:val="es-MX"/>
        </w:rPr>
        <w:t xml:space="preserve"> demanda en los títulos del gobierno</w:t>
      </w:r>
      <w:r w:rsidRPr="00476A61">
        <w:rPr>
          <w:rFonts w:ascii="Times New Roman" w:hAnsi="Times New Roman" w:cs="Times New Roman"/>
          <w:b/>
          <w:lang w:val="es-MX"/>
        </w:rPr>
        <w:t xml:space="preserve"> pero se mantiene el nivel de colocación</w:t>
      </w:r>
    </w:p>
    <w:p w:rsidR="00F76491" w:rsidRPr="00476A61" w:rsidRDefault="00F76491" w:rsidP="00F76491">
      <w:pPr>
        <w:pStyle w:val="Sinespaciado"/>
        <w:rPr>
          <w:rFonts w:ascii="Times New Roman" w:hAnsi="Times New Roman" w:cs="Times New Roman"/>
          <w:b/>
          <w:color w:val="FF0000"/>
          <w:sz w:val="24"/>
          <w:lang w:val="es-MX"/>
        </w:rPr>
      </w:pPr>
    </w:p>
    <w:p w:rsidR="00F76491" w:rsidRPr="00476A61" w:rsidRDefault="00F76491" w:rsidP="00F76491">
      <w:pPr>
        <w:pStyle w:val="Sinespaciado"/>
        <w:rPr>
          <w:rFonts w:ascii="Times New Roman" w:hAnsi="Times New Roman" w:cs="Times New Roman"/>
          <w:b/>
          <w:color w:val="FF0000"/>
          <w:lang w:val="es-MX"/>
        </w:rPr>
        <w:sectPr w:rsidR="00F76491" w:rsidRPr="00476A61" w:rsidSect="00213F7F">
          <w:type w:val="continuous"/>
          <w:pgSz w:w="12240" w:h="15840"/>
          <w:pgMar w:top="1417" w:right="1701" w:bottom="1417" w:left="1701" w:header="708" w:footer="708" w:gutter="0"/>
          <w:cols w:space="708"/>
          <w:docGrid w:linePitch="360"/>
        </w:sectPr>
      </w:pPr>
    </w:p>
    <w:p w:rsidR="00476A61" w:rsidRDefault="00476A61" w:rsidP="00476A61">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existente a la fecha, este se ha financiado principalmente con los recursos de la colocación de Bonos del Tesoro en el mercado interno, así como de la colocación que se realizara en mayo en el mercado internacional de capitales (Eurobonos).  Estos recursos han sido suficientes para cubrir las necesidades de caja y las que se prevé se generen en el resto del año.</w:t>
      </w:r>
    </w:p>
    <w:p w:rsidR="00476A61" w:rsidRDefault="00476A61" w:rsidP="00476A61">
      <w:pPr>
        <w:pStyle w:val="Sinespaciado"/>
        <w:jc w:val="both"/>
        <w:rPr>
          <w:rFonts w:ascii="Times New Roman" w:hAnsi="Times New Roman" w:cs="Times New Roman"/>
        </w:rPr>
      </w:pPr>
    </w:p>
    <w:p w:rsidR="00476A61" w:rsidRDefault="00476A61" w:rsidP="00476A61">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 xml:space="preserve">Es importante mencionar, que se logró recuperar la demanda por los títulos del gobierno ya que entre agosto y septiembre, la misma estuvo en promedio en Q 1,396 millones y en octubre fue de Q 2,703 millones.  No obstante, la colocación fue igualmente moderada, se mantuvo en el promedio de los últimos meses, por arriba de </w:t>
      </w:r>
      <w:r>
        <w:rPr>
          <w:rFonts w:ascii="Times New Roman" w:hAnsi="Times New Roman" w:cs="Times New Roman"/>
          <w:color w:val="000000" w:themeColor="text1"/>
        </w:rPr>
        <w:lastRenderedPageBreak/>
        <w:t>Q 600 millones.  Para noviembre, se prevé una reducción en la liquidez en el sistema bancario como resultado del pago de impuestos, pero se espera que parte de la liquidez se recupere en la medida que el gasto público aumente.  Asimismo, el monto pendiente de colocar para agotar el cupo de la emisión autorizada por el Congreso de la República es de Q 1,617.4 millones, el cual se espera negociar en noviembre.</w:t>
      </w:r>
    </w:p>
    <w:p w:rsidR="00476A61" w:rsidRDefault="00476A61" w:rsidP="00476A61">
      <w:pPr>
        <w:pStyle w:val="Sinespaciado"/>
        <w:jc w:val="both"/>
        <w:rPr>
          <w:rFonts w:ascii="Times New Roman" w:hAnsi="Times New Roman" w:cs="Times New Roman"/>
        </w:rPr>
      </w:pPr>
    </w:p>
    <w:p w:rsidR="00DD4D5D" w:rsidRPr="00476A61" w:rsidRDefault="00476A61" w:rsidP="00476A61">
      <w:pPr>
        <w:pStyle w:val="Sinespaciado"/>
        <w:jc w:val="both"/>
        <w:rPr>
          <w:rFonts w:ascii="Times New Roman" w:hAnsi="Times New Roman" w:cs="Times New Roman"/>
          <w:color w:val="FF0000"/>
        </w:rPr>
      </w:pPr>
      <w:r>
        <w:rPr>
          <w:rFonts w:ascii="Times New Roman" w:hAnsi="Times New Roman" w:cs="Times New Roman"/>
        </w:rPr>
        <w:t>Por su parte, los desembolsos de préstamos externos, siguen mostrando un bajo nivel ya que apenas se han recibido Q 507.4 millones, de un estimado en el presupuesto de               Q 3,229.6 millones De esa cuenta, únicamente el 15.7% de los préstamos programados en el presupuesto de este año se ha logrado percibir.</w:t>
      </w:r>
    </w:p>
    <w:p w:rsidR="00FA5DE4" w:rsidRPr="009D2C22" w:rsidRDefault="00FA5DE4" w:rsidP="00FA5DE4">
      <w:pPr>
        <w:pStyle w:val="Sinespaciado"/>
        <w:jc w:val="both"/>
        <w:rPr>
          <w:rFonts w:ascii="Times New Roman" w:hAnsi="Times New Roman" w:cs="Times New Roman"/>
          <w:color w:val="FF0000"/>
        </w:rPr>
        <w:sectPr w:rsidR="00FA5DE4" w:rsidRPr="009D2C22" w:rsidSect="00516433">
          <w:type w:val="continuous"/>
          <w:pgSz w:w="12240" w:h="15840"/>
          <w:pgMar w:top="1417" w:right="1701" w:bottom="1417" w:left="1701" w:header="708" w:footer="708" w:gutter="0"/>
          <w:cols w:num="2" w:space="708"/>
          <w:docGrid w:linePitch="360"/>
        </w:sectPr>
      </w:pPr>
    </w:p>
    <w:p w:rsidR="00F76491" w:rsidRPr="00F75C84" w:rsidRDefault="00F76491" w:rsidP="00F76491">
      <w:pPr>
        <w:rPr>
          <w:color w:val="FF0000"/>
          <w:sz w:val="12"/>
          <w:lang w:val="es-MX"/>
        </w:rPr>
        <w:sectPr w:rsidR="00F76491" w:rsidRPr="00F75C84" w:rsidSect="00516433">
          <w:type w:val="continuous"/>
          <w:pgSz w:w="12240" w:h="15840"/>
          <w:pgMar w:top="1417" w:right="1701" w:bottom="1417" w:left="1701" w:header="708" w:footer="708" w:gutter="0"/>
          <w:cols w:num="2" w:space="708"/>
          <w:docGrid w:linePitch="360"/>
        </w:sectPr>
      </w:pPr>
    </w:p>
    <w:p w:rsidR="00F76491" w:rsidRPr="009D2C22" w:rsidRDefault="00F76491" w:rsidP="00F76491">
      <w:pPr>
        <w:pStyle w:val="Sinespaciado"/>
        <w:jc w:val="both"/>
        <w:rPr>
          <w:rFonts w:ascii="Times New Roman" w:hAnsi="Times New Roman" w:cs="Times New Roman"/>
          <w:color w:val="FF0000"/>
          <w:sz w:val="8"/>
          <w:lang w:val="es-MX"/>
        </w:rPr>
      </w:pPr>
    </w:p>
    <w:p w:rsidR="00494D1D" w:rsidRPr="004A73AA"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4A73AA" w:rsidSect="00FA3B81">
          <w:headerReference w:type="default" r:id="rId26"/>
          <w:footerReference w:type="default" r:id="rId27"/>
          <w:type w:val="continuous"/>
          <w:pgSz w:w="12240" w:h="15840" w:code="1"/>
          <w:pgMar w:top="1418" w:right="1418" w:bottom="1418" w:left="1418" w:header="709" w:footer="709" w:gutter="0"/>
          <w:cols w:space="708"/>
          <w:docGrid w:linePitch="360"/>
        </w:sectPr>
      </w:pPr>
      <w:r w:rsidRPr="004A73AA">
        <w:rPr>
          <w:rFonts w:ascii="Times New Roman" w:hAnsi="Times New Roman" w:cs="Times New Roman"/>
          <w:b/>
          <w:lang w:val="es-MX"/>
        </w:rPr>
        <w:t>Ambientes macroeconómicos (externo e interno)</w:t>
      </w:r>
    </w:p>
    <w:p w:rsidR="00494D1D" w:rsidRPr="009D2C22" w:rsidRDefault="00494D1D" w:rsidP="00494D1D">
      <w:pPr>
        <w:pStyle w:val="Sinespaciado"/>
        <w:rPr>
          <w:rFonts w:ascii="Times New Roman" w:hAnsi="Times New Roman" w:cs="Times New Roman"/>
          <w:b/>
          <w:color w:val="FF0000"/>
          <w:sz w:val="18"/>
          <w:lang w:val="es-MX"/>
        </w:rPr>
      </w:pPr>
    </w:p>
    <w:p w:rsidR="00494D1D" w:rsidRPr="009D2C22" w:rsidRDefault="00494D1D" w:rsidP="00494D1D">
      <w:pPr>
        <w:pStyle w:val="Sinespaciado"/>
        <w:rPr>
          <w:rFonts w:ascii="Times New Roman" w:hAnsi="Times New Roman" w:cs="Times New Roman"/>
          <w:b/>
          <w:color w:val="FF0000"/>
          <w:lang w:val="es-MX"/>
        </w:rPr>
        <w:sectPr w:rsidR="00494D1D" w:rsidRPr="009D2C22" w:rsidSect="00213F7F">
          <w:type w:val="continuous"/>
          <w:pgSz w:w="12240" w:h="15840"/>
          <w:pgMar w:top="1417" w:right="1701" w:bottom="1417" w:left="1701" w:header="708" w:footer="708" w:gutter="0"/>
          <w:cols w:space="708"/>
          <w:docGrid w:linePitch="360"/>
        </w:sectPr>
      </w:pPr>
    </w:p>
    <w:p w:rsidR="00EE72DB" w:rsidRPr="00D24DA4" w:rsidRDefault="00D24DA4" w:rsidP="00D24DA4">
      <w:pPr>
        <w:pStyle w:val="Prrafodelista"/>
        <w:ind w:left="0"/>
        <w:jc w:val="both"/>
        <w:rPr>
          <w:rFonts w:ascii="Times New Roman" w:hAnsi="Times New Roman" w:cs="Times New Roman"/>
          <w:color w:val="FF0000"/>
          <w:lang w:val="es-MX"/>
        </w:rPr>
      </w:pPr>
      <w:r w:rsidRPr="00DA53C7">
        <w:rPr>
          <w:rFonts w:ascii="Times New Roman" w:hAnsi="Times New Roman" w:cs="Times New Roman"/>
          <w:lang w:val="es-MX"/>
        </w:rPr>
        <w:lastRenderedPageBreak/>
        <w:t xml:space="preserve">En Octubre, </w:t>
      </w:r>
      <w:r>
        <w:rPr>
          <w:rFonts w:ascii="Times New Roman" w:hAnsi="Times New Roman" w:cs="Times New Roman"/>
          <w:lang w:val="es-MX"/>
        </w:rPr>
        <w:t>l</w:t>
      </w:r>
      <w:r w:rsidR="00EE72DB" w:rsidRPr="00EE72DB">
        <w:rPr>
          <w:rFonts w:ascii="Times New Roman" w:hAnsi="Times New Roman" w:cs="Times New Roman"/>
          <w:lang w:val="es-MX"/>
        </w:rPr>
        <w:t xml:space="preserve">a Fed dio a conocer su informe denominado Libro Beige, que contiene información sobre las condiciones económicas en cada uno de los 12 </w:t>
      </w:r>
      <w:r w:rsidR="004A5188">
        <w:rPr>
          <w:rFonts w:ascii="Times New Roman" w:hAnsi="Times New Roman" w:cs="Times New Roman"/>
          <w:lang w:val="es-MX"/>
        </w:rPr>
        <w:t>distritos de todo EEUU</w:t>
      </w:r>
      <w:r w:rsidR="00EE72DB" w:rsidRPr="00EE72DB">
        <w:rPr>
          <w:rFonts w:ascii="Times New Roman" w:hAnsi="Times New Roman" w:cs="Times New Roman"/>
          <w:lang w:val="es-MX"/>
        </w:rPr>
        <w:t xml:space="preserve">.  En él se muestra que la economía de </w:t>
      </w:r>
      <w:r w:rsidR="004A5188">
        <w:rPr>
          <w:rFonts w:ascii="Times New Roman" w:hAnsi="Times New Roman" w:cs="Times New Roman"/>
          <w:lang w:val="es-MX"/>
        </w:rPr>
        <w:t>ese país</w:t>
      </w:r>
      <w:r w:rsidR="00EE72DB" w:rsidRPr="00EE72DB">
        <w:rPr>
          <w:rFonts w:ascii="Times New Roman" w:hAnsi="Times New Roman" w:cs="Times New Roman"/>
          <w:lang w:val="es-MX"/>
        </w:rPr>
        <w:t xml:space="preserve"> continuó expandiéndose entre finales de agosto y principios de octubre e indica que tanto el empleo como los salarios crecieron de forma modesta; la subida de precios continuó siendo leve, ya que la mayoría de distritos reportaron que el coste de la producción se mantuvo estable, que los precios de venta permanecieron sin cambios relevantes y que el gasto del consumidor fue mixto.</w:t>
      </w:r>
    </w:p>
    <w:p w:rsidR="00EE72DB" w:rsidRDefault="00EE72DB" w:rsidP="00EE72DB">
      <w:pPr>
        <w:spacing w:after="0" w:line="240" w:lineRule="auto"/>
        <w:jc w:val="both"/>
        <w:rPr>
          <w:rFonts w:ascii="Times New Roman" w:hAnsi="Times New Roman" w:cs="Times New Roman"/>
          <w:color w:val="FF0000"/>
          <w:lang w:val="es-MX"/>
        </w:rPr>
      </w:pPr>
    </w:p>
    <w:p w:rsidR="00EE72DB" w:rsidRPr="00EE72DB" w:rsidRDefault="00EE72DB" w:rsidP="00EE72DB">
      <w:pPr>
        <w:spacing w:after="0" w:line="240" w:lineRule="auto"/>
        <w:jc w:val="both"/>
        <w:rPr>
          <w:rFonts w:ascii="Times New Roman" w:hAnsi="Times New Roman" w:cs="Times New Roman"/>
          <w:lang w:val="es-MX"/>
        </w:rPr>
      </w:pPr>
      <w:r w:rsidRPr="00EE72DB">
        <w:rPr>
          <w:rFonts w:ascii="Times New Roman" w:hAnsi="Times New Roman" w:cs="Times New Roman"/>
          <w:lang w:val="es-MX"/>
        </w:rPr>
        <w:t xml:space="preserve">La tasa de empleo de la OCDE se situó al cierre del segundo trimestre de 2016 en el 66,9%, una décima por encima del dato de los </w:t>
      </w:r>
      <w:r w:rsidRPr="00EE72DB">
        <w:rPr>
          <w:rFonts w:ascii="Times New Roman" w:hAnsi="Times New Roman" w:cs="Times New Roman"/>
          <w:lang w:val="es-MX"/>
        </w:rPr>
        <w:lastRenderedPageBreak/>
        <w:t>tres meses anteriores; además destacó que el dato confirma la recuperación iniciada a comienzos de 2011. Entre abril y junio de 2015, la tasa de empleo de la zona euro aumentó dos décimas hasta el 65,3%, su undécimo aumento trimestral consecutivo, mientras que los mayores incrementos se observaron en Estonia (+1,8%), Hungría (+0,8%), Nueva Zelanda (+0,8%) y Eslovenia (+0,8%).  La tasa de empleo masculino registró una mejora del 0,1%, hasta el 74,7% mientras que la tasa de empleo femenino se mantuvo estable en el 59,1%.  En cuanto a los jóvenes, la tasa de empleo se mantuvo estable en el 40,7%, mientras que entre los mayores de 55 años se situó en el 62%, tres décimas por encima de los tres meses anteriores.</w:t>
      </w:r>
    </w:p>
    <w:p w:rsidR="00EE72DB" w:rsidRDefault="00EE72DB" w:rsidP="003B13B4">
      <w:pPr>
        <w:spacing w:after="0" w:line="240" w:lineRule="auto"/>
        <w:jc w:val="both"/>
        <w:rPr>
          <w:rFonts w:ascii="Times New Roman" w:hAnsi="Times New Roman" w:cs="Times New Roman"/>
          <w:color w:val="FF0000"/>
          <w:lang w:val="es-MX"/>
        </w:rPr>
      </w:pPr>
    </w:p>
    <w:p w:rsidR="00EE72DB" w:rsidRPr="003B13B4" w:rsidRDefault="009A5380" w:rsidP="003B13B4">
      <w:pPr>
        <w:spacing w:after="0" w:line="240" w:lineRule="auto"/>
        <w:jc w:val="both"/>
        <w:rPr>
          <w:rFonts w:ascii="Times New Roman" w:hAnsi="Times New Roman" w:cs="Times New Roman"/>
          <w:color w:val="FF0000"/>
          <w:lang w:val="es-MX"/>
        </w:rPr>
      </w:pPr>
      <w:r w:rsidRPr="009D2C22">
        <w:rPr>
          <w:rFonts w:ascii="Times New Roman" w:hAnsi="Times New Roman" w:cs="Times New Roman"/>
          <w:color w:val="FF0000"/>
          <w:lang w:val="es-MX"/>
        </w:rPr>
        <w:lastRenderedPageBreak/>
        <w:t xml:space="preserve"> </w:t>
      </w:r>
      <w:r w:rsidR="00EE72DB" w:rsidRPr="0066664F">
        <w:rPr>
          <w:rFonts w:ascii="Times New Roman" w:hAnsi="Times New Roman" w:cs="Times New Roman"/>
          <w:lang w:val="es-MX"/>
        </w:rPr>
        <w:t xml:space="preserve">La Fed decidió mantener estables las tasas de interés entre 0,25% y 0,50%, tal como lo esperaban los analistas y los mercados; la decisión fue respaldada por el fortalecimiento económico, los sólidos avances del empleo y el aumento de confianza de que la inflación va hacia su meta del 2%.  </w:t>
      </w:r>
      <w:r w:rsidR="00EE72DB">
        <w:rPr>
          <w:rFonts w:ascii="Times New Roman" w:hAnsi="Times New Roman" w:cs="Times New Roman"/>
          <w:lang w:val="es-MX"/>
        </w:rPr>
        <w:t>La Fed trazó un cuadro relativamente bueno de la economía, catalogando el crecimiento como acelerado desde el primer semestre; los gastos de los hogares, principal impulso de la economía aumentaron moderadamente y las perspectivas económicas en términos generales son equilibradas.</w:t>
      </w:r>
      <w:r w:rsidR="00EE72DB">
        <w:rPr>
          <w:rFonts w:ascii="Times New Roman" w:hAnsi="Times New Roman" w:cs="Times New Roman"/>
          <w:lang w:val="es-MX"/>
        </w:rPr>
        <w:tab/>
      </w:r>
    </w:p>
    <w:p w:rsidR="00EE72DB" w:rsidRDefault="00EE72DB" w:rsidP="00EE72DB">
      <w:pPr>
        <w:pStyle w:val="Sinespaciado"/>
        <w:ind w:left="360"/>
        <w:jc w:val="both"/>
        <w:rPr>
          <w:rFonts w:ascii="Times New Roman" w:hAnsi="Times New Roman" w:cs="Times New Roman"/>
          <w:lang w:val="es-MX"/>
        </w:rPr>
      </w:pPr>
    </w:p>
    <w:p w:rsidR="00EE72DB" w:rsidRPr="004F7091" w:rsidRDefault="00EE72DB" w:rsidP="00EE72DB">
      <w:pPr>
        <w:pStyle w:val="Sinespaciado"/>
        <w:jc w:val="both"/>
        <w:rPr>
          <w:rFonts w:ascii="Times New Roman" w:hAnsi="Times New Roman" w:cs="Times New Roman"/>
          <w:lang w:val="es-MX"/>
        </w:rPr>
      </w:pPr>
      <w:r>
        <w:rPr>
          <w:rFonts w:ascii="Times New Roman" w:hAnsi="Times New Roman" w:cs="Times New Roman"/>
          <w:lang w:val="es-MX"/>
        </w:rPr>
        <w:t xml:space="preserve">El crecimiento económico de  la zona euro se aceleró en octubre, como lo indica el índice compuesto PMI que se situó en 53.3 puntos, frente a los 52.6 puntos de septiembre; la economía registró un aumento en producción manufacturera, incremento de los nuevos pedidos y los niveles de personal.  Por países, la actividad total de Alemania ha aumentado hasta el segundo nivel más rápido del año hasta la fecha, Francia, Italia, España e Irlanda también registraron aumentos de la actividad económica, aunque el ritmo de expansión solo mejoró en España respecto al de septiembre.  </w:t>
      </w:r>
    </w:p>
    <w:p w:rsidR="00364DD6" w:rsidRPr="009D2C22" w:rsidRDefault="00364DD6" w:rsidP="00364DD6">
      <w:pPr>
        <w:pStyle w:val="Sinespaciado"/>
        <w:jc w:val="both"/>
        <w:rPr>
          <w:rFonts w:ascii="Times New Roman" w:hAnsi="Times New Roman" w:cs="Times New Roman"/>
          <w:color w:val="FF0000"/>
          <w:lang w:val="es-MX"/>
        </w:rPr>
      </w:pPr>
    </w:p>
    <w:p w:rsidR="005A6ACE" w:rsidRDefault="00EE72DB" w:rsidP="00EE72DB">
      <w:pPr>
        <w:pStyle w:val="Sinespaciado"/>
        <w:jc w:val="both"/>
        <w:rPr>
          <w:rFonts w:ascii="Times New Roman" w:hAnsi="Times New Roman" w:cs="Times New Roman"/>
          <w:lang w:val="es-MX"/>
        </w:rPr>
      </w:pPr>
      <w:r w:rsidRPr="00684A6C">
        <w:rPr>
          <w:rFonts w:ascii="Times New Roman" w:hAnsi="Times New Roman" w:cs="Times New Roman"/>
          <w:lang w:val="es-MX"/>
        </w:rPr>
        <w:t xml:space="preserve">En el ámbito interno, el comportamiento del nivel general de precios de la economía en </w:t>
      </w:r>
      <w:r>
        <w:rPr>
          <w:rFonts w:ascii="Times New Roman" w:hAnsi="Times New Roman" w:cs="Times New Roman"/>
          <w:lang w:val="es-MX"/>
        </w:rPr>
        <w:t>septiembre</w:t>
      </w:r>
      <w:r w:rsidRPr="00684A6C">
        <w:rPr>
          <w:rFonts w:ascii="Times New Roman" w:hAnsi="Times New Roman" w:cs="Times New Roman"/>
          <w:lang w:val="es-MX"/>
        </w:rPr>
        <w:t xml:space="preserve"> registró un</w:t>
      </w:r>
      <w:r w:rsidR="00747C79">
        <w:rPr>
          <w:rFonts w:ascii="Times New Roman" w:hAnsi="Times New Roman" w:cs="Times New Roman"/>
          <w:lang w:val="es-MX"/>
        </w:rPr>
        <w:t>a variación intermensual de 0.69</w:t>
      </w:r>
      <w:r>
        <w:rPr>
          <w:rFonts w:ascii="Times New Roman" w:hAnsi="Times New Roman" w:cs="Times New Roman"/>
          <w:lang w:val="es-MX"/>
        </w:rPr>
        <w:t>% e interanu</w:t>
      </w:r>
      <w:r w:rsidR="00747C79">
        <w:rPr>
          <w:rFonts w:ascii="Times New Roman" w:hAnsi="Times New Roman" w:cs="Times New Roman"/>
          <w:lang w:val="es-MX"/>
        </w:rPr>
        <w:t>al de 4.7</w:t>
      </w:r>
      <w:r>
        <w:rPr>
          <w:rFonts w:ascii="Times New Roman" w:hAnsi="Times New Roman" w:cs="Times New Roman"/>
          <w:lang w:val="es-MX"/>
        </w:rPr>
        <w:t>6</w:t>
      </w:r>
      <w:r w:rsidRPr="00684A6C">
        <w:rPr>
          <w:rFonts w:ascii="Times New Roman" w:hAnsi="Times New Roman" w:cs="Times New Roman"/>
          <w:lang w:val="es-MX"/>
        </w:rPr>
        <w:t xml:space="preserve">%, según </w:t>
      </w:r>
      <w:r>
        <w:rPr>
          <w:rFonts w:ascii="Times New Roman" w:hAnsi="Times New Roman" w:cs="Times New Roman"/>
          <w:lang w:val="es-MX"/>
        </w:rPr>
        <w:t>información</w:t>
      </w:r>
      <w:r w:rsidRPr="00684A6C">
        <w:rPr>
          <w:rFonts w:ascii="Times New Roman" w:hAnsi="Times New Roman" w:cs="Times New Roman"/>
          <w:lang w:val="es-MX"/>
        </w:rPr>
        <w:t xml:space="preserve"> del INE; la variación interanual del IPC</w:t>
      </w:r>
      <w:r>
        <w:rPr>
          <w:rFonts w:ascii="Times New Roman" w:hAnsi="Times New Roman" w:cs="Times New Roman"/>
          <w:lang w:val="es-MX"/>
        </w:rPr>
        <w:t xml:space="preserve"> está</w:t>
      </w:r>
      <w:r w:rsidRPr="00684A6C">
        <w:rPr>
          <w:rFonts w:ascii="Times New Roman" w:hAnsi="Times New Roman" w:cs="Times New Roman"/>
          <w:lang w:val="es-MX"/>
        </w:rPr>
        <w:t xml:space="preserve"> basada en el </w:t>
      </w:r>
      <w:r w:rsidRPr="00684A6C">
        <w:rPr>
          <w:rFonts w:ascii="Times New Roman" w:hAnsi="Times New Roman" w:cs="Times New Roman"/>
          <w:lang w:val="es-MX"/>
        </w:rPr>
        <w:lastRenderedPageBreak/>
        <w:t>comportamiento de los combustibles, el desempeño de la política monetaria y fiscal y por la evolución de los precios de las materias primas</w:t>
      </w:r>
      <w:r>
        <w:rPr>
          <w:rFonts w:ascii="Times New Roman" w:hAnsi="Times New Roman" w:cs="Times New Roman"/>
          <w:lang w:val="es-MX"/>
        </w:rPr>
        <w:t>.  L</w:t>
      </w:r>
      <w:r w:rsidRPr="00684A6C">
        <w:rPr>
          <w:rFonts w:ascii="Times New Roman" w:hAnsi="Times New Roman" w:cs="Times New Roman"/>
          <w:lang w:val="es-MX"/>
        </w:rPr>
        <w:t xml:space="preserve">a inflación </w:t>
      </w:r>
      <w:r>
        <w:rPr>
          <w:rFonts w:ascii="Times New Roman" w:hAnsi="Times New Roman" w:cs="Times New Roman"/>
          <w:lang w:val="es-MX"/>
        </w:rPr>
        <w:t>permanece, tal como lo ha hecho a lo largo del año, cercana al</w:t>
      </w:r>
      <w:r w:rsidRPr="00684A6C">
        <w:rPr>
          <w:rFonts w:ascii="Times New Roman" w:hAnsi="Times New Roman" w:cs="Times New Roman"/>
          <w:lang w:val="es-MX"/>
        </w:rPr>
        <w:t xml:space="preserve"> valor de la meta de inflación de 4.0% +/- 1 punto porcentual.   </w:t>
      </w:r>
    </w:p>
    <w:p w:rsidR="005A6ACE" w:rsidRDefault="005A6ACE" w:rsidP="00EE72DB">
      <w:pPr>
        <w:pStyle w:val="Sinespaciado"/>
        <w:jc w:val="both"/>
        <w:rPr>
          <w:rFonts w:ascii="Times New Roman" w:hAnsi="Times New Roman" w:cs="Times New Roman"/>
          <w:lang w:val="es-MX"/>
        </w:rPr>
      </w:pPr>
    </w:p>
    <w:p w:rsidR="00EE72DB" w:rsidRDefault="00EE72DB" w:rsidP="00EE72DB">
      <w:pPr>
        <w:pStyle w:val="Sinespaciado"/>
        <w:jc w:val="both"/>
        <w:rPr>
          <w:rFonts w:ascii="Times New Roman" w:hAnsi="Times New Roman" w:cs="Times New Roman"/>
        </w:rPr>
      </w:pPr>
      <w:r w:rsidRPr="00684A6C">
        <w:rPr>
          <w:rFonts w:ascii="Times New Roman" w:hAnsi="Times New Roman" w:cs="Times New Roman"/>
        </w:rPr>
        <w:t xml:space="preserve">El costo de adquisición de la Canasta Básica Alimentaria </w:t>
      </w:r>
      <w:r w:rsidR="00747C79">
        <w:rPr>
          <w:rFonts w:ascii="Times New Roman" w:hAnsi="Times New Roman" w:cs="Times New Roman"/>
        </w:rPr>
        <w:t>aument</w:t>
      </w:r>
      <w:r>
        <w:rPr>
          <w:rFonts w:ascii="Times New Roman" w:hAnsi="Times New Roman" w:cs="Times New Roman"/>
        </w:rPr>
        <w:t>ó</w:t>
      </w:r>
      <w:r w:rsidRPr="00684A6C">
        <w:rPr>
          <w:rFonts w:ascii="Times New Roman" w:hAnsi="Times New Roman" w:cs="Times New Roman"/>
        </w:rPr>
        <w:t xml:space="preserve"> Q </w:t>
      </w:r>
      <w:r w:rsidR="00747C79">
        <w:rPr>
          <w:rFonts w:ascii="Times New Roman" w:hAnsi="Times New Roman" w:cs="Times New Roman"/>
        </w:rPr>
        <w:t>79.40</w:t>
      </w:r>
      <w:r w:rsidRPr="00684A6C">
        <w:rPr>
          <w:rFonts w:ascii="Times New Roman" w:hAnsi="Times New Roman" w:cs="Times New Roman"/>
        </w:rPr>
        <w:t xml:space="preserve"> con relación al registrado el mes anterior  y respecto a </w:t>
      </w:r>
      <w:r w:rsidR="00747C79">
        <w:rPr>
          <w:rFonts w:ascii="Times New Roman" w:hAnsi="Times New Roman" w:cs="Times New Roman"/>
        </w:rPr>
        <w:t>octu</w:t>
      </w:r>
      <w:r>
        <w:rPr>
          <w:rFonts w:ascii="Times New Roman" w:hAnsi="Times New Roman" w:cs="Times New Roman"/>
        </w:rPr>
        <w:t>bre</w:t>
      </w:r>
      <w:r w:rsidRPr="00684A6C">
        <w:rPr>
          <w:rFonts w:ascii="Times New Roman" w:hAnsi="Times New Roman" w:cs="Times New Roman"/>
        </w:rPr>
        <w:t xml:space="preserve"> de</w:t>
      </w:r>
      <w:r>
        <w:rPr>
          <w:rFonts w:ascii="Times New Roman" w:hAnsi="Times New Roman" w:cs="Times New Roman"/>
        </w:rPr>
        <w:t xml:space="preserve">l año anterior se incrementó </w:t>
      </w:r>
      <w:r w:rsidR="004A73AA">
        <w:rPr>
          <w:rFonts w:ascii="Times New Roman" w:hAnsi="Times New Roman" w:cs="Times New Roman"/>
        </w:rPr>
        <w:t xml:space="preserve">         </w:t>
      </w:r>
      <w:r>
        <w:rPr>
          <w:rFonts w:ascii="Times New Roman" w:hAnsi="Times New Roman" w:cs="Times New Roman"/>
        </w:rPr>
        <w:t xml:space="preserve">Q </w:t>
      </w:r>
      <w:r w:rsidR="00747C79">
        <w:rPr>
          <w:rFonts w:ascii="Times New Roman" w:hAnsi="Times New Roman" w:cs="Times New Roman"/>
        </w:rPr>
        <w:t>3</w:t>
      </w:r>
      <w:r>
        <w:rPr>
          <w:rFonts w:ascii="Times New Roman" w:hAnsi="Times New Roman" w:cs="Times New Roman"/>
        </w:rPr>
        <w:t>9</w:t>
      </w:r>
      <w:r w:rsidR="00747C79">
        <w:rPr>
          <w:rFonts w:ascii="Times New Roman" w:hAnsi="Times New Roman" w:cs="Times New Roman"/>
        </w:rPr>
        <w:t>8.0</w:t>
      </w:r>
      <w:r>
        <w:rPr>
          <w:rFonts w:ascii="Times New Roman" w:hAnsi="Times New Roman" w:cs="Times New Roman"/>
        </w:rPr>
        <w:t>4</w:t>
      </w:r>
      <w:r w:rsidRPr="00684A6C">
        <w:rPr>
          <w:rFonts w:ascii="Times New Roman" w:hAnsi="Times New Roman" w:cs="Times New Roman"/>
        </w:rPr>
        <w:t xml:space="preserve">.  El costo de adquisición de la Canasta Básica Vital también </w:t>
      </w:r>
      <w:r w:rsidR="00747C79">
        <w:rPr>
          <w:rFonts w:ascii="Times New Roman" w:hAnsi="Times New Roman" w:cs="Times New Roman"/>
        </w:rPr>
        <w:t>aument</w:t>
      </w:r>
      <w:r>
        <w:rPr>
          <w:rFonts w:ascii="Times New Roman" w:hAnsi="Times New Roman" w:cs="Times New Roman"/>
        </w:rPr>
        <w:t xml:space="preserve">ó </w:t>
      </w:r>
      <w:r w:rsidR="004A73AA">
        <w:rPr>
          <w:rFonts w:ascii="Times New Roman" w:hAnsi="Times New Roman" w:cs="Times New Roman"/>
        </w:rPr>
        <w:t xml:space="preserve">         </w:t>
      </w:r>
      <w:r>
        <w:rPr>
          <w:rFonts w:ascii="Times New Roman" w:hAnsi="Times New Roman" w:cs="Times New Roman"/>
        </w:rPr>
        <w:t xml:space="preserve">Q </w:t>
      </w:r>
      <w:r w:rsidR="00747C79">
        <w:rPr>
          <w:rFonts w:ascii="Times New Roman" w:hAnsi="Times New Roman" w:cs="Times New Roman"/>
        </w:rPr>
        <w:t>144.90</w:t>
      </w:r>
      <w:r w:rsidRPr="009F31BA">
        <w:rPr>
          <w:rFonts w:ascii="Times New Roman" w:hAnsi="Times New Roman" w:cs="Times New Roman"/>
        </w:rPr>
        <w:t xml:space="preserve"> con relación al registrado en el mes anterior y respecto a </w:t>
      </w:r>
      <w:r w:rsidR="00747C79">
        <w:rPr>
          <w:rFonts w:ascii="Times New Roman" w:hAnsi="Times New Roman" w:cs="Times New Roman"/>
        </w:rPr>
        <w:t>octu</w:t>
      </w:r>
      <w:r>
        <w:rPr>
          <w:rFonts w:ascii="Times New Roman" w:hAnsi="Times New Roman" w:cs="Times New Roman"/>
        </w:rPr>
        <w:t>bre</w:t>
      </w:r>
      <w:r w:rsidRPr="009F31BA">
        <w:rPr>
          <w:rFonts w:ascii="Times New Roman" w:hAnsi="Times New Roman" w:cs="Times New Roman"/>
        </w:rPr>
        <w:t xml:space="preserve"> 2015 se </w:t>
      </w:r>
      <w:r w:rsidR="00747C79">
        <w:rPr>
          <w:rFonts w:ascii="Times New Roman" w:hAnsi="Times New Roman" w:cs="Times New Roman"/>
        </w:rPr>
        <w:t>incrementó Q 726.3</w:t>
      </w:r>
      <w:r>
        <w:rPr>
          <w:rFonts w:ascii="Times New Roman" w:hAnsi="Times New Roman" w:cs="Times New Roman"/>
        </w:rPr>
        <w:t>6</w:t>
      </w:r>
      <w:r w:rsidRPr="009F31BA">
        <w:rPr>
          <w:rFonts w:ascii="Times New Roman" w:hAnsi="Times New Roman" w:cs="Times New Roman"/>
        </w:rPr>
        <w:t xml:space="preserve">.  </w:t>
      </w:r>
    </w:p>
    <w:p w:rsidR="005A6ACE" w:rsidRDefault="005A6ACE" w:rsidP="00EE72DB">
      <w:pPr>
        <w:pStyle w:val="Sinespaciado"/>
        <w:jc w:val="both"/>
        <w:rPr>
          <w:rFonts w:ascii="Times New Roman" w:hAnsi="Times New Roman" w:cs="Times New Roman"/>
        </w:rPr>
      </w:pPr>
    </w:p>
    <w:p w:rsidR="005A6ACE" w:rsidRPr="00EE72DB" w:rsidRDefault="005A6ACE" w:rsidP="00EE72DB">
      <w:pPr>
        <w:pStyle w:val="Sinespaciado"/>
        <w:jc w:val="both"/>
        <w:rPr>
          <w:rFonts w:ascii="Times New Roman" w:hAnsi="Times New Roman"/>
          <w:color w:val="FF0000"/>
          <w:szCs w:val="21"/>
          <w:shd w:val="clear" w:color="auto" w:fill="FFFFFF"/>
          <w:lang w:val="es-MX"/>
        </w:rPr>
      </w:pPr>
      <w:r>
        <w:rPr>
          <w:rFonts w:ascii="Times New Roman" w:hAnsi="Times New Roman" w:cs="Times New Roman"/>
        </w:rPr>
        <w:t>La agencia calificadora de riesgo Standard &amp; Poor´s confirmó en octubre la calificación de riesgo crediticio para Guatemala en BB para moneda extranjera y BB+ para moneda nacional, a pesar de que redujo la perspectiva de estable a negativa.  La agencia resaltó que la calificación es resultado de la disciplina monetaria y un moderado déficit, del manejable déficit externo y del moderado nivel de endeudamiento público.  Por su parte Fitch Ratings mantuvo la calificación de riesgo de Guatemala en BB con perspectiva estable y Moody´s Investors Service recientemente mejoró la perspectiva de la calificación de negativa a estable.</w:t>
      </w:r>
    </w:p>
    <w:p w:rsidR="004D1F76" w:rsidRPr="009D2C22" w:rsidRDefault="004D1F76" w:rsidP="00364DD6">
      <w:pPr>
        <w:spacing w:after="0" w:line="240" w:lineRule="auto"/>
        <w:jc w:val="both"/>
        <w:rPr>
          <w:color w:val="FF0000"/>
        </w:rPr>
      </w:pPr>
    </w:p>
    <w:p w:rsidR="00364DD6" w:rsidRPr="009D2C22" w:rsidRDefault="00364DD6" w:rsidP="00364DD6">
      <w:pPr>
        <w:rPr>
          <w:color w:val="FF0000"/>
          <w:lang w:val="es-MX"/>
        </w:rPr>
        <w:sectPr w:rsidR="00364DD6" w:rsidRPr="009D2C22" w:rsidSect="00516433">
          <w:type w:val="continuous"/>
          <w:pgSz w:w="12240" w:h="15840"/>
          <w:pgMar w:top="1417" w:right="1701" w:bottom="1417" w:left="1701" w:header="708" w:footer="708" w:gutter="0"/>
          <w:cols w:num="2" w:space="708"/>
          <w:docGrid w:linePitch="360"/>
        </w:sectPr>
      </w:pPr>
    </w:p>
    <w:p w:rsidR="00364DD6" w:rsidRPr="009D2C22" w:rsidRDefault="00364DD6" w:rsidP="00364DD6">
      <w:pPr>
        <w:pStyle w:val="Prrafodelista"/>
        <w:ind w:left="0"/>
        <w:jc w:val="both"/>
        <w:rPr>
          <w:rFonts w:ascii="Times New Roman" w:hAnsi="Times New Roman" w:cs="Times New Roman"/>
          <w:color w:val="FF0000"/>
        </w:rPr>
      </w:pPr>
    </w:p>
    <w:p w:rsidR="004E4FDE" w:rsidRPr="009D2C22" w:rsidRDefault="004E4FDE" w:rsidP="004E4FDE">
      <w:pPr>
        <w:pStyle w:val="Sinespaciado"/>
        <w:jc w:val="both"/>
        <w:rPr>
          <w:rFonts w:ascii="Times New Roman" w:hAnsi="Times New Roman" w:cs="Times New Roman"/>
          <w:color w:val="FF0000"/>
          <w:lang w:val="es-MX"/>
        </w:rPr>
      </w:pPr>
      <w:r w:rsidRPr="009D2C22">
        <w:rPr>
          <w:rFonts w:ascii="Times New Roman" w:hAnsi="Times New Roman" w:cs="Times New Roman"/>
          <w:color w:val="FF0000"/>
        </w:rPr>
        <w:t xml:space="preserve">  </w:t>
      </w:r>
    </w:p>
    <w:p w:rsidR="00416D41" w:rsidRDefault="00416D41" w:rsidP="0042387A">
      <w:pPr>
        <w:spacing w:after="0" w:line="240" w:lineRule="auto"/>
        <w:rPr>
          <w:rFonts w:ascii="Times New Roman" w:hAnsi="Times New Roman" w:cs="Times New Roman"/>
          <w:color w:val="FF0000"/>
          <w:lang w:val="es-MX"/>
        </w:rPr>
      </w:pPr>
    </w:p>
    <w:p w:rsidR="00416D41" w:rsidRPr="009D2C22" w:rsidRDefault="00416D41" w:rsidP="00476A61">
      <w:pPr>
        <w:spacing w:after="0" w:line="240" w:lineRule="auto"/>
        <w:rPr>
          <w:rFonts w:ascii="Times New Roman" w:hAnsi="Times New Roman" w:cs="Times New Roman"/>
          <w:color w:val="FF0000"/>
          <w:lang w:val="es-MX"/>
        </w:rPr>
      </w:pPr>
    </w:p>
    <w:sectPr w:rsidR="00416D41" w:rsidRPr="009D2C22" w:rsidSect="00416D41">
      <w:headerReference w:type="default" r:id="rId28"/>
      <w:footerReference w:type="default" r:id="rId29"/>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4E" w:rsidRDefault="002A4E4E" w:rsidP="007D4651">
      <w:pPr>
        <w:spacing w:after="0" w:line="240" w:lineRule="auto"/>
      </w:pPr>
      <w:r>
        <w:separator/>
      </w:r>
    </w:p>
  </w:endnote>
  <w:endnote w:type="continuationSeparator" w:id="0">
    <w:p w:rsidR="002A4E4E" w:rsidRDefault="002A4E4E"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31208779" wp14:editId="47F9EBBF">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7D7D5"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668D2" w:rsidRPr="00F668D2">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44F98772" wp14:editId="33CDF921">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C725D"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668D2" w:rsidRPr="00F668D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49C6A2DB" wp14:editId="64627B35">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F1DD7"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668D2" w:rsidRPr="00F668D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02887AF8" wp14:editId="48E22D2C">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EE71C"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A6919" w:rsidRPr="009A6919">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07455E42" wp14:editId="0B3DD090">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732DF"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668D2" w:rsidRPr="00F668D2">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39429106"/>
      <w:docPartObj>
        <w:docPartGallery w:val="Page Numbers (Bottom of Page)"/>
        <w:docPartUnique/>
      </w:docPartObj>
    </w:sdtPr>
    <w:sdtEndPr/>
    <w:sdtContent>
      <w:p w:rsidR="00416D41" w:rsidRDefault="00416D41">
        <w:pPr>
          <w:pStyle w:val="Piedepgina"/>
          <w:jc w:val="right"/>
          <w:rPr>
            <w:lang w:val="es-ES"/>
          </w:rPr>
        </w:pPr>
      </w:p>
      <w:p w:rsidR="00416D41" w:rsidRDefault="00416D4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04165544" wp14:editId="67D1B4EB">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AD2FF"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16D41" w:rsidRDefault="00416D4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76A61" w:rsidRPr="00476A61">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416D41" w:rsidRDefault="00416D41" w:rsidP="007D4651">
    <w:pPr>
      <w:pStyle w:val="Piedepgina"/>
      <w:tabs>
        <w:tab w:val="clear" w:pos="4419"/>
        <w:tab w:val="clear" w:pos="8838"/>
        <w:tab w:val="left" w:pos="5777"/>
      </w:tabs>
    </w:pPr>
  </w:p>
  <w:p w:rsidR="00416D41" w:rsidRDefault="00416D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4E" w:rsidRDefault="002A4E4E" w:rsidP="007D4651">
      <w:pPr>
        <w:spacing w:after="0" w:line="240" w:lineRule="auto"/>
      </w:pPr>
      <w:r>
        <w:separator/>
      </w:r>
    </w:p>
  </w:footnote>
  <w:footnote w:type="continuationSeparator" w:id="0">
    <w:p w:rsidR="002A4E4E" w:rsidRDefault="002A4E4E" w:rsidP="007D4651">
      <w:pPr>
        <w:spacing w:after="0" w:line="240" w:lineRule="auto"/>
      </w:pPr>
      <w:r>
        <w:continuationSeparator/>
      </w:r>
    </w:p>
  </w:footnote>
  <w:footnote w:id="1">
    <w:p w:rsidR="00476A61" w:rsidRPr="00782B4D" w:rsidRDefault="00476A61" w:rsidP="00476A61">
      <w:pPr>
        <w:pStyle w:val="Sinespaciado"/>
        <w:jc w:val="both"/>
        <w:rPr>
          <w:rFonts w:ascii="Times New Roman" w:hAnsi="Times New Roman" w:cs="Times New Roman"/>
          <w:sz w:val="18"/>
          <w:szCs w:val="16"/>
          <w:lang w:val="es-MX"/>
        </w:rPr>
      </w:pPr>
      <w:r>
        <w:rPr>
          <w:rStyle w:val="Refdenotaalpie"/>
        </w:rPr>
        <w:footnoteRef/>
      </w:r>
      <w:r>
        <w:t xml:space="preserve"> </w:t>
      </w:r>
      <w:r w:rsidRPr="00782B4D">
        <w:rPr>
          <w:rFonts w:ascii="Times New Roman" w:hAnsi="Times New Roman" w:cs="Times New Roman"/>
          <w:sz w:val="18"/>
          <w:szCs w:val="16"/>
        </w:rPr>
        <w:t xml:space="preserve">Los renglones de gasto que integran este componente considerado como superfluo son: </w:t>
      </w:r>
      <w:r w:rsidRPr="00782B4D">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476A61" w:rsidRDefault="00476A61" w:rsidP="00476A61">
      <w:pPr>
        <w:pStyle w:val="Textonotapie"/>
      </w:pPr>
    </w:p>
    <w:p w:rsidR="00476A61" w:rsidRDefault="00476A61" w:rsidP="00476A61">
      <w:pPr>
        <w:pStyle w:val="Textonotapie"/>
      </w:pPr>
    </w:p>
    <w:p w:rsidR="00476A61" w:rsidRDefault="00476A61" w:rsidP="00476A61">
      <w:pPr>
        <w:pStyle w:val="Textonotapie"/>
      </w:pPr>
    </w:p>
    <w:p w:rsidR="00476A61" w:rsidRDefault="00476A61" w:rsidP="00476A61">
      <w:pPr>
        <w:pStyle w:val="Textonotapie"/>
      </w:pPr>
    </w:p>
    <w:p w:rsidR="00476A61" w:rsidRDefault="00476A61" w:rsidP="00476A6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2D065FFD" wp14:editId="689D4493">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35279B"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w:t>
    </w:r>
    <w:r w:rsidR="007D4651" w:rsidRPr="007D4651">
      <w:rPr>
        <w:rFonts w:ascii="Times New Roman" w:hAnsi="Times New Roman" w:cs="Times New Roman"/>
        <w:color w:val="1F497D" w:themeColor="text2"/>
        <w:lang w:val="es-MX"/>
      </w:rPr>
      <w:t xml:space="preserve">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745CA92B" wp14:editId="21D2DACC">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455A9"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Pr="009F164F" w:rsidRDefault="007D4651"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41276584" wp14:editId="1F6E54F8">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35279B"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w:t>
    </w:r>
    <w:r w:rsidR="00E16925" w:rsidRPr="007D4651">
      <w:rPr>
        <w:rFonts w:ascii="Times New Roman" w:hAnsi="Times New Roman" w:cs="Times New Roman"/>
        <w:color w:val="1F497D" w:themeColor="text2"/>
        <w:lang w:val="es-MX"/>
      </w:rPr>
      <w:t xml:space="preserve">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66BE63AA" wp14:editId="31026C17">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8140F"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049394EE" wp14:editId="2CC5210A">
          <wp:simplePos x="0" y="0"/>
          <wp:positionH relativeFrom="column">
            <wp:posOffset>-89849</wp:posOffset>
          </wp:positionH>
          <wp:positionV relativeFrom="paragraph">
            <wp:posOffset>-163027</wp:posOffset>
          </wp:positionV>
          <wp:extent cx="1697990" cy="914400"/>
          <wp:effectExtent l="0" t="0" r="0" b="0"/>
          <wp:wrapNone/>
          <wp:docPr id="46" name="Imagen 4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35279B"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w:t>
    </w:r>
    <w:r w:rsidR="00FA3B81" w:rsidRPr="007D4651">
      <w:rPr>
        <w:rFonts w:ascii="Times New Roman" w:hAnsi="Times New Roman" w:cs="Times New Roman"/>
        <w:color w:val="1F497D" w:themeColor="text2"/>
        <w:lang w:val="es-MX"/>
      </w:rPr>
      <w:t xml:space="preserve">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2191476A" wp14:editId="5D6D6B9F">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DD565"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5733ED50" wp14:editId="7E240A7F">
          <wp:simplePos x="0" y="0"/>
          <wp:positionH relativeFrom="column">
            <wp:posOffset>-89849</wp:posOffset>
          </wp:positionH>
          <wp:positionV relativeFrom="paragraph">
            <wp:posOffset>-163027</wp:posOffset>
          </wp:positionV>
          <wp:extent cx="1697990" cy="914400"/>
          <wp:effectExtent l="0" t="0" r="0" b="0"/>
          <wp:wrapNone/>
          <wp:docPr id="37" name="Imagen 3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35279B"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47B3B4AE" wp14:editId="54274B81">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33C9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4A73AA" w:rsidRDefault="00494D1D" w:rsidP="007D4651">
    <w:pPr>
      <w:pStyle w:val="Encabezado"/>
      <w:jc w:val="right"/>
      <w:rPr>
        <w:rFonts w:ascii="Times New Roman" w:hAnsi="Times New Roman" w:cs="Times New Roman"/>
        <w:b/>
        <w:color w:val="1F497D" w:themeColor="text2"/>
        <w:sz w:val="24"/>
        <w:lang w:val="es-MX"/>
      </w:rPr>
    </w:pPr>
    <w:r w:rsidRPr="004A73AA">
      <w:rPr>
        <w:noProof/>
        <w:color w:val="1F497D" w:themeColor="text2"/>
        <w:lang w:eastAsia="es-GT"/>
      </w:rPr>
      <w:drawing>
        <wp:anchor distT="0" distB="0" distL="114300" distR="114300" simplePos="0" relativeHeight="251678720" behindDoc="1" locked="0" layoutInCell="1" allowOverlap="1" wp14:anchorId="118F16E9" wp14:editId="396EA1F7">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4A73AA">
      <w:rPr>
        <w:rFonts w:ascii="Times New Roman" w:hAnsi="Times New Roman" w:cs="Times New Roman"/>
        <w:b/>
        <w:color w:val="1F497D" w:themeColor="text2"/>
        <w:sz w:val="24"/>
        <w:lang w:val="es-MX"/>
      </w:rPr>
      <w:t>Informe de las Finanzas Públicas</w:t>
    </w:r>
  </w:p>
  <w:p w:rsidR="00494D1D" w:rsidRPr="004A73AA" w:rsidRDefault="0035279B" w:rsidP="007D4651">
    <w:pPr>
      <w:pStyle w:val="Encabezado"/>
      <w:jc w:val="right"/>
      <w:rPr>
        <w:rFonts w:ascii="Times New Roman" w:hAnsi="Times New Roman" w:cs="Times New Roman"/>
        <w:color w:val="1F497D" w:themeColor="text2"/>
        <w:lang w:val="es-MX"/>
      </w:rPr>
    </w:pPr>
    <w:r w:rsidRPr="004A73AA">
      <w:rPr>
        <w:rFonts w:ascii="Times New Roman" w:hAnsi="Times New Roman" w:cs="Times New Roman"/>
        <w:color w:val="1F497D" w:themeColor="text2"/>
        <w:lang w:val="es-MX"/>
      </w:rPr>
      <w:t>Octubre</w:t>
    </w:r>
    <w:r w:rsidR="00494D1D" w:rsidRPr="004A73AA">
      <w:rPr>
        <w:rFonts w:ascii="Times New Roman" w:hAnsi="Times New Roman" w:cs="Times New Roman"/>
        <w:color w:val="1F497D" w:themeColor="text2"/>
        <w:lang w:val="es-MX"/>
      </w:rPr>
      <w:t xml:space="preserve"> 2016</w:t>
    </w:r>
  </w:p>
  <w:p w:rsidR="00494D1D" w:rsidRPr="004A73AA" w:rsidRDefault="00494D1D" w:rsidP="007D4651">
    <w:pPr>
      <w:pStyle w:val="Encabezado"/>
      <w:jc w:val="right"/>
      <w:rPr>
        <w:rFonts w:ascii="Times New Roman" w:hAnsi="Times New Roman" w:cs="Times New Roman"/>
        <w:color w:val="1F497D" w:themeColor="text2"/>
        <w:lang w:val="es-MX"/>
      </w:rPr>
    </w:pPr>
    <w:r w:rsidRPr="004A73AA">
      <w:rPr>
        <w:rFonts w:ascii="Times New Roman" w:hAnsi="Times New Roman" w:cs="Times New Roman"/>
        <w:noProof/>
        <w:color w:val="1F497D" w:themeColor="text2"/>
        <w:lang w:eastAsia="es-GT"/>
      </w:rPr>
      <mc:AlternateContent>
        <mc:Choice Requires="wps">
          <w:drawing>
            <wp:anchor distT="0" distB="0" distL="114300" distR="114300" simplePos="0" relativeHeight="251677696" behindDoc="0" locked="0" layoutInCell="1" allowOverlap="1" wp14:anchorId="0BF62C12" wp14:editId="7E055A25">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C14CC"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Pr="004A73AA" w:rsidRDefault="00494D1D" w:rsidP="00E16925">
    <w:pPr>
      <w:pStyle w:val="Encabezado"/>
      <w:rPr>
        <w:rFonts w:ascii="Times New Roman" w:hAnsi="Times New Roman" w:cs="Times New Roman"/>
        <w:color w:val="1F497D" w:themeColor="text2"/>
        <w:lang w:val="es-MX"/>
      </w:rPr>
    </w:pPr>
    <w:r w:rsidRPr="004A73AA">
      <w:rPr>
        <w:rFonts w:ascii="Times New Roman" w:hAnsi="Times New Roman" w:cs="Times New Roman"/>
        <w:color w:val="1F497D" w:themeColor="text2"/>
        <w:lang w:val="es-MX"/>
      </w:rPr>
      <w:tab/>
    </w:r>
    <w:r w:rsidR="009F164F" w:rsidRPr="004A73AA">
      <w:rPr>
        <w:rFonts w:ascii="Times New Roman" w:hAnsi="Times New Roman" w:cs="Times New Roman"/>
        <w:b/>
        <w:color w:val="1F497D" w:themeColor="text2"/>
        <w:lang w:val="es-MX"/>
      </w:rPr>
      <w:t>Dirección de Análisis y Política Fiscal</w:t>
    </w:r>
  </w:p>
  <w:p w:rsidR="00494D1D" w:rsidRPr="007452E2" w:rsidRDefault="00494D1D"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41" w:rsidRPr="007D4651" w:rsidRDefault="00416D4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6CACAB8D" wp14:editId="373E36AF">
          <wp:simplePos x="0" y="0"/>
          <wp:positionH relativeFrom="column">
            <wp:posOffset>-89849</wp:posOffset>
          </wp:positionH>
          <wp:positionV relativeFrom="paragraph">
            <wp:posOffset>-163027</wp:posOffset>
          </wp:positionV>
          <wp:extent cx="1697990" cy="914400"/>
          <wp:effectExtent l="0" t="0" r="0" b="0"/>
          <wp:wrapNone/>
          <wp:docPr id="40" name="Imagen 4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16D41" w:rsidRPr="007D4651" w:rsidRDefault="004A73A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9F164F">
      <w:rPr>
        <w:rFonts w:ascii="Times New Roman" w:hAnsi="Times New Roman" w:cs="Times New Roman"/>
        <w:color w:val="1F497D" w:themeColor="text2"/>
        <w:lang w:val="es-MX"/>
      </w:rPr>
      <w:t>bre</w:t>
    </w:r>
    <w:r w:rsidR="00416D41" w:rsidRPr="007D4651">
      <w:rPr>
        <w:rFonts w:ascii="Times New Roman" w:hAnsi="Times New Roman" w:cs="Times New Roman"/>
        <w:color w:val="1F497D" w:themeColor="text2"/>
        <w:lang w:val="es-MX"/>
      </w:rPr>
      <w:t xml:space="preserve"> 2016</w:t>
    </w:r>
  </w:p>
  <w:p w:rsidR="00416D41" w:rsidRDefault="00416D4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68C4B828" wp14:editId="5DD9B58A">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CFB6E"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16D41" w:rsidRDefault="00416D4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416D41" w:rsidRPr="00E16925" w:rsidRDefault="00416D4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53517"/>
    <w:rsid w:val="00087ADE"/>
    <w:rsid w:val="000D2FA4"/>
    <w:rsid w:val="00102939"/>
    <w:rsid w:val="00111B77"/>
    <w:rsid w:val="001259BA"/>
    <w:rsid w:val="00157402"/>
    <w:rsid w:val="00160EAC"/>
    <w:rsid w:val="00185253"/>
    <w:rsid w:val="001D46C3"/>
    <w:rsid w:val="001D5A5B"/>
    <w:rsid w:val="001E0E10"/>
    <w:rsid w:val="001F7141"/>
    <w:rsid w:val="00203EB7"/>
    <w:rsid w:val="002101C9"/>
    <w:rsid w:val="00213C92"/>
    <w:rsid w:val="00240D86"/>
    <w:rsid w:val="00242202"/>
    <w:rsid w:val="00244AAA"/>
    <w:rsid w:val="00264C3A"/>
    <w:rsid w:val="002672D5"/>
    <w:rsid w:val="00281439"/>
    <w:rsid w:val="00281FB7"/>
    <w:rsid w:val="0029321A"/>
    <w:rsid w:val="00296D57"/>
    <w:rsid w:val="002A4E4E"/>
    <w:rsid w:val="002D11A6"/>
    <w:rsid w:val="002E3F4C"/>
    <w:rsid w:val="002F2A42"/>
    <w:rsid w:val="00302D40"/>
    <w:rsid w:val="00345216"/>
    <w:rsid w:val="0034700C"/>
    <w:rsid w:val="0035279B"/>
    <w:rsid w:val="00364DD6"/>
    <w:rsid w:val="00367E12"/>
    <w:rsid w:val="00376802"/>
    <w:rsid w:val="00381A4F"/>
    <w:rsid w:val="00393E59"/>
    <w:rsid w:val="003A3726"/>
    <w:rsid w:val="003B13B4"/>
    <w:rsid w:val="003C7085"/>
    <w:rsid w:val="00416D41"/>
    <w:rsid w:val="0042387A"/>
    <w:rsid w:val="00443621"/>
    <w:rsid w:val="004575BA"/>
    <w:rsid w:val="004606FD"/>
    <w:rsid w:val="00464DB9"/>
    <w:rsid w:val="00474EC2"/>
    <w:rsid w:val="00476A61"/>
    <w:rsid w:val="00494D1D"/>
    <w:rsid w:val="00495F43"/>
    <w:rsid w:val="004A5188"/>
    <w:rsid w:val="004A6705"/>
    <w:rsid w:val="004A73AA"/>
    <w:rsid w:val="004B5B0F"/>
    <w:rsid w:val="004C208F"/>
    <w:rsid w:val="004D1F76"/>
    <w:rsid w:val="004D7482"/>
    <w:rsid w:val="004E4FDE"/>
    <w:rsid w:val="004F72F9"/>
    <w:rsid w:val="005004C9"/>
    <w:rsid w:val="005016F6"/>
    <w:rsid w:val="005077A5"/>
    <w:rsid w:val="005364DE"/>
    <w:rsid w:val="00540F9C"/>
    <w:rsid w:val="005428C6"/>
    <w:rsid w:val="00554E5B"/>
    <w:rsid w:val="00573AB0"/>
    <w:rsid w:val="0059421A"/>
    <w:rsid w:val="005979EB"/>
    <w:rsid w:val="005A1EFC"/>
    <w:rsid w:val="005A6ACE"/>
    <w:rsid w:val="005B1B53"/>
    <w:rsid w:val="005B6D05"/>
    <w:rsid w:val="005D2336"/>
    <w:rsid w:val="00606D70"/>
    <w:rsid w:val="00610F84"/>
    <w:rsid w:val="006525C5"/>
    <w:rsid w:val="006553D6"/>
    <w:rsid w:val="00660888"/>
    <w:rsid w:val="0066791B"/>
    <w:rsid w:val="006A1473"/>
    <w:rsid w:val="006B0D82"/>
    <w:rsid w:val="006D1857"/>
    <w:rsid w:val="006D7BB6"/>
    <w:rsid w:val="006E27A5"/>
    <w:rsid w:val="006F20A4"/>
    <w:rsid w:val="00715D8F"/>
    <w:rsid w:val="00741F6B"/>
    <w:rsid w:val="007452E2"/>
    <w:rsid w:val="00747C79"/>
    <w:rsid w:val="00754057"/>
    <w:rsid w:val="00784AF8"/>
    <w:rsid w:val="007A7814"/>
    <w:rsid w:val="007B3D0C"/>
    <w:rsid w:val="007C4E46"/>
    <w:rsid w:val="007D38A9"/>
    <w:rsid w:val="007D4651"/>
    <w:rsid w:val="007E314A"/>
    <w:rsid w:val="00810A4C"/>
    <w:rsid w:val="00851B4B"/>
    <w:rsid w:val="00861640"/>
    <w:rsid w:val="00891B11"/>
    <w:rsid w:val="00892181"/>
    <w:rsid w:val="00892DE1"/>
    <w:rsid w:val="008E5C4F"/>
    <w:rsid w:val="008E7869"/>
    <w:rsid w:val="008F312E"/>
    <w:rsid w:val="00910163"/>
    <w:rsid w:val="00965F44"/>
    <w:rsid w:val="00993857"/>
    <w:rsid w:val="00997A06"/>
    <w:rsid w:val="009A12F9"/>
    <w:rsid w:val="009A3187"/>
    <w:rsid w:val="009A47FE"/>
    <w:rsid w:val="009A5380"/>
    <w:rsid w:val="009A6919"/>
    <w:rsid w:val="009B7148"/>
    <w:rsid w:val="009D0D94"/>
    <w:rsid w:val="009D25F9"/>
    <w:rsid w:val="009D2C22"/>
    <w:rsid w:val="009E2CE2"/>
    <w:rsid w:val="009F164F"/>
    <w:rsid w:val="00A26C76"/>
    <w:rsid w:val="00A64AE4"/>
    <w:rsid w:val="00A92D6E"/>
    <w:rsid w:val="00A970F8"/>
    <w:rsid w:val="00AA11B9"/>
    <w:rsid w:val="00AA7DB0"/>
    <w:rsid w:val="00AE2039"/>
    <w:rsid w:val="00B136D6"/>
    <w:rsid w:val="00B21010"/>
    <w:rsid w:val="00B2709E"/>
    <w:rsid w:val="00B5079C"/>
    <w:rsid w:val="00B667BC"/>
    <w:rsid w:val="00B86812"/>
    <w:rsid w:val="00BC7539"/>
    <w:rsid w:val="00BC79C1"/>
    <w:rsid w:val="00C33674"/>
    <w:rsid w:val="00C41470"/>
    <w:rsid w:val="00C85696"/>
    <w:rsid w:val="00C935C2"/>
    <w:rsid w:val="00CA57D4"/>
    <w:rsid w:val="00CA65FF"/>
    <w:rsid w:val="00CB0938"/>
    <w:rsid w:val="00CC3420"/>
    <w:rsid w:val="00CD2E5B"/>
    <w:rsid w:val="00CD7760"/>
    <w:rsid w:val="00CF0F94"/>
    <w:rsid w:val="00CF2D98"/>
    <w:rsid w:val="00CF73B4"/>
    <w:rsid w:val="00D006D5"/>
    <w:rsid w:val="00D24DA4"/>
    <w:rsid w:val="00D30D15"/>
    <w:rsid w:val="00D40769"/>
    <w:rsid w:val="00D43052"/>
    <w:rsid w:val="00D50ABF"/>
    <w:rsid w:val="00D532B4"/>
    <w:rsid w:val="00D66D34"/>
    <w:rsid w:val="00D75C74"/>
    <w:rsid w:val="00D858E5"/>
    <w:rsid w:val="00DA53C7"/>
    <w:rsid w:val="00DA7B48"/>
    <w:rsid w:val="00DC44CF"/>
    <w:rsid w:val="00DD01C5"/>
    <w:rsid w:val="00DD23C0"/>
    <w:rsid w:val="00DD4AB3"/>
    <w:rsid w:val="00DD4D5D"/>
    <w:rsid w:val="00DF71A8"/>
    <w:rsid w:val="00E02A24"/>
    <w:rsid w:val="00E15D1A"/>
    <w:rsid w:val="00E16925"/>
    <w:rsid w:val="00E3492D"/>
    <w:rsid w:val="00E43BF3"/>
    <w:rsid w:val="00E47F91"/>
    <w:rsid w:val="00E63798"/>
    <w:rsid w:val="00E85293"/>
    <w:rsid w:val="00EA37FC"/>
    <w:rsid w:val="00EB0FC5"/>
    <w:rsid w:val="00EB317F"/>
    <w:rsid w:val="00ED2C29"/>
    <w:rsid w:val="00EE72DB"/>
    <w:rsid w:val="00F20D0D"/>
    <w:rsid w:val="00F229CE"/>
    <w:rsid w:val="00F644EA"/>
    <w:rsid w:val="00F668D2"/>
    <w:rsid w:val="00F75C84"/>
    <w:rsid w:val="00F76491"/>
    <w:rsid w:val="00FA3B81"/>
    <w:rsid w:val="00FA5DE4"/>
    <w:rsid w:val="00FB2C2F"/>
    <w:rsid w:val="00FD61B9"/>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C7EF4-9EDF-4A45-956A-88958A1A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8.emf"/><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3627976735472"/>
          <c:y val="7.8889447329722098E-2"/>
          <c:w val="0.70934016968809155"/>
          <c:h val="0.75713259246849485"/>
        </c:manualLayout>
      </c:layout>
      <c:radarChart>
        <c:radarStyle val="filled"/>
        <c:varyColors val="0"/>
        <c:ser>
          <c:idx val="0"/>
          <c:order val="0"/>
          <c:tx>
            <c:strRef>
              <c:f>Hoja1!$B$1</c:f>
              <c:strCache>
                <c:ptCount val="1"/>
                <c:pt idx="0">
                  <c:v>Obs 2015</c:v>
                </c:pt>
              </c:strCache>
            </c:strRef>
          </c:tx>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Hoja1!$B$2:$B$11</c:f>
              <c:numCache>
                <c:formatCode>General</c:formatCode>
                <c:ptCount val="10"/>
                <c:pt idx="0">
                  <c:v>4793.1929513699997</c:v>
                </c:pt>
                <c:pt idx="1">
                  <c:v>3340.3352861099997</c:v>
                </c:pt>
                <c:pt idx="2">
                  <c:v>4196.6591701000007</c:v>
                </c:pt>
                <c:pt idx="3">
                  <c:v>5113.6796767500009</c:v>
                </c:pt>
                <c:pt idx="4">
                  <c:v>3518.2657985399983</c:v>
                </c:pt>
                <c:pt idx="5">
                  <c:v>3532.4241271699993</c:v>
                </c:pt>
                <c:pt idx="6">
                  <c:v>5776.3105588500002</c:v>
                </c:pt>
                <c:pt idx="7">
                  <c:v>3540.7439999499993</c:v>
                </c:pt>
                <c:pt idx="8">
                  <c:v>3429.5416249600003</c:v>
                </c:pt>
                <c:pt idx="9" formatCode="#,##0.0">
                  <c:v>5353.8160054500004</c:v>
                </c:pt>
              </c:numCache>
            </c:numRef>
          </c:val>
          <c:extLst>
            <c:ext xmlns:c16="http://schemas.microsoft.com/office/drawing/2014/chart" uri="{C3380CC4-5D6E-409C-BE32-E72D297353CC}">
              <c16:uniqueId val="{00000000-D981-4F5A-BCEC-8DD6239FC9C6}"/>
            </c:ext>
          </c:extLst>
        </c:ser>
        <c:dLbls>
          <c:showLegendKey val="0"/>
          <c:showVal val="0"/>
          <c:showCatName val="0"/>
          <c:showSerName val="0"/>
          <c:showPercent val="0"/>
          <c:showBubbleSize val="0"/>
        </c:dLbls>
        <c:axId val="120810112"/>
        <c:axId val="120857344"/>
      </c:radarChart>
      <c:radarChart>
        <c:radarStyle val="marker"/>
        <c:varyColors val="0"/>
        <c:ser>
          <c:idx val="1"/>
          <c:order val="1"/>
          <c:tx>
            <c:strRef>
              <c:f>Hoja1!$C$1</c:f>
              <c:strCache>
                <c:ptCount val="1"/>
                <c:pt idx="0">
                  <c:v>Obs 2016</c:v>
                </c:pt>
              </c:strCache>
            </c:strRef>
          </c:tx>
          <c:spPr>
            <a:ln w="19050">
              <a:solidFill>
                <a:srgbClr val="FF0000"/>
              </a:solidFill>
            </a:ln>
          </c:spPr>
          <c:marker>
            <c:symbol val="star"/>
            <c:size val="5"/>
            <c:spPr>
              <a:noFill/>
              <a:ln>
                <a:solidFill>
                  <a:srgbClr val="FF0000"/>
                </a:solidFill>
              </a:ln>
            </c:spPr>
          </c:marker>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Hoja1!$C$2:$C$11</c:f>
              <c:numCache>
                <c:formatCode>General</c:formatCode>
                <c:ptCount val="10"/>
                <c:pt idx="0">
                  <c:v>4921.7370413000008</c:v>
                </c:pt>
                <c:pt idx="1">
                  <c:v>3350.36568291</c:v>
                </c:pt>
                <c:pt idx="2">
                  <c:v>4244.1582652600009</c:v>
                </c:pt>
                <c:pt idx="3">
                  <c:v>5310.2536938900012</c:v>
                </c:pt>
                <c:pt idx="4">
                  <c:v>4457.7989239899998</c:v>
                </c:pt>
                <c:pt idx="5">
                  <c:v>3828.188011589999</c:v>
                </c:pt>
                <c:pt idx="6">
                  <c:v>6257.3371342500013</c:v>
                </c:pt>
                <c:pt idx="7">
                  <c:v>4140.8641634599971</c:v>
                </c:pt>
                <c:pt idx="8">
                  <c:v>3665.0993921899994</c:v>
                </c:pt>
                <c:pt idx="9">
                  <c:v>5674.69928815</c:v>
                </c:pt>
              </c:numCache>
            </c:numRef>
          </c:val>
          <c:extLst>
            <c:ext xmlns:c16="http://schemas.microsoft.com/office/drawing/2014/chart" uri="{C3380CC4-5D6E-409C-BE32-E72D297353CC}">
              <c16:uniqueId val="{00000001-D981-4F5A-BCEC-8DD6239FC9C6}"/>
            </c:ext>
          </c:extLst>
        </c:ser>
        <c:ser>
          <c:idx val="2"/>
          <c:order val="2"/>
          <c:tx>
            <c:strRef>
              <c:f>Hoja1!$D$1</c:f>
              <c:strCache>
                <c:ptCount val="1"/>
                <c:pt idx="0">
                  <c:v>Meta</c:v>
                </c:pt>
              </c:strCache>
            </c:strRef>
          </c:tx>
          <c:spPr>
            <a:ln w="19050">
              <a:solidFill>
                <a:schemeClr val="tx1"/>
              </a:solidFill>
              <a:prstDash val="sysDash"/>
            </a:ln>
          </c:spPr>
          <c:marker>
            <c:symbol val="circle"/>
            <c:size val="4"/>
            <c:spPr>
              <a:solidFill>
                <a:schemeClr val="tx1"/>
              </a:solidFill>
            </c:spPr>
          </c:marker>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Hoja1!$D$2:$D$11</c:f>
              <c:numCache>
                <c:formatCode>General</c:formatCode>
                <c:ptCount val="10"/>
                <c:pt idx="0">
                  <c:v>4887.7148302026471</c:v>
                </c:pt>
                <c:pt idx="1">
                  <c:v>3439.2913989343078</c:v>
                </c:pt>
                <c:pt idx="2">
                  <c:v>4616.5192966087643</c:v>
                </c:pt>
                <c:pt idx="3">
                  <c:v>5639.1303698183019</c:v>
                </c:pt>
                <c:pt idx="4">
                  <c:v>3913.219141793998</c:v>
                </c:pt>
                <c:pt idx="5">
                  <c:v>3885.8640132168375</c:v>
                </c:pt>
                <c:pt idx="6">
                  <c:v>6336.2675583674245</c:v>
                </c:pt>
                <c:pt idx="7">
                  <c:v>3898.0072775394024</c:v>
                </c:pt>
                <c:pt idx="8">
                  <c:v>3806.013745442563</c:v>
                </c:pt>
                <c:pt idx="9" formatCode="#,##0.0">
                  <c:v>5991.5663818276753</c:v>
                </c:pt>
              </c:numCache>
            </c:numRef>
          </c:val>
          <c:extLst>
            <c:ext xmlns:c16="http://schemas.microsoft.com/office/drawing/2014/chart" uri="{C3380CC4-5D6E-409C-BE32-E72D297353CC}">
              <c16:uniqueId val="{00000002-D981-4F5A-BCEC-8DD6239FC9C6}"/>
            </c:ext>
          </c:extLst>
        </c:ser>
        <c:dLbls>
          <c:showLegendKey val="0"/>
          <c:showVal val="0"/>
          <c:showCatName val="0"/>
          <c:showSerName val="0"/>
          <c:showPercent val="0"/>
          <c:showBubbleSize val="0"/>
        </c:dLbls>
        <c:axId val="120810112"/>
        <c:axId val="120857344"/>
      </c:radarChart>
      <c:catAx>
        <c:axId val="120810112"/>
        <c:scaling>
          <c:orientation val="minMax"/>
        </c:scaling>
        <c:delete val="0"/>
        <c:axPos val="b"/>
        <c:majorGridlines/>
        <c:numFmt formatCode="General" sourceLinked="1"/>
        <c:majorTickMark val="out"/>
        <c:minorTickMark val="none"/>
        <c:tickLblPos val="nextTo"/>
        <c:txPr>
          <a:bodyPr/>
          <a:lstStyle/>
          <a:p>
            <a:pPr>
              <a:defRPr sz="800" b="1"/>
            </a:pPr>
            <a:endParaRPr lang="es-GT"/>
          </a:p>
        </c:txPr>
        <c:crossAx val="120857344"/>
        <c:crosses val="autoZero"/>
        <c:auto val="1"/>
        <c:lblAlgn val="ctr"/>
        <c:lblOffset val="100"/>
        <c:noMultiLvlLbl val="0"/>
      </c:catAx>
      <c:valAx>
        <c:axId val="120857344"/>
        <c:scaling>
          <c:orientation val="minMax"/>
        </c:scaling>
        <c:delete val="0"/>
        <c:axPos val="l"/>
        <c:majorGridlines>
          <c:spPr>
            <a:ln>
              <a:solidFill>
                <a:schemeClr val="accent1">
                  <a:lumMod val="40000"/>
                  <a:lumOff val="60000"/>
                </a:schemeClr>
              </a:solidFill>
            </a:ln>
          </c:spPr>
        </c:majorGridlines>
        <c:numFmt formatCode="General" sourceLinked="1"/>
        <c:majorTickMark val="cross"/>
        <c:minorTickMark val="none"/>
        <c:tickLblPos val="low"/>
        <c:txPr>
          <a:bodyPr/>
          <a:lstStyle/>
          <a:p>
            <a:pPr>
              <a:defRPr sz="800"/>
            </a:pPr>
            <a:endParaRPr lang="es-GT"/>
          </a:p>
        </c:txPr>
        <c:crossAx val="120810112"/>
        <c:crosses val="autoZero"/>
        <c:crossBetween val="between"/>
      </c:valAx>
    </c:plotArea>
    <c:legend>
      <c:legendPos val="r"/>
      <c:layout>
        <c:manualLayout>
          <c:xMode val="edge"/>
          <c:yMode val="edge"/>
          <c:x val="0"/>
          <c:y val="0.89108611423572059"/>
          <c:w val="0.95402298850574707"/>
          <c:h val="0.10628983877015373"/>
        </c:manualLayout>
      </c:layout>
      <c:overlay val="0"/>
      <c:txPr>
        <a:bodyPr/>
        <a:lstStyle/>
        <a:p>
          <a:pPr>
            <a:defRPr sz="8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591103743611"/>
          <c:y val="4.3137254901960784E-2"/>
          <c:w val="0.70768959801077513"/>
          <c:h val="0.87780222325150536"/>
        </c:manualLayout>
      </c:layout>
      <c:barChart>
        <c:barDir val="bar"/>
        <c:grouping val="clustered"/>
        <c:varyColors val="0"/>
        <c:ser>
          <c:idx val="0"/>
          <c:order val="0"/>
          <c:tx>
            <c:strRef>
              <c:f>Hoja1!$B$1</c:f>
              <c:strCache>
                <c:ptCount val="1"/>
                <c:pt idx="0">
                  <c:v>2016-2015</c:v>
                </c:pt>
              </c:strCache>
            </c:strRef>
          </c:tx>
          <c:spPr>
            <a:solidFill>
              <a:srgbClr val="0070C0"/>
            </a:solidFill>
          </c:spPr>
          <c:invertIfNegative val="0"/>
          <c:dLbls>
            <c:spPr>
              <a:noFill/>
              <a:ln>
                <a:noFill/>
              </a:ln>
              <a:effectLst/>
            </c:spPr>
            <c:txPr>
              <a:bodyPr/>
              <a:lstStyle/>
              <a:p>
                <a:pPr>
                  <a:defRPr sz="6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Hoja1!$A$2:$A$17</c:f>
              <c:strCache>
                <c:ptCount val="15"/>
                <c:pt idx="0">
                  <c:v>IVA imp</c:v>
                </c:pt>
                <c:pt idx="1">
                  <c:v>IVA dom</c:v>
                </c:pt>
                <c:pt idx="2">
                  <c:v>ISO</c:v>
                </c:pt>
                <c:pt idx="3">
                  <c:v>Regalías</c:v>
                </c:pt>
                <c:pt idx="4">
                  <c:v>Timbres</c:v>
                </c:pt>
                <c:pt idx="5">
                  <c:v>Salidas</c:v>
                </c:pt>
                <c:pt idx="6">
                  <c:v>Otros</c:v>
                </c:pt>
                <c:pt idx="7">
                  <c:v>Propiedad</c:v>
                </c:pt>
                <c:pt idx="8">
                  <c:v>Cemento</c:v>
                </c:pt>
                <c:pt idx="9">
                  <c:v>Bebidas</c:v>
                </c:pt>
                <c:pt idx="10">
                  <c:v>IPRIMA</c:v>
                </c:pt>
                <c:pt idx="11">
                  <c:v>Vehículos</c:v>
                </c:pt>
                <c:pt idx="12">
                  <c:v>DAI</c:v>
                </c:pt>
                <c:pt idx="13">
                  <c:v>Petróleo</c:v>
                </c:pt>
                <c:pt idx="14">
                  <c:v>ISR</c:v>
                </c:pt>
              </c:strCache>
            </c:strRef>
          </c:cat>
          <c:val>
            <c:numRef>
              <c:f>Hoja1!$B$2:$B$17</c:f>
              <c:numCache>
                <c:formatCode>#,##0.0</c:formatCode>
                <c:ptCount val="15"/>
                <c:pt idx="0">
                  <c:v>-354.5933314600079</c:v>
                </c:pt>
                <c:pt idx="1">
                  <c:v>984.06930441000623</c:v>
                </c:pt>
                <c:pt idx="2">
                  <c:v>134.62649856000007</c:v>
                </c:pt>
                <c:pt idx="3">
                  <c:v>-73.637046749999953</c:v>
                </c:pt>
                <c:pt idx="4">
                  <c:v>25.296850309999854</c:v>
                </c:pt>
                <c:pt idx="5">
                  <c:v>13.115623400000061</c:v>
                </c:pt>
                <c:pt idx="6">
                  <c:v>1.1681850499999973</c:v>
                </c:pt>
                <c:pt idx="7">
                  <c:v>2.7299369300000045</c:v>
                </c:pt>
                <c:pt idx="8">
                  <c:v>-176.26932291000003</c:v>
                </c:pt>
                <c:pt idx="9">
                  <c:v>36.858487530000389</c:v>
                </c:pt>
                <c:pt idx="10">
                  <c:v>38.668323350000151</c:v>
                </c:pt>
                <c:pt idx="11">
                  <c:v>61.035531180000021</c:v>
                </c:pt>
                <c:pt idx="12">
                  <c:v>138.31393832999811</c:v>
                </c:pt>
                <c:pt idx="13">
                  <c:v>208.05949334999923</c:v>
                </c:pt>
                <c:pt idx="14">
                  <c:v>2237.1109196499929</c:v>
                </c:pt>
              </c:numCache>
            </c:numRef>
          </c:val>
          <c:extLst>
            <c:ext xmlns:c16="http://schemas.microsoft.com/office/drawing/2014/chart" uri="{C3380CC4-5D6E-409C-BE32-E72D297353CC}">
              <c16:uniqueId val="{00000000-DF48-42EE-8264-9DCEB3C48BF4}"/>
            </c:ext>
          </c:extLst>
        </c:ser>
        <c:ser>
          <c:idx val="1"/>
          <c:order val="1"/>
          <c:tx>
            <c:strRef>
              <c:f>Hoja1!$C$1</c:f>
              <c:strCache>
                <c:ptCount val="1"/>
                <c:pt idx="0">
                  <c:v>2016-Presupuesto</c:v>
                </c:pt>
              </c:strCache>
            </c:strRef>
          </c:tx>
          <c:spPr>
            <a:solidFill>
              <a:srgbClr val="FF0000"/>
            </a:solidFill>
          </c:spPr>
          <c:invertIfNegative val="0"/>
          <c:dLbls>
            <c:spPr>
              <a:noFill/>
              <a:ln>
                <a:noFill/>
              </a:ln>
              <a:effectLst/>
            </c:spPr>
            <c:txPr>
              <a:bodyPr/>
              <a:lstStyle/>
              <a:p>
                <a:pPr>
                  <a:defRPr sz="6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Hoja1!$A$2:$A$17</c:f>
              <c:strCache>
                <c:ptCount val="15"/>
                <c:pt idx="0">
                  <c:v>IVA imp</c:v>
                </c:pt>
                <c:pt idx="1">
                  <c:v>IVA dom</c:v>
                </c:pt>
                <c:pt idx="2">
                  <c:v>ISO</c:v>
                </c:pt>
                <c:pt idx="3">
                  <c:v>Regalías</c:v>
                </c:pt>
                <c:pt idx="4">
                  <c:v>Timbres</c:v>
                </c:pt>
                <c:pt idx="5">
                  <c:v>Salidas</c:v>
                </c:pt>
                <c:pt idx="6">
                  <c:v>Otros</c:v>
                </c:pt>
                <c:pt idx="7">
                  <c:v>Propiedad</c:v>
                </c:pt>
                <c:pt idx="8">
                  <c:v>Cemento</c:v>
                </c:pt>
                <c:pt idx="9">
                  <c:v>Bebidas</c:v>
                </c:pt>
                <c:pt idx="10">
                  <c:v>IPRIMA</c:v>
                </c:pt>
                <c:pt idx="11">
                  <c:v>Vehículos</c:v>
                </c:pt>
                <c:pt idx="12">
                  <c:v>DAI</c:v>
                </c:pt>
                <c:pt idx="13">
                  <c:v>Petróleo</c:v>
                </c:pt>
                <c:pt idx="14">
                  <c:v>ISR</c:v>
                </c:pt>
              </c:strCache>
            </c:strRef>
          </c:cat>
          <c:val>
            <c:numRef>
              <c:f>Hoja1!$C$2:$C$17</c:f>
              <c:numCache>
                <c:formatCode>#,##0.0</c:formatCode>
                <c:ptCount val="15"/>
                <c:pt idx="0">
                  <c:v>-1232.585260849999</c:v>
                </c:pt>
                <c:pt idx="1">
                  <c:v>-344.2680884750007</c:v>
                </c:pt>
                <c:pt idx="2">
                  <c:v>-69.099342189999788</c:v>
                </c:pt>
                <c:pt idx="3">
                  <c:v>-49.588018002975318</c:v>
                </c:pt>
                <c:pt idx="4">
                  <c:v>-9.1900755099999287</c:v>
                </c:pt>
                <c:pt idx="5">
                  <c:v>-5.2111734789448008</c:v>
                </c:pt>
                <c:pt idx="6">
                  <c:v>1.4037873900000006</c:v>
                </c:pt>
                <c:pt idx="7">
                  <c:v>5.0726113700000006</c:v>
                </c:pt>
                <c:pt idx="8">
                  <c:v>10.336213360000059</c:v>
                </c:pt>
                <c:pt idx="9">
                  <c:v>34.172476699999947</c:v>
                </c:pt>
                <c:pt idx="10">
                  <c:v>52.321311530000116</c:v>
                </c:pt>
                <c:pt idx="11">
                  <c:v>52.394780929999911</c:v>
                </c:pt>
                <c:pt idx="12">
                  <c:v>122.34294087000103</c:v>
                </c:pt>
                <c:pt idx="13">
                  <c:v>197.14291960999753</c:v>
                </c:pt>
                <c:pt idx="14">
                  <c:v>737.4882486049828</c:v>
                </c:pt>
              </c:numCache>
            </c:numRef>
          </c:val>
          <c:extLst>
            <c:ext xmlns:c16="http://schemas.microsoft.com/office/drawing/2014/chart" uri="{C3380CC4-5D6E-409C-BE32-E72D297353CC}">
              <c16:uniqueId val="{00000001-DF48-42EE-8264-9DCEB3C48BF4}"/>
            </c:ext>
          </c:extLst>
        </c:ser>
        <c:dLbls>
          <c:showLegendKey val="0"/>
          <c:showVal val="0"/>
          <c:showCatName val="0"/>
          <c:showSerName val="0"/>
          <c:showPercent val="0"/>
          <c:showBubbleSize val="0"/>
        </c:dLbls>
        <c:gapWidth val="42"/>
        <c:axId val="121409920"/>
        <c:axId val="121412224"/>
      </c:barChart>
      <c:catAx>
        <c:axId val="121409920"/>
        <c:scaling>
          <c:orientation val="minMax"/>
        </c:scaling>
        <c:delete val="0"/>
        <c:axPos val="l"/>
        <c:majorGridlines>
          <c:spPr>
            <a:ln>
              <a:solidFill>
                <a:srgbClr val="00B0F0">
                  <a:alpha val="30000"/>
                </a:srgbClr>
              </a:solidFill>
              <a:prstDash val="sysDash"/>
            </a:ln>
          </c:spPr>
        </c:majorGridlines>
        <c:numFmt formatCode="General" sourceLinked="0"/>
        <c:majorTickMark val="out"/>
        <c:minorTickMark val="none"/>
        <c:tickLblPos val="low"/>
        <c:spPr>
          <a:ln>
            <a:solidFill>
              <a:srgbClr val="00B0F0"/>
            </a:solidFill>
          </a:ln>
        </c:spPr>
        <c:txPr>
          <a:bodyPr/>
          <a:lstStyle/>
          <a:p>
            <a:pPr>
              <a:defRPr sz="800" b="1"/>
            </a:pPr>
            <a:endParaRPr lang="es-GT"/>
          </a:p>
        </c:txPr>
        <c:crossAx val="121412224"/>
        <c:crosses val="autoZero"/>
        <c:auto val="1"/>
        <c:lblAlgn val="ctr"/>
        <c:lblOffset val="100"/>
        <c:noMultiLvlLbl val="0"/>
      </c:catAx>
      <c:valAx>
        <c:axId val="121412224"/>
        <c:scaling>
          <c:orientation val="minMax"/>
          <c:min val="-2000"/>
        </c:scaling>
        <c:delete val="0"/>
        <c:axPos val="b"/>
        <c:majorGridlines>
          <c:spPr>
            <a:ln>
              <a:solidFill>
                <a:srgbClr val="00B0F0">
                  <a:alpha val="30000"/>
                </a:srgbClr>
              </a:solidFill>
              <a:prstDash val="sysDash"/>
            </a:ln>
          </c:spPr>
        </c:majorGridlines>
        <c:numFmt formatCode="#,##0" sourceLinked="0"/>
        <c:majorTickMark val="out"/>
        <c:minorTickMark val="none"/>
        <c:tickLblPos val="nextTo"/>
        <c:txPr>
          <a:bodyPr/>
          <a:lstStyle/>
          <a:p>
            <a:pPr>
              <a:defRPr sz="800" b="1"/>
            </a:pPr>
            <a:endParaRPr lang="es-GT"/>
          </a:p>
        </c:txPr>
        <c:crossAx val="121409920"/>
        <c:crosses val="autoZero"/>
        <c:crossBetween val="between"/>
      </c:valAx>
    </c:plotArea>
    <c:legend>
      <c:legendPos val="b"/>
      <c:layout>
        <c:manualLayout>
          <c:xMode val="edge"/>
          <c:yMode val="edge"/>
          <c:x val="0.6551101671501588"/>
          <c:y val="0.69468533990503101"/>
          <c:w val="0.30820037297969344"/>
          <c:h val="9.322062683341055E-2"/>
        </c:manualLayout>
      </c:layout>
      <c:overlay val="0"/>
      <c:txPr>
        <a:bodyPr/>
        <a:lstStyle/>
        <a:p>
          <a:pPr>
            <a:defRPr sz="800" b="1"/>
          </a:pPr>
          <a:endParaRPr lang="es-GT"/>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600246002460031E-2"/>
          <c:y val="3.5650623885918005E-2"/>
          <c:w val="0.93603936039360391"/>
          <c:h val="0.86054056576261273"/>
        </c:manualLayout>
      </c:layout>
      <c:lineChart>
        <c:grouping val="standard"/>
        <c:varyColors val="0"/>
        <c:ser>
          <c:idx val="0"/>
          <c:order val="0"/>
          <c:tx>
            <c:strRef>
              <c:f>Hoja1!$B$1</c:f>
              <c:strCache>
                <c:ptCount val="1"/>
                <c:pt idx="0">
                  <c:v>Obs-2015</c:v>
                </c:pt>
              </c:strCache>
            </c:strRef>
          </c:tx>
          <c:dLbls>
            <c:numFmt formatCode="0.0%" sourceLinked="0"/>
            <c:spPr>
              <a:noFill/>
              <a:ln>
                <a:noFill/>
              </a:ln>
              <a:effectLst/>
            </c:spPr>
            <c:txPr>
              <a:bodyPr/>
              <a:lstStyle/>
              <a:p>
                <a:pPr>
                  <a:defRPr sz="600" b="1">
                    <a:solidFill>
                      <a:srgbClr val="0070C0"/>
                    </a:solidFill>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Hoja1!$B$2:$B$11</c:f>
              <c:numCache>
                <c:formatCode>0.0%</c:formatCode>
                <c:ptCount val="10"/>
                <c:pt idx="0">
                  <c:v>2.597414359755601E-2</c:v>
                </c:pt>
                <c:pt idx="1">
                  <c:v>-4.4987491310084504E-2</c:v>
                </c:pt>
                <c:pt idx="2">
                  <c:v>1.8696642978055511E-3</c:v>
                </c:pt>
                <c:pt idx="3">
                  <c:v>1.2480307838625304E-2</c:v>
                </c:pt>
                <c:pt idx="4">
                  <c:v>0.1193746432931877</c:v>
                </c:pt>
                <c:pt idx="5">
                  <c:v>0.13155045891703909</c:v>
                </c:pt>
                <c:pt idx="6">
                  <c:v>0.17582026947811569</c:v>
                </c:pt>
                <c:pt idx="7">
                  <c:v>0.19391221947495341</c:v>
                </c:pt>
                <c:pt idx="8">
                  <c:v>0.18803071505378521</c:v>
                </c:pt>
                <c:pt idx="9">
                  <c:v>0.187</c:v>
                </c:pt>
              </c:numCache>
            </c:numRef>
          </c:val>
          <c:smooth val="0"/>
          <c:extLst>
            <c:ext xmlns:c16="http://schemas.microsoft.com/office/drawing/2014/chart" uri="{C3380CC4-5D6E-409C-BE32-E72D297353CC}">
              <c16:uniqueId val="{00000000-5679-4EAE-B314-000D592FD60D}"/>
            </c:ext>
          </c:extLst>
        </c:ser>
        <c:ser>
          <c:idx val="1"/>
          <c:order val="1"/>
          <c:tx>
            <c:strRef>
              <c:f>Hoja1!$C$1</c:f>
              <c:strCache>
                <c:ptCount val="1"/>
                <c:pt idx="0">
                  <c:v>Obs2016-Extra</c:v>
                </c:pt>
              </c:strCache>
            </c:strRef>
          </c:tx>
          <c:marker>
            <c:symbol val="square"/>
            <c:size val="5"/>
            <c:spPr>
              <a:solidFill>
                <a:srgbClr val="C00000"/>
              </a:solidFill>
            </c:spPr>
          </c:marker>
          <c:dLbls>
            <c:spPr>
              <a:noFill/>
              <a:ln>
                <a:noFill/>
              </a:ln>
              <a:effectLst/>
            </c:spPr>
            <c:txPr>
              <a:bodyPr/>
              <a:lstStyle/>
              <a:p>
                <a:pPr>
                  <a:defRPr sz="700" b="1">
                    <a:solidFill>
                      <a:srgbClr val="C00000"/>
                    </a:solidFill>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Hoja1!$C$2:$C$11</c:f>
              <c:numCache>
                <c:formatCode>General</c:formatCode>
                <c:ptCount val="10"/>
                <c:pt idx="3" formatCode="0.0%">
                  <c:v>1.2480307838625304E-2</c:v>
                </c:pt>
                <c:pt idx="4" formatCode="0.0%">
                  <c:v>2.1020511093747585E-2</c:v>
                </c:pt>
                <c:pt idx="5" formatCode="0.0%">
                  <c:v>4.5135784849275717E-2</c:v>
                </c:pt>
                <c:pt idx="6" formatCode="0.0%">
                  <c:v>6.0262793289592054E-2</c:v>
                </c:pt>
                <c:pt idx="7" formatCode="0.0%">
                  <c:v>5.9871137980594291E-2</c:v>
                </c:pt>
                <c:pt idx="8" formatCode="0.0%">
                  <c:v>5.9993416718699066E-2</c:v>
                </c:pt>
                <c:pt idx="9" formatCode="0.0%">
                  <c:v>7.6999999999999999E-2</c:v>
                </c:pt>
              </c:numCache>
            </c:numRef>
          </c:val>
          <c:smooth val="0"/>
          <c:extLst>
            <c:ext xmlns:c16="http://schemas.microsoft.com/office/drawing/2014/chart" uri="{C3380CC4-5D6E-409C-BE32-E72D297353CC}">
              <c16:uniqueId val="{00000001-5679-4EAE-B314-000D592FD60D}"/>
            </c:ext>
          </c:extLst>
        </c:ser>
        <c:dLbls>
          <c:showLegendKey val="0"/>
          <c:showVal val="0"/>
          <c:showCatName val="0"/>
          <c:showSerName val="0"/>
          <c:showPercent val="0"/>
          <c:showBubbleSize val="0"/>
        </c:dLbls>
        <c:marker val="1"/>
        <c:smooth val="0"/>
        <c:axId val="121479168"/>
        <c:axId val="121480704"/>
      </c:lineChart>
      <c:catAx>
        <c:axId val="121479168"/>
        <c:scaling>
          <c:orientation val="minMax"/>
        </c:scaling>
        <c:delete val="0"/>
        <c:axPos val="b"/>
        <c:numFmt formatCode="General" sourceLinked="0"/>
        <c:majorTickMark val="out"/>
        <c:minorTickMark val="none"/>
        <c:tickLblPos val="low"/>
        <c:txPr>
          <a:bodyPr/>
          <a:lstStyle/>
          <a:p>
            <a:pPr>
              <a:defRPr b="1"/>
            </a:pPr>
            <a:endParaRPr lang="es-GT"/>
          </a:p>
        </c:txPr>
        <c:crossAx val="121480704"/>
        <c:crosses val="autoZero"/>
        <c:auto val="1"/>
        <c:lblAlgn val="ctr"/>
        <c:lblOffset val="100"/>
        <c:noMultiLvlLbl val="0"/>
      </c:catAx>
      <c:valAx>
        <c:axId val="121480704"/>
        <c:scaling>
          <c:orientation val="minMax"/>
        </c:scaling>
        <c:delete val="1"/>
        <c:axPos val="l"/>
        <c:numFmt formatCode="0.0%" sourceLinked="1"/>
        <c:majorTickMark val="out"/>
        <c:minorTickMark val="none"/>
        <c:tickLblPos val="none"/>
        <c:crossAx val="121479168"/>
        <c:crosses val="autoZero"/>
        <c:crossBetween val="between"/>
      </c:valAx>
    </c:plotArea>
    <c:legend>
      <c:legendPos val="b"/>
      <c:layout>
        <c:manualLayout>
          <c:xMode val="edge"/>
          <c:yMode val="edge"/>
          <c:x val="0.17976332543207194"/>
          <c:y val="0.81781503547797973"/>
          <c:w val="0.73334423162502638"/>
          <c:h val="7.4885981457641013E-2"/>
        </c:manualLayout>
      </c:layout>
      <c:overlay val="0"/>
      <c:txPr>
        <a:bodyPr/>
        <a:lstStyle/>
        <a:p>
          <a:pPr>
            <a:defRPr sz="800" b="1"/>
          </a:pPr>
          <a:endParaRPr lang="es-GT"/>
        </a:p>
      </c:txPr>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0844-519B-4B52-926E-B09F7328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12908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2</cp:revision>
  <dcterms:created xsi:type="dcterms:W3CDTF">2018-05-15T15:02:00Z</dcterms:created>
  <dcterms:modified xsi:type="dcterms:W3CDTF">2018-05-15T15:02:00Z</dcterms:modified>
</cp:coreProperties>
</file>