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27E" w:rsidRDefault="0074127E" w:rsidP="0074127E">
      <w:pPr>
        <w:jc w:val="center"/>
        <w:rPr>
          <w:rFonts w:ascii="Times New Roman" w:hAnsi="Times New Roman" w:cs="Times New Roman"/>
          <w:b/>
          <w:sz w:val="48"/>
          <w:lang w:val="es-MX"/>
        </w:rPr>
      </w:pPr>
    </w:p>
    <w:p w:rsidR="0074127E" w:rsidRDefault="0074127E" w:rsidP="0074127E">
      <w:pPr>
        <w:jc w:val="center"/>
        <w:rPr>
          <w:rFonts w:ascii="Times New Roman" w:hAnsi="Times New Roman" w:cs="Times New Roman"/>
          <w:b/>
          <w:sz w:val="48"/>
          <w:lang w:val="es-MX"/>
        </w:rPr>
      </w:pPr>
    </w:p>
    <w:p w:rsidR="0074127E" w:rsidRDefault="0074127E" w:rsidP="0074127E">
      <w:pPr>
        <w:jc w:val="center"/>
        <w:rPr>
          <w:rFonts w:ascii="Times New Roman" w:hAnsi="Times New Roman" w:cs="Times New Roman"/>
          <w:b/>
          <w:sz w:val="48"/>
          <w:lang w:val="es-MX"/>
        </w:rPr>
      </w:pPr>
    </w:p>
    <w:p w:rsidR="0074127E" w:rsidRDefault="0074127E" w:rsidP="0074127E">
      <w:pPr>
        <w:jc w:val="center"/>
        <w:rPr>
          <w:rFonts w:ascii="Times New Roman" w:hAnsi="Times New Roman" w:cs="Times New Roman"/>
          <w:b/>
          <w:sz w:val="48"/>
          <w:lang w:val="es-MX"/>
        </w:rPr>
      </w:pPr>
    </w:p>
    <w:p w:rsidR="0074127E" w:rsidRDefault="0074127E" w:rsidP="0074127E">
      <w:pPr>
        <w:jc w:val="center"/>
        <w:rPr>
          <w:rFonts w:ascii="Times New Roman" w:hAnsi="Times New Roman" w:cs="Times New Roman"/>
          <w:b/>
          <w:sz w:val="48"/>
          <w:lang w:val="es-MX"/>
        </w:rPr>
      </w:pPr>
    </w:p>
    <w:p w:rsidR="0074127E" w:rsidRDefault="0074127E" w:rsidP="0074127E">
      <w:pPr>
        <w:jc w:val="center"/>
        <w:rPr>
          <w:rFonts w:ascii="Times New Roman" w:hAnsi="Times New Roman" w:cs="Times New Roman"/>
          <w:b/>
          <w:sz w:val="48"/>
          <w:lang w:val="es-MX"/>
        </w:rPr>
      </w:pPr>
    </w:p>
    <w:p w:rsidR="0074127E" w:rsidRDefault="0074127E" w:rsidP="0074127E">
      <w:pPr>
        <w:jc w:val="center"/>
        <w:rPr>
          <w:rFonts w:ascii="Times New Roman" w:hAnsi="Times New Roman" w:cs="Times New Roman"/>
          <w:b/>
          <w:sz w:val="48"/>
          <w:lang w:val="es-MX"/>
        </w:rPr>
      </w:pPr>
    </w:p>
    <w:p w:rsidR="0074127E" w:rsidRPr="0074127E" w:rsidRDefault="0074127E" w:rsidP="0074127E">
      <w:pPr>
        <w:jc w:val="center"/>
        <w:rPr>
          <w:rFonts w:ascii="Times New Roman" w:hAnsi="Times New Roman" w:cs="Times New Roman"/>
          <w:b/>
          <w:sz w:val="48"/>
          <w:lang w:val="es-MX"/>
        </w:rPr>
      </w:pPr>
      <w:bookmarkStart w:id="0" w:name="_GoBack"/>
      <w:bookmarkEnd w:id="0"/>
      <w:r w:rsidRPr="0074127E">
        <w:rPr>
          <w:rFonts w:ascii="Times New Roman" w:hAnsi="Times New Roman" w:cs="Times New Roman"/>
          <w:b/>
          <w:sz w:val="48"/>
          <w:lang w:val="es-MX"/>
        </w:rPr>
        <w:t>Informe mensual de las Finanzas Públicas</w:t>
      </w:r>
    </w:p>
    <w:p w:rsidR="0074127E" w:rsidRDefault="0074127E" w:rsidP="0074127E">
      <w:pPr>
        <w:jc w:val="center"/>
        <w:rPr>
          <w:rFonts w:ascii="Times New Roman" w:hAnsi="Times New Roman" w:cs="Times New Roman"/>
          <w:b/>
          <w:lang w:val="es-MX"/>
        </w:rPr>
      </w:pPr>
      <w:r w:rsidRPr="0074127E">
        <w:rPr>
          <w:rFonts w:ascii="Times New Roman" w:hAnsi="Times New Roman" w:cs="Times New Roman"/>
          <w:b/>
          <w:sz w:val="48"/>
          <w:lang w:val="es-MX"/>
        </w:rPr>
        <w:t>Mayo 2015</w:t>
      </w:r>
      <w:r>
        <w:rPr>
          <w:rFonts w:ascii="Times New Roman" w:hAnsi="Times New Roman" w:cs="Times New Roman"/>
          <w:b/>
          <w:lang w:val="es-MX"/>
        </w:rPr>
        <w:br w:type="page"/>
      </w:r>
    </w:p>
    <w:p w:rsidR="00052EE7" w:rsidRPr="00CB23EF" w:rsidRDefault="00CB23EF"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lastRenderedPageBreak/>
        <w:t>La baja recaudación y los gastos no recurrentes inciden en el déficit fiscal</w:t>
      </w:r>
    </w:p>
    <w:p w:rsidR="00052EE7" w:rsidRPr="00CB23EF" w:rsidRDefault="00052EE7" w:rsidP="00052EE7">
      <w:pPr>
        <w:pStyle w:val="Sinespaciado"/>
        <w:jc w:val="center"/>
        <w:rPr>
          <w:rFonts w:ascii="Times New Roman" w:hAnsi="Times New Roman" w:cs="Times New Roman"/>
          <w:b/>
          <w:color w:val="FF0000"/>
          <w:lang w:val="es-MX"/>
        </w:rPr>
      </w:pPr>
    </w:p>
    <w:p w:rsidR="00052EE7" w:rsidRPr="00CB23EF" w:rsidRDefault="00052EE7" w:rsidP="00052EE7">
      <w:pPr>
        <w:pStyle w:val="Sinespaciado"/>
        <w:jc w:val="both"/>
        <w:rPr>
          <w:rFonts w:ascii="Times New Roman" w:hAnsi="Times New Roman" w:cs="Times New Roman"/>
          <w:color w:val="FF0000"/>
          <w:lang w:val="es-MX"/>
        </w:rPr>
        <w:sectPr w:rsidR="00052EE7" w:rsidRPr="00CB23EF" w:rsidSect="00F334C1">
          <w:headerReference w:type="default" r:id="rId8"/>
          <w:footerReference w:type="default" r:id="rId9"/>
          <w:type w:val="continuous"/>
          <w:pgSz w:w="12240" w:h="15840"/>
          <w:pgMar w:top="1417" w:right="1701" w:bottom="1417" w:left="1701" w:header="708" w:footer="708" w:gutter="0"/>
          <w:cols w:space="708"/>
          <w:docGrid w:linePitch="360"/>
        </w:sectPr>
      </w:pP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lang w:val="es-MX"/>
        </w:rPr>
        <w:lastRenderedPageBreak/>
        <w:t>El resultado fiscal al 31 de mayo de 2015 se sitúa en un déficit de 2,816.6 millones, superior al obtenido en igual fecha del año anterior, el cual se ubicó en Q 973.7 millones.</w:t>
      </w: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lang w:val="es-MX"/>
        </w:rPr>
        <w:t xml:space="preserve">A pesar que en mayo hubo una fuerte contención en el gasto, siguen pesando los gastos no recurrentes que se realizaron en el primer trimestre, como el aporte </w:t>
      </w:r>
      <w:r>
        <w:rPr>
          <w:rFonts w:ascii="Times New Roman" w:hAnsi="Times New Roman" w:cs="Times New Roman"/>
          <w:lang w:val="es-MX"/>
        </w:rPr>
        <w:lastRenderedPageBreak/>
        <w:t xml:space="preserve">extraordinario al Tribunal Supremo Electoral y el incremento salarial al Magisterio Nacional, que aunado al bajo desempeño en la recaudación tributaria hacen que el déficit fiscal sea mayor que el observado en los últimos años.  </w:t>
      </w: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CB23EF" w:rsidRDefault="00CB23EF" w:rsidP="00CB23EF">
      <w:pPr>
        <w:pStyle w:val="Sinespaciado"/>
        <w:jc w:val="both"/>
        <w:rPr>
          <w:rFonts w:ascii="Times New Roman" w:hAnsi="Times New Roman" w:cs="Times New Roman"/>
          <w:b/>
          <w:lang w:val="es-MX"/>
        </w:rPr>
        <w:sectPr w:rsidR="00CB23EF" w:rsidSect="00874E65">
          <w:type w:val="continuous"/>
          <w:pgSz w:w="12240" w:h="15840"/>
          <w:pgMar w:top="1417" w:right="1701" w:bottom="1417" w:left="1701" w:header="708" w:footer="708" w:gutter="0"/>
          <w:cols w:num="2" w:space="708"/>
          <w:docGrid w:linePitch="360"/>
        </w:sectPr>
      </w:pPr>
    </w:p>
    <w:p w:rsidR="00CB23EF" w:rsidRDefault="00CB23EF" w:rsidP="00CB23EF">
      <w:pPr>
        <w:pStyle w:val="Sinespaciado"/>
        <w:jc w:val="both"/>
        <w:rPr>
          <w:rFonts w:ascii="Times New Roman" w:hAnsi="Times New Roman" w:cs="Times New Roman"/>
          <w:b/>
          <w:lang w:val="es-MX"/>
        </w:rPr>
      </w:pPr>
    </w:p>
    <w:p w:rsidR="00CB23EF" w:rsidRDefault="00CB23EF" w:rsidP="00CB23EF">
      <w:pPr>
        <w:pStyle w:val="Sinespaciado"/>
        <w:jc w:val="center"/>
        <w:rPr>
          <w:rFonts w:ascii="Times New Roman" w:hAnsi="Times New Roman" w:cs="Times New Roman"/>
          <w:b/>
          <w:lang w:val="es-MX"/>
        </w:rPr>
      </w:pPr>
      <w:r w:rsidRPr="00C1022E">
        <w:rPr>
          <w:rFonts w:ascii="Times New Roman" w:hAnsi="Times New Roman" w:cs="Times New Roman"/>
          <w:b/>
          <w:lang w:val="es-MX"/>
        </w:rPr>
        <w:t>Resultado Presupuestario</w:t>
      </w:r>
    </w:p>
    <w:p w:rsidR="00CB23EF" w:rsidRPr="0097642A" w:rsidRDefault="00CB23EF" w:rsidP="00CB23EF">
      <w:pPr>
        <w:pStyle w:val="Sinespaciado"/>
        <w:jc w:val="center"/>
        <w:rPr>
          <w:rFonts w:ascii="Times New Roman" w:hAnsi="Times New Roman" w:cs="Times New Roman"/>
          <w:b/>
          <w:lang w:val="es-MX"/>
        </w:rPr>
      </w:pPr>
      <w:r w:rsidRPr="00C1022E">
        <w:rPr>
          <w:rFonts w:ascii="Times New Roman" w:hAnsi="Times New Roman" w:cs="Times New Roman"/>
          <w:sz w:val="18"/>
          <w:lang w:val="es-MX"/>
        </w:rPr>
        <w:t xml:space="preserve">Al </w:t>
      </w:r>
      <w:r>
        <w:rPr>
          <w:rFonts w:ascii="Times New Roman" w:hAnsi="Times New Roman" w:cs="Times New Roman"/>
          <w:sz w:val="18"/>
          <w:lang w:val="es-MX"/>
        </w:rPr>
        <w:t xml:space="preserve">31 </w:t>
      </w:r>
      <w:r w:rsidRPr="00C1022E">
        <w:rPr>
          <w:rFonts w:ascii="Times New Roman" w:hAnsi="Times New Roman" w:cs="Times New Roman"/>
          <w:sz w:val="18"/>
          <w:lang w:val="es-MX"/>
        </w:rPr>
        <w:t xml:space="preserve">de </w:t>
      </w:r>
      <w:r>
        <w:rPr>
          <w:rFonts w:ascii="Times New Roman" w:hAnsi="Times New Roman" w:cs="Times New Roman"/>
          <w:sz w:val="18"/>
          <w:lang w:val="es-MX"/>
        </w:rPr>
        <w:t>Mayo</w:t>
      </w:r>
      <w:r w:rsidRPr="00C1022E">
        <w:rPr>
          <w:rFonts w:ascii="Times New Roman" w:hAnsi="Times New Roman" w:cs="Times New Roman"/>
          <w:sz w:val="18"/>
          <w:lang w:val="es-MX"/>
        </w:rPr>
        <w:t xml:space="preserve"> de </w:t>
      </w:r>
      <w:r>
        <w:rPr>
          <w:rFonts w:ascii="Times New Roman" w:hAnsi="Times New Roman" w:cs="Times New Roman"/>
          <w:sz w:val="18"/>
          <w:lang w:val="es-MX"/>
        </w:rPr>
        <w:t>c</w:t>
      </w:r>
      <w:r w:rsidRPr="00C1022E">
        <w:rPr>
          <w:rFonts w:ascii="Times New Roman" w:hAnsi="Times New Roman" w:cs="Times New Roman"/>
          <w:sz w:val="18"/>
          <w:lang w:val="es-MX"/>
        </w:rPr>
        <w:t xml:space="preserve">ada </w:t>
      </w:r>
      <w:r>
        <w:rPr>
          <w:rFonts w:ascii="Times New Roman" w:hAnsi="Times New Roman" w:cs="Times New Roman"/>
          <w:sz w:val="18"/>
          <w:lang w:val="es-MX"/>
        </w:rPr>
        <w:t>a</w:t>
      </w:r>
      <w:r w:rsidRPr="00C1022E">
        <w:rPr>
          <w:rFonts w:ascii="Times New Roman" w:hAnsi="Times New Roman" w:cs="Times New Roman"/>
          <w:sz w:val="18"/>
          <w:lang w:val="es-MX"/>
        </w:rPr>
        <w:t>ño</w:t>
      </w:r>
    </w:p>
    <w:p w:rsidR="00CB23EF" w:rsidRPr="0097642A" w:rsidRDefault="00CB23EF" w:rsidP="00CB23EF">
      <w:pPr>
        <w:pStyle w:val="Sinespaciado"/>
        <w:jc w:val="center"/>
        <w:rPr>
          <w:rFonts w:ascii="Times New Roman" w:hAnsi="Times New Roman" w:cs="Times New Roman"/>
          <w:lang w:val="es-MX"/>
        </w:rPr>
      </w:pPr>
      <w:r>
        <w:rPr>
          <w:rFonts w:ascii="Times New Roman" w:hAnsi="Times New Roman" w:cs="Times New Roman"/>
          <w:noProof/>
          <w:lang w:eastAsia="es-GT"/>
        </w:rPr>
        <w:drawing>
          <wp:inline distT="0" distB="0" distL="0" distR="0" wp14:anchorId="6FDDC928" wp14:editId="2A7B0515">
            <wp:extent cx="2972554" cy="1820174"/>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2592" cy="1826320"/>
                    </a:xfrm>
                    <a:prstGeom prst="rect">
                      <a:avLst/>
                    </a:prstGeom>
                    <a:noFill/>
                  </pic:spPr>
                </pic:pic>
              </a:graphicData>
            </a:graphic>
          </wp:inline>
        </w:drawing>
      </w:r>
    </w:p>
    <w:p w:rsidR="00CB23EF" w:rsidRDefault="00CB23EF" w:rsidP="00CB23EF">
      <w:pPr>
        <w:pStyle w:val="Sinespaciado"/>
        <w:ind w:left="1416" w:firstLine="708"/>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052EE7" w:rsidRPr="00CB23EF" w:rsidRDefault="00052EE7" w:rsidP="00052EE7">
      <w:pPr>
        <w:pStyle w:val="Sinespaciado"/>
        <w:jc w:val="both"/>
        <w:rPr>
          <w:rFonts w:ascii="Times New Roman" w:hAnsi="Times New Roman" w:cs="Times New Roman"/>
          <w:color w:val="FF0000"/>
          <w:sz w:val="8"/>
        </w:rPr>
        <w:sectPr w:rsidR="00052EE7" w:rsidRPr="00CB23EF" w:rsidSect="007F29D0">
          <w:type w:val="continuous"/>
          <w:pgSz w:w="12240" w:h="15840"/>
          <w:pgMar w:top="1417" w:right="1701" w:bottom="1417" w:left="1701" w:header="708" w:footer="708" w:gutter="0"/>
          <w:cols w:space="708"/>
          <w:docGrid w:linePitch="360"/>
        </w:sectPr>
      </w:pPr>
    </w:p>
    <w:p w:rsidR="00052EE7" w:rsidRPr="00CB23EF" w:rsidRDefault="00052EE7" w:rsidP="00052EE7">
      <w:pPr>
        <w:pStyle w:val="Sinespaciado"/>
        <w:rPr>
          <w:rFonts w:ascii="Times New Roman" w:hAnsi="Times New Roman" w:cs="Times New Roman"/>
          <w:b/>
          <w:color w:val="FF0000"/>
          <w:sz w:val="16"/>
        </w:rPr>
      </w:pPr>
    </w:p>
    <w:p w:rsidR="00052EE7" w:rsidRPr="00B70AFA" w:rsidRDefault="00B70AFA" w:rsidP="00052EE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sectPr w:rsidR="00052EE7" w:rsidRPr="00B70AFA" w:rsidSect="00BD010A">
          <w:type w:val="continuous"/>
          <w:pgSz w:w="12240" w:h="15840"/>
          <w:pgMar w:top="1417" w:right="1701" w:bottom="1417" w:left="1701" w:header="708" w:footer="708" w:gutter="0"/>
          <w:cols w:space="708"/>
          <w:docGrid w:linePitch="360"/>
        </w:sectPr>
      </w:pPr>
      <w:r w:rsidRPr="00B70AFA">
        <w:rPr>
          <w:rFonts w:ascii="Times New Roman" w:hAnsi="Times New Roman" w:cs="Times New Roman"/>
          <w:b/>
          <w:lang w:val="es-MX"/>
        </w:rPr>
        <w:t>C</w:t>
      </w:r>
      <w:r w:rsidR="00875248" w:rsidRPr="00B70AFA">
        <w:rPr>
          <w:rFonts w:ascii="Times New Roman" w:hAnsi="Times New Roman" w:cs="Times New Roman"/>
          <w:b/>
          <w:lang w:val="es-MX"/>
        </w:rPr>
        <w:t>recimiento en</w:t>
      </w:r>
      <w:r w:rsidR="00052EE7" w:rsidRPr="00B70AFA">
        <w:rPr>
          <w:rFonts w:ascii="Times New Roman" w:hAnsi="Times New Roman" w:cs="Times New Roman"/>
          <w:b/>
          <w:lang w:val="es-MX"/>
        </w:rPr>
        <w:t xml:space="preserve"> recaudación </w:t>
      </w:r>
      <w:r w:rsidR="008E73AF" w:rsidRPr="00B70AFA">
        <w:rPr>
          <w:rFonts w:ascii="Times New Roman" w:hAnsi="Times New Roman" w:cs="Times New Roman"/>
          <w:b/>
          <w:lang w:val="es-MX"/>
        </w:rPr>
        <w:t>tributaria</w:t>
      </w:r>
    </w:p>
    <w:p w:rsidR="00052EE7" w:rsidRPr="00CB23EF" w:rsidRDefault="00052EE7" w:rsidP="00052EE7">
      <w:pPr>
        <w:spacing w:after="0" w:line="240" w:lineRule="auto"/>
        <w:jc w:val="both"/>
        <w:rPr>
          <w:rFonts w:ascii="Times New Roman" w:hAnsi="Times New Roman" w:cs="Times New Roman"/>
          <w:color w:val="FF0000"/>
          <w:lang w:val="es-MX"/>
        </w:rPr>
      </w:pPr>
    </w:p>
    <w:p w:rsidR="00052EE7" w:rsidRPr="00CB23EF" w:rsidRDefault="00052EE7" w:rsidP="00052EE7">
      <w:pPr>
        <w:spacing w:after="0" w:line="240" w:lineRule="auto"/>
        <w:jc w:val="both"/>
        <w:rPr>
          <w:rFonts w:ascii="Times New Roman" w:hAnsi="Times New Roman" w:cs="Times New Roman"/>
          <w:color w:val="FF0000"/>
          <w:lang w:val="es-MX"/>
        </w:rPr>
        <w:sectPr w:rsidR="00052EE7" w:rsidRPr="00CB23EF" w:rsidSect="00D90C85">
          <w:type w:val="continuous"/>
          <w:pgSz w:w="12240" w:h="15840"/>
          <w:pgMar w:top="1417" w:right="1701" w:bottom="1417" w:left="1701" w:header="708" w:footer="708" w:gutter="0"/>
          <w:cols w:space="708"/>
          <w:docGrid w:linePitch="360"/>
        </w:sectPr>
      </w:pPr>
    </w:p>
    <w:p w:rsidR="00B70AFA" w:rsidRDefault="00B70AFA" w:rsidP="00B70AFA">
      <w:pPr>
        <w:spacing w:after="0" w:line="240" w:lineRule="auto"/>
        <w:jc w:val="both"/>
        <w:rPr>
          <w:rFonts w:ascii="Times New Roman" w:hAnsi="Times New Roman" w:cs="Times New Roman"/>
          <w:lang w:val="es-MX"/>
        </w:rPr>
      </w:pPr>
      <w:r w:rsidRPr="00F664D9">
        <w:rPr>
          <w:rFonts w:ascii="Times New Roman" w:hAnsi="Times New Roman" w:cs="Times New Roman"/>
          <w:lang w:val="es-MX"/>
        </w:rPr>
        <w:lastRenderedPageBreak/>
        <w:t xml:space="preserve">Cifras preliminares al 31 de mayo dan cuenta de un crecimiento de </w:t>
      </w:r>
      <w:r>
        <w:rPr>
          <w:rFonts w:ascii="Times New Roman" w:hAnsi="Times New Roman" w:cs="Times New Roman"/>
          <w:lang w:val="es-MX"/>
        </w:rPr>
        <w:t>1.9</w:t>
      </w:r>
      <w:r w:rsidRPr="00F664D9">
        <w:rPr>
          <w:rFonts w:ascii="Times New Roman" w:hAnsi="Times New Roman" w:cs="Times New Roman"/>
          <w:lang w:val="es-MX"/>
        </w:rPr>
        <w:t xml:space="preserve">% respecto al año anterior, factores que frenan el crecimiento de la recaudación </w:t>
      </w:r>
      <w:r>
        <w:rPr>
          <w:rFonts w:ascii="Times New Roman" w:hAnsi="Times New Roman" w:cs="Times New Roman"/>
          <w:lang w:val="es-MX"/>
        </w:rPr>
        <w:t xml:space="preserve">tributaria del presente ejercicio fiscal </w:t>
      </w:r>
      <w:r w:rsidRPr="00F664D9">
        <w:rPr>
          <w:rFonts w:ascii="Times New Roman" w:hAnsi="Times New Roman" w:cs="Times New Roman"/>
          <w:lang w:val="es-MX"/>
        </w:rPr>
        <w:t xml:space="preserve">son </w:t>
      </w:r>
      <w:r>
        <w:rPr>
          <w:rFonts w:ascii="Times New Roman" w:hAnsi="Times New Roman" w:cs="Times New Roman"/>
          <w:lang w:val="es-MX"/>
        </w:rPr>
        <w:t>e</w:t>
      </w:r>
      <w:r w:rsidRPr="00F664D9">
        <w:rPr>
          <w:rFonts w:ascii="Times New Roman" w:hAnsi="Times New Roman" w:cs="Times New Roman"/>
          <w:lang w:val="es-MX"/>
        </w:rPr>
        <w:t>l</w:t>
      </w:r>
      <w:r>
        <w:rPr>
          <w:rFonts w:ascii="Times New Roman" w:hAnsi="Times New Roman" w:cs="Times New Roman"/>
          <w:lang w:val="es-MX"/>
        </w:rPr>
        <w:t xml:space="preserve"> bajo rendimiento en </w:t>
      </w:r>
      <w:r w:rsidRPr="00F664D9">
        <w:rPr>
          <w:rFonts w:ascii="Times New Roman" w:hAnsi="Times New Roman" w:cs="Times New Roman"/>
          <w:lang w:val="es-MX"/>
        </w:rPr>
        <w:t>el impuesto a la renta</w:t>
      </w:r>
      <w:r>
        <w:rPr>
          <w:rFonts w:ascii="Times New Roman" w:hAnsi="Times New Roman" w:cs="Times New Roman"/>
          <w:lang w:val="es-MX"/>
        </w:rPr>
        <w:t xml:space="preserve"> que interanualmente cayó</w:t>
      </w:r>
      <w:r w:rsidRPr="00F664D9">
        <w:rPr>
          <w:rFonts w:ascii="Times New Roman" w:hAnsi="Times New Roman" w:cs="Times New Roman"/>
          <w:lang w:val="es-MX"/>
        </w:rPr>
        <w:t xml:space="preserve"> 3.1%</w:t>
      </w:r>
      <w:r>
        <w:rPr>
          <w:rFonts w:ascii="Times New Roman" w:hAnsi="Times New Roman" w:cs="Times New Roman"/>
          <w:lang w:val="es-MX"/>
        </w:rPr>
        <w:t xml:space="preserve"> (se explica por la brecha que se generó en la liquidación anual en el mes de marzo)</w:t>
      </w:r>
      <w:r w:rsidRPr="00F664D9">
        <w:rPr>
          <w:rFonts w:ascii="Times New Roman" w:hAnsi="Times New Roman" w:cs="Times New Roman"/>
          <w:lang w:val="es-MX"/>
        </w:rPr>
        <w:t>, I</w:t>
      </w:r>
      <w:r>
        <w:rPr>
          <w:rFonts w:ascii="Times New Roman" w:hAnsi="Times New Roman" w:cs="Times New Roman"/>
          <w:lang w:val="es-MX"/>
        </w:rPr>
        <w:t xml:space="preserve">VA asociado a las importaciones que de igual manera cae en 5.0% (deterioro en las importaciones de combustibles, así como la variación en el precio internacional del petróleo) </w:t>
      </w:r>
      <w:r w:rsidRPr="00F664D9">
        <w:rPr>
          <w:rFonts w:ascii="Times New Roman" w:hAnsi="Times New Roman" w:cs="Times New Roman"/>
          <w:lang w:val="es-MX"/>
        </w:rPr>
        <w:t>y las regalías de hidrocarburos compartibles 74.8%</w:t>
      </w:r>
      <w:r>
        <w:rPr>
          <w:rFonts w:ascii="Times New Roman" w:hAnsi="Times New Roman" w:cs="Times New Roman"/>
          <w:lang w:val="es-MX"/>
        </w:rPr>
        <w:t xml:space="preserve">, en </w:t>
      </w:r>
      <w:r w:rsidRPr="00F664D9">
        <w:rPr>
          <w:rFonts w:ascii="Times New Roman" w:hAnsi="Times New Roman" w:cs="Times New Roman"/>
          <w:lang w:val="es-MX"/>
        </w:rPr>
        <w:t xml:space="preserve"> conjunto </w:t>
      </w:r>
      <w:r>
        <w:rPr>
          <w:rFonts w:ascii="Times New Roman" w:hAnsi="Times New Roman" w:cs="Times New Roman"/>
          <w:lang w:val="es-MX"/>
        </w:rPr>
        <w:t xml:space="preserve">estos  tres impuestos </w:t>
      </w:r>
      <w:r w:rsidRPr="00F664D9">
        <w:rPr>
          <w:rFonts w:ascii="Times New Roman" w:hAnsi="Times New Roman" w:cs="Times New Roman"/>
          <w:lang w:val="es-MX"/>
        </w:rPr>
        <w:t>restan Q 644.8 millones</w:t>
      </w:r>
      <w:r>
        <w:rPr>
          <w:rFonts w:ascii="Times New Roman" w:hAnsi="Times New Roman" w:cs="Times New Roman"/>
          <w:lang w:val="es-MX"/>
        </w:rPr>
        <w:t xml:space="preserve"> a la recaudación total, aunado a estos rendimientos negativos esta la resolución de la Corte de Constitucionalidad en el impuesto a la telefonía, se ha dejado de percibir cerca de Q 477.5 millones.</w:t>
      </w:r>
    </w:p>
    <w:p w:rsidR="00B70AFA" w:rsidRDefault="00B70AFA" w:rsidP="00B70AFA">
      <w:pPr>
        <w:spacing w:after="0" w:line="240" w:lineRule="auto"/>
        <w:jc w:val="both"/>
        <w:rPr>
          <w:rFonts w:ascii="Times New Roman" w:hAnsi="Times New Roman" w:cs="Times New Roman"/>
          <w:lang w:val="es-MX"/>
        </w:rPr>
      </w:pPr>
    </w:p>
    <w:p w:rsidR="00B70AFA" w:rsidRPr="00F664D9" w:rsidRDefault="00B70AFA" w:rsidP="00B70AFA">
      <w:pPr>
        <w:spacing w:after="0" w:line="240" w:lineRule="auto"/>
        <w:jc w:val="both"/>
        <w:rPr>
          <w:rFonts w:ascii="Times New Roman" w:hAnsi="Times New Roman" w:cs="Times New Roman"/>
          <w:lang w:val="es-MX"/>
        </w:rPr>
      </w:pPr>
    </w:p>
    <w:p w:rsidR="00B70AFA" w:rsidRPr="00BF1BF8" w:rsidRDefault="00B70AFA" w:rsidP="00B70AFA">
      <w:pPr>
        <w:spacing w:after="0" w:line="240" w:lineRule="auto"/>
        <w:jc w:val="center"/>
        <w:rPr>
          <w:rFonts w:ascii="Times New Roman" w:hAnsi="Times New Roman" w:cs="Times New Roman"/>
          <w:b/>
          <w:lang w:val="es-MX"/>
        </w:rPr>
      </w:pPr>
      <w:r w:rsidRPr="00BF1BF8">
        <w:rPr>
          <w:rFonts w:ascii="Times New Roman" w:hAnsi="Times New Roman" w:cs="Times New Roman"/>
          <w:b/>
          <w:lang w:val="es-MX"/>
        </w:rPr>
        <w:lastRenderedPageBreak/>
        <w:t>Recaudación tributaria</w:t>
      </w:r>
    </w:p>
    <w:p w:rsidR="00B70AFA" w:rsidRPr="00B70AFA" w:rsidRDefault="00B70AFA" w:rsidP="00B70AFA">
      <w:pPr>
        <w:spacing w:after="0" w:line="240" w:lineRule="auto"/>
        <w:jc w:val="center"/>
        <w:rPr>
          <w:rFonts w:ascii="Times New Roman" w:hAnsi="Times New Roman" w:cs="Times New Roman"/>
          <w:sz w:val="18"/>
          <w:lang w:val="es-MX"/>
        </w:rPr>
      </w:pPr>
      <w:r w:rsidRPr="00B70AFA">
        <w:rPr>
          <w:rFonts w:ascii="Times New Roman" w:hAnsi="Times New Roman" w:cs="Times New Roman"/>
          <w:sz w:val="18"/>
          <w:lang w:val="es-MX"/>
        </w:rPr>
        <w:t>Millones de quetzales</w:t>
      </w:r>
    </w:p>
    <w:p w:rsidR="00B70AFA" w:rsidRDefault="00B70AFA" w:rsidP="00B70AFA">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7A39F6AE" wp14:editId="1CB97251">
            <wp:extent cx="2587925" cy="1854680"/>
            <wp:effectExtent l="0" t="0" r="3175"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AFA" w:rsidRPr="00B70AFA" w:rsidRDefault="00B70AFA" w:rsidP="00B70AFA">
      <w:pPr>
        <w:spacing w:after="0" w:line="240" w:lineRule="auto"/>
        <w:jc w:val="both"/>
        <w:rPr>
          <w:rFonts w:ascii="Times New Roman" w:hAnsi="Times New Roman" w:cs="Times New Roman"/>
          <w:sz w:val="16"/>
          <w:lang w:val="es-MX"/>
        </w:rPr>
      </w:pPr>
      <w:r w:rsidRPr="00B70AFA">
        <w:rPr>
          <w:rFonts w:ascii="Times New Roman" w:hAnsi="Times New Roman" w:cs="Times New Roman"/>
          <w:sz w:val="16"/>
          <w:lang w:val="es-MX"/>
        </w:rPr>
        <w:t>Fuente: Dirección de Análisis y Política Fiscal</w:t>
      </w:r>
    </w:p>
    <w:p w:rsidR="00B70AFA" w:rsidRDefault="00B70AFA" w:rsidP="00B70AFA">
      <w:pPr>
        <w:spacing w:after="0" w:line="240" w:lineRule="auto"/>
        <w:jc w:val="both"/>
        <w:rPr>
          <w:rFonts w:ascii="Times New Roman" w:hAnsi="Times New Roman" w:cs="Times New Roman"/>
          <w:lang w:val="es-MX"/>
        </w:rPr>
      </w:pPr>
    </w:p>
    <w:p w:rsidR="00B70AFA" w:rsidRDefault="00B70AFA" w:rsidP="00B70AFA">
      <w:pPr>
        <w:spacing w:after="0" w:line="240" w:lineRule="auto"/>
        <w:jc w:val="both"/>
        <w:rPr>
          <w:rFonts w:ascii="Times New Roman" w:hAnsi="Times New Roman" w:cs="Times New Roman"/>
          <w:lang w:val="es-MX"/>
        </w:rPr>
      </w:pPr>
      <w:r>
        <w:rPr>
          <w:rFonts w:ascii="Times New Roman" w:hAnsi="Times New Roman" w:cs="Times New Roman"/>
          <w:lang w:val="es-MX"/>
        </w:rPr>
        <w:t xml:space="preserve">La brecha fiscal acumulada a mayo respecto a la meta de presupuesto es negativa en           Q 1,899.4 millones que se explican por el deterioro en los principales impuestos como el ISR e IVA, con relación al año anterior se genera una brecha positiva de Q 400 millones dicho crecimiento obedece al desempeño en la </w:t>
      </w:r>
      <w:r>
        <w:rPr>
          <w:rFonts w:ascii="Times New Roman" w:hAnsi="Times New Roman" w:cs="Times New Roman"/>
          <w:lang w:val="es-MX"/>
        </w:rPr>
        <w:lastRenderedPageBreak/>
        <w:t xml:space="preserve">recaudación de los derivados del petróleo y el IVA doméstico. </w:t>
      </w:r>
    </w:p>
    <w:p w:rsidR="00B70AFA" w:rsidRDefault="00B70AFA" w:rsidP="00B70AFA">
      <w:pPr>
        <w:spacing w:after="0" w:line="240" w:lineRule="auto"/>
        <w:jc w:val="both"/>
        <w:rPr>
          <w:rFonts w:ascii="Times New Roman" w:hAnsi="Times New Roman" w:cs="Times New Roman"/>
          <w:lang w:val="es-MX"/>
        </w:rPr>
      </w:pPr>
    </w:p>
    <w:p w:rsidR="00B70AFA" w:rsidRPr="00DE16A3" w:rsidRDefault="00B70AFA" w:rsidP="00B70AFA">
      <w:pPr>
        <w:spacing w:after="0" w:line="240" w:lineRule="auto"/>
        <w:jc w:val="center"/>
        <w:rPr>
          <w:rFonts w:ascii="Times New Roman" w:hAnsi="Times New Roman" w:cs="Times New Roman"/>
          <w:b/>
          <w:lang w:val="es-MX"/>
        </w:rPr>
      </w:pPr>
      <w:r w:rsidRPr="00DE16A3">
        <w:rPr>
          <w:rFonts w:ascii="Times New Roman" w:hAnsi="Times New Roman" w:cs="Times New Roman"/>
          <w:b/>
          <w:lang w:val="es-MX"/>
        </w:rPr>
        <w:t xml:space="preserve">Brecha fiscal al mes de </w:t>
      </w:r>
      <w:r>
        <w:rPr>
          <w:rFonts w:ascii="Times New Roman" w:hAnsi="Times New Roman" w:cs="Times New Roman"/>
          <w:b/>
          <w:lang w:val="es-MX"/>
        </w:rPr>
        <w:t>mayo</w:t>
      </w:r>
    </w:p>
    <w:p w:rsidR="00B70AFA" w:rsidRPr="00B70AFA" w:rsidRDefault="00B70AFA" w:rsidP="00B70AFA">
      <w:pPr>
        <w:spacing w:after="0" w:line="240" w:lineRule="auto"/>
        <w:jc w:val="center"/>
        <w:rPr>
          <w:rFonts w:ascii="Times New Roman" w:hAnsi="Times New Roman" w:cs="Times New Roman"/>
          <w:sz w:val="18"/>
          <w:lang w:val="es-MX"/>
        </w:rPr>
      </w:pPr>
      <w:r w:rsidRPr="00B70AFA">
        <w:rPr>
          <w:rFonts w:ascii="Times New Roman" w:hAnsi="Times New Roman" w:cs="Times New Roman"/>
          <w:sz w:val="18"/>
          <w:lang w:val="es-MX"/>
        </w:rPr>
        <w:t>Millones de quetzales</w:t>
      </w:r>
    </w:p>
    <w:p w:rsidR="00B70AFA" w:rsidRDefault="00B70AFA" w:rsidP="00B70AFA">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29A0FA96" wp14:editId="1FBA20F0">
            <wp:extent cx="2544792" cy="1664898"/>
            <wp:effectExtent l="0" t="0" r="8255"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AFA" w:rsidRPr="00B70AFA" w:rsidRDefault="00B70AFA" w:rsidP="00B70AFA">
      <w:pPr>
        <w:spacing w:after="0" w:line="240" w:lineRule="auto"/>
        <w:jc w:val="both"/>
        <w:rPr>
          <w:rFonts w:ascii="Times New Roman" w:hAnsi="Times New Roman" w:cs="Times New Roman"/>
          <w:lang w:val="es-MX"/>
        </w:rPr>
      </w:pPr>
      <w:r w:rsidRPr="00B70AFA">
        <w:rPr>
          <w:rFonts w:ascii="Times New Roman" w:hAnsi="Times New Roman" w:cs="Times New Roman"/>
          <w:sz w:val="16"/>
          <w:lang w:val="es-MX"/>
        </w:rPr>
        <w:t>Fuente: Dirección de Análisis y Política Fiscal</w:t>
      </w:r>
    </w:p>
    <w:p w:rsidR="00B70AFA" w:rsidRPr="00F664D9" w:rsidRDefault="00B70AFA" w:rsidP="00B70AFA">
      <w:pPr>
        <w:spacing w:after="0" w:line="240" w:lineRule="auto"/>
        <w:jc w:val="both"/>
        <w:rPr>
          <w:rFonts w:ascii="Times New Roman" w:hAnsi="Times New Roman" w:cs="Times New Roman"/>
          <w:lang w:val="es-MX"/>
        </w:rPr>
      </w:pPr>
    </w:p>
    <w:p w:rsidR="00B70AFA" w:rsidRDefault="00B70AFA" w:rsidP="00B70AFA">
      <w:pPr>
        <w:pStyle w:val="Sinespaciado"/>
        <w:jc w:val="both"/>
        <w:rPr>
          <w:rFonts w:ascii="Times New Roman" w:hAnsi="Times New Roman" w:cs="Times New Roman"/>
          <w:lang w:val="es-MX"/>
        </w:rPr>
      </w:pPr>
      <w:r>
        <w:rPr>
          <w:rFonts w:ascii="Times New Roman" w:hAnsi="Times New Roman" w:cs="Times New Roman"/>
          <w:lang w:val="es-MX"/>
        </w:rPr>
        <w:t>Aspectos relevantes en la recaudación del mes de mayo es el comportamiento en  los derivados del petróleo que crecen 19.8% respecto al año anterior y de 11.8% respecto a la meta de presupuesto, dicho aumento en los derivados del petróleo se explica por la caída en el precio internacional del petróleo (a mayo 41.8%) lo cual ha fomentado un aumento en el consumo, el desempeño positivo en el IVA asociado al consumo interno que crece 9.1%  respecto al año anterior  esto derivado principalmente en un aumento en el consumo de bienes y servicios, el impuesto al cemento que de manera interanual crece 203.7% y respecto a la meta de presupuesto 8.8% explicado por el cambio en la tasa (paso de Q 1.50 a Q 5.0), y el impuesto a las bebidas (alcohólicas y no alcohólicas) las cuales mantienen ritmo creciente de 9.0% interanual y 4.7% respecto a meta de presupuesto.</w:t>
      </w:r>
    </w:p>
    <w:p w:rsidR="00B70AFA" w:rsidRDefault="00B70AFA" w:rsidP="00B70AFA">
      <w:pPr>
        <w:pStyle w:val="Sinespaciado"/>
        <w:jc w:val="both"/>
        <w:rPr>
          <w:rFonts w:ascii="Times New Roman" w:hAnsi="Times New Roman" w:cs="Times New Roman"/>
          <w:lang w:val="es-MX"/>
        </w:rPr>
      </w:pPr>
    </w:p>
    <w:p w:rsidR="00B70AFA" w:rsidRDefault="00B70AFA" w:rsidP="00B70AFA">
      <w:pPr>
        <w:pStyle w:val="Sinespaciado"/>
        <w:jc w:val="both"/>
        <w:rPr>
          <w:rFonts w:ascii="Times New Roman" w:hAnsi="Times New Roman" w:cs="Times New Roman"/>
          <w:lang w:val="es-MX"/>
        </w:rPr>
        <w:sectPr w:rsidR="00B70AFA" w:rsidSect="00B06953">
          <w:type w:val="continuous"/>
          <w:pgSz w:w="12240" w:h="15840"/>
          <w:pgMar w:top="1417" w:right="1701" w:bottom="1417" w:left="1701" w:header="708" w:footer="708" w:gutter="0"/>
          <w:cols w:num="2" w:space="708"/>
          <w:docGrid w:linePitch="360"/>
        </w:sectPr>
      </w:pPr>
      <w:r>
        <w:rPr>
          <w:rFonts w:ascii="Times New Roman" w:hAnsi="Times New Roman" w:cs="Times New Roman"/>
          <w:lang w:val="es-MX"/>
        </w:rPr>
        <w:t>Las devoluciones del crédito fiscal del IVA  a los exportadores crecieron 1.4%  (Q 11.6 millones) respecto al año anterior y se encuentran dentro del rango de meta establecido para el presente ejercicio fiscal, para el caso de la autocompensación del crédito fiscal a los exportadores este presenta un aumento de 6.9% (Q  14.1 millones) respecto al año anterior y de igual manera que las devoluciones se encuentran en el rango establecido para presente ejercicio fiscal.</w:t>
      </w:r>
    </w:p>
    <w:p w:rsidR="00B70AFA" w:rsidRPr="00CD7ECA" w:rsidRDefault="00B70AFA" w:rsidP="00B70AFA">
      <w:pPr>
        <w:spacing w:after="0" w:line="240" w:lineRule="auto"/>
        <w:jc w:val="both"/>
        <w:rPr>
          <w:rFonts w:ascii="Times New Roman" w:hAnsi="Times New Roman" w:cs="Times New Roman"/>
          <w:sz w:val="6"/>
          <w:lang w:val="es-MX"/>
        </w:rPr>
        <w:sectPr w:rsidR="00B70AFA" w:rsidRPr="00CD7ECA" w:rsidSect="00052EE7">
          <w:headerReference w:type="default" r:id="rId13"/>
          <w:footerReference w:type="default" r:id="rId14"/>
          <w:type w:val="continuous"/>
          <w:pgSz w:w="12240" w:h="15840"/>
          <w:pgMar w:top="1417" w:right="1701" w:bottom="1417" w:left="1701" w:header="708" w:footer="708" w:gutter="0"/>
          <w:cols w:num="2" w:space="708"/>
          <w:docGrid w:linePitch="360"/>
        </w:sectPr>
      </w:pPr>
    </w:p>
    <w:p w:rsidR="00B70AFA" w:rsidRPr="00CD7ECA" w:rsidRDefault="00B70AFA" w:rsidP="00B70AFA">
      <w:pPr>
        <w:spacing w:after="0" w:line="240" w:lineRule="auto"/>
        <w:jc w:val="both"/>
        <w:rPr>
          <w:rFonts w:ascii="Times New Roman" w:hAnsi="Times New Roman" w:cs="Times New Roman"/>
          <w:sz w:val="12"/>
          <w:lang w:val="es-MX"/>
        </w:rPr>
      </w:pPr>
    </w:p>
    <w:p w:rsidR="00B70AFA" w:rsidRPr="00CD7ECA" w:rsidRDefault="00B70AFA" w:rsidP="00B70AFA">
      <w:pPr>
        <w:spacing w:after="0" w:line="240" w:lineRule="auto"/>
        <w:jc w:val="center"/>
        <w:rPr>
          <w:rFonts w:ascii="Times New Roman" w:hAnsi="Times New Roman" w:cs="Times New Roman"/>
          <w:b/>
          <w:sz w:val="12"/>
          <w:lang w:val="es-MX"/>
        </w:rPr>
        <w:sectPr w:rsidR="00B70AFA" w:rsidRPr="00CD7ECA" w:rsidSect="00052EE7">
          <w:type w:val="continuous"/>
          <w:pgSz w:w="12240" w:h="15840"/>
          <w:pgMar w:top="1417" w:right="1701" w:bottom="1417" w:left="1701" w:header="708" w:footer="708" w:gutter="0"/>
          <w:cols w:num="2" w:space="708"/>
          <w:docGrid w:linePitch="360"/>
        </w:sectPr>
      </w:pPr>
    </w:p>
    <w:p w:rsidR="00B70AFA" w:rsidRPr="00835B08" w:rsidRDefault="00B70AFA" w:rsidP="00B70AFA">
      <w:pPr>
        <w:spacing w:after="0" w:line="240" w:lineRule="auto"/>
        <w:jc w:val="center"/>
        <w:rPr>
          <w:rFonts w:ascii="Times New Roman" w:hAnsi="Times New Roman" w:cs="Times New Roman"/>
          <w:b/>
          <w:sz w:val="24"/>
          <w:lang w:val="es-MX"/>
        </w:rPr>
      </w:pPr>
      <w:r w:rsidRPr="00835B08">
        <w:rPr>
          <w:rFonts w:ascii="Times New Roman" w:hAnsi="Times New Roman" w:cs="Times New Roman"/>
          <w:b/>
          <w:sz w:val="24"/>
          <w:lang w:val="es-MX"/>
        </w:rPr>
        <w:t>Recaudación tributaria</w:t>
      </w:r>
    </w:p>
    <w:p w:rsidR="00B70AFA" w:rsidRPr="00B70AFA" w:rsidRDefault="00B70AFA" w:rsidP="00B70AFA">
      <w:pPr>
        <w:spacing w:after="0" w:line="240" w:lineRule="auto"/>
        <w:jc w:val="center"/>
        <w:rPr>
          <w:rFonts w:ascii="Times New Roman" w:hAnsi="Times New Roman" w:cs="Times New Roman"/>
          <w:sz w:val="18"/>
          <w:lang w:val="es-MX"/>
        </w:rPr>
      </w:pPr>
      <w:r w:rsidRPr="00B70AFA">
        <w:rPr>
          <w:rFonts w:ascii="Times New Roman" w:hAnsi="Times New Roman" w:cs="Times New Roman"/>
          <w:sz w:val="18"/>
          <w:lang w:val="es-MX"/>
        </w:rPr>
        <w:t>Millones de quetzales y porcentajes</w:t>
      </w:r>
    </w:p>
    <w:p w:rsidR="00B70AFA" w:rsidRDefault="00B70AFA" w:rsidP="00B70AFA">
      <w:pPr>
        <w:spacing w:after="0" w:line="240" w:lineRule="auto"/>
        <w:jc w:val="center"/>
        <w:rPr>
          <w:rFonts w:ascii="Times New Roman" w:hAnsi="Times New Roman" w:cs="Times New Roman"/>
          <w:lang w:val="es-MX"/>
        </w:rPr>
      </w:pPr>
      <w:r w:rsidRPr="00B06953">
        <w:rPr>
          <w:noProof/>
          <w:lang w:eastAsia="es-GT"/>
        </w:rPr>
        <w:drawing>
          <wp:inline distT="0" distB="0" distL="0" distR="0" wp14:anchorId="7B83F0F5" wp14:editId="0FBFD946">
            <wp:extent cx="4425350" cy="3493698"/>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1126" cy="3521942"/>
                    </a:xfrm>
                    <a:prstGeom prst="rect">
                      <a:avLst/>
                    </a:prstGeom>
                    <a:noFill/>
                    <a:ln>
                      <a:noFill/>
                    </a:ln>
                  </pic:spPr>
                </pic:pic>
              </a:graphicData>
            </a:graphic>
          </wp:inline>
        </w:drawing>
      </w:r>
    </w:p>
    <w:p w:rsidR="00B70AFA" w:rsidRPr="00B70AFA" w:rsidRDefault="00B70AFA" w:rsidP="00CD7ECA">
      <w:pPr>
        <w:spacing w:after="0" w:line="240" w:lineRule="auto"/>
        <w:ind w:left="708" w:firstLine="708"/>
        <w:jc w:val="both"/>
        <w:rPr>
          <w:rFonts w:ascii="Times New Roman" w:hAnsi="Times New Roman" w:cs="Times New Roman"/>
          <w:lang w:val="es-MX"/>
        </w:rPr>
      </w:pPr>
      <w:r w:rsidRPr="00B70AFA">
        <w:rPr>
          <w:rFonts w:ascii="Times New Roman" w:hAnsi="Times New Roman" w:cs="Times New Roman"/>
          <w:sz w:val="16"/>
          <w:lang w:val="es-MX"/>
        </w:rPr>
        <w:t>Fuente: Dirección de Análisis y Política Fiscal</w:t>
      </w:r>
      <w:r w:rsidRPr="00B70AFA">
        <w:rPr>
          <w:rFonts w:ascii="Times New Roman" w:hAnsi="Times New Roman" w:cs="Times New Roman"/>
          <w:lang w:val="es-MX"/>
        </w:rPr>
        <w:t xml:space="preserve"> </w:t>
      </w:r>
    </w:p>
    <w:p w:rsidR="00D95A72" w:rsidRPr="00CB23EF" w:rsidRDefault="00D95A72" w:rsidP="00875248">
      <w:pPr>
        <w:spacing w:after="0" w:line="240" w:lineRule="auto"/>
        <w:jc w:val="both"/>
        <w:rPr>
          <w:rFonts w:ascii="Times New Roman" w:hAnsi="Times New Roman" w:cs="Times New Roman"/>
          <w:color w:val="FF0000"/>
          <w:lang w:val="es-MX"/>
        </w:rPr>
        <w:sectPr w:rsidR="00D95A72" w:rsidRPr="00CB23EF" w:rsidSect="00B70AFA">
          <w:type w:val="continuous"/>
          <w:pgSz w:w="12240" w:h="15840"/>
          <w:pgMar w:top="1417" w:right="1701" w:bottom="1417" w:left="1701" w:header="708" w:footer="708" w:gutter="0"/>
          <w:cols w:space="708"/>
          <w:docGrid w:linePitch="360"/>
        </w:sectPr>
      </w:pPr>
    </w:p>
    <w:p w:rsidR="00D95A72" w:rsidRPr="00CB23EF" w:rsidRDefault="00D95A72" w:rsidP="004056AF">
      <w:pPr>
        <w:spacing w:after="0" w:line="240" w:lineRule="auto"/>
        <w:rPr>
          <w:rFonts w:ascii="Times New Roman" w:hAnsi="Times New Roman" w:cs="Times New Roman"/>
          <w:b/>
          <w:color w:val="FF0000"/>
          <w:sz w:val="14"/>
          <w:lang w:val="es-MX"/>
        </w:rPr>
        <w:sectPr w:rsidR="00D95A72" w:rsidRPr="00CB23EF" w:rsidSect="00052EE7">
          <w:type w:val="continuous"/>
          <w:pgSz w:w="12240" w:h="15840"/>
          <w:pgMar w:top="1417" w:right="1701" w:bottom="1417" w:left="1701" w:header="708" w:footer="708" w:gutter="0"/>
          <w:cols w:num="2" w:space="708"/>
          <w:docGrid w:linePitch="360"/>
        </w:sectPr>
      </w:pPr>
    </w:p>
    <w:p w:rsidR="00701B17" w:rsidRPr="00CB23EF" w:rsidRDefault="00701B17" w:rsidP="00D90C85">
      <w:pPr>
        <w:spacing w:after="0" w:line="240" w:lineRule="auto"/>
        <w:jc w:val="both"/>
        <w:rPr>
          <w:rFonts w:ascii="Times New Roman" w:hAnsi="Times New Roman" w:cs="Times New Roman"/>
          <w:color w:val="FF0000"/>
          <w:sz w:val="6"/>
          <w:lang w:val="es-MX"/>
        </w:rPr>
      </w:pPr>
    </w:p>
    <w:p w:rsidR="00582390" w:rsidRPr="00CB23EF" w:rsidRDefault="00CB23EF" w:rsidP="00582390">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rPr>
        <w:t>Se de</w:t>
      </w:r>
      <w:r w:rsidR="00887595" w:rsidRPr="00CB23EF">
        <w:rPr>
          <w:rFonts w:ascii="Times New Roman" w:hAnsi="Times New Roman" w:cs="Times New Roman"/>
          <w:b/>
        </w:rPr>
        <w:t>s</w:t>
      </w:r>
      <w:r>
        <w:rPr>
          <w:rFonts w:ascii="Times New Roman" w:hAnsi="Times New Roman" w:cs="Times New Roman"/>
          <w:b/>
        </w:rPr>
        <w:t>acelera la ejecución de gasto público</w:t>
      </w:r>
    </w:p>
    <w:p w:rsidR="00BD010A" w:rsidRPr="00CB23EF" w:rsidRDefault="00BD010A" w:rsidP="00363CC7">
      <w:pPr>
        <w:pStyle w:val="Sinespaciado"/>
        <w:jc w:val="both"/>
        <w:rPr>
          <w:rFonts w:ascii="Times New Roman" w:hAnsi="Times New Roman" w:cs="Times New Roman"/>
          <w:color w:val="FF0000"/>
          <w:lang w:val="es-MX"/>
        </w:rPr>
      </w:pPr>
    </w:p>
    <w:p w:rsidR="00BD010A" w:rsidRPr="00CB23EF" w:rsidRDefault="00BD010A" w:rsidP="00363CC7">
      <w:pPr>
        <w:pStyle w:val="Sinespaciado"/>
        <w:jc w:val="both"/>
        <w:rPr>
          <w:rFonts w:ascii="Times New Roman" w:hAnsi="Times New Roman" w:cs="Times New Roman"/>
          <w:color w:val="FF0000"/>
          <w:lang w:val="es-MX"/>
        </w:rPr>
        <w:sectPr w:rsidR="00BD010A" w:rsidRPr="00CB23EF" w:rsidSect="00BD010A">
          <w:type w:val="continuous"/>
          <w:pgSz w:w="12240" w:h="15840"/>
          <w:pgMar w:top="1417" w:right="1701" w:bottom="1417" w:left="1701" w:header="708" w:footer="708" w:gutter="0"/>
          <w:cols w:space="708"/>
          <w:docGrid w:linePitch="360"/>
        </w:sectPr>
      </w:pP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lang w:val="es-MX"/>
        </w:rPr>
        <w:lastRenderedPageBreak/>
        <w:t>La ejecución de gasto público al 31 de mayo de 2015, se situó en Q 25,031.7 millones, el cual muestra una tasa de variación interanual positiva de 10.2%, menor al crecimiento obtenido el mes pasado que fue de 14.6% y menor con respecto a la estimación de mayo,  que es de 12.5%.  Lo anterior muestra, la intención del gobierno por contener la ejecución de gasto ante la reducción en los ingresos tributarios.</w:t>
      </w:r>
    </w:p>
    <w:p w:rsidR="00CB23EF" w:rsidRDefault="00CB23EF" w:rsidP="00CB23EF">
      <w:pPr>
        <w:pStyle w:val="Sinespaciado"/>
        <w:jc w:val="both"/>
        <w:rPr>
          <w:rFonts w:ascii="Times New Roman" w:hAnsi="Times New Roman" w:cs="Times New Roman"/>
          <w:lang w:val="es-MX"/>
        </w:rPr>
      </w:pPr>
    </w:p>
    <w:p w:rsidR="00CB23EF" w:rsidRPr="007348EE" w:rsidRDefault="00CB23EF" w:rsidP="00CB23EF">
      <w:pPr>
        <w:pStyle w:val="Sinespaciado"/>
        <w:jc w:val="center"/>
        <w:rPr>
          <w:rFonts w:ascii="Times New Roman" w:hAnsi="Times New Roman" w:cs="Times New Roman"/>
          <w:b/>
          <w:lang w:val="es-MX"/>
        </w:rPr>
      </w:pPr>
      <w:r w:rsidRPr="007348EE">
        <w:rPr>
          <w:rFonts w:ascii="Times New Roman" w:hAnsi="Times New Roman" w:cs="Times New Roman"/>
          <w:b/>
          <w:lang w:val="es-MX"/>
        </w:rPr>
        <w:t>Ritmo de Ejecución de Gasto Público</w:t>
      </w:r>
    </w:p>
    <w:p w:rsidR="00CB23EF" w:rsidRPr="007348EE" w:rsidRDefault="00CB23EF" w:rsidP="00CB23EF">
      <w:pPr>
        <w:pStyle w:val="Sinespaciado"/>
        <w:jc w:val="center"/>
        <w:rPr>
          <w:rFonts w:ascii="Times New Roman" w:hAnsi="Times New Roman" w:cs="Times New Roman"/>
          <w:sz w:val="18"/>
          <w:lang w:val="es-MX"/>
        </w:rPr>
      </w:pPr>
      <w:r>
        <w:rPr>
          <w:rFonts w:ascii="Times New Roman" w:hAnsi="Times New Roman" w:cs="Times New Roman"/>
          <w:sz w:val="18"/>
          <w:lang w:val="es-MX"/>
        </w:rPr>
        <w:t>Mensual 2015</w:t>
      </w: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747594D9" wp14:editId="5DDC2C1C">
            <wp:extent cx="2481237" cy="18288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81072" cy="1828678"/>
                    </a:xfrm>
                    <a:prstGeom prst="rect">
                      <a:avLst/>
                    </a:prstGeom>
                    <a:noFill/>
                  </pic:spPr>
                </pic:pic>
              </a:graphicData>
            </a:graphic>
          </wp:inline>
        </w:drawing>
      </w: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B23EF" w:rsidRDefault="00CB23EF" w:rsidP="00CB23EF">
      <w:pPr>
        <w:pStyle w:val="Sinespaciado"/>
        <w:jc w:val="both"/>
        <w:rPr>
          <w:rFonts w:ascii="Times New Roman" w:hAnsi="Times New Roman" w:cs="Times New Roman"/>
          <w:lang w:val="es-MX"/>
        </w:rPr>
      </w:pP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lang w:val="es-MX"/>
        </w:rPr>
        <w:t xml:space="preserve">Los principales componentes que han incidido en el aumento en el gasto público siguen siendo la nómina principalmente por el incremento salarial a los maestros, aunque se observan aumentos en salud y gobernación.  Asimismo, en este año se realizó un aporte extraordinario al Tribunal Supremo Electoral y además aumentó el pago de intereses de deuda pública que en parte se debe al registro de pagos que no pudieron regularizarse en 2014 por no contar con presupuesto y también porque el nivel deuda entre 2014-2015 ha aumentado, aunque el costo promedio (tasa de interés) disminuyó.  Adicionalmente, en este año, algunos aportes institucionales se realizaron oportunamente ya que en 2014, derivado de los problemas de liquidez, hubo rezago en los pagos. </w:t>
      </w:r>
    </w:p>
    <w:p w:rsidR="00CB23EF" w:rsidRDefault="00CB23EF" w:rsidP="00CB23EF">
      <w:pPr>
        <w:pStyle w:val="Sinespaciado"/>
        <w:jc w:val="center"/>
        <w:rPr>
          <w:rFonts w:ascii="Times New Roman" w:hAnsi="Times New Roman" w:cs="Times New Roman"/>
          <w:b/>
          <w:lang w:val="es-MX"/>
        </w:rPr>
      </w:pPr>
    </w:p>
    <w:p w:rsidR="00CD7ECA" w:rsidRDefault="00CD7ECA" w:rsidP="00CB23EF">
      <w:pPr>
        <w:pStyle w:val="Sinespaciado"/>
        <w:jc w:val="center"/>
        <w:rPr>
          <w:rFonts w:ascii="Times New Roman" w:hAnsi="Times New Roman" w:cs="Times New Roman"/>
          <w:b/>
          <w:lang w:val="es-MX"/>
        </w:rPr>
      </w:pPr>
    </w:p>
    <w:p w:rsidR="00CD7ECA" w:rsidRDefault="00CD7ECA" w:rsidP="00CB23EF">
      <w:pPr>
        <w:pStyle w:val="Sinespaciado"/>
        <w:jc w:val="center"/>
        <w:rPr>
          <w:rFonts w:ascii="Times New Roman" w:hAnsi="Times New Roman" w:cs="Times New Roman"/>
          <w:b/>
          <w:lang w:val="es-MX"/>
        </w:rPr>
      </w:pPr>
    </w:p>
    <w:p w:rsidR="00CD7ECA" w:rsidRDefault="00CD7ECA" w:rsidP="00CB23EF">
      <w:pPr>
        <w:pStyle w:val="Sinespaciado"/>
        <w:jc w:val="center"/>
        <w:rPr>
          <w:rFonts w:ascii="Times New Roman" w:hAnsi="Times New Roman" w:cs="Times New Roman"/>
          <w:b/>
          <w:lang w:val="es-MX"/>
        </w:rPr>
      </w:pPr>
    </w:p>
    <w:p w:rsidR="00CB23EF" w:rsidRPr="007348EE" w:rsidRDefault="00CB23EF" w:rsidP="00CB23EF">
      <w:pPr>
        <w:pStyle w:val="Sinespaciado"/>
        <w:jc w:val="center"/>
        <w:rPr>
          <w:rFonts w:ascii="Times New Roman" w:hAnsi="Times New Roman" w:cs="Times New Roman"/>
          <w:b/>
          <w:lang w:val="es-MX"/>
        </w:rPr>
      </w:pPr>
      <w:r>
        <w:rPr>
          <w:rFonts w:ascii="Times New Roman" w:hAnsi="Times New Roman" w:cs="Times New Roman"/>
          <w:b/>
          <w:lang w:val="es-MX"/>
        </w:rPr>
        <w:lastRenderedPageBreak/>
        <w:t>Aumento en algunos rubros de gasto</w:t>
      </w:r>
    </w:p>
    <w:p w:rsidR="00CB23EF" w:rsidRDefault="00CB23EF" w:rsidP="00CB23EF">
      <w:pPr>
        <w:pStyle w:val="Sinespaciado"/>
        <w:jc w:val="center"/>
        <w:rPr>
          <w:rFonts w:ascii="Times New Roman" w:hAnsi="Times New Roman" w:cs="Times New Roman"/>
          <w:sz w:val="18"/>
          <w:lang w:val="es-MX"/>
        </w:rPr>
      </w:pPr>
      <w:r>
        <w:rPr>
          <w:rFonts w:ascii="Times New Roman" w:hAnsi="Times New Roman" w:cs="Times New Roman"/>
          <w:sz w:val="18"/>
          <w:lang w:val="es-MX"/>
        </w:rPr>
        <w:t>Variación a mayo 2014 – 2015</w:t>
      </w:r>
    </w:p>
    <w:p w:rsidR="00CB23EF" w:rsidRDefault="00CB23EF" w:rsidP="00CB23EF">
      <w:pPr>
        <w:pStyle w:val="Sinespaciado"/>
        <w:jc w:val="both"/>
        <w:rPr>
          <w:rFonts w:ascii="Times New Roman" w:hAnsi="Times New Roman" w:cs="Times New Roman"/>
          <w:lang w:val="es-MX"/>
        </w:rPr>
      </w:pP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629521EF" wp14:editId="0E43C005">
            <wp:extent cx="2514547" cy="1613139"/>
            <wp:effectExtent l="0" t="0" r="635"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11808" cy="1611382"/>
                    </a:xfrm>
                    <a:prstGeom prst="rect">
                      <a:avLst/>
                    </a:prstGeom>
                    <a:noFill/>
                  </pic:spPr>
                </pic:pic>
              </a:graphicData>
            </a:graphic>
          </wp:inline>
        </w:drawing>
      </w:r>
    </w:p>
    <w:p w:rsidR="00CD7ECA" w:rsidRDefault="00CD7ECA" w:rsidP="00CB23EF">
      <w:pPr>
        <w:pStyle w:val="Sinespaciado"/>
        <w:jc w:val="both"/>
        <w:rPr>
          <w:rFonts w:ascii="Times New Roman" w:hAnsi="Times New Roman" w:cs="Times New Roman"/>
          <w:sz w:val="16"/>
        </w:rPr>
      </w:pPr>
    </w:p>
    <w:p w:rsidR="00CB23EF" w:rsidRDefault="00CB23EF" w:rsidP="00CB23EF">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 xml:space="preserve">y Política fiscal </w:t>
      </w:r>
    </w:p>
    <w:p w:rsidR="00CB23EF" w:rsidRDefault="00CB23EF" w:rsidP="00CB23EF">
      <w:pPr>
        <w:pStyle w:val="Sinespaciado"/>
        <w:jc w:val="both"/>
        <w:rPr>
          <w:rFonts w:ascii="Times New Roman" w:hAnsi="Times New Roman" w:cs="Times New Roman"/>
          <w:lang w:val="es-MX"/>
        </w:rPr>
      </w:pPr>
    </w:p>
    <w:p w:rsidR="00CB23EF" w:rsidRDefault="00CB23EF" w:rsidP="00CB23EF">
      <w:pPr>
        <w:pStyle w:val="Sinespaciado"/>
        <w:jc w:val="both"/>
        <w:rPr>
          <w:rFonts w:ascii="Times New Roman" w:hAnsi="Times New Roman" w:cs="Times New Roman"/>
        </w:rPr>
      </w:pPr>
      <w:r>
        <w:rPr>
          <w:rFonts w:ascii="Times New Roman" w:hAnsi="Times New Roman" w:cs="Times New Roman"/>
          <w:lang w:val="es-MX"/>
        </w:rPr>
        <w:t xml:space="preserve">Por su parte, en los bienes y servicios, es en donde se observa una fuerte desaceleración  ya que a la fecha, su crecimiento es de 5.1%, nivel que contrasta con el ritmo mostrado en meses anteriores en donde superó el 20%, mostrando con ello, que buena parte de la contención, se está aplicando en este rubro, lo cual es consiste con una baja en el gasto considerado como superfluo, </w:t>
      </w:r>
      <w:r>
        <w:rPr>
          <w:rFonts w:ascii="Times New Roman" w:hAnsi="Times New Roman" w:cs="Times New Roman"/>
        </w:rPr>
        <w:t>lo cual muestra que, en cierto sentido, hay una política de austeridad implícita, principalmente en rubros sensibles de gasto como viáticos, alimentos para personas, equipo de transporte, combustible, divulgación e información, entre otros.  Es importante indicar que no todos estos rubros mostraron una reducción, algunos tuvieron aumentos pero poco significativos.  Derivado de la reducción de las disponibilidades, se esperaría que este gasto se reduzca en lo que resta del año.</w:t>
      </w:r>
    </w:p>
    <w:p w:rsidR="00CB23EF" w:rsidRDefault="00CB23EF" w:rsidP="00CB23EF">
      <w:pPr>
        <w:pStyle w:val="Sinespaciado"/>
        <w:rPr>
          <w:rFonts w:ascii="Times New Roman" w:hAnsi="Times New Roman" w:cs="Times New Roman"/>
          <w:lang w:val="es-MX"/>
        </w:rPr>
      </w:pPr>
    </w:p>
    <w:p w:rsidR="00CB23EF" w:rsidRPr="00017CB5" w:rsidRDefault="00CB23EF" w:rsidP="00CB23EF">
      <w:pPr>
        <w:pStyle w:val="Sinespaciado"/>
        <w:jc w:val="center"/>
        <w:rPr>
          <w:rFonts w:ascii="Times New Roman" w:hAnsi="Times New Roman" w:cs="Times New Roman"/>
          <w:b/>
        </w:rPr>
      </w:pPr>
      <w:r>
        <w:rPr>
          <w:rFonts w:ascii="Times New Roman" w:hAnsi="Times New Roman" w:cs="Times New Roman"/>
          <w:lang w:val="es-MX"/>
        </w:rPr>
        <w:t xml:space="preserve"> </w:t>
      </w:r>
      <w:r>
        <w:rPr>
          <w:rFonts w:ascii="Times New Roman" w:hAnsi="Times New Roman" w:cs="Times New Roman"/>
          <w:b/>
        </w:rPr>
        <w:t>Gasto S</w:t>
      </w:r>
      <w:r w:rsidRPr="00017CB5">
        <w:rPr>
          <w:rFonts w:ascii="Times New Roman" w:hAnsi="Times New Roman" w:cs="Times New Roman"/>
          <w:b/>
        </w:rPr>
        <w:t>uperfluo</w:t>
      </w:r>
    </w:p>
    <w:p w:rsidR="00CB23EF" w:rsidRPr="004854A1" w:rsidRDefault="00CB23EF" w:rsidP="00CB23EF">
      <w:pPr>
        <w:pStyle w:val="Sinespaciado"/>
        <w:jc w:val="center"/>
        <w:rPr>
          <w:rFonts w:ascii="Times New Roman" w:hAnsi="Times New Roman" w:cs="Times New Roman"/>
          <w:sz w:val="14"/>
        </w:rPr>
      </w:pPr>
      <w:r w:rsidRPr="004854A1">
        <w:rPr>
          <w:rFonts w:ascii="Times New Roman" w:hAnsi="Times New Roman" w:cs="Times New Roman"/>
          <w:sz w:val="14"/>
        </w:rPr>
        <w:t xml:space="preserve">Acumulado a Mayo de cada año   </w:t>
      </w:r>
      <w:r>
        <w:rPr>
          <w:rFonts w:ascii="Times New Roman" w:hAnsi="Times New Roman" w:cs="Times New Roman"/>
          <w:sz w:val="14"/>
        </w:rPr>
        <w:t xml:space="preserve">  </w:t>
      </w:r>
      <w:r w:rsidRPr="004854A1">
        <w:rPr>
          <w:rFonts w:ascii="Times New Roman" w:hAnsi="Times New Roman" w:cs="Times New Roman"/>
          <w:sz w:val="14"/>
        </w:rPr>
        <w:t xml:space="preserve">  </w:t>
      </w:r>
      <w:r>
        <w:rPr>
          <w:rFonts w:ascii="Times New Roman" w:hAnsi="Times New Roman" w:cs="Times New Roman"/>
          <w:sz w:val="14"/>
        </w:rPr>
        <w:t>Aumento por Rubro 2014-</w:t>
      </w:r>
      <w:r w:rsidRPr="004854A1">
        <w:rPr>
          <w:rFonts w:ascii="Times New Roman" w:hAnsi="Times New Roman" w:cs="Times New Roman"/>
          <w:sz w:val="14"/>
        </w:rPr>
        <w:t>2015</w:t>
      </w:r>
    </w:p>
    <w:p w:rsidR="00CB23EF" w:rsidRDefault="00CB23EF" w:rsidP="00CB23EF">
      <w:pPr>
        <w:pStyle w:val="Sinespaciado"/>
        <w:jc w:val="both"/>
        <w:rPr>
          <w:rFonts w:ascii="Times New Roman" w:hAnsi="Times New Roman" w:cs="Times New Roman"/>
          <w:lang w:val="es-MX"/>
        </w:rPr>
      </w:pPr>
      <w:r>
        <w:rPr>
          <w:rFonts w:ascii="Times New Roman" w:hAnsi="Times New Roman" w:cs="Times New Roman"/>
          <w:noProof/>
          <w:lang w:eastAsia="es-GT"/>
        </w:rPr>
        <w:drawing>
          <wp:inline distT="0" distB="0" distL="0" distR="0" wp14:anchorId="582A2C66" wp14:editId="64F621D0">
            <wp:extent cx="2674189" cy="144923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6442" cy="1450459"/>
                    </a:xfrm>
                    <a:prstGeom prst="rect">
                      <a:avLst/>
                    </a:prstGeom>
                    <a:noFill/>
                  </pic:spPr>
                </pic:pic>
              </a:graphicData>
            </a:graphic>
          </wp:inline>
        </w:drawing>
      </w:r>
    </w:p>
    <w:p w:rsidR="00CD7ECA" w:rsidRDefault="00CD7ECA" w:rsidP="00CB23EF">
      <w:pPr>
        <w:pStyle w:val="Sinespaciado"/>
        <w:jc w:val="both"/>
        <w:rPr>
          <w:rFonts w:ascii="Times New Roman" w:hAnsi="Times New Roman" w:cs="Times New Roman"/>
          <w:sz w:val="16"/>
        </w:rPr>
      </w:pPr>
    </w:p>
    <w:p w:rsidR="00CB23EF" w:rsidRPr="00CD7ECA" w:rsidRDefault="00CB23EF" w:rsidP="00CD7ECA">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B23EF" w:rsidRDefault="00CB23EF" w:rsidP="00CB23EF">
      <w:pPr>
        <w:pStyle w:val="Sinespaciado"/>
        <w:jc w:val="both"/>
        <w:rPr>
          <w:rFonts w:ascii="Times New Roman" w:hAnsi="Times New Roman" w:cs="Times New Roman"/>
        </w:rPr>
      </w:pPr>
      <w:r>
        <w:rPr>
          <w:rFonts w:ascii="Times New Roman" w:hAnsi="Times New Roman" w:cs="Times New Roman"/>
        </w:rPr>
        <w:lastRenderedPageBreak/>
        <w:t>En cuanto a la ejecución presupuestaria a nivel institucional, merece especial atención,  el alto nivel de gasto, con respecto a su presupuesto, de la entidad servicios de la deuda pública, la cual sigue sin contar con el presupuesto y financiamiento suficiente para atender todos los compromisos de este año, lo cual ya está generando problemas en la caja fiscal que se agudizaran posiblemente antes del último trimestre.  Por lo que es recomendable tomar las acciones necesarias para aumentar el presupuesto de esta entidad primero mediante modificaciones presupuestarias o a través de una ampliación que deberá ser aprobada por el Congreso de la República.</w:t>
      </w:r>
    </w:p>
    <w:p w:rsidR="00CB23EF" w:rsidRDefault="00CB23EF" w:rsidP="00CB23EF">
      <w:pPr>
        <w:pStyle w:val="Sinespaciado"/>
        <w:jc w:val="center"/>
        <w:rPr>
          <w:rFonts w:ascii="Times New Roman" w:hAnsi="Times New Roman" w:cs="Times New Roman"/>
          <w:b/>
          <w:lang w:val="es-MX"/>
        </w:rPr>
      </w:pPr>
    </w:p>
    <w:p w:rsidR="00CB23EF" w:rsidRDefault="00CB23EF" w:rsidP="00CB23EF">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Ejecución Presupuestaria </w:t>
      </w:r>
    </w:p>
    <w:p w:rsidR="00CB23EF" w:rsidRPr="0011071B" w:rsidRDefault="00CB23EF" w:rsidP="00CB23EF">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P</w:t>
      </w:r>
      <w:r w:rsidRPr="0011071B">
        <w:rPr>
          <w:rFonts w:ascii="Times New Roman" w:hAnsi="Times New Roman" w:cs="Times New Roman"/>
          <w:sz w:val="18"/>
          <w:szCs w:val="18"/>
          <w:lang w:val="es-MX"/>
        </w:rPr>
        <w:t>or Entidad a Mayo de 2015</w:t>
      </w:r>
    </w:p>
    <w:p w:rsidR="00CB23EF" w:rsidRDefault="00CB23EF" w:rsidP="00CB23EF">
      <w:pPr>
        <w:pStyle w:val="Sinespaciado"/>
        <w:jc w:val="both"/>
        <w:rPr>
          <w:rFonts w:ascii="Times New Roman" w:hAnsi="Times New Roman" w:cs="Times New Roman"/>
        </w:rPr>
      </w:pPr>
      <w:r>
        <w:rPr>
          <w:rFonts w:ascii="Times New Roman" w:hAnsi="Times New Roman" w:cs="Times New Roman"/>
          <w:noProof/>
          <w:lang w:eastAsia="es-GT"/>
        </w:rPr>
        <w:drawing>
          <wp:inline distT="0" distB="0" distL="0" distR="0" wp14:anchorId="517C23D2" wp14:editId="2277016A">
            <wp:extent cx="2749296" cy="2334768"/>
            <wp:effectExtent l="0" t="0" r="0" b="889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2784" cy="2337730"/>
                    </a:xfrm>
                    <a:prstGeom prst="rect">
                      <a:avLst/>
                    </a:prstGeom>
                    <a:noFill/>
                  </pic:spPr>
                </pic:pic>
              </a:graphicData>
            </a:graphic>
          </wp:inline>
        </w:drawing>
      </w:r>
    </w:p>
    <w:p w:rsidR="00CB23EF" w:rsidRDefault="00CB23EF" w:rsidP="00CB23EF">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 xml:space="preserve">y Política fiscal </w:t>
      </w:r>
    </w:p>
    <w:p w:rsidR="00CB23EF" w:rsidRDefault="00CB23EF" w:rsidP="00CB23EF">
      <w:pPr>
        <w:pStyle w:val="Sinespaciado"/>
        <w:jc w:val="both"/>
        <w:rPr>
          <w:rFonts w:ascii="Times New Roman" w:hAnsi="Times New Roman" w:cs="Times New Roman"/>
        </w:rPr>
      </w:pPr>
    </w:p>
    <w:p w:rsidR="00CB23EF" w:rsidRDefault="00CB23EF" w:rsidP="00CB23EF">
      <w:pPr>
        <w:pStyle w:val="Sinespaciado"/>
        <w:jc w:val="both"/>
        <w:rPr>
          <w:rFonts w:ascii="Times New Roman" w:hAnsi="Times New Roman" w:cs="Times New Roman"/>
        </w:rPr>
      </w:pPr>
      <w:r>
        <w:rPr>
          <w:rFonts w:ascii="Times New Roman" w:hAnsi="Times New Roman" w:cs="Times New Roman"/>
        </w:rPr>
        <w:t xml:space="preserve">Por su parte, otros ministerios como educación, trabajo, defensa, la PGN, gobernación, así como las obligaciones y salud; muestran niveles de ejecución por arriba del 35%.  En tanto que desarrollo </w:t>
      </w:r>
      <w:r>
        <w:rPr>
          <w:rFonts w:ascii="Times New Roman" w:hAnsi="Times New Roman" w:cs="Times New Roman"/>
        </w:rPr>
        <w:lastRenderedPageBreak/>
        <w:t>social, comunicaciones y ambiente con niveles bastante bajos por debajo del 25%.  Es importante indicar que de acuerdo a la evidencia histórica, para mayo, niveles por arriba del 42% sugiere que la ejecución es muy acelerada y que puede inducir a la necesidad de aumentos presupuestarios, mientras que ejecuciones por debajo del 25% muestran problemas de eficiencia en la ejecución.</w:t>
      </w:r>
    </w:p>
    <w:p w:rsidR="00CB23EF" w:rsidRDefault="00CB23EF" w:rsidP="00CB23EF">
      <w:pPr>
        <w:pStyle w:val="Sinespaciado"/>
        <w:jc w:val="both"/>
        <w:rPr>
          <w:rFonts w:ascii="Times New Roman" w:hAnsi="Times New Roman" w:cs="Times New Roman"/>
        </w:rPr>
      </w:pPr>
    </w:p>
    <w:p w:rsidR="00CB23EF" w:rsidRDefault="00CB23EF" w:rsidP="00CB23EF">
      <w:pPr>
        <w:pStyle w:val="Sinespaciado"/>
        <w:jc w:val="both"/>
        <w:rPr>
          <w:rFonts w:ascii="Times New Roman" w:hAnsi="Times New Roman" w:cs="Times New Roman"/>
        </w:rPr>
      </w:pPr>
      <w:r>
        <w:rPr>
          <w:rFonts w:ascii="Times New Roman" w:hAnsi="Times New Roman" w:cs="Times New Roman"/>
          <w:lang w:val="es-MX"/>
        </w:rPr>
        <w:t>A pesar de la desaceleración en el gasto público, el gasto social sigue mostrando un crecimiento importante de 9.9%, mostrando con ello que la dinámica en el gasto público está determinada en buena medida por la ejecución en los sectores de educación y salud.  Por otro lado, los otros componentes del gasto de los Acuerdos de Paz (seguridad interna, transferencias al OJ, CC y MP) tuvieron igualmente un buen dinamismo a pesar de los problemas que el gobierno está teniendo con la recaudación tributaria, de esta cuenta, el crecimiento del gasto de los Acuerdos de Paz se ubicó en 9.8%</w:t>
      </w:r>
    </w:p>
    <w:p w:rsidR="00CB23EF" w:rsidRDefault="00CB23EF" w:rsidP="00CB23EF">
      <w:pPr>
        <w:pStyle w:val="Sinespaciado"/>
        <w:jc w:val="both"/>
        <w:rPr>
          <w:rFonts w:ascii="Times New Roman" w:hAnsi="Times New Roman" w:cs="Times New Roman"/>
        </w:rPr>
      </w:pPr>
    </w:p>
    <w:p w:rsidR="00CB23EF" w:rsidRDefault="00CB23EF" w:rsidP="00CB23EF">
      <w:pPr>
        <w:pStyle w:val="Sinespaciado"/>
        <w:jc w:val="center"/>
        <w:rPr>
          <w:rFonts w:ascii="Times New Roman" w:hAnsi="Times New Roman" w:cs="Times New Roman"/>
          <w:b/>
        </w:rPr>
      </w:pPr>
      <w:r>
        <w:rPr>
          <w:rFonts w:ascii="Times New Roman" w:hAnsi="Times New Roman" w:cs="Times New Roman"/>
          <w:b/>
        </w:rPr>
        <w:t>G</w:t>
      </w:r>
      <w:r w:rsidRPr="00085621">
        <w:rPr>
          <w:rFonts w:ascii="Times New Roman" w:hAnsi="Times New Roman" w:cs="Times New Roman"/>
          <w:b/>
        </w:rPr>
        <w:t>asto Social y de los Acuerdos de Paz</w:t>
      </w:r>
    </w:p>
    <w:p w:rsidR="00CB23EF" w:rsidRDefault="00CB23EF" w:rsidP="00CB23EF">
      <w:pPr>
        <w:pStyle w:val="Sinespaciado"/>
        <w:jc w:val="center"/>
        <w:rPr>
          <w:rFonts w:ascii="Times New Roman" w:hAnsi="Times New Roman" w:cs="Times New Roman"/>
          <w:sz w:val="18"/>
        </w:rPr>
      </w:pPr>
      <w:r>
        <w:rPr>
          <w:rFonts w:ascii="Times New Roman" w:hAnsi="Times New Roman" w:cs="Times New Roman"/>
          <w:sz w:val="18"/>
        </w:rPr>
        <w:t>Acumulado a Mayo</w:t>
      </w:r>
      <w:r w:rsidRPr="00085621">
        <w:rPr>
          <w:rFonts w:ascii="Times New Roman" w:hAnsi="Times New Roman" w:cs="Times New Roman"/>
          <w:sz w:val="18"/>
        </w:rPr>
        <w:t xml:space="preserve"> 2014 – 2015</w:t>
      </w:r>
    </w:p>
    <w:p w:rsidR="00CB23EF" w:rsidRDefault="00CB23EF" w:rsidP="00CB23EF">
      <w:pPr>
        <w:pStyle w:val="Sinespaciado"/>
        <w:jc w:val="center"/>
        <w:rPr>
          <w:rFonts w:ascii="Times New Roman" w:hAnsi="Times New Roman" w:cs="Times New Roman"/>
          <w:b/>
        </w:rPr>
      </w:pPr>
      <w:r w:rsidRPr="00085621">
        <w:rPr>
          <w:rFonts w:ascii="Times New Roman" w:hAnsi="Times New Roman" w:cs="Times New Roman"/>
          <w:sz w:val="18"/>
        </w:rPr>
        <w:t>Millones de Quetzales y Porcentajes</w:t>
      </w:r>
    </w:p>
    <w:p w:rsidR="00CB23EF" w:rsidRDefault="00CB23EF" w:rsidP="00CB23EF">
      <w:pPr>
        <w:pStyle w:val="Sinespaciado"/>
        <w:jc w:val="both"/>
        <w:rPr>
          <w:rFonts w:ascii="Times New Roman" w:hAnsi="Times New Roman" w:cs="Times New Roman"/>
        </w:rPr>
      </w:pPr>
      <w:r w:rsidRPr="00B16A4E">
        <w:rPr>
          <w:noProof/>
          <w:lang w:eastAsia="es-GT"/>
        </w:rPr>
        <w:drawing>
          <wp:inline distT="0" distB="0" distL="0" distR="0" wp14:anchorId="4A7DF5FB" wp14:editId="5D527A0B">
            <wp:extent cx="2621280" cy="1395984"/>
            <wp:effectExtent l="0" t="0" r="762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1280" cy="1395984"/>
                    </a:xfrm>
                    <a:prstGeom prst="rect">
                      <a:avLst/>
                    </a:prstGeom>
                    <a:noFill/>
                    <a:ln>
                      <a:noFill/>
                    </a:ln>
                  </pic:spPr>
                </pic:pic>
              </a:graphicData>
            </a:graphic>
          </wp:inline>
        </w:drawing>
      </w:r>
    </w:p>
    <w:p w:rsidR="00CB23EF" w:rsidRDefault="00CB23EF" w:rsidP="00CB23EF">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D7ECA" w:rsidRDefault="00CD7ECA" w:rsidP="00CB23EF">
      <w:pPr>
        <w:pStyle w:val="Sinespaciado"/>
        <w:jc w:val="both"/>
        <w:rPr>
          <w:rFonts w:ascii="Times New Roman" w:hAnsi="Times New Roman" w:cs="Times New Roman"/>
          <w:sz w:val="16"/>
        </w:rPr>
        <w:sectPr w:rsidR="00CD7ECA" w:rsidSect="00CD7ECA">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627" w:right="1701" w:bottom="1417" w:left="1701" w:header="708" w:footer="708" w:gutter="0"/>
          <w:cols w:num="2" w:space="708"/>
          <w:docGrid w:linePitch="360"/>
        </w:sectPr>
      </w:pPr>
    </w:p>
    <w:p w:rsidR="00CD7ECA" w:rsidRDefault="00CD7ECA" w:rsidP="00CB23EF">
      <w:pPr>
        <w:pStyle w:val="Sinespaciado"/>
        <w:jc w:val="both"/>
        <w:rPr>
          <w:rFonts w:ascii="Times New Roman" w:hAnsi="Times New Roman" w:cs="Times New Roman"/>
          <w:sz w:val="16"/>
        </w:rPr>
      </w:pPr>
    </w:p>
    <w:p w:rsidR="00336B3D" w:rsidRPr="00CB23EF" w:rsidRDefault="00CB23EF" w:rsidP="00336B3D">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CB23EF">
        <w:rPr>
          <w:rFonts w:ascii="Times New Roman" w:hAnsi="Times New Roman" w:cs="Times New Roman"/>
          <w:b/>
        </w:rPr>
        <w:t>Importante</w:t>
      </w:r>
      <w:r w:rsidR="00336B3D" w:rsidRPr="00CB23EF">
        <w:rPr>
          <w:rFonts w:ascii="Times New Roman" w:hAnsi="Times New Roman" w:cs="Times New Roman"/>
          <w:b/>
        </w:rPr>
        <w:t xml:space="preserve"> movilización de recursos de endeudamiento</w:t>
      </w:r>
    </w:p>
    <w:p w:rsidR="00336B3D" w:rsidRPr="00CB23EF" w:rsidRDefault="00336B3D" w:rsidP="007D057D">
      <w:pPr>
        <w:pStyle w:val="Sinespaciado"/>
        <w:rPr>
          <w:color w:val="FF0000"/>
          <w:lang w:val="es-MX"/>
        </w:rPr>
      </w:pPr>
    </w:p>
    <w:p w:rsidR="00336B3D" w:rsidRPr="00CB23EF" w:rsidRDefault="00336B3D" w:rsidP="00336B3D">
      <w:pPr>
        <w:pStyle w:val="Sinespaciado"/>
        <w:jc w:val="both"/>
        <w:rPr>
          <w:rFonts w:ascii="Times New Roman" w:hAnsi="Times New Roman" w:cs="Times New Roman"/>
          <w:color w:val="FF0000"/>
        </w:rPr>
        <w:sectPr w:rsidR="00336B3D" w:rsidRPr="00CB23EF" w:rsidSect="0013777B">
          <w:type w:val="continuous"/>
          <w:pgSz w:w="12240" w:h="15840"/>
          <w:pgMar w:top="1627" w:right="1701" w:bottom="1417" w:left="1701" w:header="708" w:footer="708" w:gutter="0"/>
          <w:cols w:space="708"/>
          <w:docGrid w:linePitch="360"/>
        </w:sectPr>
      </w:pPr>
    </w:p>
    <w:p w:rsidR="00CB23EF" w:rsidRDefault="00CB23EF" w:rsidP="00CB23EF">
      <w:pPr>
        <w:pStyle w:val="Sinespaciado"/>
        <w:jc w:val="both"/>
        <w:rPr>
          <w:rFonts w:ascii="Times New Roman" w:hAnsi="Times New Roman" w:cs="Times New Roman"/>
          <w:sz w:val="20"/>
        </w:rPr>
      </w:pPr>
      <w:r>
        <w:rPr>
          <w:rFonts w:ascii="Times New Roman" w:hAnsi="Times New Roman" w:cs="Times New Roman"/>
        </w:rPr>
        <w:lastRenderedPageBreak/>
        <w:t xml:space="preserve">En cuanto al financiamiento del déficit, la colocación neta de bonos del tesoro sigue siendo hasta el momento la principal fuente de recursos ya que a la fecha se han obtenido Q 4,456.4 millones, los cuales ya tienen descontados los pagos por vencimientos realizados a mayo (Q 3,326.7 millones), </w:t>
      </w:r>
      <w:r>
        <w:rPr>
          <w:rFonts w:ascii="Times New Roman" w:hAnsi="Times New Roman" w:cs="Times New Roman"/>
        </w:rPr>
        <w:lastRenderedPageBreak/>
        <w:t xml:space="preserve">asimismo otro factor importante de financiamiento es mediante los préstamos externos que en términos netos estos ascienden a Q 3,534.0 millones, sigue siendo un nivel alto comparado con lo obtenido en los últimos años.  </w:t>
      </w:r>
    </w:p>
    <w:p w:rsidR="00CB23EF" w:rsidRDefault="00CB23EF" w:rsidP="00CB23EF">
      <w:pPr>
        <w:pStyle w:val="Sinespaciado"/>
        <w:rPr>
          <w:rFonts w:ascii="Times New Roman" w:hAnsi="Times New Roman" w:cs="Times New Roman"/>
          <w:b/>
        </w:rPr>
      </w:pPr>
    </w:p>
    <w:p w:rsidR="00CB23EF" w:rsidRPr="00A02E0D" w:rsidRDefault="00CB23EF" w:rsidP="00CB23EF">
      <w:pPr>
        <w:pStyle w:val="Sinespaciado"/>
        <w:jc w:val="center"/>
        <w:rPr>
          <w:rFonts w:ascii="Times New Roman" w:hAnsi="Times New Roman" w:cs="Times New Roman"/>
          <w:b/>
        </w:rPr>
      </w:pPr>
      <w:r>
        <w:rPr>
          <w:rFonts w:ascii="Times New Roman" w:hAnsi="Times New Roman" w:cs="Times New Roman"/>
          <w:b/>
        </w:rPr>
        <w:lastRenderedPageBreak/>
        <w:t xml:space="preserve">Desembolsos de </w:t>
      </w:r>
      <w:r w:rsidRPr="00A02E0D">
        <w:rPr>
          <w:rFonts w:ascii="Times New Roman" w:hAnsi="Times New Roman" w:cs="Times New Roman"/>
          <w:b/>
        </w:rPr>
        <w:t xml:space="preserve">Préstamos Externos </w:t>
      </w:r>
    </w:p>
    <w:p w:rsidR="00CB23EF" w:rsidRPr="00A02E0D" w:rsidRDefault="00CB23EF" w:rsidP="00CB23EF">
      <w:pPr>
        <w:pStyle w:val="Sinespaciado"/>
        <w:jc w:val="center"/>
        <w:rPr>
          <w:rFonts w:ascii="Times New Roman" w:hAnsi="Times New Roman" w:cs="Times New Roman"/>
          <w:sz w:val="18"/>
        </w:rPr>
      </w:pPr>
      <w:r>
        <w:rPr>
          <w:rFonts w:ascii="Times New Roman" w:hAnsi="Times New Roman" w:cs="Times New Roman"/>
          <w:sz w:val="18"/>
        </w:rPr>
        <w:t>Al 31 de mayo de 2015</w:t>
      </w:r>
      <w:r w:rsidRPr="00A02E0D">
        <w:rPr>
          <w:rFonts w:ascii="Times New Roman" w:hAnsi="Times New Roman" w:cs="Times New Roman"/>
          <w:sz w:val="18"/>
        </w:rPr>
        <w:t xml:space="preserve"> </w:t>
      </w:r>
    </w:p>
    <w:p w:rsidR="00CB23EF" w:rsidRDefault="00CB23EF" w:rsidP="00CB23EF">
      <w:pPr>
        <w:pStyle w:val="Sinespaciado"/>
        <w:jc w:val="center"/>
        <w:rPr>
          <w:rFonts w:ascii="Times New Roman" w:hAnsi="Times New Roman" w:cs="Times New Roman"/>
        </w:rPr>
      </w:pPr>
      <w:r w:rsidRPr="00A02E0D">
        <w:rPr>
          <w:rFonts w:ascii="Times New Roman" w:hAnsi="Times New Roman" w:cs="Times New Roman"/>
          <w:sz w:val="18"/>
        </w:rPr>
        <w:t>Millones de Quetzales</w:t>
      </w:r>
    </w:p>
    <w:p w:rsidR="00CB23EF" w:rsidRDefault="00CB23EF" w:rsidP="00CB23EF">
      <w:pPr>
        <w:pStyle w:val="Sinespaciado"/>
        <w:jc w:val="both"/>
        <w:rPr>
          <w:rFonts w:ascii="Times New Roman" w:hAnsi="Times New Roman" w:cs="Times New Roman"/>
        </w:rPr>
      </w:pPr>
      <w:r w:rsidRPr="008A5E6F">
        <w:rPr>
          <w:noProof/>
          <w:lang w:eastAsia="es-GT"/>
        </w:rPr>
        <w:drawing>
          <wp:inline distT="0" distB="0" distL="0" distR="0" wp14:anchorId="416661F1" wp14:editId="0FC82F26">
            <wp:extent cx="2575232" cy="2734574"/>
            <wp:effectExtent l="0" t="0" r="0" b="889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1275" cy="2740991"/>
                    </a:xfrm>
                    <a:prstGeom prst="rect">
                      <a:avLst/>
                    </a:prstGeom>
                    <a:noFill/>
                    <a:ln>
                      <a:noFill/>
                    </a:ln>
                  </pic:spPr>
                </pic:pic>
              </a:graphicData>
            </a:graphic>
          </wp:inline>
        </w:drawing>
      </w:r>
    </w:p>
    <w:p w:rsidR="00CB23EF" w:rsidRDefault="00CB23EF" w:rsidP="00CB23EF">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B23EF" w:rsidRDefault="00CB23EF" w:rsidP="00CB23EF">
      <w:pPr>
        <w:pStyle w:val="Sinespaciado"/>
        <w:jc w:val="both"/>
        <w:rPr>
          <w:rFonts w:ascii="Times New Roman" w:hAnsi="Times New Roman" w:cs="Times New Roman"/>
        </w:rPr>
      </w:pPr>
    </w:p>
    <w:p w:rsidR="00CB23EF" w:rsidRDefault="00CB23EF" w:rsidP="00CB23EF">
      <w:pPr>
        <w:pStyle w:val="Sinespaciado"/>
        <w:jc w:val="both"/>
        <w:rPr>
          <w:rFonts w:ascii="Times New Roman" w:hAnsi="Times New Roman" w:cs="Times New Roman"/>
        </w:rPr>
      </w:pPr>
      <w:r>
        <w:rPr>
          <w:rFonts w:ascii="Times New Roman" w:hAnsi="Times New Roman" w:cs="Times New Roman"/>
        </w:rPr>
        <w:t xml:space="preserve">Es importante indicar, que dentro de la colocación de Bonos del Tesoro una parte </w:t>
      </w:r>
      <w:r>
        <w:rPr>
          <w:rFonts w:ascii="Times New Roman" w:hAnsi="Times New Roman" w:cs="Times New Roman"/>
        </w:rPr>
        <w:lastRenderedPageBreak/>
        <w:t xml:space="preserve">está pendiente de colocar (Q 361.4 millones) para alcanzar el cupo autorizado por el Congreso de la República dentro del presupuesto para este año (Q 4,000.0 millones) </w:t>
      </w:r>
    </w:p>
    <w:p w:rsidR="00CB23EF" w:rsidRDefault="00CB23EF" w:rsidP="00CB23EF">
      <w:pPr>
        <w:pStyle w:val="Sinespaciado"/>
        <w:jc w:val="both"/>
        <w:rPr>
          <w:rFonts w:ascii="Times New Roman" w:hAnsi="Times New Roman" w:cs="Times New Roman"/>
        </w:rPr>
      </w:pPr>
    </w:p>
    <w:p w:rsidR="00CB23EF" w:rsidRDefault="00CB23EF" w:rsidP="00CB23EF">
      <w:pPr>
        <w:pStyle w:val="Sinespaciado"/>
        <w:jc w:val="center"/>
        <w:rPr>
          <w:rFonts w:ascii="Times New Roman" w:hAnsi="Times New Roman" w:cs="Times New Roman"/>
          <w:b/>
        </w:rPr>
      </w:pPr>
      <w:r w:rsidRPr="00AC3ADF">
        <w:rPr>
          <w:rFonts w:ascii="Times New Roman" w:hAnsi="Times New Roman" w:cs="Times New Roman"/>
          <w:b/>
        </w:rPr>
        <w:t>Destino de la colo</w:t>
      </w:r>
      <w:r>
        <w:rPr>
          <w:rFonts w:ascii="Times New Roman" w:hAnsi="Times New Roman" w:cs="Times New Roman"/>
          <w:b/>
        </w:rPr>
        <w:t>cación de Bonos del Tesoro al 31</w:t>
      </w:r>
      <w:r w:rsidRPr="00AC3ADF">
        <w:rPr>
          <w:rFonts w:ascii="Times New Roman" w:hAnsi="Times New Roman" w:cs="Times New Roman"/>
          <w:b/>
        </w:rPr>
        <w:t xml:space="preserve"> de </w:t>
      </w:r>
      <w:r>
        <w:rPr>
          <w:rFonts w:ascii="Times New Roman" w:hAnsi="Times New Roman" w:cs="Times New Roman"/>
          <w:b/>
        </w:rPr>
        <w:t>Mayo</w:t>
      </w:r>
      <w:r w:rsidRPr="00AC3ADF">
        <w:rPr>
          <w:rFonts w:ascii="Times New Roman" w:hAnsi="Times New Roman" w:cs="Times New Roman"/>
          <w:b/>
        </w:rPr>
        <w:t xml:space="preserve"> de 2015</w:t>
      </w:r>
    </w:p>
    <w:p w:rsidR="00CB23EF" w:rsidRPr="00AC3ADF" w:rsidRDefault="00CB23EF" w:rsidP="00CB23EF">
      <w:pPr>
        <w:pStyle w:val="Sinespaciado"/>
        <w:jc w:val="center"/>
        <w:rPr>
          <w:rFonts w:ascii="Times New Roman" w:hAnsi="Times New Roman" w:cs="Times New Roman"/>
          <w:sz w:val="18"/>
        </w:rPr>
      </w:pPr>
      <w:r w:rsidRPr="00AC3ADF">
        <w:rPr>
          <w:rFonts w:ascii="Times New Roman" w:hAnsi="Times New Roman" w:cs="Times New Roman"/>
          <w:sz w:val="18"/>
        </w:rPr>
        <w:t>Millones de Quetzales y Porcentajes</w:t>
      </w:r>
    </w:p>
    <w:p w:rsidR="00CB23EF" w:rsidRDefault="00CB23EF" w:rsidP="00CB23EF">
      <w:pPr>
        <w:pStyle w:val="Sinespaciado"/>
        <w:jc w:val="center"/>
        <w:rPr>
          <w:rFonts w:ascii="Times New Roman" w:hAnsi="Times New Roman" w:cs="Times New Roman"/>
        </w:rPr>
      </w:pPr>
      <w:r>
        <w:rPr>
          <w:rFonts w:ascii="Times New Roman" w:hAnsi="Times New Roman" w:cs="Times New Roman"/>
          <w:noProof/>
          <w:lang w:eastAsia="es-GT"/>
        </w:rPr>
        <w:drawing>
          <wp:inline distT="0" distB="0" distL="0" distR="0" wp14:anchorId="0DC57B0E" wp14:editId="6C0E8F0A">
            <wp:extent cx="2391182" cy="1883664"/>
            <wp:effectExtent l="0" t="0" r="9525" b="254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95214" cy="1886840"/>
                    </a:xfrm>
                    <a:prstGeom prst="rect">
                      <a:avLst/>
                    </a:prstGeom>
                    <a:noFill/>
                  </pic:spPr>
                </pic:pic>
              </a:graphicData>
            </a:graphic>
          </wp:inline>
        </w:drawing>
      </w:r>
    </w:p>
    <w:p w:rsidR="00B70AFA" w:rsidRDefault="00B70AFA" w:rsidP="00B70AFA">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CB23EF" w:rsidRDefault="00CB23EF" w:rsidP="00CB23EF">
      <w:pPr>
        <w:pStyle w:val="Sinespaciado"/>
        <w:jc w:val="both"/>
        <w:rPr>
          <w:rFonts w:ascii="Times New Roman" w:hAnsi="Times New Roman" w:cs="Times New Roman"/>
        </w:rPr>
        <w:sectPr w:rsidR="00CB23EF" w:rsidSect="00A36FB9">
          <w:type w:val="continuous"/>
          <w:pgSz w:w="12240" w:h="15840"/>
          <w:pgMar w:top="1417" w:right="1701" w:bottom="1417" w:left="1701" w:header="708" w:footer="708" w:gutter="0"/>
          <w:cols w:num="2" w:space="708"/>
          <w:docGrid w:linePitch="360"/>
        </w:sectPr>
      </w:pPr>
    </w:p>
    <w:p w:rsidR="004056AF" w:rsidRPr="00CD7ECA" w:rsidRDefault="004056AF" w:rsidP="004056AF">
      <w:pPr>
        <w:spacing w:after="0" w:line="240" w:lineRule="auto"/>
        <w:jc w:val="both"/>
        <w:rPr>
          <w:rFonts w:ascii="Times New Roman" w:hAnsi="Times New Roman" w:cs="Times New Roman"/>
          <w:color w:val="FF0000"/>
          <w:sz w:val="14"/>
          <w:lang w:val="es-MX"/>
        </w:rPr>
        <w:sectPr w:rsidR="004056AF" w:rsidRPr="00CD7ECA" w:rsidSect="00052EE7">
          <w:headerReference w:type="default" r:id="rId29"/>
          <w:footerReference w:type="default" r:id="rId30"/>
          <w:type w:val="continuous"/>
          <w:pgSz w:w="12240" w:h="15840"/>
          <w:pgMar w:top="1417" w:right="1701" w:bottom="1417" w:left="1701" w:header="708" w:footer="708" w:gutter="0"/>
          <w:cols w:num="2" w:space="708"/>
          <w:docGrid w:linePitch="360"/>
        </w:sectPr>
      </w:pPr>
    </w:p>
    <w:p w:rsidR="00336B3D" w:rsidRPr="00CD7ECA" w:rsidRDefault="00336B3D" w:rsidP="007D057D">
      <w:pPr>
        <w:pStyle w:val="Sinespaciado"/>
        <w:rPr>
          <w:color w:val="FF0000"/>
          <w:sz w:val="6"/>
          <w:lang w:val="es-MX"/>
        </w:rPr>
      </w:pPr>
    </w:p>
    <w:p w:rsidR="0013777B" w:rsidRPr="00B70AFA" w:rsidRDefault="006434D8" w:rsidP="00FD23D8">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B70AFA">
        <w:rPr>
          <w:rFonts w:ascii="Times New Roman" w:hAnsi="Times New Roman" w:cs="Times New Roman"/>
          <w:b/>
          <w:lang w:val="es-MX"/>
        </w:rPr>
        <w:t xml:space="preserve">Ambientes </w:t>
      </w:r>
      <w:r w:rsidR="00C621D5" w:rsidRPr="00B70AFA">
        <w:rPr>
          <w:rFonts w:ascii="Times New Roman" w:hAnsi="Times New Roman" w:cs="Times New Roman"/>
          <w:b/>
          <w:lang w:val="es-MX"/>
        </w:rPr>
        <w:t xml:space="preserve">macroeconómicos </w:t>
      </w:r>
      <w:r w:rsidRPr="00B70AFA">
        <w:rPr>
          <w:rFonts w:ascii="Times New Roman" w:hAnsi="Times New Roman" w:cs="Times New Roman"/>
          <w:b/>
          <w:lang w:val="es-MX"/>
        </w:rPr>
        <w:t xml:space="preserve">externo e interno </w:t>
      </w:r>
    </w:p>
    <w:p w:rsidR="00D701DF" w:rsidRPr="00B70AFA" w:rsidRDefault="00D701DF" w:rsidP="00D701DF">
      <w:pPr>
        <w:pStyle w:val="Prrafodelista"/>
        <w:spacing w:after="0" w:line="240" w:lineRule="auto"/>
        <w:ind w:left="0"/>
        <w:rPr>
          <w:rFonts w:cs="Times New Roman"/>
          <w:lang w:val="es-MX"/>
        </w:rPr>
        <w:sectPr w:rsidR="00D701DF" w:rsidRPr="00B70AFA" w:rsidSect="0013777B">
          <w:headerReference w:type="default" r:id="rId31"/>
          <w:footerReference w:type="default" r:id="rId32"/>
          <w:type w:val="continuous"/>
          <w:pgSz w:w="12240" w:h="15840"/>
          <w:pgMar w:top="1627" w:right="1701" w:bottom="1417" w:left="1701" w:header="708" w:footer="708" w:gutter="0"/>
          <w:cols w:space="708"/>
          <w:docGrid w:linePitch="360"/>
        </w:sectPr>
      </w:pPr>
    </w:p>
    <w:p w:rsidR="004056AF" w:rsidRDefault="004056AF" w:rsidP="00852328">
      <w:pPr>
        <w:pStyle w:val="Prrafodelista"/>
        <w:spacing w:after="0" w:line="240" w:lineRule="auto"/>
        <w:ind w:left="0"/>
      </w:pPr>
    </w:p>
    <w:p w:rsidR="00852328" w:rsidRDefault="00852328" w:rsidP="00852328">
      <w:pPr>
        <w:pStyle w:val="Prrafodelista"/>
        <w:spacing w:after="0" w:line="240" w:lineRule="auto"/>
        <w:ind w:left="426"/>
        <w:rPr>
          <w:rFonts w:cs="Times New Roman"/>
        </w:rPr>
        <w:sectPr w:rsidR="00852328" w:rsidSect="00852328">
          <w:headerReference w:type="even" r:id="rId33"/>
          <w:headerReference w:type="default" r:id="rId34"/>
          <w:footerReference w:type="even" r:id="rId35"/>
          <w:footerReference w:type="default" r:id="rId36"/>
          <w:headerReference w:type="first" r:id="rId37"/>
          <w:footerReference w:type="first" r:id="rId38"/>
          <w:type w:val="continuous"/>
          <w:pgSz w:w="12240" w:h="15840"/>
          <w:pgMar w:top="1417" w:right="1467" w:bottom="1417" w:left="1276" w:header="680" w:footer="708" w:gutter="0"/>
          <w:cols w:space="708"/>
          <w:docGrid w:linePitch="360"/>
        </w:sectPr>
      </w:pPr>
    </w:p>
    <w:p w:rsidR="00852328" w:rsidRPr="00696CFD" w:rsidRDefault="00852328" w:rsidP="00852328">
      <w:pPr>
        <w:pStyle w:val="Prrafodelista"/>
        <w:spacing w:after="0" w:line="240" w:lineRule="auto"/>
        <w:ind w:left="426"/>
        <w:rPr>
          <w:rFonts w:cs="Times New Roman"/>
        </w:rPr>
      </w:pPr>
      <w:r w:rsidRPr="00696CFD">
        <w:rPr>
          <w:rFonts w:cs="Times New Roman"/>
        </w:rPr>
        <w:lastRenderedPageBreak/>
        <w:t xml:space="preserve">En el ambiente internacional, la ONU dio a conocer el informe sobre la situación y perspectiva Económica Mundial, en dónde resalta una disminución de 3.1% a 2.8% en su pronóstico de crecimiento económico mundial para este año, atribuido entre otros, al reflejo de deterioro en Latinoamérica dado que la región enfrenta una caída en los precios de las materias primas y por la  inquietud sobre los próximos cambios de política monetaria en EEUU, principalmente el inicio del aumento de las tasas de interés esperado para el segundo semestre del presente año; así mismo, la organización hace mención sobre la incertidumbre por los efectos de la crisis de la deuda en Grecia sobre la zona euro y la posible propagación de conflictos en Siria, Ucrania y Yemen en donde la principal fuente de riesgos es el posible cierre de la ruta por el estrecho de Bab el-Mandeb, empleado por buques cisterna para transportar petróleo crudo procedente de la región del Golfo. </w:t>
      </w:r>
    </w:p>
    <w:p w:rsidR="00852328" w:rsidRPr="00696CFD" w:rsidRDefault="00852328" w:rsidP="00852328">
      <w:pPr>
        <w:pStyle w:val="Prrafodelista"/>
        <w:spacing w:after="0" w:line="240" w:lineRule="auto"/>
        <w:ind w:left="0" w:right="141"/>
        <w:rPr>
          <w:rFonts w:cs="Times New Roman"/>
        </w:rPr>
      </w:pPr>
      <w:r w:rsidRPr="00B70AFA">
        <w:rPr>
          <w:rFonts w:cs="Times New Roman"/>
        </w:rPr>
        <w:lastRenderedPageBreak/>
        <w:t>E</w:t>
      </w:r>
      <w:r w:rsidRPr="00696CFD">
        <w:rPr>
          <w:rFonts w:cs="Times New Roman"/>
        </w:rPr>
        <w:t>l conjunto de los países de la OCDE mostraron mejoría en el PIB real de 0.3% en el primer trimestre 2015 en comparación al anterior trimestre, según un comunicado publicado en mayo por la entidad; entre los países miembros más representativos, el crecimiento se contuvo especialmente en Estados Unidos ubicándose en 0.1% desde el 0.5%, en Alemania, desde el 0.7% al 0.3% y Reino Unido desde 0.6% al 0.3%; en caso contrario, la Unión Europea registró un incremento del PIB de 0.4% y la eurozona se ubicó en 0.4% desde 0.3% del cuarto trimestre 2014.</w:t>
      </w:r>
    </w:p>
    <w:p w:rsidR="00852328" w:rsidRPr="00696CFD" w:rsidRDefault="00852328" w:rsidP="00852328">
      <w:pPr>
        <w:pStyle w:val="Prrafodelista"/>
        <w:spacing w:after="0" w:line="240" w:lineRule="auto"/>
        <w:ind w:left="0"/>
        <w:rPr>
          <w:rFonts w:cs="Times New Roman"/>
        </w:rPr>
      </w:pPr>
    </w:p>
    <w:p w:rsidR="00852328" w:rsidRPr="00696CFD" w:rsidRDefault="00852328" w:rsidP="00852328">
      <w:pPr>
        <w:pStyle w:val="Prrafodelista"/>
        <w:spacing w:after="0" w:line="240" w:lineRule="auto"/>
        <w:ind w:left="0"/>
        <w:rPr>
          <w:rFonts w:cs="Times New Roman"/>
        </w:rPr>
      </w:pPr>
      <w:r w:rsidRPr="00696CFD">
        <w:rPr>
          <w:rFonts w:cs="Times New Roman"/>
        </w:rPr>
        <w:t xml:space="preserve">En Estados Unidos, la Fed en su publicación del llamado libro beige reportó que la actividad económica continuó expandiéndose en los 12 distritos del país entre abril y mayo, a pesar del dato oficial del PIB consideró una contracción de 0.7% en el primer trimestre 2015, debido a un mayor déficit comercial,  una menor acumulación de inventarios de empresas debido a un clima </w:t>
      </w:r>
      <w:r w:rsidRPr="00696CFD">
        <w:rPr>
          <w:rFonts w:cs="Times New Roman"/>
        </w:rPr>
        <w:lastRenderedPageBreak/>
        <w:t xml:space="preserve">invernal inusualmente fuerte y a un fuerte declive de las inversiones en el sector energético debido a que las empresas respondieron al desplome de los precios del petróleo. </w:t>
      </w:r>
    </w:p>
    <w:p w:rsidR="00852328" w:rsidRPr="00696CFD" w:rsidRDefault="00852328" w:rsidP="00852328">
      <w:pPr>
        <w:pStyle w:val="Prrafodelista"/>
        <w:spacing w:after="0" w:line="240" w:lineRule="auto"/>
        <w:ind w:left="0"/>
        <w:rPr>
          <w:rFonts w:cs="Times New Roman"/>
        </w:rPr>
      </w:pPr>
    </w:p>
    <w:p w:rsidR="00852328" w:rsidRPr="00696CFD" w:rsidRDefault="00852328" w:rsidP="00852328">
      <w:pPr>
        <w:pStyle w:val="Prrafodelista"/>
        <w:spacing w:after="0" w:line="240" w:lineRule="auto"/>
        <w:ind w:left="0"/>
        <w:rPr>
          <w:rFonts w:cs="Times New Roman"/>
        </w:rPr>
      </w:pPr>
      <w:r w:rsidRPr="00696CFD">
        <w:rPr>
          <w:rFonts w:cs="Times New Roman"/>
        </w:rPr>
        <w:t>Durante mayo, la economía estadounidense generó un total de 280,000 empleos, por encima de la media de 251,000 empleos en los últimos doce meses; sin embargo, la tasa de paro se situó en 5.5% por la mayor afluencia de personas en busca de empleo.  El indicador de confianza general del consumidor de la Universidad de Michigan se ubicó en 88.6 puntos debajo de los 95.9 puntos esperados y el indicador de producción industrial disminuyó 0.3%.</w:t>
      </w:r>
    </w:p>
    <w:p w:rsidR="00852328" w:rsidRPr="00696CFD" w:rsidRDefault="00852328" w:rsidP="00852328">
      <w:pPr>
        <w:spacing w:after="0" w:line="240" w:lineRule="auto"/>
        <w:jc w:val="both"/>
        <w:rPr>
          <w:rFonts w:ascii="Times New Roman" w:hAnsi="Times New Roman" w:cs="Times New Roman"/>
        </w:rPr>
      </w:pPr>
    </w:p>
    <w:p w:rsidR="00852328" w:rsidRPr="00696CFD" w:rsidRDefault="00852328" w:rsidP="00852328">
      <w:pPr>
        <w:pStyle w:val="Prrafodelista"/>
        <w:spacing w:after="0" w:line="240" w:lineRule="auto"/>
        <w:ind w:left="0"/>
        <w:rPr>
          <w:rFonts w:cs="Times New Roman"/>
        </w:rPr>
      </w:pPr>
      <w:r w:rsidRPr="00696CFD">
        <w:rPr>
          <w:rFonts w:cs="Times New Roman"/>
        </w:rPr>
        <w:t xml:space="preserve">La Eurozona por su parte, continúa en la búsqueda de una solución global entre el gobierno griego, el BCE, la Comisión Europea y el FMI; los desacuerdos se generaron desde febrero del presente año en la negociación por la obtención del último tramo de ayuda de 7,200 millones de euros, de los 240,000 millones acordados desde 2010 y las exigencias de reformas que condicionan el mismo. Al final de mayo, el Gobierno de Grecia informó al FMI que no pagará los 305 millones de euros que debía devolverle, asumiendo al mismo tiempo el compromiso de pagar el 30 de junio del presente año en un solo pago el conjunto de vencimientos que alcanzan los 1,600 millones de euros;  el Gobierno espera poder devolver dicho monto con la entrega del último tramo de ayuda. </w:t>
      </w:r>
    </w:p>
    <w:p w:rsidR="00852328" w:rsidRPr="00696CFD" w:rsidRDefault="00852328" w:rsidP="00852328">
      <w:pPr>
        <w:pStyle w:val="Prrafodelista"/>
        <w:spacing w:after="0" w:line="240" w:lineRule="auto"/>
        <w:ind w:left="0"/>
        <w:rPr>
          <w:rFonts w:cs="Times New Roman"/>
        </w:rPr>
      </w:pPr>
    </w:p>
    <w:p w:rsidR="00852328" w:rsidRPr="00696CFD" w:rsidRDefault="00852328" w:rsidP="00852328">
      <w:pPr>
        <w:pStyle w:val="Prrafodelista"/>
        <w:spacing w:after="0" w:line="240" w:lineRule="auto"/>
        <w:ind w:left="0"/>
        <w:rPr>
          <w:rFonts w:cs="Times New Roman"/>
        </w:rPr>
      </w:pPr>
      <w:r w:rsidRPr="00696CFD">
        <w:rPr>
          <w:rFonts w:cs="Times New Roman"/>
        </w:rPr>
        <w:t xml:space="preserve">El BCE elevó este mes su previsión de inflación para 2015 en la zona euro, razonando que su programa de compra de activos por 60,000 millones de euros mensuales está dando resultado; la inflación se situaría en 0.3% este año, y el banco esperaría que el PIB crezca 1.5%.   Así mismo, la producción manufacturera y la actividad del sector servicios de la zona aumentaron en mayo, según el indicador PMI. </w:t>
      </w:r>
    </w:p>
    <w:p w:rsidR="00852328" w:rsidRPr="00696CFD" w:rsidRDefault="00852328" w:rsidP="00852328">
      <w:pPr>
        <w:spacing w:after="0" w:line="240" w:lineRule="auto"/>
        <w:rPr>
          <w:rFonts w:ascii="Times New Roman" w:hAnsi="Times New Roman" w:cs="Times New Roman"/>
        </w:rPr>
      </w:pPr>
    </w:p>
    <w:p w:rsidR="00852328" w:rsidRPr="00696CFD" w:rsidRDefault="00852328" w:rsidP="00852328">
      <w:pPr>
        <w:spacing w:after="0" w:line="240" w:lineRule="auto"/>
        <w:jc w:val="both"/>
        <w:rPr>
          <w:rFonts w:ascii="Times New Roman" w:hAnsi="Times New Roman" w:cs="Times New Roman"/>
        </w:rPr>
      </w:pPr>
      <w:r w:rsidRPr="00696CFD">
        <w:rPr>
          <w:rFonts w:ascii="Times New Roman" w:hAnsi="Times New Roman" w:cs="Times New Roman"/>
        </w:rPr>
        <w:t>La</w:t>
      </w:r>
      <w:r w:rsidR="00B377FF">
        <w:rPr>
          <w:rFonts w:ascii="Times New Roman" w:hAnsi="Times New Roman" w:cs="Times New Roman"/>
        </w:rPr>
        <w:t>s</w:t>
      </w:r>
      <w:r w:rsidRPr="00696CFD">
        <w:rPr>
          <w:rFonts w:ascii="Times New Roman" w:hAnsi="Times New Roman" w:cs="Times New Roman"/>
        </w:rPr>
        <w:t xml:space="preserve"> previsiones económicas para América Latina, Argentina, Brasil, Chile, Colombia, México y Perú </w:t>
      </w:r>
      <w:r w:rsidR="00B377FF">
        <w:rPr>
          <w:rFonts w:ascii="Times New Roman" w:hAnsi="Times New Roman" w:cs="Times New Roman"/>
        </w:rPr>
        <w:t xml:space="preserve"> de la </w:t>
      </w:r>
      <w:r w:rsidR="00B377FF" w:rsidRPr="00696CFD">
        <w:rPr>
          <w:rFonts w:ascii="Times New Roman" w:hAnsi="Times New Roman" w:cs="Times New Roman"/>
        </w:rPr>
        <w:t>OCDE</w:t>
      </w:r>
      <w:r w:rsidR="00B377FF">
        <w:rPr>
          <w:rFonts w:ascii="Times New Roman" w:hAnsi="Times New Roman" w:cs="Times New Roman"/>
        </w:rPr>
        <w:t>,</w:t>
      </w:r>
      <w:r w:rsidR="00B377FF" w:rsidRPr="00696CFD">
        <w:rPr>
          <w:rFonts w:ascii="Times New Roman" w:hAnsi="Times New Roman" w:cs="Times New Roman"/>
        </w:rPr>
        <w:t xml:space="preserve"> </w:t>
      </w:r>
      <w:r w:rsidR="00B377FF">
        <w:rPr>
          <w:rFonts w:ascii="Times New Roman" w:hAnsi="Times New Roman" w:cs="Times New Roman"/>
        </w:rPr>
        <w:t>indican un crecimiento de</w:t>
      </w:r>
      <w:r w:rsidRPr="00696CFD">
        <w:rPr>
          <w:rFonts w:ascii="Times New Roman" w:hAnsi="Times New Roman" w:cs="Times New Roman"/>
        </w:rPr>
        <w:t xml:space="preserve"> 0.9% este año frente al 1.2% de 2014, si se cumplen las previsiones de la organización internacional, y acelerarán al 2.2% en 2016.</w:t>
      </w:r>
    </w:p>
    <w:p w:rsidR="00852328" w:rsidRPr="00696CFD" w:rsidRDefault="00852328" w:rsidP="00852328">
      <w:pPr>
        <w:spacing w:after="0" w:line="240" w:lineRule="auto"/>
        <w:jc w:val="both"/>
        <w:rPr>
          <w:rFonts w:ascii="Times New Roman" w:hAnsi="Times New Roman" w:cs="Times New Roman"/>
        </w:rPr>
      </w:pPr>
    </w:p>
    <w:p w:rsidR="00852328" w:rsidRPr="00696CFD" w:rsidRDefault="00852328" w:rsidP="00852328">
      <w:pPr>
        <w:spacing w:after="0" w:line="240" w:lineRule="auto"/>
        <w:jc w:val="both"/>
        <w:rPr>
          <w:rFonts w:ascii="Times New Roman" w:hAnsi="Times New Roman" w:cs="Times New Roman"/>
        </w:rPr>
      </w:pPr>
      <w:r w:rsidRPr="00696CFD">
        <w:rPr>
          <w:rFonts w:ascii="Times New Roman" w:hAnsi="Times New Roman" w:cs="Times New Roman"/>
        </w:rPr>
        <w:t xml:space="preserve">En América Latina y el Caribe, </w:t>
      </w:r>
      <w:r w:rsidR="00B377FF">
        <w:rPr>
          <w:rFonts w:ascii="Times New Roman" w:hAnsi="Times New Roman" w:cs="Times New Roman"/>
        </w:rPr>
        <w:t xml:space="preserve">el documento informativo oficial sobre la inversión extranjera directa elaborado por </w:t>
      </w:r>
      <w:r w:rsidRPr="00696CFD">
        <w:rPr>
          <w:rFonts w:ascii="Times New Roman" w:hAnsi="Times New Roman" w:cs="Times New Roman"/>
        </w:rPr>
        <w:t xml:space="preserve">la CEPAL, </w:t>
      </w:r>
      <w:r w:rsidR="00B377FF">
        <w:rPr>
          <w:rFonts w:ascii="Times New Roman" w:hAnsi="Times New Roman" w:cs="Times New Roman"/>
        </w:rPr>
        <w:t>indica un registro a la baja de 16% en</w:t>
      </w:r>
      <w:r w:rsidRPr="00696CFD">
        <w:rPr>
          <w:rFonts w:ascii="Times New Roman" w:hAnsi="Times New Roman" w:cs="Times New Roman"/>
        </w:rPr>
        <w:t xml:space="preserve"> los flujos de inversión directa en 2014, hasta situarse en US$ 158,803 millones, debido a la desaceleración económica de la región y a la disminución de los precios de los productos básicos.</w:t>
      </w:r>
    </w:p>
    <w:p w:rsidR="00852328" w:rsidRPr="00696CFD" w:rsidRDefault="00852328" w:rsidP="00852328">
      <w:pPr>
        <w:pStyle w:val="Prrafodelista"/>
        <w:spacing w:after="0" w:line="240" w:lineRule="auto"/>
        <w:ind w:left="0"/>
        <w:rPr>
          <w:rFonts w:cs="Times New Roman"/>
        </w:rPr>
      </w:pPr>
    </w:p>
    <w:p w:rsidR="00852328" w:rsidRPr="00696CFD" w:rsidRDefault="00852328" w:rsidP="00852328">
      <w:pPr>
        <w:pStyle w:val="Prrafodelista"/>
        <w:spacing w:after="0" w:line="240" w:lineRule="auto"/>
        <w:ind w:left="0"/>
        <w:rPr>
          <w:rFonts w:cs="Times New Roman"/>
        </w:rPr>
      </w:pPr>
      <w:r w:rsidRPr="00696CFD">
        <w:rPr>
          <w:rFonts w:cs="Times New Roman"/>
        </w:rPr>
        <w:t>En el ámbito nacional, factores como la trayectoria del precio internacional del petróleo, el comportamiento de los combustibles, el desempeño de la política fiscal, el tipo de cambio nominal y la evolución de los precios de las materias primas ayudaron a mantener estable este mes la percepción sobre la situación económica actual y el ambiente para los negocios; el Banco de Guatemala consideró en base a esto, una proyección del ritmo inflacionario en mayo de 2.93%, 3.02% en junio y 3.13% en julio del presente año y se esperaría que se registre un crecimiento de 3.6% en el Producto Interno Bruto Real para el primer trimestre 2015.</w:t>
      </w:r>
    </w:p>
    <w:p w:rsidR="00852328" w:rsidRPr="00696CFD" w:rsidRDefault="00852328" w:rsidP="00852328">
      <w:pPr>
        <w:spacing w:after="0" w:line="240" w:lineRule="auto"/>
        <w:jc w:val="both"/>
        <w:rPr>
          <w:rFonts w:ascii="Times New Roman" w:hAnsi="Times New Roman" w:cs="Times New Roman"/>
        </w:rPr>
      </w:pPr>
    </w:p>
    <w:p w:rsidR="00852328" w:rsidRPr="00852328" w:rsidRDefault="00852328" w:rsidP="00852328">
      <w:pPr>
        <w:pStyle w:val="Prrafodelista"/>
        <w:spacing w:after="0" w:line="240" w:lineRule="auto"/>
        <w:ind w:left="0"/>
      </w:pPr>
      <w:r w:rsidRPr="00696CFD">
        <w:rPr>
          <w:rFonts w:cs="Times New Roman"/>
        </w:rPr>
        <w:t>Este mes, la agencia calificadora Moody’s emitió opinión desfavorable sobre la perspectiva económica guatemalteca, cambiándola de “estable” a “negativa”.  La decisión de la calificadora de revisar la perspectiva se debió a los acontecimientos políticos que sucedieron recientemente que ponen en peligro la solidez financiera del Gobierno.  Sin embargo, Moody´s mantuvo la calificación soberana en Ba1 con perspectiva negativa.</w:t>
      </w:r>
      <w:r w:rsidRPr="00852328">
        <w:t xml:space="preserve"> </w:t>
      </w:r>
    </w:p>
    <w:p w:rsidR="00852328" w:rsidRDefault="00852328" w:rsidP="00852328">
      <w:pPr>
        <w:pStyle w:val="Prrafodelista"/>
        <w:spacing w:after="0" w:line="240" w:lineRule="auto"/>
        <w:ind w:left="0"/>
        <w:sectPr w:rsidR="00852328" w:rsidSect="00852328">
          <w:type w:val="continuous"/>
          <w:pgSz w:w="12240" w:h="15840"/>
          <w:pgMar w:top="1417" w:right="1467" w:bottom="1417" w:left="1276" w:header="680" w:footer="708" w:gutter="0"/>
          <w:cols w:num="2" w:space="708"/>
          <w:docGrid w:linePitch="360"/>
        </w:sectPr>
      </w:pPr>
    </w:p>
    <w:p w:rsidR="00852328" w:rsidRPr="00852328" w:rsidRDefault="00852328" w:rsidP="00852328">
      <w:pPr>
        <w:pStyle w:val="Prrafodelista"/>
        <w:spacing w:after="0" w:line="240" w:lineRule="auto"/>
        <w:ind w:left="0"/>
      </w:pPr>
    </w:p>
    <w:sectPr w:rsidR="00852328" w:rsidRPr="00852328" w:rsidSect="00852328">
      <w:type w:val="continuous"/>
      <w:pgSz w:w="12240" w:h="15840"/>
      <w:pgMar w:top="1417" w:right="1467" w:bottom="1417" w:left="1276"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AE7" w:rsidRDefault="000C6AE7" w:rsidP="00A6098E">
      <w:pPr>
        <w:spacing w:after="0" w:line="240" w:lineRule="auto"/>
      </w:pPr>
      <w:r>
        <w:separator/>
      </w:r>
    </w:p>
  </w:endnote>
  <w:endnote w:type="continuationSeparator" w:id="0">
    <w:p w:rsidR="000C6AE7" w:rsidRDefault="000C6AE7"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6011538"/>
      <w:docPartObj>
        <w:docPartGallery w:val="Page Numbers (Bottom of Page)"/>
        <w:docPartUnique/>
      </w:docPartObj>
    </w:sdtPr>
    <w:sdtEndPr>
      <w:rPr>
        <w:rFonts w:ascii="Times New Roman" w:hAnsi="Times New Roman"/>
        <w:color w:val="4F81BD" w:themeColor="accent1"/>
        <w:sz w:val="20"/>
        <w:szCs w:val="20"/>
      </w:rPr>
    </w:sdtEndPr>
    <w:sdtContent>
      <w:p w:rsidR="00052EE7" w:rsidRDefault="00052EE7" w:rsidP="00A46956">
        <w:pPr>
          <w:pStyle w:val="Encabezado"/>
          <w:jc w:val="right"/>
        </w:pPr>
      </w:p>
      <w:p w:rsidR="00052EE7" w:rsidRDefault="00052EE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6912" behindDoc="0" locked="0" layoutInCell="1" allowOverlap="1" wp14:anchorId="18DE3F90" wp14:editId="213945C4">
                  <wp:simplePos x="0" y="0"/>
                  <wp:positionH relativeFrom="column">
                    <wp:posOffset>1663700</wp:posOffset>
                  </wp:positionH>
                  <wp:positionV relativeFrom="paragraph">
                    <wp:posOffset>-7620</wp:posOffset>
                  </wp:positionV>
                  <wp:extent cx="4010025" cy="0"/>
                  <wp:effectExtent l="0" t="0" r="9525" b="19050"/>
                  <wp:wrapNone/>
                  <wp:docPr id="5"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3F6A8B9" id="6 Conector recto"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sn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pbr7Jw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052EE7" w:rsidRPr="007A041E" w:rsidRDefault="00052EE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74127E">
      <w:rPr>
        <w:rFonts w:ascii="Times New Roman" w:hAnsi="Times New Roman"/>
        <w:b/>
        <w:noProof/>
        <w:color w:val="4F81BD" w:themeColor="accent1"/>
        <w:sz w:val="20"/>
        <w:szCs w:val="20"/>
      </w:rPr>
      <w:t>2</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207572"/>
      <w:docPartObj>
        <w:docPartGallery w:val="Page Numbers (Bottom of Page)"/>
        <w:docPartUnique/>
      </w:docPartObj>
    </w:sdtPr>
    <w:sdtEndPr>
      <w:rPr>
        <w:rFonts w:ascii="Times New Roman" w:hAnsi="Times New Roman"/>
        <w:color w:val="4F81BD" w:themeColor="accent1"/>
        <w:sz w:val="20"/>
        <w:szCs w:val="20"/>
      </w:rPr>
    </w:sdtEndPr>
    <w:sdtContent>
      <w:p w:rsidR="007A041E" w:rsidRDefault="007A041E" w:rsidP="00A46956">
        <w:pPr>
          <w:pStyle w:val="Encabezado"/>
          <w:jc w:val="right"/>
        </w:pPr>
      </w:p>
      <w:p w:rsidR="004B2DD6" w:rsidRDefault="004B2DD6"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63360" behindDoc="0" locked="0" layoutInCell="1" allowOverlap="1" wp14:anchorId="108833D4" wp14:editId="54390FAD">
                  <wp:simplePos x="0" y="0"/>
                  <wp:positionH relativeFrom="column">
                    <wp:posOffset>1663700</wp:posOffset>
                  </wp:positionH>
                  <wp:positionV relativeFrom="paragraph">
                    <wp:posOffset>-7620</wp:posOffset>
                  </wp:positionV>
                  <wp:extent cx="4010025" cy="0"/>
                  <wp:effectExtent l="0" t="0" r="9525" b="19050"/>
                  <wp:wrapNone/>
                  <wp:docPr id="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D249F6A" id="6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9kG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74127E">
      <w:rPr>
        <w:rFonts w:ascii="Times New Roman" w:hAnsi="Times New Roman"/>
        <w:b/>
        <w:noProof/>
        <w:color w:val="4F81BD" w:themeColor="accent1"/>
        <w:sz w:val="20"/>
        <w:szCs w:val="20"/>
      </w:rPr>
      <w:t>4</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98657793"/>
      <w:docPartObj>
        <w:docPartGallery w:val="Page Numbers (Bottom of Page)"/>
        <w:docPartUnique/>
      </w:docPartObj>
    </w:sdtPr>
    <w:sdtEndPr>
      <w:rPr>
        <w:rFonts w:asciiTheme="minorHAnsi" w:hAnsiTheme="minorHAnsi" w:cstheme="minorBidi"/>
        <w:color w:val="4F81BD" w:themeColor="accent1"/>
        <w:sz w:val="20"/>
        <w:szCs w:val="20"/>
      </w:rPr>
    </w:sdtEndPr>
    <w:sdtContent>
      <w:p w:rsidR="004B2DD6" w:rsidRDefault="004B2DD6" w:rsidP="00A46956">
        <w:pPr>
          <w:pStyle w:val="Encabezado"/>
          <w:jc w:val="right"/>
          <w:rPr>
            <w:color w:val="4F81BD" w:themeColor="accent1"/>
            <w:sz w:val="20"/>
            <w:szCs w:val="20"/>
          </w:rPr>
        </w:pPr>
        <w:r w:rsidRPr="009B3CA9">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67456" behindDoc="0" locked="0" layoutInCell="1" allowOverlap="1" wp14:anchorId="32AEA519" wp14:editId="710076BD">
                  <wp:simplePos x="0" y="0"/>
                  <wp:positionH relativeFrom="column">
                    <wp:posOffset>1663700</wp:posOffset>
                  </wp:positionH>
                  <wp:positionV relativeFrom="paragraph">
                    <wp:posOffset>-7620</wp:posOffset>
                  </wp:positionV>
                  <wp:extent cx="4010025" cy="0"/>
                  <wp:effectExtent l="0" t="0" r="9525" b="19050"/>
                  <wp:wrapNone/>
                  <wp:docPr id="2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92FF24" id="6 Conector recto"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" strokecolor="#4579b8">
                  <o:lock v:ext="edit" shapetype="f"/>
                </v:line>
              </w:pict>
            </mc:Fallback>
          </mc:AlternateContent>
        </w:r>
        <w:r w:rsidRPr="009B3CA9">
          <w:rPr>
            <w:rFonts w:ascii="Times New Roman" w:hAnsi="Times New Roman" w:cs="Times New Roman"/>
            <w:color w:val="0F243E" w:themeColor="text2" w:themeShade="80"/>
            <w:sz w:val="20"/>
            <w:szCs w:val="20"/>
          </w:rPr>
          <w:t>Dirección de Análisis y Política Fiscal</w:t>
        </w:r>
        <w:r w:rsidRPr="009B3CA9">
          <w:rPr>
            <w:rFonts w:ascii="Times New Roman" w:hAnsi="Times New Roman" w:cs="Times New Roman"/>
            <w:color w:val="4F81BD" w:themeColor="accent1"/>
            <w:sz w:val="20"/>
            <w:szCs w:val="20"/>
          </w:rPr>
          <w:t xml:space="preserve"> </w:t>
        </w:r>
      </w:p>
    </w:sdtContent>
  </w:sdt>
  <w:p w:rsidR="004B2DD6" w:rsidRPr="007A041E" w:rsidRDefault="004B2DD6" w:rsidP="007A041E">
    <w:pPr>
      <w:pStyle w:val="Piedepgina"/>
      <w:jc w:val="right"/>
      <w:rPr>
        <w:rFonts w:ascii="Times New Roman" w:hAnsi="Times New Roman" w:cs="Times New Roman"/>
        <w:color w:val="4F81BD" w:themeColor="accent1"/>
        <w:sz w:val="20"/>
        <w:szCs w:val="20"/>
      </w:rPr>
    </w:pPr>
    <w:r w:rsidRPr="009B3CA9">
      <w:rPr>
        <w:rFonts w:ascii="Times New Roman" w:hAnsi="Times New Roman" w:cs="Times New Roman"/>
        <w:b/>
        <w:color w:val="4F81BD" w:themeColor="accent1"/>
        <w:sz w:val="20"/>
        <w:szCs w:val="20"/>
      </w:rPr>
      <w:t xml:space="preserve">Página </w:t>
    </w:r>
    <w:r w:rsidRPr="009B3CA9">
      <w:rPr>
        <w:rFonts w:ascii="Times New Roman" w:hAnsi="Times New Roman" w:cs="Times New Roman"/>
        <w:b/>
        <w:color w:val="4F81BD" w:themeColor="accent1"/>
        <w:sz w:val="20"/>
        <w:szCs w:val="20"/>
      </w:rPr>
      <w:fldChar w:fldCharType="begin"/>
    </w:r>
    <w:r w:rsidRPr="009B3CA9">
      <w:rPr>
        <w:rFonts w:ascii="Times New Roman" w:hAnsi="Times New Roman" w:cs="Times New Roman"/>
        <w:b/>
        <w:color w:val="4F81BD" w:themeColor="accent1"/>
        <w:sz w:val="20"/>
        <w:szCs w:val="20"/>
      </w:rPr>
      <w:instrText>PAGE   \* MERGEFORMAT</w:instrText>
    </w:r>
    <w:r w:rsidRPr="009B3CA9">
      <w:rPr>
        <w:rFonts w:ascii="Times New Roman" w:hAnsi="Times New Roman" w:cs="Times New Roman"/>
        <w:b/>
        <w:color w:val="4F81BD" w:themeColor="accent1"/>
        <w:sz w:val="20"/>
        <w:szCs w:val="20"/>
      </w:rPr>
      <w:fldChar w:fldCharType="separate"/>
    </w:r>
    <w:r w:rsidR="0074127E">
      <w:rPr>
        <w:rFonts w:ascii="Times New Roman" w:hAnsi="Times New Roman" w:cs="Times New Roman"/>
        <w:b/>
        <w:noProof/>
        <w:color w:val="4F81BD" w:themeColor="accent1"/>
        <w:sz w:val="20"/>
        <w:szCs w:val="20"/>
      </w:rPr>
      <w:t>6</w:t>
    </w:r>
    <w:r w:rsidRPr="009B3CA9">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58626"/>
      <w:docPartObj>
        <w:docPartGallery w:val="Page Numbers (Bottom of Page)"/>
        <w:docPartUnique/>
      </w:docPartObj>
    </w:sdtPr>
    <w:sdtEndPr>
      <w:rPr>
        <w:rFonts w:ascii="Times New Roman" w:hAnsi="Times New Roman"/>
        <w:color w:val="4F81BD" w:themeColor="accent1"/>
        <w:sz w:val="20"/>
        <w:szCs w:val="20"/>
      </w:rPr>
    </w:sdtEndPr>
    <w:sdtContent>
      <w:p w:rsidR="004056AF" w:rsidRDefault="004056AF" w:rsidP="00A46956">
        <w:pPr>
          <w:pStyle w:val="Encabezado"/>
          <w:jc w:val="right"/>
        </w:pPr>
      </w:p>
      <w:p w:rsidR="004056AF" w:rsidRDefault="004056AF"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5104" behindDoc="0" locked="0" layoutInCell="1" allowOverlap="1" wp14:anchorId="26EC848B" wp14:editId="5AA591B3">
                  <wp:simplePos x="0" y="0"/>
                  <wp:positionH relativeFrom="column">
                    <wp:posOffset>1663700</wp:posOffset>
                  </wp:positionH>
                  <wp:positionV relativeFrom="paragraph">
                    <wp:posOffset>-7620</wp:posOffset>
                  </wp:positionV>
                  <wp:extent cx="4010025" cy="0"/>
                  <wp:effectExtent l="0" t="0" r="9525" b="19050"/>
                  <wp:wrapNone/>
                  <wp:docPr id="47"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D4AC40" id="6 Conector recto"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L2J/TE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4056AF" w:rsidRPr="007A041E" w:rsidRDefault="004056AF"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CB23EF">
      <w:rPr>
        <w:rFonts w:ascii="Times New Roman" w:hAnsi="Times New Roman"/>
        <w:b/>
        <w:noProof/>
        <w:color w:val="4F81BD" w:themeColor="accent1"/>
        <w:sz w:val="20"/>
        <w:szCs w:val="20"/>
      </w:rPr>
      <w:t>6</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735958"/>
      <w:docPartObj>
        <w:docPartGallery w:val="Page Numbers (Bottom of Page)"/>
        <w:docPartUnique/>
      </w:docPartObj>
    </w:sdtPr>
    <w:sdtEndPr>
      <w:rPr>
        <w:rFonts w:ascii="Times New Roman" w:hAnsi="Times New Roman"/>
        <w:color w:val="4F81BD" w:themeColor="accent1"/>
        <w:sz w:val="20"/>
        <w:szCs w:val="20"/>
      </w:rPr>
    </w:sdtEndPr>
    <w:sdtContent>
      <w:p w:rsidR="00734097" w:rsidRDefault="00734097" w:rsidP="00A46956">
        <w:pPr>
          <w:pStyle w:val="Encabezado"/>
          <w:jc w:val="right"/>
        </w:pPr>
      </w:p>
      <w:p w:rsidR="00734097" w:rsidRDefault="00734097" w:rsidP="00A46956">
        <w:pPr>
          <w:pStyle w:val="Encabezado"/>
          <w:jc w:val="right"/>
          <w:rPr>
            <w:rFonts w:ascii="Times New Roman" w:hAnsi="Times New Roman"/>
            <w:color w:val="4F81BD" w:themeColor="accent1"/>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1008" behindDoc="0" locked="0" layoutInCell="1" allowOverlap="1" wp14:anchorId="5BCF1250" wp14:editId="31FE652C">
                  <wp:simplePos x="0" y="0"/>
                  <wp:positionH relativeFrom="column">
                    <wp:posOffset>1663700</wp:posOffset>
                  </wp:positionH>
                  <wp:positionV relativeFrom="paragraph">
                    <wp:posOffset>-7620</wp:posOffset>
                  </wp:positionV>
                  <wp:extent cx="4010025" cy="0"/>
                  <wp:effectExtent l="0" t="0" r="9525" b="19050"/>
                  <wp:wrapNone/>
                  <wp:docPr id="30"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35AB83" id="6 Conector recto"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1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" strokecolor="#4579b8">
                  <o:lock v:ext="edit" shapetype="f"/>
                </v:line>
              </w:pict>
            </mc:Fallback>
          </mc:AlternateContent>
        </w:r>
        <w:r w:rsidRPr="00BA1004">
          <w:rPr>
            <w:rFonts w:ascii="Times New Roman" w:hAnsi="Times New Roman"/>
            <w:color w:val="0F243E" w:themeColor="text2" w:themeShade="80"/>
            <w:sz w:val="20"/>
            <w:szCs w:val="20"/>
          </w:rPr>
          <w:t>Dirección de Análisis y Política Fiscal</w:t>
        </w:r>
        <w:r w:rsidRPr="00B91C2D">
          <w:rPr>
            <w:rFonts w:ascii="Times New Roman" w:hAnsi="Times New Roman"/>
            <w:color w:val="4F81BD" w:themeColor="accent1"/>
            <w:sz w:val="20"/>
            <w:szCs w:val="20"/>
          </w:rPr>
          <w:t xml:space="preserve"> </w:t>
        </w:r>
      </w:p>
    </w:sdtContent>
  </w:sdt>
  <w:p w:rsidR="00734097" w:rsidRPr="007A041E" w:rsidRDefault="00734097" w:rsidP="007A041E">
    <w:pPr>
      <w:pStyle w:val="Piedepgina"/>
      <w:jc w:val="right"/>
      <w:rPr>
        <w:rFonts w:ascii="Times New Roman" w:hAnsi="Times New Roman"/>
        <w:color w:val="4F81BD" w:themeColor="accent1"/>
        <w:sz w:val="20"/>
        <w:szCs w:val="20"/>
      </w:rPr>
    </w:pPr>
    <w:r w:rsidRPr="002068BB">
      <w:rPr>
        <w:rFonts w:ascii="Times New Roman" w:hAnsi="Times New Roman"/>
        <w:b/>
        <w:color w:val="4F81BD" w:themeColor="accent1"/>
        <w:sz w:val="20"/>
        <w:szCs w:val="20"/>
      </w:rPr>
      <w:t>Página</w:t>
    </w:r>
    <w:r>
      <w:rPr>
        <w:rFonts w:ascii="Times New Roman" w:hAnsi="Times New Roman"/>
        <w:b/>
        <w:color w:val="4F81BD" w:themeColor="accent1"/>
        <w:sz w:val="20"/>
        <w:szCs w:val="20"/>
      </w:rPr>
      <w:t xml:space="preserve"> </w:t>
    </w:r>
    <w:r w:rsidRPr="002068BB">
      <w:rPr>
        <w:rFonts w:ascii="Times New Roman" w:hAnsi="Times New Roman"/>
        <w:b/>
        <w:color w:val="4F81BD" w:themeColor="accent1"/>
        <w:sz w:val="20"/>
        <w:szCs w:val="20"/>
      </w:rPr>
      <w:fldChar w:fldCharType="begin"/>
    </w:r>
    <w:r w:rsidRPr="002068BB">
      <w:rPr>
        <w:rFonts w:ascii="Times New Roman" w:hAnsi="Times New Roman"/>
        <w:b/>
        <w:color w:val="4F81BD" w:themeColor="accent1"/>
        <w:sz w:val="20"/>
        <w:szCs w:val="20"/>
      </w:rPr>
      <w:instrText>PAGE   \* MERGEFORMAT</w:instrText>
    </w:r>
    <w:r w:rsidRPr="002068BB">
      <w:rPr>
        <w:rFonts w:ascii="Times New Roman" w:hAnsi="Times New Roman"/>
        <w:b/>
        <w:color w:val="4F81BD" w:themeColor="accent1"/>
        <w:sz w:val="20"/>
        <w:szCs w:val="20"/>
      </w:rPr>
      <w:fldChar w:fldCharType="separate"/>
    </w:r>
    <w:r w:rsidR="0074127E">
      <w:rPr>
        <w:rFonts w:ascii="Times New Roman" w:hAnsi="Times New Roman"/>
        <w:b/>
        <w:noProof/>
        <w:color w:val="4F81BD" w:themeColor="accent1"/>
        <w:sz w:val="20"/>
        <w:szCs w:val="20"/>
      </w:rPr>
      <w:t>7</w:t>
    </w:r>
    <w:r w:rsidRPr="002068BB">
      <w:rPr>
        <w:rFonts w:ascii="Times New Roman" w:hAnsi="Times New Roman"/>
        <w:b/>
        <w:color w:val="4F81BD" w:themeColor="accent1"/>
        <w:sz w:val="20"/>
        <w:szCs w:val="20"/>
      </w:rPr>
      <w:fldChar w:fldCharType="end"/>
    </w:r>
    <w:r>
      <w:rPr>
        <w:rFonts w:ascii="Times New Roman" w:hAnsi="Times New Roman"/>
        <w:color w:val="4F81BD" w:themeColor="accent1"/>
        <w:sz w:val="20"/>
        <w:szCs w:val="20"/>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Piedepgina"/>
    </w:pPr>
  </w:p>
  <w:p w:rsidR="004B2DD6" w:rsidRDefault="004B2DD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273240"/>
      <w:docPartObj>
        <w:docPartGallery w:val="Page Numbers (Bottom of Page)"/>
        <w:docPartUnique/>
      </w:docPartObj>
    </w:sdtPr>
    <w:sdtEndPr>
      <w:rPr>
        <w:rFonts w:ascii="Times New Roman" w:hAnsi="Times New Roman" w:cs="Times New Roman"/>
        <w:color w:val="4F81BD" w:themeColor="accent1"/>
        <w:sz w:val="20"/>
        <w:szCs w:val="20"/>
      </w:rPr>
    </w:sdtEndPr>
    <w:sdtContent>
      <w:p w:rsidR="007A041E" w:rsidRPr="007A041E" w:rsidRDefault="007A041E" w:rsidP="007A041E">
        <w:pPr>
          <w:pStyle w:val="Encabezado"/>
          <w:rPr>
            <w:sz w:val="2"/>
            <w:szCs w:val="2"/>
          </w:rPr>
        </w:pPr>
      </w:p>
      <w:p w:rsidR="004B2DD6" w:rsidRPr="005D13A6" w:rsidRDefault="004B2DD6" w:rsidP="00017573">
        <w:pPr>
          <w:pStyle w:val="Encabezado"/>
          <w:ind w:right="-93"/>
          <w:jc w:val="right"/>
          <w:rPr>
            <w:rFonts w:ascii="Times New Roman" w:hAnsi="Times New Roman" w:cs="Times New Roman"/>
            <w:color w:val="4F81BD" w:themeColor="accent1"/>
            <w:sz w:val="20"/>
            <w:szCs w:val="20"/>
          </w:rPr>
        </w:pPr>
        <w:r w:rsidRPr="005D13A6">
          <w:rPr>
            <w:rFonts w:ascii="Times New Roman" w:hAnsi="Times New Roman" w:cs="Times New Roman"/>
            <w:noProof/>
            <w:color w:val="0F243E" w:themeColor="text2" w:themeShade="80"/>
            <w:lang w:eastAsia="es-GT"/>
          </w:rPr>
          <mc:AlternateContent>
            <mc:Choice Requires="wps">
              <w:drawing>
                <wp:anchor distT="4294967295" distB="4294967295" distL="114300" distR="114300" simplePos="0" relativeHeight="251671552" behindDoc="0" locked="0" layoutInCell="1" allowOverlap="1" wp14:anchorId="36805358" wp14:editId="740A2C3C">
                  <wp:simplePos x="0" y="0"/>
                  <wp:positionH relativeFrom="column">
                    <wp:posOffset>1851025</wp:posOffset>
                  </wp:positionH>
                  <wp:positionV relativeFrom="paragraph">
                    <wp:posOffset>-7620</wp:posOffset>
                  </wp:positionV>
                  <wp:extent cx="4010025" cy="0"/>
                  <wp:effectExtent l="0" t="0" r="9525" b="19050"/>
                  <wp:wrapNone/>
                  <wp:docPr id="28"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5E59417" id="6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5.75pt,-.6pt" to="46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Ty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" strokecolor="#4579b8">
                  <o:lock v:ext="edit" shapetype="f"/>
                </v:line>
              </w:pict>
            </mc:Fallback>
          </mc:AlternateContent>
        </w:r>
        <w:r w:rsidRPr="005D13A6">
          <w:rPr>
            <w:rFonts w:ascii="Times New Roman" w:hAnsi="Times New Roman" w:cs="Times New Roman"/>
            <w:color w:val="0F243E" w:themeColor="text2" w:themeShade="80"/>
            <w:sz w:val="20"/>
            <w:szCs w:val="20"/>
          </w:rPr>
          <w:t>Dirección de Análisis y Política Fiscal</w:t>
        </w:r>
        <w:r w:rsidRPr="005D13A6">
          <w:rPr>
            <w:rFonts w:ascii="Times New Roman" w:hAnsi="Times New Roman" w:cs="Times New Roman"/>
            <w:color w:val="4F81BD" w:themeColor="accent1"/>
            <w:sz w:val="20"/>
            <w:szCs w:val="20"/>
          </w:rPr>
          <w:t xml:space="preserve"> </w:t>
        </w:r>
      </w:p>
    </w:sdtContent>
  </w:sdt>
  <w:p w:rsidR="004B2DD6" w:rsidRPr="007A041E" w:rsidRDefault="004B2DD6" w:rsidP="00017573">
    <w:pPr>
      <w:pStyle w:val="Piedepgina"/>
      <w:ind w:right="-93"/>
      <w:jc w:val="right"/>
      <w:rPr>
        <w:rFonts w:ascii="Times New Roman" w:hAnsi="Times New Roman" w:cs="Times New Roman"/>
        <w:color w:val="4F81BD" w:themeColor="accent1"/>
        <w:sz w:val="20"/>
        <w:szCs w:val="20"/>
      </w:rPr>
    </w:pPr>
    <w:r w:rsidRPr="005D13A6">
      <w:rPr>
        <w:rFonts w:ascii="Times New Roman" w:hAnsi="Times New Roman" w:cs="Times New Roman"/>
        <w:b/>
        <w:color w:val="4F81BD" w:themeColor="accent1"/>
        <w:sz w:val="20"/>
        <w:szCs w:val="20"/>
      </w:rPr>
      <w:t xml:space="preserve">Página </w:t>
    </w:r>
    <w:r w:rsidRPr="005D13A6">
      <w:rPr>
        <w:rFonts w:ascii="Times New Roman" w:hAnsi="Times New Roman" w:cs="Times New Roman"/>
        <w:b/>
        <w:color w:val="4F81BD" w:themeColor="accent1"/>
        <w:sz w:val="20"/>
        <w:szCs w:val="20"/>
      </w:rPr>
      <w:fldChar w:fldCharType="begin"/>
    </w:r>
    <w:r w:rsidRPr="005D13A6">
      <w:rPr>
        <w:rFonts w:ascii="Times New Roman" w:hAnsi="Times New Roman" w:cs="Times New Roman"/>
        <w:b/>
        <w:color w:val="4F81BD" w:themeColor="accent1"/>
        <w:sz w:val="20"/>
        <w:szCs w:val="20"/>
      </w:rPr>
      <w:instrText>PAGE   \* MERGEFORMAT</w:instrText>
    </w:r>
    <w:r w:rsidRPr="005D13A6">
      <w:rPr>
        <w:rFonts w:ascii="Times New Roman" w:hAnsi="Times New Roman" w:cs="Times New Roman"/>
        <w:b/>
        <w:color w:val="4F81BD" w:themeColor="accent1"/>
        <w:sz w:val="20"/>
        <w:szCs w:val="20"/>
      </w:rPr>
      <w:fldChar w:fldCharType="separate"/>
    </w:r>
    <w:r w:rsidR="0074127E">
      <w:rPr>
        <w:rFonts w:ascii="Times New Roman" w:hAnsi="Times New Roman" w:cs="Times New Roman"/>
        <w:b/>
        <w:noProof/>
        <w:color w:val="4F81BD" w:themeColor="accent1"/>
        <w:sz w:val="20"/>
        <w:szCs w:val="20"/>
      </w:rPr>
      <w:t>7</w:t>
    </w:r>
    <w:r w:rsidRPr="005D13A6">
      <w:rPr>
        <w:rFonts w:ascii="Times New Roman" w:hAnsi="Times New Roman" w:cs="Times New Roman"/>
        <w:b/>
        <w:color w:val="4F81BD" w:themeColor="accent1"/>
        <w:sz w:val="20"/>
        <w:szCs w:val="20"/>
      </w:rPr>
      <w:fldChar w:fldCharType="end"/>
    </w:r>
    <w:r w:rsidR="007A041E">
      <w:rPr>
        <w:rFonts w:ascii="Times New Roman" w:hAnsi="Times New Roman" w:cs="Times New Roman"/>
        <w:color w:val="4F81BD" w:themeColor="accent1"/>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AE7" w:rsidRDefault="000C6AE7" w:rsidP="00A6098E">
      <w:pPr>
        <w:spacing w:after="0" w:line="240" w:lineRule="auto"/>
      </w:pPr>
      <w:r>
        <w:separator/>
      </w:r>
    </w:p>
  </w:footnote>
  <w:footnote w:type="continuationSeparator" w:id="0">
    <w:p w:rsidR="000C6AE7" w:rsidRDefault="000C6AE7"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EE7" w:rsidRPr="004920BA" w:rsidRDefault="00052EE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5888" behindDoc="1" locked="0" layoutInCell="1" allowOverlap="1" wp14:anchorId="63C4BE08" wp14:editId="0DBB23D5">
          <wp:simplePos x="0" y="0"/>
          <wp:positionH relativeFrom="margin">
            <wp:posOffset>158750</wp:posOffset>
          </wp:positionH>
          <wp:positionV relativeFrom="margin">
            <wp:posOffset>-565150</wp:posOffset>
          </wp:positionV>
          <wp:extent cx="1733550" cy="474345"/>
          <wp:effectExtent l="0" t="0" r="0" b="1905"/>
          <wp:wrapNone/>
          <wp:docPr id="1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052EE7" w:rsidRDefault="00052EE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4864" behindDoc="0" locked="0" layoutInCell="1" allowOverlap="1" wp14:anchorId="5F5A5D92" wp14:editId="28C496E9">
              <wp:simplePos x="0" y="0"/>
              <wp:positionH relativeFrom="column">
                <wp:posOffset>1986915</wp:posOffset>
              </wp:positionH>
              <wp:positionV relativeFrom="paragraph">
                <wp:posOffset>146050</wp:posOffset>
              </wp:positionV>
              <wp:extent cx="4010025" cy="0"/>
              <wp:effectExtent l="0" t="0" r="9525" b="19050"/>
              <wp:wrapNone/>
              <wp:docPr id="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EFFE8C" id="6 Conector recto"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LzDA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306069">
      <w:rPr>
        <w:rFonts w:ascii="Times New Roman" w:hAnsi="Times New Roman"/>
        <w:color w:val="0F243E" w:themeColor="text2" w:themeShade="80"/>
        <w:sz w:val="20"/>
        <w:szCs w:val="20"/>
      </w:rPr>
      <w:t>Mayo</w:t>
    </w:r>
    <w:r>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4B2DD6"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1312" behindDoc="1" locked="0" layoutInCell="1" allowOverlap="1" wp14:anchorId="2A191437" wp14:editId="1F294EEF">
          <wp:simplePos x="0" y="0"/>
          <wp:positionH relativeFrom="margin">
            <wp:posOffset>158750</wp:posOffset>
          </wp:positionH>
          <wp:positionV relativeFrom="margin">
            <wp:posOffset>-565150</wp:posOffset>
          </wp:positionV>
          <wp:extent cx="1733550" cy="474345"/>
          <wp:effectExtent l="0" t="0" r="0" b="1905"/>
          <wp:wrapNone/>
          <wp:docPr id="4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4B2DD6" w:rsidRDefault="004B2DD6"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9264" behindDoc="0" locked="0" layoutInCell="1" allowOverlap="1" wp14:anchorId="0EC5EF35" wp14:editId="5A768990">
              <wp:simplePos x="0" y="0"/>
              <wp:positionH relativeFrom="column">
                <wp:posOffset>1986915</wp:posOffset>
              </wp:positionH>
              <wp:positionV relativeFrom="paragraph">
                <wp:posOffset>146050</wp:posOffset>
              </wp:positionV>
              <wp:extent cx="4010025" cy="0"/>
              <wp:effectExtent l="0" t="0" r="9525" b="19050"/>
              <wp:wrapNone/>
              <wp:docPr id="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498C65"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dkDQIAABw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CMRnZA0CAAAc&#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306069">
      <w:rPr>
        <w:rFonts w:ascii="Times New Roman" w:hAnsi="Times New Roman"/>
        <w:color w:val="0F243E" w:themeColor="text2" w:themeShade="80"/>
        <w:sz w:val="20"/>
        <w:szCs w:val="20"/>
      </w:rPr>
      <w:t>Mayo</w:t>
    </w:r>
    <w:r w:rsidR="001967A7">
      <w:rPr>
        <w:rFonts w:ascii="Times New Roman" w:hAnsi="Times New Roman"/>
        <w:color w:val="0F243E" w:themeColor="text2" w:themeShade="80"/>
        <w:sz w:val="20"/>
        <w:szCs w:val="20"/>
      </w:rPr>
      <w:t xml:space="preserve"> </w:t>
    </w:r>
    <w:r w:rsidRPr="004920BA">
      <w:rPr>
        <w:rFonts w:ascii="Times New Roman" w:hAnsi="Times New Roman"/>
        <w:color w:val="0F243E" w:themeColor="text2" w:themeShade="80"/>
        <w:sz w:val="20"/>
        <w:szCs w:val="20"/>
      </w:rPr>
      <w:t>201</w:t>
    </w:r>
    <w:r w:rsidR="001967A7">
      <w:rPr>
        <w:rFonts w:ascii="Times New Roman" w:hAnsi="Times New Roman"/>
        <w:color w:val="0F243E" w:themeColor="text2" w:themeShade="80"/>
        <w:sz w:val="20"/>
        <w:szCs w:val="20"/>
      </w:rPr>
      <w:t>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Pr="004920BA" w:rsidRDefault="004B2DD6" w:rsidP="005D13A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66432" behindDoc="1" locked="0" layoutInCell="1" allowOverlap="1" wp14:anchorId="6A2ED9C3" wp14:editId="2264FA90">
          <wp:simplePos x="0" y="0"/>
          <wp:positionH relativeFrom="margin">
            <wp:posOffset>158750</wp:posOffset>
          </wp:positionH>
          <wp:positionV relativeFrom="margin">
            <wp:posOffset>-641350</wp:posOffset>
          </wp:positionV>
          <wp:extent cx="1733550" cy="474345"/>
          <wp:effectExtent l="0" t="0" r="0" b="1905"/>
          <wp:wrapNone/>
          <wp:docPr id="2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4B2DD6"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73600" behindDoc="0" locked="0" layoutInCell="1" allowOverlap="1" wp14:anchorId="16ED2F4C" wp14:editId="243C26F1">
              <wp:simplePos x="0" y="0"/>
              <wp:positionH relativeFrom="column">
                <wp:posOffset>1986915</wp:posOffset>
              </wp:positionH>
              <wp:positionV relativeFrom="paragraph">
                <wp:posOffset>146050</wp:posOffset>
              </wp:positionV>
              <wp:extent cx="4010025" cy="0"/>
              <wp:effectExtent l="0" t="0" r="9525" b="19050"/>
              <wp:wrapNone/>
              <wp:docPr id="34"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5EFF496" id="6 Conector recto"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Mf7DPw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306069">
      <w:rPr>
        <w:rFonts w:ascii="Times New Roman" w:hAnsi="Times New Roman"/>
        <w:color w:val="0F243E" w:themeColor="text2" w:themeShade="80"/>
        <w:sz w:val="20"/>
        <w:szCs w:val="20"/>
      </w:rPr>
      <w:t>Mayo</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9A1D84" w:rsidRDefault="009A1D84" w:rsidP="009A1D84">
    <w:pPr>
      <w:pStyle w:val="Encabezado"/>
      <w:jc w:val="right"/>
      <w:rPr>
        <w:rFonts w:ascii="Times New Roman" w:hAnsi="Times New Roman"/>
        <w:color w:val="0F243E" w:themeColor="text2" w:themeShade="80"/>
        <w:sz w:val="20"/>
        <w:szCs w:val="20"/>
      </w:rPr>
    </w:pPr>
  </w:p>
  <w:p w:rsidR="004B2DD6" w:rsidRPr="0076629E" w:rsidRDefault="004B2DD6" w:rsidP="0076629E">
    <w:pPr>
      <w:pStyle w:val="Encabezado"/>
      <w:jc w:val="right"/>
      <w:rPr>
        <w:rFonts w:ascii="Times New Roman" w:hAnsi="Times New Roman"/>
        <w:color w:val="0F243E" w:themeColor="text2" w:themeShade="80"/>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AF" w:rsidRPr="004920BA" w:rsidRDefault="004056AF"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94080" behindDoc="1" locked="0" layoutInCell="1" allowOverlap="1" wp14:anchorId="3720E8FA" wp14:editId="04968EEC">
          <wp:simplePos x="0" y="0"/>
          <wp:positionH relativeFrom="margin">
            <wp:posOffset>158750</wp:posOffset>
          </wp:positionH>
          <wp:positionV relativeFrom="margin">
            <wp:posOffset>-565150</wp:posOffset>
          </wp:positionV>
          <wp:extent cx="1733550" cy="474345"/>
          <wp:effectExtent l="0" t="0" r="0" b="1905"/>
          <wp:wrapNone/>
          <wp:docPr id="5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4056AF" w:rsidRDefault="004056AF"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93056" behindDoc="0" locked="0" layoutInCell="1" allowOverlap="1" wp14:anchorId="1EF5ADE2" wp14:editId="521C68C7">
              <wp:simplePos x="0" y="0"/>
              <wp:positionH relativeFrom="column">
                <wp:posOffset>1986915</wp:posOffset>
              </wp:positionH>
              <wp:positionV relativeFrom="paragraph">
                <wp:posOffset>146050</wp:posOffset>
              </wp:positionV>
              <wp:extent cx="4010025" cy="0"/>
              <wp:effectExtent l="0" t="0" r="9525" b="19050"/>
              <wp:wrapNone/>
              <wp:docPr id="46"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07E5AF8" id="6 Conector recto"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Tl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H5gk5Q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Mayo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097" w:rsidRPr="004920BA" w:rsidRDefault="00734097" w:rsidP="004F33E6">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9984" behindDoc="1" locked="0" layoutInCell="1" allowOverlap="1" wp14:anchorId="35C78E8B" wp14:editId="43B432F4">
          <wp:simplePos x="0" y="0"/>
          <wp:positionH relativeFrom="margin">
            <wp:posOffset>158750</wp:posOffset>
          </wp:positionH>
          <wp:positionV relativeFrom="margin">
            <wp:posOffset>-565150</wp:posOffset>
          </wp:positionV>
          <wp:extent cx="1733550" cy="474345"/>
          <wp:effectExtent l="0" t="0" r="0" b="1905"/>
          <wp:wrapNone/>
          <wp:docPr id="55"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rFonts w:ascii="Times New Roman" w:hAnsi="Times New Roman"/>
        <w:b/>
        <w:color w:val="0F243E" w:themeColor="text2" w:themeShade="80"/>
      </w:rPr>
      <w:t xml:space="preserve">                                               Informe de las Finanzas Públicas </w:t>
    </w:r>
  </w:p>
  <w:p w:rsidR="00734097" w:rsidRDefault="00734097"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8960" behindDoc="0" locked="0" layoutInCell="1" allowOverlap="1" wp14:anchorId="731386EA" wp14:editId="4F2BBBC3">
              <wp:simplePos x="0" y="0"/>
              <wp:positionH relativeFrom="column">
                <wp:posOffset>1986915</wp:posOffset>
              </wp:positionH>
              <wp:positionV relativeFrom="paragraph">
                <wp:posOffset>146050</wp:posOffset>
              </wp:positionV>
              <wp:extent cx="4010025" cy="0"/>
              <wp:effectExtent l="0" t="0" r="9525" b="19050"/>
              <wp:wrapNone/>
              <wp:docPr id="2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5205BE" id="6 Conector recto"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0m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 xml:space="preserve">Mayo </w:t>
    </w:r>
    <w:r w:rsidRPr="004920BA">
      <w:rPr>
        <w:rFonts w:ascii="Times New Roman" w:hAnsi="Times New Roman"/>
        <w:color w:val="0F243E" w:themeColor="text2" w:themeShade="80"/>
        <w:sz w:val="20"/>
        <w:szCs w:val="20"/>
      </w:rPr>
      <w:t>201</w:t>
    </w:r>
    <w:r>
      <w:rPr>
        <w:rFonts w:ascii="Times New Roman" w:hAnsi="Times New Roman"/>
        <w:color w:val="0F243E" w:themeColor="text2" w:themeShade="80"/>
        <w:sz w:val="20"/>
        <w:szCs w:val="20"/>
      </w:rPr>
      <w:t>5</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DD6" w:rsidRDefault="004B2DD6">
    <w:pPr>
      <w:pStyle w:val="Encabezado"/>
    </w:pPr>
  </w:p>
  <w:p w:rsidR="004B2DD6" w:rsidRDefault="004B2DD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B8" w:rsidRPr="004920BA" w:rsidRDefault="009B52B8" w:rsidP="009B52B8">
    <w:pPr>
      <w:pStyle w:val="Encabezado"/>
      <w:jc w:val="right"/>
      <w:rPr>
        <w:rFonts w:ascii="Times New Roman" w:hAnsi="Times New Roman"/>
        <w:b/>
        <w:color w:val="0F243E" w:themeColor="text2" w:themeShade="80"/>
      </w:rPr>
    </w:pPr>
    <w:r w:rsidRPr="002B196F">
      <w:rPr>
        <w:b/>
        <w:noProof/>
        <w:color w:val="1F497D" w:themeColor="text2"/>
        <w:lang w:eastAsia="es-GT"/>
      </w:rPr>
      <w:drawing>
        <wp:anchor distT="0" distB="0" distL="114300" distR="114300" simplePos="0" relativeHeight="251681792" behindDoc="1" locked="0" layoutInCell="1" allowOverlap="1" wp14:anchorId="6D12E63E" wp14:editId="0917CB78">
          <wp:simplePos x="0" y="0"/>
          <wp:positionH relativeFrom="margin">
            <wp:posOffset>158750</wp:posOffset>
          </wp:positionH>
          <wp:positionV relativeFrom="margin">
            <wp:posOffset>-641350</wp:posOffset>
          </wp:positionV>
          <wp:extent cx="1733550" cy="474345"/>
          <wp:effectExtent l="0" t="0" r="0" b="190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
                    <a:extLst>
                      <a:ext uri="{28A0092B-C50C-407E-A947-70E740481C1C}">
                        <a14:useLocalDpi xmlns:a14="http://schemas.microsoft.com/office/drawing/2010/main" val="0"/>
                      </a:ext>
                    </a:extLst>
                  </a:blip>
                  <a:srcRect l="3903" t="3641" r="68214" b="89600"/>
                  <a:stretch>
                    <a:fillRect/>
                  </a:stretch>
                </pic:blipFill>
                <pic:spPr bwMode="auto">
                  <a:xfrm>
                    <a:off x="0" y="0"/>
                    <a:ext cx="173355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0BA">
      <w:rPr>
        <w:b/>
        <w:color w:val="0F243E" w:themeColor="text2" w:themeShade="80"/>
      </w:rPr>
      <w:t xml:space="preserve">                 </w:t>
    </w:r>
    <w:r>
      <w:rPr>
        <w:b/>
        <w:color w:val="0F243E" w:themeColor="text2" w:themeShade="80"/>
      </w:rPr>
      <w:t xml:space="preserve">                              </w:t>
    </w:r>
    <w:r w:rsidRPr="004920BA">
      <w:rPr>
        <w:rFonts w:ascii="Times New Roman" w:hAnsi="Times New Roman"/>
        <w:b/>
        <w:color w:val="0F243E" w:themeColor="text2" w:themeShade="80"/>
      </w:rPr>
      <w:t xml:space="preserve">Informe de las Finanzas Públicas </w:t>
    </w:r>
  </w:p>
  <w:p w:rsidR="00F6224F" w:rsidRDefault="009B52B8" w:rsidP="00F6224F">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82816" behindDoc="0" locked="0" layoutInCell="1" allowOverlap="1" wp14:anchorId="70E56021" wp14:editId="2AA5D244">
              <wp:simplePos x="0" y="0"/>
              <wp:positionH relativeFrom="column">
                <wp:posOffset>2057282</wp:posOffset>
              </wp:positionH>
              <wp:positionV relativeFrom="paragraph">
                <wp:posOffset>146050</wp:posOffset>
              </wp:positionV>
              <wp:extent cx="4010025" cy="0"/>
              <wp:effectExtent l="0" t="0" r="9525" b="19050"/>
              <wp:wrapNone/>
              <wp:docPr id="2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31115E" id="6 Conector recto"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pt,11.5pt" to="477.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" strokecolor="#4579b8">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sidR="00306069">
      <w:rPr>
        <w:rFonts w:ascii="Times New Roman" w:hAnsi="Times New Roman"/>
        <w:color w:val="0F243E" w:themeColor="text2" w:themeShade="80"/>
        <w:sz w:val="20"/>
        <w:szCs w:val="20"/>
      </w:rPr>
      <w:t>Mayo</w:t>
    </w:r>
    <w:r w:rsidR="00F6224F">
      <w:rPr>
        <w:rFonts w:ascii="Times New Roman" w:hAnsi="Times New Roman"/>
        <w:color w:val="0F243E" w:themeColor="text2" w:themeShade="80"/>
        <w:sz w:val="20"/>
        <w:szCs w:val="20"/>
      </w:rPr>
      <w:t xml:space="preserve"> </w:t>
    </w:r>
    <w:r w:rsidR="00F6224F" w:rsidRPr="004920BA">
      <w:rPr>
        <w:rFonts w:ascii="Times New Roman" w:hAnsi="Times New Roman"/>
        <w:color w:val="0F243E" w:themeColor="text2" w:themeShade="80"/>
        <w:sz w:val="20"/>
        <w:szCs w:val="20"/>
      </w:rPr>
      <w:t>201</w:t>
    </w:r>
    <w:r w:rsidR="00F6224F">
      <w:rPr>
        <w:rFonts w:ascii="Times New Roman" w:hAnsi="Times New Roman"/>
        <w:color w:val="0F243E" w:themeColor="text2" w:themeShade="80"/>
        <w:sz w:val="20"/>
        <w:szCs w:val="20"/>
      </w:rPr>
      <w:t>5</w:t>
    </w:r>
  </w:p>
  <w:p w:rsidR="004B2DD6" w:rsidRPr="004A1025" w:rsidRDefault="004B2DD6" w:rsidP="00444213">
    <w:pPr>
      <w:pStyle w:val="Encabezado"/>
      <w:jc w:val="right"/>
      <w:rPr>
        <w:rFonts w:ascii="Times New Roman" w:hAnsi="Times New Roman"/>
        <w:color w:val="0F243E" w:themeColor="text2" w:themeShade="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2DB4"/>
    <w:multiLevelType w:val="hybridMultilevel"/>
    <w:tmpl w:val="7054AAAC"/>
    <w:lvl w:ilvl="0" w:tplc="100A0001">
      <w:start w:val="1"/>
      <w:numFmt w:val="bullet"/>
      <w:lvlText w:val=""/>
      <w:lvlJc w:val="left"/>
      <w:pPr>
        <w:ind w:left="360" w:hanging="360"/>
      </w:pPr>
      <w:rPr>
        <w:rFonts w:ascii="Symbol" w:hAnsi="Symbol"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AFB7790"/>
    <w:multiLevelType w:val="hybridMultilevel"/>
    <w:tmpl w:val="49F4781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0B7B0D4A"/>
    <w:multiLevelType w:val="hybridMultilevel"/>
    <w:tmpl w:val="FE2ED948"/>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C0D7CD2"/>
    <w:multiLevelType w:val="hybridMultilevel"/>
    <w:tmpl w:val="0BFE6956"/>
    <w:lvl w:ilvl="0" w:tplc="4D12FE22">
      <w:start w:val="2013"/>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17A33FB"/>
    <w:multiLevelType w:val="hybridMultilevel"/>
    <w:tmpl w:val="E036167E"/>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17F126D8"/>
    <w:multiLevelType w:val="hybridMultilevel"/>
    <w:tmpl w:val="BC5A826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1ADE6A16"/>
    <w:multiLevelType w:val="hybridMultilevel"/>
    <w:tmpl w:val="3ECA2A0C"/>
    <w:lvl w:ilvl="0" w:tplc="100A000F">
      <w:start w:val="1"/>
      <w:numFmt w:val="decimal"/>
      <w:lvlText w:val="%1."/>
      <w:lvlJc w:val="left"/>
      <w:pPr>
        <w:ind w:left="360" w:hanging="360"/>
      </w:pPr>
    </w:lvl>
    <w:lvl w:ilvl="1" w:tplc="100A0001">
      <w:start w:val="1"/>
      <w:numFmt w:val="bullet"/>
      <w:lvlText w:val=""/>
      <w:lvlJc w:val="left"/>
      <w:pPr>
        <w:ind w:left="1080" w:hanging="360"/>
      </w:pPr>
      <w:rPr>
        <w:rFonts w:ascii="Symbol" w:hAnsi="Symbol" w:hint="default"/>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1CD54EBA"/>
    <w:multiLevelType w:val="hybridMultilevel"/>
    <w:tmpl w:val="02CE1684"/>
    <w:lvl w:ilvl="0" w:tplc="100A0001">
      <w:start w:val="1"/>
      <w:numFmt w:val="bullet"/>
      <w:lvlText w:val=""/>
      <w:lvlJc w:val="left"/>
      <w:pPr>
        <w:ind w:left="1080" w:hanging="360"/>
      </w:pPr>
      <w:rPr>
        <w:rFonts w:ascii="Symbol" w:hAnsi="Symbol"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8" w15:restartNumberingAfterBreak="0">
    <w:nsid w:val="1D627E0D"/>
    <w:multiLevelType w:val="hybridMultilevel"/>
    <w:tmpl w:val="2AEE323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2B227E5A"/>
    <w:multiLevelType w:val="hybridMultilevel"/>
    <w:tmpl w:val="1CA41C5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0" w15:restartNumberingAfterBreak="0">
    <w:nsid w:val="306D7AAA"/>
    <w:multiLevelType w:val="hybridMultilevel"/>
    <w:tmpl w:val="2578F00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15:restartNumberingAfterBreak="0">
    <w:nsid w:val="383C26A3"/>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3" w15:restartNumberingAfterBreak="0">
    <w:nsid w:val="4AFE3836"/>
    <w:multiLevelType w:val="hybridMultilevel"/>
    <w:tmpl w:val="7F0671BE"/>
    <w:lvl w:ilvl="0" w:tplc="100A0001">
      <w:start w:val="1"/>
      <w:numFmt w:val="bullet"/>
      <w:lvlText w:val=""/>
      <w:lvlJc w:val="left"/>
      <w:pPr>
        <w:ind w:left="1080" w:hanging="360"/>
      </w:pPr>
      <w:rPr>
        <w:rFonts w:ascii="Symbol" w:hAnsi="Symbol"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4" w15:restartNumberingAfterBreak="0">
    <w:nsid w:val="52F01983"/>
    <w:multiLevelType w:val="hybridMultilevel"/>
    <w:tmpl w:val="C5BEC19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5" w15:restartNumberingAfterBreak="0">
    <w:nsid w:val="570B08F8"/>
    <w:multiLevelType w:val="hybridMultilevel"/>
    <w:tmpl w:val="714A85D2"/>
    <w:lvl w:ilvl="0" w:tplc="6AD27464">
      <w:start w:val="1"/>
      <w:numFmt w:val="decimal"/>
      <w:lvlText w:val="%1."/>
      <w:lvlJc w:val="left"/>
      <w:pPr>
        <w:ind w:left="720" w:hanging="360"/>
      </w:pPr>
      <w:rPr>
        <w:color w:val="auto"/>
      </w:r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6" w15:restartNumberingAfterBreak="0">
    <w:nsid w:val="5B3378EA"/>
    <w:multiLevelType w:val="hybridMultilevel"/>
    <w:tmpl w:val="EA1029B4"/>
    <w:lvl w:ilvl="0" w:tplc="1174EC28">
      <w:start w:val="1"/>
      <w:numFmt w:val="decimal"/>
      <w:lvlText w:val="%1."/>
      <w:lvlJc w:val="left"/>
      <w:pPr>
        <w:ind w:left="1080" w:hanging="360"/>
      </w:pPr>
      <w:rPr>
        <w:rFonts w:hint="default"/>
        <w:sz w:val="22"/>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7" w15:restartNumberingAfterBreak="0">
    <w:nsid w:val="5B940A8B"/>
    <w:multiLevelType w:val="hybridMultilevel"/>
    <w:tmpl w:val="6C045DC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71B27820"/>
    <w:multiLevelType w:val="hybridMultilevel"/>
    <w:tmpl w:val="7108C1C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74C45B97"/>
    <w:multiLevelType w:val="hybridMultilevel"/>
    <w:tmpl w:val="07F6A57E"/>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0" w15:restartNumberingAfterBreak="0">
    <w:nsid w:val="766D1754"/>
    <w:multiLevelType w:val="hybridMultilevel"/>
    <w:tmpl w:val="728AA336"/>
    <w:lvl w:ilvl="0" w:tplc="BB92613E">
      <w:start w:val="1"/>
      <w:numFmt w:val="bullet"/>
      <w:lvlText w:val="-"/>
      <w:lvlJc w:val="left"/>
      <w:pPr>
        <w:ind w:left="360" w:hanging="360"/>
      </w:pPr>
      <w:rPr>
        <w:rFonts w:ascii="Courier New" w:hAnsi="Courier New"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2" w15:restartNumberingAfterBreak="0">
    <w:nsid w:val="7D306B01"/>
    <w:multiLevelType w:val="hybridMultilevel"/>
    <w:tmpl w:val="9BE4F1AE"/>
    <w:lvl w:ilvl="0" w:tplc="071C361E">
      <w:start w:val="201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3"/>
  </w:num>
  <w:num w:numId="5">
    <w:abstractNumId w:val="22"/>
  </w:num>
  <w:num w:numId="6">
    <w:abstractNumId w:val="9"/>
  </w:num>
  <w:num w:numId="7">
    <w:abstractNumId w:val="6"/>
  </w:num>
  <w:num w:numId="8">
    <w:abstractNumId w:val="5"/>
  </w:num>
  <w:num w:numId="9">
    <w:abstractNumId w:val="13"/>
  </w:num>
  <w:num w:numId="10">
    <w:abstractNumId w:val="8"/>
  </w:num>
  <w:num w:numId="11">
    <w:abstractNumId w:val="19"/>
  </w:num>
  <w:num w:numId="12">
    <w:abstractNumId w:val="18"/>
  </w:num>
  <w:num w:numId="13">
    <w:abstractNumId w:val="1"/>
  </w:num>
  <w:num w:numId="14">
    <w:abstractNumId w:val="20"/>
  </w:num>
  <w:num w:numId="15">
    <w:abstractNumId w:val="16"/>
  </w:num>
  <w:num w:numId="16">
    <w:abstractNumId w:val="4"/>
  </w:num>
  <w:num w:numId="17">
    <w:abstractNumId w:val="2"/>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17"/>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279B"/>
    <w:rsid w:val="000037EF"/>
    <w:rsid w:val="00004A29"/>
    <w:rsid w:val="000102D0"/>
    <w:rsid w:val="00011009"/>
    <w:rsid w:val="0001479D"/>
    <w:rsid w:val="00014EF9"/>
    <w:rsid w:val="00017573"/>
    <w:rsid w:val="000202C4"/>
    <w:rsid w:val="00020A54"/>
    <w:rsid w:val="000218E4"/>
    <w:rsid w:val="00022090"/>
    <w:rsid w:val="00023B9B"/>
    <w:rsid w:val="00025E27"/>
    <w:rsid w:val="00030F3B"/>
    <w:rsid w:val="00033317"/>
    <w:rsid w:val="000360E0"/>
    <w:rsid w:val="000428F3"/>
    <w:rsid w:val="00043185"/>
    <w:rsid w:val="000446C3"/>
    <w:rsid w:val="00051051"/>
    <w:rsid w:val="00052DB1"/>
    <w:rsid w:val="00052DBD"/>
    <w:rsid w:val="00052EE7"/>
    <w:rsid w:val="00055163"/>
    <w:rsid w:val="000615FB"/>
    <w:rsid w:val="0006199A"/>
    <w:rsid w:val="00061BAE"/>
    <w:rsid w:val="00062716"/>
    <w:rsid w:val="00062BB8"/>
    <w:rsid w:val="00064896"/>
    <w:rsid w:val="00064B05"/>
    <w:rsid w:val="000652DE"/>
    <w:rsid w:val="0006628E"/>
    <w:rsid w:val="00066D0C"/>
    <w:rsid w:val="00067D3D"/>
    <w:rsid w:val="0007086E"/>
    <w:rsid w:val="000735AF"/>
    <w:rsid w:val="00081520"/>
    <w:rsid w:val="000830CB"/>
    <w:rsid w:val="00083BF1"/>
    <w:rsid w:val="00085DF8"/>
    <w:rsid w:val="00086944"/>
    <w:rsid w:val="00086B4B"/>
    <w:rsid w:val="00090C9C"/>
    <w:rsid w:val="000915C8"/>
    <w:rsid w:val="000915E4"/>
    <w:rsid w:val="00094984"/>
    <w:rsid w:val="00096480"/>
    <w:rsid w:val="00096FBD"/>
    <w:rsid w:val="0009796C"/>
    <w:rsid w:val="000A388B"/>
    <w:rsid w:val="000A45A1"/>
    <w:rsid w:val="000A488B"/>
    <w:rsid w:val="000B3282"/>
    <w:rsid w:val="000B494E"/>
    <w:rsid w:val="000B7EB3"/>
    <w:rsid w:val="000C0211"/>
    <w:rsid w:val="000C205B"/>
    <w:rsid w:val="000C45CB"/>
    <w:rsid w:val="000C45D9"/>
    <w:rsid w:val="000C5FBE"/>
    <w:rsid w:val="000C6AE7"/>
    <w:rsid w:val="000D07E2"/>
    <w:rsid w:val="000D3651"/>
    <w:rsid w:val="000D40DE"/>
    <w:rsid w:val="000D6132"/>
    <w:rsid w:val="000E35C8"/>
    <w:rsid w:val="000E6714"/>
    <w:rsid w:val="000F05F1"/>
    <w:rsid w:val="000F0645"/>
    <w:rsid w:val="000F0976"/>
    <w:rsid w:val="000F0CEC"/>
    <w:rsid w:val="000F1AFB"/>
    <w:rsid w:val="000F2CC8"/>
    <w:rsid w:val="000F460A"/>
    <w:rsid w:val="000F49D2"/>
    <w:rsid w:val="000F4EE1"/>
    <w:rsid w:val="000F6631"/>
    <w:rsid w:val="000F6714"/>
    <w:rsid w:val="000F75D7"/>
    <w:rsid w:val="00101652"/>
    <w:rsid w:val="00104229"/>
    <w:rsid w:val="00104BCC"/>
    <w:rsid w:val="00106B9F"/>
    <w:rsid w:val="00107767"/>
    <w:rsid w:val="00107C39"/>
    <w:rsid w:val="001106EC"/>
    <w:rsid w:val="0011279A"/>
    <w:rsid w:val="001130E0"/>
    <w:rsid w:val="00114616"/>
    <w:rsid w:val="00114776"/>
    <w:rsid w:val="00115D0D"/>
    <w:rsid w:val="001218CD"/>
    <w:rsid w:val="00121DB5"/>
    <w:rsid w:val="001224F9"/>
    <w:rsid w:val="0012331E"/>
    <w:rsid w:val="001261A9"/>
    <w:rsid w:val="001304C1"/>
    <w:rsid w:val="00132927"/>
    <w:rsid w:val="00132D19"/>
    <w:rsid w:val="0013412B"/>
    <w:rsid w:val="001351DD"/>
    <w:rsid w:val="00135A13"/>
    <w:rsid w:val="0013777B"/>
    <w:rsid w:val="00143FCD"/>
    <w:rsid w:val="00145B27"/>
    <w:rsid w:val="00147046"/>
    <w:rsid w:val="0015238F"/>
    <w:rsid w:val="00153937"/>
    <w:rsid w:val="00157581"/>
    <w:rsid w:val="00157E21"/>
    <w:rsid w:val="001635FC"/>
    <w:rsid w:val="00163822"/>
    <w:rsid w:val="00164007"/>
    <w:rsid w:val="00164613"/>
    <w:rsid w:val="00166761"/>
    <w:rsid w:val="001672D5"/>
    <w:rsid w:val="00170835"/>
    <w:rsid w:val="00174B50"/>
    <w:rsid w:val="00175142"/>
    <w:rsid w:val="00175925"/>
    <w:rsid w:val="0017625F"/>
    <w:rsid w:val="001767DB"/>
    <w:rsid w:val="00177CC8"/>
    <w:rsid w:val="001800B5"/>
    <w:rsid w:val="00180A63"/>
    <w:rsid w:val="00182206"/>
    <w:rsid w:val="001864CE"/>
    <w:rsid w:val="0018768E"/>
    <w:rsid w:val="00190529"/>
    <w:rsid w:val="00190784"/>
    <w:rsid w:val="001924F3"/>
    <w:rsid w:val="00193707"/>
    <w:rsid w:val="001953B7"/>
    <w:rsid w:val="001967A7"/>
    <w:rsid w:val="00196AFB"/>
    <w:rsid w:val="00197BF1"/>
    <w:rsid w:val="001A2FBE"/>
    <w:rsid w:val="001B01B9"/>
    <w:rsid w:val="001B34D7"/>
    <w:rsid w:val="001B657B"/>
    <w:rsid w:val="001C18D9"/>
    <w:rsid w:val="001C220C"/>
    <w:rsid w:val="001C2708"/>
    <w:rsid w:val="001C37C1"/>
    <w:rsid w:val="001C3BD6"/>
    <w:rsid w:val="001C68B5"/>
    <w:rsid w:val="001C7C21"/>
    <w:rsid w:val="001D03A3"/>
    <w:rsid w:val="001D339A"/>
    <w:rsid w:val="001D63C1"/>
    <w:rsid w:val="001E0B82"/>
    <w:rsid w:val="001E236D"/>
    <w:rsid w:val="001E2662"/>
    <w:rsid w:val="001E28F7"/>
    <w:rsid w:val="001E4C8B"/>
    <w:rsid w:val="001E5EB7"/>
    <w:rsid w:val="001E7116"/>
    <w:rsid w:val="001E7605"/>
    <w:rsid w:val="001F6B3A"/>
    <w:rsid w:val="001F734B"/>
    <w:rsid w:val="0020581F"/>
    <w:rsid w:val="00205BED"/>
    <w:rsid w:val="00207C28"/>
    <w:rsid w:val="00210C11"/>
    <w:rsid w:val="00213F7F"/>
    <w:rsid w:val="002205DA"/>
    <w:rsid w:val="00221737"/>
    <w:rsid w:val="00222A73"/>
    <w:rsid w:val="002231A2"/>
    <w:rsid w:val="002237F4"/>
    <w:rsid w:val="00223941"/>
    <w:rsid w:val="00224637"/>
    <w:rsid w:val="00233052"/>
    <w:rsid w:val="00234D4F"/>
    <w:rsid w:val="0023606E"/>
    <w:rsid w:val="00242B4A"/>
    <w:rsid w:val="00244507"/>
    <w:rsid w:val="00246CBB"/>
    <w:rsid w:val="0025020C"/>
    <w:rsid w:val="00250FFF"/>
    <w:rsid w:val="00252BB9"/>
    <w:rsid w:val="00254173"/>
    <w:rsid w:val="00256CB7"/>
    <w:rsid w:val="0026027C"/>
    <w:rsid w:val="0026057C"/>
    <w:rsid w:val="00261690"/>
    <w:rsid w:val="002648CE"/>
    <w:rsid w:val="00265B78"/>
    <w:rsid w:val="00266309"/>
    <w:rsid w:val="00270F41"/>
    <w:rsid w:val="00274449"/>
    <w:rsid w:val="002765D6"/>
    <w:rsid w:val="00276765"/>
    <w:rsid w:val="00280FEF"/>
    <w:rsid w:val="00285083"/>
    <w:rsid w:val="002900A6"/>
    <w:rsid w:val="00290D97"/>
    <w:rsid w:val="0029370F"/>
    <w:rsid w:val="00295A33"/>
    <w:rsid w:val="00297DDA"/>
    <w:rsid w:val="00297E65"/>
    <w:rsid w:val="002A0332"/>
    <w:rsid w:val="002A04DD"/>
    <w:rsid w:val="002A1B95"/>
    <w:rsid w:val="002A518F"/>
    <w:rsid w:val="002A7890"/>
    <w:rsid w:val="002C0CF5"/>
    <w:rsid w:val="002C56BD"/>
    <w:rsid w:val="002D2D6B"/>
    <w:rsid w:val="002D396D"/>
    <w:rsid w:val="002D512C"/>
    <w:rsid w:val="002D56D4"/>
    <w:rsid w:val="002E0141"/>
    <w:rsid w:val="002E0E0F"/>
    <w:rsid w:val="002E256D"/>
    <w:rsid w:val="002E2627"/>
    <w:rsid w:val="002E2819"/>
    <w:rsid w:val="002E2846"/>
    <w:rsid w:val="002E35E1"/>
    <w:rsid w:val="002E39F1"/>
    <w:rsid w:val="002E3B8C"/>
    <w:rsid w:val="002E4033"/>
    <w:rsid w:val="002E5DD8"/>
    <w:rsid w:val="002E65BD"/>
    <w:rsid w:val="002E7046"/>
    <w:rsid w:val="002F556A"/>
    <w:rsid w:val="002F5A60"/>
    <w:rsid w:val="00300207"/>
    <w:rsid w:val="0030095F"/>
    <w:rsid w:val="003019EB"/>
    <w:rsid w:val="00301FDF"/>
    <w:rsid w:val="00304798"/>
    <w:rsid w:val="00304E9C"/>
    <w:rsid w:val="00306069"/>
    <w:rsid w:val="00307197"/>
    <w:rsid w:val="003079EC"/>
    <w:rsid w:val="00307BF2"/>
    <w:rsid w:val="003105D9"/>
    <w:rsid w:val="00310CAD"/>
    <w:rsid w:val="00312418"/>
    <w:rsid w:val="003131DA"/>
    <w:rsid w:val="00313C71"/>
    <w:rsid w:val="003140BC"/>
    <w:rsid w:val="00314DD4"/>
    <w:rsid w:val="00315983"/>
    <w:rsid w:val="00321222"/>
    <w:rsid w:val="00321919"/>
    <w:rsid w:val="00322042"/>
    <w:rsid w:val="0032228F"/>
    <w:rsid w:val="0032279A"/>
    <w:rsid w:val="00324D8A"/>
    <w:rsid w:val="0032582D"/>
    <w:rsid w:val="00325E48"/>
    <w:rsid w:val="00332AE5"/>
    <w:rsid w:val="00335649"/>
    <w:rsid w:val="00336B3D"/>
    <w:rsid w:val="00336C66"/>
    <w:rsid w:val="003370C6"/>
    <w:rsid w:val="0033711E"/>
    <w:rsid w:val="00337156"/>
    <w:rsid w:val="00340B24"/>
    <w:rsid w:val="00340DF7"/>
    <w:rsid w:val="00343A25"/>
    <w:rsid w:val="003442D7"/>
    <w:rsid w:val="003444DF"/>
    <w:rsid w:val="003459D6"/>
    <w:rsid w:val="003461BF"/>
    <w:rsid w:val="00346DC4"/>
    <w:rsid w:val="00347D04"/>
    <w:rsid w:val="00351C4D"/>
    <w:rsid w:val="0035404C"/>
    <w:rsid w:val="003540F5"/>
    <w:rsid w:val="003552A1"/>
    <w:rsid w:val="00356D2C"/>
    <w:rsid w:val="003576D2"/>
    <w:rsid w:val="00363CC7"/>
    <w:rsid w:val="00364D0C"/>
    <w:rsid w:val="00364F00"/>
    <w:rsid w:val="003671AA"/>
    <w:rsid w:val="00367319"/>
    <w:rsid w:val="0037079B"/>
    <w:rsid w:val="00374679"/>
    <w:rsid w:val="0038703A"/>
    <w:rsid w:val="00390A86"/>
    <w:rsid w:val="00392616"/>
    <w:rsid w:val="003945DF"/>
    <w:rsid w:val="003A2318"/>
    <w:rsid w:val="003A5D6A"/>
    <w:rsid w:val="003A618F"/>
    <w:rsid w:val="003B2BB1"/>
    <w:rsid w:val="003B3A93"/>
    <w:rsid w:val="003B450E"/>
    <w:rsid w:val="003B4583"/>
    <w:rsid w:val="003B4E8D"/>
    <w:rsid w:val="003B7BE9"/>
    <w:rsid w:val="003C6336"/>
    <w:rsid w:val="003C635E"/>
    <w:rsid w:val="003D02EE"/>
    <w:rsid w:val="003D0A2F"/>
    <w:rsid w:val="003D16F0"/>
    <w:rsid w:val="003D2958"/>
    <w:rsid w:val="003D796A"/>
    <w:rsid w:val="003E03B1"/>
    <w:rsid w:val="003E100D"/>
    <w:rsid w:val="003E4AE1"/>
    <w:rsid w:val="003E688B"/>
    <w:rsid w:val="003E6D42"/>
    <w:rsid w:val="003F0BD0"/>
    <w:rsid w:val="003F1A34"/>
    <w:rsid w:val="003F3A77"/>
    <w:rsid w:val="003F5CC7"/>
    <w:rsid w:val="003F6806"/>
    <w:rsid w:val="00402D20"/>
    <w:rsid w:val="00403C43"/>
    <w:rsid w:val="00404A7D"/>
    <w:rsid w:val="004056AF"/>
    <w:rsid w:val="00406291"/>
    <w:rsid w:val="00407AA3"/>
    <w:rsid w:val="00407F52"/>
    <w:rsid w:val="00415A5D"/>
    <w:rsid w:val="00415FEB"/>
    <w:rsid w:val="00416D15"/>
    <w:rsid w:val="00420914"/>
    <w:rsid w:val="004211F9"/>
    <w:rsid w:val="004224A4"/>
    <w:rsid w:val="00422591"/>
    <w:rsid w:val="0042376B"/>
    <w:rsid w:val="00427CE0"/>
    <w:rsid w:val="00430E61"/>
    <w:rsid w:val="004316FA"/>
    <w:rsid w:val="00432456"/>
    <w:rsid w:val="00433974"/>
    <w:rsid w:val="00434261"/>
    <w:rsid w:val="004359E1"/>
    <w:rsid w:val="00436029"/>
    <w:rsid w:val="00436C67"/>
    <w:rsid w:val="00436F94"/>
    <w:rsid w:val="00440106"/>
    <w:rsid w:val="00440FE3"/>
    <w:rsid w:val="004427C8"/>
    <w:rsid w:val="00442AD8"/>
    <w:rsid w:val="00444213"/>
    <w:rsid w:val="00445FA0"/>
    <w:rsid w:val="0044606C"/>
    <w:rsid w:val="00447E34"/>
    <w:rsid w:val="00450227"/>
    <w:rsid w:val="004519CA"/>
    <w:rsid w:val="00454F98"/>
    <w:rsid w:val="004555CF"/>
    <w:rsid w:val="004557F7"/>
    <w:rsid w:val="00456F13"/>
    <w:rsid w:val="00461CB3"/>
    <w:rsid w:val="00463788"/>
    <w:rsid w:val="0046593C"/>
    <w:rsid w:val="004673CB"/>
    <w:rsid w:val="00470AD4"/>
    <w:rsid w:val="00471344"/>
    <w:rsid w:val="004714A3"/>
    <w:rsid w:val="00473D12"/>
    <w:rsid w:val="00480B7D"/>
    <w:rsid w:val="004836DB"/>
    <w:rsid w:val="00490CAA"/>
    <w:rsid w:val="004916BF"/>
    <w:rsid w:val="004932FC"/>
    <w:rsid w:val="00497A4C"/>
    <w:rsid w:val="004A1025"/>
    <w:rsid w:val="004A437D"/>
    <w:rsid w:val="004A7194"/>
    <w:rsid w:val="004B2DD6"/>
    <w:rsid w:val="004B3439"/>
    <w:rsid w:val="004B3B4B"/>
    <w:rsid w:val="004B5C7B"/>
    <w:rsid w:val="004B67DD"/>
    <w:rsid w:val="004C164F"/>
    <w:rsid w:val="004C2927"/>
    <w:rsid w:val="004C3723"/>
    <w:rsid w:val="004C42C7"/>
    <w:rsid w:val="004C7C69"/>
    <w:rsid w:val="004D1837"/>
    <w:rsid w:val="004D1925"/>
    <w:rsid w:val="004D1D66"/>
    <w:rsid w:val="004D1E5F"/>
    <w:rsid w:val="004D510B"/>
    <w:rsid w:val="004D5601"/>
    <w:rsid w:val="004D56B4"/>
    <w:rsid w:val="004D679A"/>
    <w:rsid w:val="004D6962"/>
    <w:rsid w:val="004D6D48"/>
    <w:rsid w:val="004E178E"/>
    <w:rsid w:val="004E298E"/>
    <w:rsid w:val="004E4357"/>
    <w:rsid w:val="004E4AB2"/>
    <w:rsid w:val="004E5632"/>
    <w:rsid w:val="004E7747"/>
    <w:rsid w:val="004F1BAA"/>
    <w:rsid w:val="004F33E6"/>
    <w:rsid w:val="004F408F"/>
    <w:rsid w:val="004F77A2"/>
    <w:rsid w:val="00502FD1"/>
    <w:rsid w:val="00503509"/>
    <w:rsid w:val="005047E7"/>
    <w:rsid w:val="00506166"/>
    <w:rsid w:val="00506A83"/>
    <w:rsid w:val="00506D20"/>
    <w:rsid w:val="00511646"/>
    <w:rsid w:val="00517DFB"/>
    <w:rsid w:val="00524E28"/>
    <w:rsid w:val="00530288"/>
    <w:rsid w:val="0053070B"/>
    <w:rsid w:val="0053086F"/>
    <w:rsid w:val="00531564"/>
    <w:rsid w:val="00532B8D"/>
    <w:rsid w:val="005348D5"/>
    <w:rsid w:val="00536E71"/>
    <w:rsid w:val="00541BA8"/>
    <w:rsid w:val="005448EC"/>
    <w:rsid w:val="00545F34"/>
    <w:rsid w:val="00547D82"/>
    <w:rsid w:val="00550F63"/>
    <w:rsid w:val="00552AE0"/>
    <w:rsid w:val="005535BC"/>
    <w:rsid w:val="00553601"/>
    <w:rsid w:val="00555101"/>
    <w:rsid w:val="00555326"/>
    <w:rsid w:val="00556C09"/>
    <w:rsid w:val="00561ED2"/>
    <w:rsid w:val="00562345"/>
    <w:rsid w:val="00563AE6"/>
    <w:rsid w:val="00566FC1"/>
    <w:rsid w:val="005673A7"/>
    <w:rsid w:val="005674F3"/>
    <w:rsid w:val="005709C4"/>
    <w:rsid w:val="005709F1"/>
    <w:rsid w:val="00570A24"/>
    <w:rsid w:val="005715C1"/>
    <w:rsid w:val="00582390"/>
    <w:rsid w:val="00582E23"/>
    <w:rsid w:val="0058582B"/>
    <w:rsid w:val="00585E3A"/>
    <w:rsid w:val="005866ED"/>
    <w:rsid w:val="00590954"/>
    <w:rsid w:val="00591262"/>
    <w:rsid w:val="00593B7D"/>
    <w:rsid w:val="005A1C38"/>
    <w:rsid w:val="005A1F0A"/>
    <w:rsid w:val="005A21EB"/>
    <w:rsid w:val="005A6D23"/>
    <w:rsid w:val="005A6D47"/>
    <w:rsid w:val="005B0980"/>
    <w:rsid w:val="005B0ABD"/>
    <w:rsid w:val="005B49D0"/>
    <w:rsid w:val="005B70C8"/>
    <w:rsid w:val="005B78FE"/>
    <w:rsid w:val="005B7E2A"/>
    <w:rsid w:val="005C7988"/>
    <w:rsid w:val="005D13A6"/>
    <w:rsid w:val="005D220A"/>
    <w:rsid w:val="005D6A2E"/>
    <w:rsid w:val="005E0EBE"/>
    <w:rsid w:val="005E1A9A"/>
    <w:rsid w:val="005E24B7"/>
    <w:rsid w:val="005E3B49"/>
    <w:rsid w:val="005F0DC0"/>
    <w:rsid w:val="005F1D4B"/>
    <w:rsid w:val="005F3652"/>
    <w:rsid w:val="005F486C"/>
    <w:rsid w:val="005F615F"/>
    <w:rsid w:val="00600038"/>
    <w:rsid w:val="006013DD"/>
    <w:rsid w:val="006035F3"/>
    <w:rsid w:val="0060390C"/>
    <w:rsid w:val="00604709"/>
    <w:rsid w:val="0060580D"/>
    <w:rsid w:val="0061060D"/>
    <w:rsid w:val="00611193"/>
    <w:rsid w:val="0061149F"/>
    <w:rsid w:val="0061268A"/>
    <w:rsid w:val="006127C4"/>
    <w:rsid w:val="00616AB0"/>
    <w:rsid w:val="00617FEF"/>
    <w:rsid w:val="00621B84"/>
    <w:rsid w:val="00621C8A"/>
    <w:rsid w:val="0062206B"/>
    <w:rsid w:val="00622C9A"/>
    <w:rsid w:val="00624926"/>
    <w:rsid w:val="00624DB1"/>
    <w:rsid w:val="00625915"/>
    <w:rsid w:val="006270F5"/>
    <w:rsid w:val="00631BA2"/>
    <w:rsid w:val="006338A2"/>
    <w:rsid w:val="00635EF9"/>
    <w:rsid w:val="0063626B"/>
    <w:rsid w:val="00636CA1"/>
    <w:rsid w:val="006431F0"/>
    <w:rsid w:val="006434D8"/>
    <w:rsid w:val="006447EF"/>
    <w:rsid w:val="00647116"/>
    <w:rsid w:val="00647B24"/>
    <w:rsid w:val="00650200"/>
    <w:rsid w:val="00651BD9"/>
    <w:rsid w:val="00652185"/>
    <w:rsid w:val="00655658"/>
    <w:rsid w:val="00657C5C"/>
    <w:rsid w:val="00657F3A"/>
    <w:rsid w:val="00662125"/>
    <w:rsid w:val="00662C0E"/>
    <w:rsid w:val="006640DF"/>
    <w:rsid w:val="00665599"/>
    <w:rsid w:val="00665AB1"/>
    <w:rsid w:val="00667C0E"/>
    <w:rsid w:val="006700AA"/>
    <w:rsid w:val="00670857"/>
    <w:rsid w:val="006728E4"/>
    <w:rsid w:val="00675739"/>
    <w:rsid w:val="006760F8"/>
    <w:rsid w:val="006778BF"/>
    <w:rsid w:val="00677EC7"/>
    <w:rsid w:val="0068048F"/>
    <w:rsid w:val="00686A6E"/>
    <w:rsid w:val="0069219D"/>
    <w:rsid w:val="0069472F"/>
    <w:rsid w:val="00696CFD"/>
    <w:rsid w:val="006A51AF"/>
    <w:rsid w:val="006A6DAC"/>
    <w:rsid w:val="006B195A"/>
    <w:rsid w:val="006B2D1F"/>
    <w:rsid w:val="006B2EC5"/>
    <w:rsid w:val="006B3BC8"/>
    <w:rsid w:val="006B4755"/>
    <w:rsid w:val="006B54A8"/>
    <w:rsid w:val="006B7034"/>
    <w:rsid w:val="006C0D85"/>
    <w:rsid w:val="006C29D9"/>
    <w:rsid w:val="006C32F8"/>
    <w:rsid w:val="006C4E5C"/>
    <w:rsid w:val="006C7F9E"/>
    <w:rsid w:val="006D0D12"/>
    <w:rsid w:val="006D0FF4"/>
    <w:rsid w:val="006D1164"/>
    <w:rsid w:val="006D7AED"/>
    <w:rsid w:val="006D7DB2"/>
    <w:rsid w:val="006E1FA6"/>
    <w:rsid w:val="006E223E"/>
    <w:rsid w:val="006E3038"/>
    <w:rsid w:val="006E6120"/>
    <w:rsid w:val="006E7E46"/>
    <w:rsid w:val="006F1F3C"/>
    <w:rsid w:val="006F2296"/>
    <w:rsid w:val="006F2299"/>
    <w:rsid w:val="006F269A"/>
    <w:rsid w:val="006F26E2"/>
    <w:rsid w:val="006F7629"/>
    <w:rsid w:val="00701821"/>
    <w:rsid w:val="00701B17"/>
    <w:rsid w:val="00702185"/>
    <w:rsid w:val="007057D1"/>
    <w:rsid w:val="0070602D"/>
    <w:rsid w:val="0071021D"/>
    <w:rsid w:val="007118D5"/>
    <w:rsid w:val="007150D3"/>
    <w:rsid w:val="00716641"/>
    <w:rsid w:val="00716B30"/>
    <w:rsid w:val="00716E0D"/>
    <w:rsid w:val="00717C8A"/>
    <w:rsid w:val="007214A2"/>
    <w:rsid w:val="00721678"/>
    <w:rsid w:val="0072264D"/>
    <w:rsid w:val="00722FB7"/>
    <w:rsid w:val="00726446"/>
    <w:rsid w:val="00727A97"/>
    <w:rsid w:val="00734097"/>
    <w:rsid w:val="00734634"/>
    <w:rsid w:val="00735EB9"/>
    <w:rsid w:val="00735F1A"/>
    <w:rsid w:val="00736435"/>
    <w:rsid w:val="00736B2A"/>
    <w:rsid w:val="007378F6"/>
    <w:rsid w:val="00740E61"/>
    <w:rsid w:val="0074127E"/>
    <w:rsid w:val="007417EE"/>
    <w:rsid w:val="007418E1"/>
    <w:rsid w:val="00741A68"/>
    <w:rsid w:val="00742DE1"/>
    <w:rsid w:val="007443B5"/>
    <w:rsid w:val="00744BE8"/>
    <w:rsid w:val="00746D0F"/>
    <w:rsid w:val="00747124"/>
    <w:rsid w:val="00750612"/>
    <w:rsid w:val="007521DF"/>
    <w:rsid w:val="007552DE"/>
    <w:rsid w:val="00757037"/>
    <w:rsid w:val="00760DA7"/>
    <w:rsid w:val="00763BB6"/>
    <w:rsid w:val="00764713"/>
    <w:rsid w:val="00764CEC"/>
    <w:rsid w:val="007657FE"/>
    <w:rsid w:val="0076615E"/>
    <w:rsid w:val="0076629E"/>
    <w:rsid w:val="00767783"/>
    <w:rsid w:val="0077090E"/>
    <w:rsid w:val="0077556D"/>
    <w:rsid w:val="00775A30"/>
    <w:rsid w:val="00777D8B"/>
    <w:rsid w:val="00784370"/>
    <w:rsid w:val="00784DEA"/>
    <w:rsid w:val="007852B9"/>
    <w:rsid w:val="00787FA7"/>
    <w:rsid w:val="00790104"/>
    <w:rsid w:val="007936FF"/>
    <w:rsid w:val="00793ED4"/>
    <w:rsid w:val="007977E2"/>
    <w:rsid w:val="00797A01"/>
    <w:rsid w:val="007A041E"/>
    <w:rsid w:val="007A1273"/>
    <w:rsid w:val="007A29B0"/>
    <w:rsid w:val="007A2B5C"/>
    <w:rsid w:val="007B2B63"/>
    <w:rsid w:val="007B3D9C"/>
    <w:rsid w:val="007B54AB"/>
    <w:rsid w:val="007B743B"/>
    <w:rsid w:val="007C192C"/>
    <w:rsid w:val="007C2981"/>
    <w:rsid w:val="007C5BFA"/>
    <w:rsid w:val="007C5F73"/>
    <w:rsid w:val="007C7EA1"/>
    <w:rsid w:val="007D057D"/>
    <w:rsid w:val="007E017B"/>
    <w:rsid w:val="007E0642"/>
    <w:rsid w:val="007F29D0"/>
    <w:rsid w:val="007F30FF"/>
    <w:rsid w:val="007F7B47"/>
    <w:rsid w:val="00800730"/>
    <w:rsid w:val="0080098E"/>
    <w:rsid w:val="00800CFA"/>
    <w:rsid w:val="008025D8"/>
    <w:rsid w:val="008029E4"/>
    <w:rsid w:val="00803C6E"/>
    <w:rsid w:val="0080505B"/>
    <w:rsid w:val="0080534A"/>
    <w:rsid w:val="008057E8"/>
    <w:rsid w:val="008107FE"/>
    <w:rsid w:val="0081346B"/>
    <w:rsid w:val="00815509"/>
    <w:rsid w:val="0081628F"/>
    <w:rsid w:val="008162FC"/>
    <w:rsid w:val="00822104"/>
    <w:rsid w:val="00822539"/>
    <w:rsid w:val="00823BCA"/>
    <w:rsid w:val="008243E2"/>
    <w:rsid w:val="00826AA6"/>
    <w:rsid w:val="00830E8B"/>
    <w:rsid w:val="0083359A"/>
    <w:rsid w:val="0083521C"/>
    <w:rsid w:val="0083602E"/>
    <w:rsid w:val="0083785F"/>
    <w:rsid w:val="008378D1"/>
    <w:rsid w:val="00842941"/>
    <w:rsid w:val="008463BF"/>
    <w:rsid w:val="00846488"/>
    <w:rsid w:val="00847F5F"/>
    <w:rsid w:val="00851CC8"/>
    <w:rsid w:val="00852328"/>
    <w:rsid w:val="00855EF4"/>
    <w:rsid w:val="008562B4"/>
    <w:rsid w:val="00861F4B"/>
    <w:rsid w:val="008629B0"/>
    <w:rsid w:val="00863C4D"/>
    <w:rsid w:val="008662A9"/>
    <w:rsid w:val="008673E0"/>
    <w:rsid w:val="00875248"/>
    <w:rsid w:val="008753AB"/>
    <w:rsid w:val="0087766A"/>
    <w:rsid w:val="008836D1"/>
    <w:rsid w:val="00883E20"/>
    <w:rsid w:val="008847AA"/>
    <w:rsid w:val="00884E5A"/>
    <w:rsid w:val="00885BAD"/>
    <w:rsid w:val="00886006"/>
    <w:rsid w:val="00887348"/>
    <w:rsid w:val="00887595"/>
    <w:rsid w:val="00892329"/>
    <w:rsid w:val="008963C3"/>
    <w:rsid w:val="00896DE7"/>
    <w:rsid w:val="008A3EAA"/>
    <w:rsid w:val="008A42E3"/>
    <w:rsid w:val="008A75FD"/>
    <w:rsid w:val="008B06DB"/>
    <w:rsid w:val="008B0B37"/>
    <w:rsid w:val="008B37AD"/>
    <w:rsid w:val="008B4661"/>
    <w:rsid w:val="008B4CF6"/>
    <w:rsid w:val="008B577B"/>
    <w:rsid w:val="008B611F"/>
    <w:rsid w:val="008B691C"/>
    <w:rsid w:val="008C313F"/>
    <w:rsid w:val="008C3BFC"/>
    <w:rsid w:val="008D247A"/>
    <w:rsid w:val="008E46A9"/>
    <w:rsid w:val="008E61A3"/>
    <w:rsid w:val="008E734C"/>
    <w:rsid w:val="008E73AF"/>
    <w:rsid w:val="008F0C53"/>
    <w:rsid w:val="008F47E5"/>
    <w:rsid w:val="008F4B86"/>
    <w:rsid w:val="008F73B7"/>
    <w:rsid w:val="00901F8E"/>
    <w:rsid w:val="009020CE"/>
    <w:rsid w:val="00902F5B"/>
    <w:rsid w:val="00903F2C"/>
    <w:rsid w:val="00906BBB"/>
    <w:rsid w:val="0090797A"/>
    <w:rsid w:val="009104F5"/>
    <w:rsid w:val="009112F3"/>
    <w:rsid w:val="00914654"/>
    <w:rsid w:val="0091469A"/>
    <w:rsid w:val="009151DD"/>
    <w:rsid w:val="00916A8E"/>
    <w:rsid w:val="00916C0C"/>
    <w:rsid w:val="0091783F"/>
    <w:rsid w:val="00920FAC"/>
    <w:rsid w:val="00921C18"/>
    <w:rsid w:val="009238B7"/>
    <w:rsid w:val="00926F94"/>
    <w:rsid w:val="009326DC"/>
    <w:rsid w:val="00934636"/>
    <w:rsid w:val="00934D41"/>
    <w:rsid w:val="00934ECA"/>
    <w:rsid w:val="009364C8"/>
    <w:rsid w:val="00943C98"/>
    <w:rsid w:val="00944E6F"/>
    <w:rsid w:val="00947ECC"/>
    <w:rsid w:val="00957AD9"/>
    <w:rsid w:val="00961979"/>
    <w:rsid w:val="0096719D"/>
    <w:rsid w:val="009736C6"/>
    <w:rsid w:val="009738A1"/>
    <w:rsid w:val="009762C4"/>
    <w:rsid w:val="00976C36"/>
    <w:rsid w:val="00980AA6"/>
    <w:rsid w:val="009811FF"/>
    <w:rsid w:val="00982866"/>
    <w:rsid w:val="00983722"/>
    <w:rsid w:val="00984AE5"/>
    <w:rsid w:val="00987E64"/>
    <w:rsid w:val="00990E6B"/>
    <w:rsid w:val="0099161E"/>
    <w:rsid w:val="009926B0"/>
    <w:rsid w:val="00997630"/>
    <w:rsid w:val="0099791D"/>
    <w:rsid w:val="009A1D84"/>
    <w:rsid w:val="009A3425"/>
    <w:rsid w:val="009A79C0"/>
    <w:rsid w:val="009B155E"/>
    <w:rsid w:val="009B2773"/>
    <w:rsid w:val="009B3CA9"/>
    <w:rsid w:val="009B51FB"/>
    <w:rsid w:val="009B52B8"/>
    <w:rsid w:val="009B70F5"/>
    <w:rsid w:val="009B73CB"/>
    <w:rsid w:val="009C3535"/>
    <w:rsid w:val="009C59C7"/>
    <w:rsid w:val="009C7BF6"/>
    <w:rsid w:val="009D05A1"/>
    <w:rsid w:val="009D14D4"/>
    <w:rsid w:val="009D1A16"/>
    <w:rsid w:val="009D2C51"/>
    <w:rsid w:val="009D355D"/>
    <w:rsid w:val="009D366F"/>
    <w:rsid w:val="009D6C80"/>
    <w:rsid w:val="009E09C1"/>
    <w:rsid w:val="009E41F9"/>
    <w:rsid w:val="009E43DE"/>
    <w:rsid w:val="009E582D"/>
    <w:rsid w:val="009E76A6"/>
    <w:rsid w:val="009E7CF4"/>
    <w:rsid w:val="009F18C1"/>
    <w:rsid w:val="009F4130"/>
    <w:rsid w:val="00A02A0B"/>
    <w:rsid w:val="00A02E65"/>
    <w:rsid w:val="00A03A90"/>
    <w:rsid w:val="00A03BC6"/>
    <w:rsid w:val="00A03CA5"/>
    <w:rsid w:val="00A03EF3"/>
    <w:rsid w:val="00A07566"/>
    <w:rsid w:val="00A1174D"/>
    <w:rsid w:val="00A126A4"/>
    <w:rsid w:val="00A13FF8"/>
    <w:rsid w:val="00A140B5"/>
    <w:rsid w:val="00A14729"/>
    <w:rsid w:val="00A1718F"/>
    <w:rsid w:val="00A17871"/>
    <w:rsid w:val="00A17A2D"/>
    <w:rsid w:val="00A17C10"/>
    <w:rsid w:val="00A21808"/>
    <w:rsid w:val="00A21D5E"/>
    <w:rsid w:val="00A2614E"/>
    <w:rsid w:val="00A267EB"/>
    <w:rsid w:val="00A26984"/>
    <w:rsid w:val="00A269D9"/>
    <w:rsid w:val="00A26F11"/>
    <w:rsid w:val="00A32F6E"/>
    <w:rsid w:val="00A34DC6"/>
    <w:rsid w:val="00A37724"/>
    <w:rsid w:val="00A37AA1"/>
    <w:rsid w:val="00A45145"/>
    <w:rsid w:val="00A45EB9"/>
    <w:rsid w:val="00A46956"/>
    <w:rsid w:val="00A47434"/>
    <w:rsid w:val="00A50A88"/>
    <w:rsid w:val="00A51DB0"/>
    <w:rsid w:val="00A52031"/>
    <w:rsid w:val="00A54F86"/>
    <w:rsid w:val="00A5549C"/>
    <w:rsid w:val="00A563E5"/>
    <w:rsid w:val="00A6098E"/>
    <w:rsid w:val="00A6156E"/>
    <w:rsid w:val="00A61899"/>
    <w:rsid w:val="00A62CD5"/>
    <w:rsid w:val="00A646D6"/>
    <w:rsid w:val="00A64A6D"/>
    <w:rsid w:val="00A64E63"/>
    <w:rsid w:val="00A66833"/>
    <w:rsid w:val="00A67849"/>
    <w:rsid w:val="00A742D8"/>
    <w:rsid w:val="00A7436A"/>
    <w:rsid w:val="00A757E5"/>
    <w:rsid w:val="00A770AC"/>
    <w:rsid w:val="00A7715A"/>
    <w:rsid w:val="00A82E87"/>
    <w:rsid w:val="00A839BD"/>
    <w:rsid w:val="00A85462"/>
    <w:rsid w:val="00A858F6"/>
    <w:rsid w:val="00A85B6D"/>
    <w:rsid w:val="00A91711"/>
    <w:rsid w:val="00A92B93"/>
    <w:rsid w:val="00A93959"/>
    <w:rsid w:val="00A93BDF"/>
    <w:rsid w:val="00A961C6"/>
    <w:rsid w:val="00A96755"/>
    <w:rsid w:val="00A96D93"/>
    <w:rsid w:val="00A97DFB"/>
    <w:rsid w:val="00AA0AA8"/>
    <w:rsid w:val="00AA35A2"/>
    <w:rsid w:val="00AA50E3"/>
    <w:rsid w:val="00AB0994"/>
    <w:rsid w:val="00AB1DCC"/>
    <w:rsid w:val="00AB2BB4"/>
    <w:rsid w:val="00AB4206"/>
    <w:rsid w:val="00AB5E6E"/>
    <w:rsid w:val="00AB6766"/>
    <w:rsid w:val="00AB6A3F"/>
    <w:rsid w:val="00AB78F6"/>
    <w:rsid w:val="00AC10A1"/>
    <w:rsid w:val="00AC2FAB"/>
    <w:rsid w:val="00AC4E23"/>
    <w:rsid w:val="00AC4F76"/>
    <w:rsid w:val="00AD011C"/>
    <w:rsid w:val="00AD0C1C"/>
    <w:rsid w:val="00AE060E"/>
    <w:rsid w:val="00AE146B"/>
    <w:rsid w:val="00AE3079"/>
    <w:rsid w:val="00AE4993"/>
    <w:rsid w:val="00AE572F"/>
    <w:rsid w:val="00AE5FE1"/>
    <w:rsid w:val="00AF056E"/>
    <w:rsid w:val="00AF06EE"/>
    <w:rsid w:val="00AF4EBA"/>
    <w:rsid w:val="00AF75C2"/>
    <w:rsid w:val="00B00D42"/>
    <w:rsid w:val="00B02351"/>
    <w:rsid w:val="00B027E9"/>
    <w:rsid w:val="00B04188"/>
    <w:rsid w:val="00B041A8"/>
    <w:rsid w:val="00B12F78"/>
    <w:rsid w:val="00B15D32"/>
    <w:rsid w:val="00B15D96"/>
    <w:rsid w:val="00B202CE"/>
    <w:rsid w:val="00B22209"/>
    <w:rsid w:val="00B22880"/>
    <w:rsid w:val="00B22D06"/>
    <w:rsid w:val="00B26334"/>
    <w:rsid w:val="00B266F6"/>
    <w:rsid w:val="00B35730"/>
    <w:rsid w:val="00B35A88"/>
    <w:rsid w:val="00B377FF"/>
    <w:rsid w:val="00B4046F"/>
    <w:rsid w:val="00B41EBE"/>
    <w:rsid w:val="00B4449D"/>
    <w:rsid w:val="00B44A9B"/>
    <w:rsid w:val="00B512A6"/>
    <w:rsid w:val="00B51D69"/>
    <w:rsid w:val="00B5212A"/>
    <w:rsid w:val="00B521BB"/>
    <w:rsid w:val="00B53352"/>
    <w:rsid w:val="00B566D3"/>
    <w:rsid w:val="00B568DB"/>
    <w:rsid w:val="00B604F4"/>
    <w:rsid w:val="00B632EB"/>
    <w:rsid w:val="00B65111"/>
    <w:rsid w:val="00B66A20"/>
    <w:rsid w:val="00B703F8"/>
    <w:rsid w:val="00B7072A"/>
    <w:rsid w:val="00B70868"/>
    <w:rsid w:val="00B70AFA"/>
    <w:rsid w:val="00B71129"/>
    <w:rsid w:val="00B71FA6"/>
    <w:rsid w:val="00B729A5"/>
    <w:rsid w:val="00B73E4A"/>
    <w:rsid w:val="00B81B5B"/>
    <w:rsid w:val="00B81C48"/>
    <w:rsid w:val="00B826E6"/>
    <w:rsid w:val="00B82800"/>
    <w:rsid w:val="00B83C31"/>
    <w:rsid w:val="00B849B1"/>
    <w:rsid w:val="00B8674F"/>
    <w:rsid w:val="00B8728C"/>
    <w:rsid w:val="00B9025B"/>
    <w:rsid w:val="00B91C2D"/>
    <w:rsid w:val="00B9355A"/>
    <w:rsid w:val="00B937ED"/>
    <w:rsid w:val="00B93CDA"/>
    <w:rsid w:val="00B95AEC"/>
    <w:rsid w:val="00B9765C"/>
    <w:rsid w:val="00BA0CD9"/>
    <w:rsid w:val="00BA1004"/>
    <w:rsid w:val="00BA1135"/>
    <w:rsid w:val="00BA16C0"/>
    <w:rsid w:val="00BA329F"/>
    <w:rsid w:val="00BA3DF0"/>
    <w:rsid w:val="00BA3E49"/>
    <w:rsid w:val="00BA3FF2"/>
    <w:rsid w:val="00BA551C"/>
    <w:rsid w:val="00BA69F7"/>
    <w:rsid w:val="00BA7342"/>
    <w:rsid w:val="00BA7CE7"/>
    <w:rsid w:val="00BB0073"/>
    <w:rsid w:val="00BB0C9B"/>
    <w:rsid w:val="00BB360D"/>
    <w:rsid w:val="00BC3B91"/>
    <w:rsid w:val="00BC4769"/>
    <w:rsid w:val="00BC4B72"/>
    <w:rsid w:val="00BC5F79"/>
    <w:rsid w:val="00BC6419"/>
    <w:rsid w:val="00BC66A3"/>
    <w:rsid w:val="00BD010A"/>
    <w:rsid w:val="00BD2AFE"/>
    <w:rsid w:val="00BD415C"/>
    <w:rsid w:val="00BD4F1D"/>
    <w:rsid w:val="00BD5C52"/>
    <w:rsid w:val="00BD771B"/>
    <w:rsid w:val="00BE3BBF"/>
    <w:rsid w:val="00BE3C73"/>
    <w:rsid w:val="00BE4933"/>
    <w:rsid w:val="00BE4B85"/>
    <w:rsid w:val="00BE56F0"/>
    <w:rsid w:val="00BE64FE"/>
    <w:rsid w:val="00BE7AF5"/>
    <w:rsid w:val="00BF0705"/>
    <w:rsid w:val="00BF3AF8"/>
    <w:rsid w:val="00BF5E5F"/>
    <w:rsid w:val="00BF6C0F"/>
    <w:rsid w:val="00BF7D1A"/>
    <w:rsid w:val="00C00F4E"/>
    <w:rsid w:val="00C02EEC"/>
    <w:rsid w:val="00C045C6"/>
    <w:rsid w:val="00C06D16"/>
    <w:rsid w:val="00C071AD"/>
    <w:rsid w:val="00C07817"/>
    <w:rsid w:val="00C0787C"/>
    <w:rsid w:val="00C1022E"/>
    <w:rsid w:val="00C11218"/>
    <w:rsid w:val="00C1127D"/>
    <w:rsid w:val="00C15939"/>
    <w:rsid w:val="00C16C89"/>
    <w:rsid w:val="00C2155B"/>
    <w:rsid w:val="00C220A8"/>
    <w:rsid w:val="00C22706"/>
    <w:rsid w:val="00C24927"/>
    <w:rsid w:val="00C25D94"/>
    <w:rsid w:val="00C260B4"/>
    <w:rsid w:val="00C27347"/>
    <w:rsid w:val="00C2795C"/>
    <w:rsid w:val="00C313B0"/>
    <w:rsid w:val="00C35E71"/>
    <w:rsid w:val="00C410C8"/>
    <w:rsid w:val="00C414AB"/>
    <w:rsid w:val="00C44BAD"/>
    <w:rsid w:val="00C470C8"/>
    <w:rsid w:val="00C473B1"/>
    <w:rsid w:val="00C51D74"/>
    <w:rsid w:val="00C52500"/>
    <w:rsid w:val="00C57357"/>
    <w:rsid w:val="00C575A9"/>
    <w:rsid w:val="00C60B70"/>
    <w:rsid w:val="00C621D5"/>
    <w:rsid w:val="00C63EC7"/>
    <w:rsid w:val="00C640B8"/>
    <w:rsid w:val="00C6764A"/>
    <w:rsid w:val="00C70DC6"/>
    <w:rsid w:val="00C72FE8"/>
    <w:rsid w:val="00C74559"/>
    <w:rsid w:val="00C758CD"/>
    <w:rsid w:val="00C77295"/>
    <w:rsid w:val="00C821EB"/>
    <w:rsid w:val="00C8223F"/>
    <w:rsid w:val="00C87857"/>
    <w:rsid w:val="00C87C65"/>
    <w:rsid w:val="00C9060C"/>
    <w:rsid w:val="00C931AE"/>
    <w:rsid w:val="00C94B24"/>
    <w:rsid w:val="00C96F67"/>
    <w:rsid w:val="00C9705F"/>
    <w:rsid w:val="00CA16EB"/>
    <w:rsid w:val="00CA1B97"/>
    <w:rsid w:val="00CA1D13"/>
    <w:rsid w:val="00CA29C0"/>
    <w:rsid w:val="00CA32F2"/>
    <w:rsid w:val="00CA4413"/>
    <w:rsid w:val="00CA6BC3"/>
    <w:rsid w:val="00CA7FBA"/>
    <w:rsid w:val="00CB21E9"/>
    <w:rsid w:val="00CB23EF"/>
    <w:rsid w:val="00CB3B7C"/>
    <w:rsid w:val="00CB3DF3"/>
    <w:rsid w:val="00CB513E"/>
    <w:rsid w:val="00CB5240"/>
    <w:rsid w:val="00CB581A"/>
    <w:rsid w:val="00CB7F6F"/>
    <w:rsid w:val="00CC330D"/>
    <w:rsid w:val="00CC40D2"/>
    <w:rsid w:val="00CC4421"/>
    <w:rsid w:val="00CC671B"/>
    <w:rsid w:val="00CC69C1"/>
    <w:rsid w:val="00CD08C9"/>
    <w:rsid w:val="00CD09E9"/>
    <w:rsid w:val="00CD19A7"/>
    <w:rsid w:val="00CD2A75"/>
    <w:rsid w:val="00CD387F"/>
    <w:rsid w:val="00CD3D9D"/>
    <w:rsid w:val="00CD4BA5"/>
    <w:rsid w:val="00CD7ECA"/>
    <w:rsid w:val="00CE65F2"/>
    <w:rsid w:val="00CF2AFC"/>
    <w:rsid w:val="00CF466E"/>
    <w:rsid w:val="00CF6817"/>
    <w:rsid w:val="00D01BC7"/>
    <w:rsid w:val="00D111D3"/>
    <w:rsid w:val="00D12209"/>
    <w:rsid w:val="00D163B0"/>
    <w:rsid w:val="00D17AD7"/>
    <w:rsid w:val="00D21E1E"/>
    <w:rsid w:val="00D22FD7"/>
    <w:rsid w:val="00D24646"/>
    <w:rsid w:val="00D259D0"/>
    <w:rsid w:val="00D2685F"/>
    <w:rsid w:val="00D27289"/>
    <w:rsid w:val="00D31D2F"/>
    <w:rsid w:val="00D32286"/>
    <w:rsid w:val="00D34468"/>
    <w:rsid w:val="00D368FF"/>
    <w:rsid w:val="00D37887"/>
    <w:rsid w:val="00D408BB"/>
    <w:rsid w:val="00D43F57"/>
    <w:rsid w:val="00D440C2"/>
    <w:rsid w:val="00D46EE9"/>
    <w:rsid w:val="00D51F65"/>
    <w:rsid w:val="00D52AE2"/>
    <w:rsid w:val="00D5379A"/>
    <w:rsid w:val="00D5645A"/>
    <w:rsid w:val="00D5686A"/>
    <w:rsid w:val="00D60DCF"/>
    <w:rsid w:val="00D60FC8"/>
    <w:rsid w:val="00D62446"/>
    <w:rsid w:val="00D628B2"/>
    <w:rsid w:val="00D64CA5"/>
    <w:rsid w:val="00D701DF"/>
    <w:rsid w:val="00D72A1C"/>
    <w:rsid w:val="00D74F8E"/>
    <w:rsid w:val="00D754D3"/>
    <w:rsid w:val="00D75D3E"/>
    <w:rsid w:val="00D767E9"/>
    <w:rsid w:val="00D81C77"/>
    <w:rsid w:val="00D8200F"/>
    <w:rsid w:val="00D8208E"/>
    <w:rsid w:val="00D841AA"/>
    <w:rsid w:val="00D846CF"/>
    <w:rsid w:val="00D84890"/>
    <w:rsid w:val="00D85E8E"/>
    <w:rsid w:val="00D87917"/>
    <w:rsid w:val="00D90C85"/>
    <w:rsid w:val="00D92D27"/>
    <w:rsid w:val="00D93050"/>
    <w:rsid w:val="00D9371B"/>
    <w:rsid w:val="00D93949"/>
    <w:rsid w:val="00D95551"/>
    <w:rsid w:val="00D95A72"/>
    <w:rsid w:val="00D962B0"/>
    <w:rsid w:val="00D97912"/>
    <w:rsid w:val="00D97DF8"/>
    <w:rsid w:val="00DA0020"/>
    <w:rsid w:val="00DA1B07"/>
    <w:rsid w:val="00DA2FC0"/>
    <w:rsid w:val="00DA4EAF"/>
    <w:rsid w:val="00DA6CFE"/>
    <w:rsid w:val="00DB2700"/>
    <w:rsid w:val="00DB3147"/>
    <w:rsid w:val="00DB41FC"/>
    <w:rsid w:val="00DB5B5F"/>
    <w:rsid w:val="00DB5E5A"/>
    <w:rsid w:val="00DB69B6"/>
    <w:rsid w:val="00DC0B8A"/>
    <w:rsid w:val="00DC14E7"/>
    <w:rsid w:val="00DC6052"/>
    <w:rsid w:val="00DD176F"/>
    <w:rsid w:val="00DD2F1E"/>
    <w:rsid w:val="00DD3972"/>
    <w:rsid w:val="00DD47F8"/>
    <w:rsid w:val="00DD50E1"/>
    <w:rsid w:val="00DD74E7"/>
    <w:rsid w:val="00DE0678"/>
    <w:rsid w:val="00DE4B18"/>
    <w:rsid w:val="00DF006D"/>
    <w:rsid w:val="00DF2E48"/>
    <w:rsid w:val="00DF3F83"/>
    <w:rsid w:val="00E02C79"/>
    <w:rsid w:val="00E031EB"/>
    <w:rsid w:val="00E124C2"/>
    <w:rsid w:val="00E124CF"/>
    <w:rsid w:val="00E12CF9"/>
    <w:rsid w:val="00E16CD1"/>
    <w:rsid w:val="00E23C8B"/>
    <w:rsid w:val="00E25654"/>
    <w:rsid w:val="00E25C89"/>
    <w:rsid w:val="00E2792F"/>
    <w:rsid w:val="00E317F7"/>
    <w:rsid w:val="00E33EE6"/>
    <w:rsid w:val="00E35995"/>
    <w:rsid w:val="00E3720E"/>
    <w:rsid w:val="00E37B82"/>
    <w:rsid w:val="00E40CB4"/>
    <w:rsid w:val="00E449A5"/>
    <w:rsid w:val="00E45620"/>
    <w:rsid w:val="00E463F8"/>
    <w:rsid w:val="00E4688C"/>
    <w:rsid w:val="00E46ABF"/>
    <w:rsid w:val="00E47D28"/>
    <w:rsid w:val="00E47D79"/>
    <w:rsid w:val="00E501CA"/>
    <w:rsid w:val="00E54B79"/>
    <w:rsid w:val="00E550F5"/>
    <w:rsid w:val="00E57636"/>
    <w:rsid w:val="00E600FB"/>
    <w:rsid w:val="00E61CD5"/>
    <w:rsid w:val="00E636C5"/>
    <w:rsid w:val="00E6539C"/>
    <w:rsid w:val="00E66CA8"/>
    <w:rsid w:val="00E7004B"/>
    <w:rsid w:val="00E70618"/>
    <w:rsid w:val="00E71AD2"/>
    <w:rsid w:val="00E73470"/>
    <w:rsid w:val="00E81E7F"/>
    <w:rsid w:val="00E81F01"/>
    <w:rsid w:val="00E82538"/>
    <w:rsid w:val="00E831CA"/>
    <w:rsid w:val="00E85033"/>
    <w:rsid w:val="00E854C6"/>
    <w:rsid w:val="00E85926"/>
    <w:rsid w:val="00E864AE"/>
    <w:rsid w:val="00E87978"/>
    <w:rsid w:val="00E9006E"/>
    <w:rsid w:val="00E93933"/>
    <w:rsid w:val="00E96D95"/>
    <w:rsid w:val="00EA08D2"/>
    <w:rsid w:val="00EA129B"/>
    <w:rsid w:val="00EA6187"/>
    <w:rsid w:val="00EA6E87"/>
    <w:rsid w:val="00EB0332"/>
    <w:rsid w:val="00EB182C"/>
    <w:rsid w:val="00EB4344"/>
    <w:rsid w:val="00EB766D"/>
    <w:rsid w:val="00EC5A5E"/>
    <w:rsid w:val="00EC7647"/>
    <w:rsid w:val="00EC7A4F"/>
    <w:rsid w:val="00ED3E07"/>
    <w:rsid w:val="00ED46F8"/>
    <w:rsid w:val="00ED47B8"/>
    <w:rsid w:val="00ED4904"/>
    <w:rsid w:val="00ED6115"/>
    <w:rsid w:val="00EE237D"/>
    <w:rsid w:val="00EE38BF"/>
    <w:rsid w:val="00EE4CD4"/>
    <w:rsid w:val="00EE524F"/>
    <w:rsid w:val="00EE675A"/>
    <w:rsid w:val="00EF09B1"/>
    <w:rsid w:val="00EF0C52"/>
    <w:rsid w:val="00EF1445"/>
    <w:rsid w:val="00EF21C8"/>
    <w:rsid w:val="00EF28F1"/>
    <w:rsid w:val="00EF2C1A"/>
    <w:rsid w:val="00EF6487"/>
    <w:rsid w:val="00EF7D07"/>
    <w:rsid w:val="00F035E4"/>
    <w:rsid w:val="00F049DD"/>
    <w:rsid w:val="00F04C63"/>
    <w:rsid w:val="00F05535"/>
    <w:rsid w:val="00F13E1A"/>
    <w:rsid w:val="00F153F2"/>
    <w:rsid w:val="00F1792B"/>
    <w:rsid w:val="00F17C21"/>
    <w:rsid w:val="00F2077C"/>
    <w:rsid w:val="00F2463E"/>
    <w:rsid w:val="00F251AB"/>
    <w:rsid w:val="00F306A4"/>
    <w:rsid w:val="00F32F7A"/>
    <w:rsid w:val="00F334C1"/>
    <w:rsid w:val="00F35807"/>
    <w:rsid w:val="00F40C28"/>
    <w:rsid w:val="00F40E86"/>
    <w:rsid w:val="00F42939"/>
    <w:rsid w:val="00F440A7"/>
    <w:rsid w:val="00F47547"/>
    <w:rsid w:val="00F54283"/>
    <w:rsid w:val="00F56512"/>
    <w:rsid w:val="00F57E9B"/>
    <w:rsid w:val="00F6224F"/>
    <w:rsid w:val="00F62743"/>
    <w:rsid w:val="00F6585D"/>
    <w:rsid w:val="00F669F0"/>
    <w:rsid w:val="00F72240"/>
    <w:rsid w:val="00F77C41"/>
    <w:rsid w:val="00F77F92"/>
    <w:rsid w:val="00F82626"/>
    <w:rsid w:val="00F834E9"/>
    <w:rsid w:val="00F83B9D"/>
    <w:rsid w:val="00F86A9E"/>
    <w:rsid w:val="00F90F6F"/>
    <w:rsid w:val="00F92177"/>
    <w:rsid w:val="00F92D46"/>
    <w:rsid w:val="00F955F4"/>
    <w:rsid w:val="00F95FDF"/>
    <w:rsid w:val="00FA150E"/>
    <w:rsid w:val="00FA483C"/>
    <w:rsid w:val="00FA7515"/>
    <w:rsid w:val="00FB19F9"/>
    <w:rsid w:val="00FB2388"/>
    <w:rsid w:val="00FB418E"/>
    <w:rsid w:val="00FB5C61"/>
    <w:rsid w:val="00FB7F2A"/>
    <w:rsid w:val="00FC5BFC"/>
    <w:rsid w:val="00FC6B89"/>
    <w:rsid w:val="00FC76CA"/>
    <w:rsid w:val="00FD23D8"/>
    <w:rsid w:val="00FD5E4C"/>
    <w:rsid w:val="00FD6D58"/>
    <w:rsid w:val="00FD736A"/>
    <w:rsid w:val="00FE0279"/>
    <w:rsid w:val="00FE18F3"/>
    <w:rsid w:val="00FE3F2E"/>
    <w:rsid w:val="00FE504C"/>
    <w:rsid w:val="00FE6F7A"/>
    <w:rsid w:val="00FE75D7"/>
    <w:rsid w:val="00FF0FB3"/>
    <w:rsid w:val="00FF67A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D96C3"/>
  <w15:docId w15:val="{2F0AAD3B-617E-4F2B-8483-807D6B09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character" w:styleId="Hipervnculovisitado">
    <w:name w:val="FollowedHyperlink"/>
    <w:basedOn w:val="Fuentedeprrafopredeter"/>
    <w:uiPriority w:val="99"/>
    <w:semiHidden/>
    <w:unhideWhenUsed/>
    <w:rsid w:val="00B937ED"/>
    <w:rPr>
      <w:color w:val="800080" w:themeColor="followedHyperlink"/>
      <w:u w:val="single"/>
    </w:rPr>
  </w:style>
  <w:style w:type="paragraph" w:styleId="Prrafodelista">
    <w:name w:val="List Paragraph"/>
    <w:basedOn w:val="Normal"/>
    <w:uiPriority w:val="34"/>
    <w:qFormat/>
    <w:rsid w:val="001D339A"/>
    <w:pPr>
      <w:ind w:left="720"/>
      <w:contextualSpacing/>
      <w:jc w:val="both"/>
    </w:pPr>
    <w:rPr>
      <w:rFonts w:ascii="Times New Roman" w:hAnsi="Times New Roman"/>
    </w:rPr>
  </w:style>
  <w:style w:type="table" w:styleId="Tablaconcuadrcula">
    <w:name w:val="Table Grid"/>
    <w:basedOn w:val="Tablanormal"/>
    <w:uiPriority w:val="59"/>
    <w:rsid w:val="004C1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0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87775366">
      <w:bodyDiv w:val="1"/>
      <w:marLeft w:val="0"/>
      <w:marRight w:val="0"/>
      <w:marTop w:val="0"/>
      <w:marBottom w:val="0"/>
      <w:divBdr>
        <w:top w:val="none" w:sz="0" w:space="0" w:color="auto"/>
        <w:left w:val="none" w:sz="0" w:space="0" w:color="auto"/>
        <w:bottom w:val="none" w:sz="0" w:space="0" w:color="auto"/>
        <w:right w:val="none" w:sz="0" w:space="0" w:color="auto"/>
      </w:divBdr>
    </w:div>
    <w:div w:id="133060234">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317267169">
      <w:bodyDiv w:val="1"/>
      <w:marLeft w:val="0"/>
      <w:marRight w:val="0"/>
      <w:marTop w:val="0"/>
      <w:marBottom w:val="0"/>
      <w:divBdr>
        <w:top w:val="none" w:sz="0" w:space="0" w:color="auto"/>
        <w:left w:val="none" w:sz="0" w:space="0" w:color="auto"/>
        <w:bottom w:val="none" w:sz="0" w:space="0" w:color="auto"/>
        <w:right w:val="none" w:sz="0" w:space="0" w:color="auto"/>
      </w:divBdr>
    </w:div>
    <w:div w:id="649213026">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38429322">
      <w:bodyDiv w:val="1"/>
      <w:marLeft w:val="0"/>
      <w:marRight w:val="0"/>
      <w:marTop w:val="0"/>
      <w:marBottom w:val="0"/>
      <w:divBdr>
        <w:top w:val="none" w:sz="0" w:space="0" w:color="auto"/>
        <w:left w:val="none" w:sz="0" w:space="0" w:color="auto"/>
        <w:bottom w:val="none" w:sz="0" w:space="0" w:color="auto"/>
        <w:right w:val="none" w:sz="0" w:space="0" w:color="auto"/>
      </w:divBdr>
    </w:div>
    <w:div w:id="1719085067">
      <w:bodyDiv w:val="1"/>
      <w:marLeft w:val="0"/>
      <w:marRight w:val="0"/>
      <w:marTop w:val="0"/>
      <w:marBottom w:val="0"/>
      <w:divBdr>
        <w:top w:val="none" w:sz="0" w:space="0" w:color="auto"/>
        <w:left w:val="none" w:sz="0" w:space="0" w:color="auto"/>
        <w:bottom w:val="none" w:sz="0" w:space="0" w:color="auto"/>
        <w:right w:val="none" w:sz="0" w:space="0" w:color="auto"/>
      </w:divBdr>
      <w:divsChild>
        <w:div w:id="1278223015">
          <w:marLeft w:val="0"/>
          <w:marRight w:val="0"/>
          <w:marTop w:val="0"/>
          <w:marBottom w:val="0"/>
          <w:divBdr>
            <w:top w:val="none" w:sz="0" w:space="0" w:color="auto"/>
            <w:left w:val="none" w:sz="0" w:space="0" w:color="auto"/>
            <w:bottom w:val="none" w:sz="0" w:space="0" w:color="auto"/>
            <w:right w:val="none" w:sz="0" w:space="0" w:color="auto"/>
          </w:divBdr>
          <w:divsChild>
            <w:div w:id="1524630340">
              <w:marLeft w:val="0"/>
              <w:marRight w:val="0"/>
              <w:marTop w:val="0"/>
              <w:marBottom w:val="0"/>
              <w:divBdr>
                <w:top w:val="none" w:sz="0" w:space="0" w:color="auto"/>
                <w:left w:val="none" w:sz="0" w:space="0" w:color="auto"/>
                <w:bottom w:val="none" w:sz="0" w:space="0" w:color="auto"/>
                <w:right w:val="none" w:sz="0" w:space="0" w:color="auto"/>
              </w:divBdr>
              <w:divsChild>
                <w:div w:id="704016197">
                  <w:marLeft w:val="0"/>
                  <w:marRight w:val="0"/>
                  <w:marTop w:val="0"/>
                  <w:marBottom w:val="0"/>
                  <w:divBdr>
                    <w:top w:val="none" w:sz="0" w:space="0" w:color="auto"/>
                    <w:left w:val="none" w:sz="0" w:space="0" w:color="auto"/>
                    <w:bottom w:val="none" w:sz="0" w:space="0" w:color="auto"/>
                    <w:right w:val="none" w:sz="0" w:space="0" w:color="auto"/>
                  </w:divBdr>
                  <w:divsChild>
                    <w:div w:id="1894996699">
                      <w:marLeft w:val="0"/>
                      <w:marRight w:val="0"/>
                      <w:marTop w:val="0"/>
                      <w:marBottom w:val="0"/>
                      <w:divBdr>
                        <w:top w:val="none" w:sz="0" w:space="0" w:color="auto"/>
                        <w:left w:val="none" w:sz="0" w:space="0" w:color="auto"/>
                        <w:bottom w:val="none" w:sz="0" w:space="0" w:color="auto"/>
                        <w:right w:val="none" w:sz="0" w:space="0" w:color="auto"/>
                      </w:divBdr>
                      <w:divsChild>
                        <w:div w:id="1278492299">
                          <w:marLeft w:val="0"/>
                          <w:marRight w:val="0"/>
                          <w:marTop w:val="0"/>
                          <w:marBottom w:val="0"/>
                          <w:divBdr>
                            <w:top w:val="none" w:sz="0" w:space="0" w:color="auto"/>
                            <w:left w:val="none" w:sz="0" w:space="0" w:color="auto"/>
                            <w:bottom w:val="none" w:sz="0" w:space="0" w:color="auto"/>
                            <w:right w:val="none" w:sz="0" w:space="0" w:color="auto"/>
                          </w:divBdr>
                          <w:divsChild>
                            <w:div w:id="199710835">
                              <w:marLeft w:val="0"/>
                              <w:marRight w:val="0"/>
                              <w:marTop w:val="0"/>
                              <w:marBottom w:val="0"/>
                              <w:divBdr>
                                <w:top w:val="none" w:sz="0" w:space="0" w:color="auto"/>
                                <w:left w:val="none" w:sz="0" w:space="0" w:color="auto"/>
                                <w:bottom w:val="none" w:sz="0" w:space="0" w:color="auto"/>
                                <w:right w:val="none" w:sz="0" w:space="0" w:color="auto"/>
                              </w:divBdr>
                              <w:divsChild>
                                <w:div w:id="1023170690">
                                  <w:marLeft w:val="0"/>
                                  <w:marRight w:val="0"/>
                                  <w:marTop w:val="0"/>
                                  <w:marBottom w:val="0"/>
                                  <w:divBdr>
                                    <w:top w:val="none" w:sz="0" w:space="0" w:color="auto"/>
                                    <w:left w:val="none" w:sz="0" w:space="0" w:color="auto"/>
                                    <w:bottom w:val="none" w:sz="0" w:space="0" w:color="auto"/>
                                    <w:right w:val="none" w:sz="0" w:space="0" w:color="auto"/>
                                  </w:divBdr>
                                  <w:divsChild>
                                    <w:div w:id="383409800">
                                      <w:marLeft w:val="0"/>
                                      <w:marRight w:val="0"/>
                                      <w:marTop w:val="0"/>
                                      <w:marBottom w:val="0"/>
                                      <w:divBdr>
                                        <w:top w:val="none" w:sz="0" w:space="0" w:color="auto"/>
                                        <w:left w:val="none" w:sz="0" w:space="0" w:color="auto"/>
                                        <w:bottom w:val="none" w:sz="0" w:space="0" w:color="auto"/>
                                        <w:right w:val="none" w:sz="0" w:space="0" w:color="auto"/>
                                      </w:divBdr>
                                      <w:divsChild>
                                        <w:div w:id="18718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599910">
      <w:bodyDiv w:val="1"/>
      <w:marLeft w:val="0"/>
      <w:marRight w:val="0"/>
      <w:marTop w:val="0"/>
      <w:marBottom w:val="0"/>
      <w:divBdr>
        <w:top w:val="none" w:sz="0" w:space="0" w:color="auto"/>
        <w:left w:val="none" w:sz="0" w:space="0" w:color="auto"/>
        <w:bottom w:val="none" w:sz="0" w:space="0" w:color="auto"/>
        <w:right w:val="none" w:sz="0" w:space="0" w:color="auto"/>
      </w:divBdr>
    </w:div>
    <w:div w:id="2010516617">
      <w:bodyDiv w:val="1"/>
      <w:marLeft w:val="0"/>
      <w:marRight w:val="0"/>
      <w:marTop w:val="0"/>
      <w:marBottom w:val="0"/>
      <w:divBdr>
        <w:top w:val="none" w:sz="0" w:space="0" w:color="auto"/>
        <w:left w:val="none" w:sz="0" w:space="0" w:color="auto"/>
        <w:bottom w:val="none" w:sz="0" w:space="0" w:color="auto"/>
        <w:right w:val="none" w:sz="0" w:space="0" w:color="auto"/>
      </w:divBdr>
    </w:div>
    <w:div w:id="21191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3.xml"/><Relationship Id="rId28" Type="http://schemas.openxmlformats.org/officeDocument/2006/relationships/image" Target="media/image10.png"/><Relationship Id="rId36" Type="http://schemas.openxmlformats.org/officeDocument/2006/relationships/footer" Target="footer9.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9.emf"/><Relationship Id="rId30" Type="http://schemas.openxmlformats.org/officeDocument/2006/relationships/footer" Target="footer6.xml"/><Relationship Id="rId35"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47650144420723"/>
          <c:y val="2.8608330642557314E-2"/>
          <c:w val="0.87750929906767794"/>
          <c:h val="0.73329170952342937"/>
        </c:manualLayout>
      </c:layout>
      <c:barChart>
        <c:barDir val="col"/>
        <c:grouping val="stacked"/>
        <c:varyColors val="0"/>
        <c:ser>
          <c:idx val="0"/>
          <c:order val="0"/>
          <c:tx>
            <c:strRef>
              <c:f>Hoja1!$B$1</c:f>
              <c:strCache>
                <c:ptCount val="1"/>
                <c:pt idx="0">
                  <c:v>Obs</c:v>
                </c:pt>
              </c:strCache>
            </c:strRef>
          </c:tx>
          <c:spPr>
            <a:solidFill>
              <a:schemeClr val="accent6">
                <a:lumMod val="60000"/>
                <a:lumOff val="40000"/>
              </a:schemeClr>
            </a:solidFill>
            <a:effectLst>
              <a:outerShdw blurRad="50800" dist="50800" dir="5400000" algn="ctr" rotWithShape="0">
                <a:schemeClr val="tx1"/>
              </a:outerShdw>
            </a:effectLst>
          </c:spPr>
          <c:invertIfNegative val="0"/>
          <c:dPt>
            <c:idx val="1"/>
            <c:invertIfNegative val="0"/>
            <c:bubble3D val="0"/>
            <c:spPr>
              <a:solidFill>
                <a:schemeClr val="accent6">
                  <a:lumMod val="75000"/>
                </a:schemeClr>
              </a:solidFill>
              <a:effectLst>
                <a:outerShdw blurRad="50800" dist="50800" dir="5400000" algn="ctr" rotWithShape="0">
                  <a:schemeClr val="tx1"/>
                </a:outerShdw>
              </a:effectLst>
            </c:spPr>
            <c:extLst>
              <c:ext xmlns:c16="http://schemas.microsoft.com/office/drawing/2014/chart" uri="{C3380CC4-5D6E-409C-BE32-E72D297353CC}">
                <c16:uniqueId val="{00000001-CFBE-4CAA-918F-DBD18BFA97A4}"/>
              </c:ext>
            </c:extLst>
          </c:dPt>
          <c:dPt>
            <c:idx val="2"/>
            <c:invertIfNegative val="0"/>
            <c:bubble3D val="0"/>
            <c:spPr>
              <a:solidFill>
                <a:srgbClr val="0070C0"/>
              </a:solidFill>
              <a:effectLst>
                <a:outerShdw blurRad="50800" dist="50800" dir="5400000" algn="ctr" rotWithShape="0">
                  <a:schemeClr val="tx1"/>
                </a:outerShdw>
              </a:effectLst>
            </c:spPr>
            <c:extLst>
              <c:ext xmlns:c16="http://schemas.microsoft.com/office/drawing/2014/chart" uri="{C3380CC4-5D6E-409C-BE32-E72D297353CC}">
                <c16:uniqueId val="{00000003-CFBE-4CAA-918F-DBD18BFA97A4}"/>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BE-4CAA-918F-DBD18BFA97A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BE-4CAA-918F-DBD18BFA97A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BE-4CAA-918F-DBD18BFA97A4}"/>
                </c:ext>
              </c:extLst>
            </c:dLbl>
            <c:numFmt formatCode="#,##0.0" sourceLinked="0"/>
            <c:spPr>
              <a:noFill/>
              <a:ln>
                <a:noFill/>
              </a:ln>
              <a:effectLst/>
            </c:spPr>
            <c:txPr>
              <a:bodyPr/>
              <a:lstStyle/>
              <a:p>
                <a:pPr>
                  <a:defRPr b="1">
                    <a:solidFill>
                      <a:schemeClr val="tx1"/>
                    </a:solidFill>
                  </a:defRPr>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Hoja1!$A$2:$A$4</c:f>
              <c:strCache>
                <c:ptCount val="3"/>
                <c:pt idx="0">
                  <c:v>2014</c:v>
                </c:pt>
                <c:pt idx="1">
                  <c:v>2015</c:v>
                </c:pt>
                <c:pt idx="2">
                  <c:v>Meta Presupuesto</c:v>
                </c:pt>
              </c:strCache>
            </c:strRef>
          </c:cat>
          <c:val>
            <c:numRef>
              <c:f>Hoja1!$B$2:$B$4</c:f>
              <c:numCache>
                <c:formatCode>General</c:formatCode>
                <c:ptCount val="3"/>
                <c:pt idx="0">
                  <c:v>20555.647965900011</c:v>
                </c:pt>
                <c:pt idx="1">
                  <c:v>20959.915895810002</c:v>
                </c:pt>
                <c:pt idx="2">
                  <c:v>21670.292208550069</c:v>
                </c:pt>
              </c:numCache>
            </c:numRef>
          </c:val>
          <c:extLst>
            <c:ext xmlns:c16="http://schemas.microsoft.com/office/drawing/2014/chart" uri="{C3380CC4-5D6E-409C-BE32-E72D297353CC}">
              <c16:uniqueId val="{00000005-CFBE-4CAA-918F-DBD18BFA97A4}"/>
            </c:ext>
          </c:extLst>
        </c:ser>
        <c:ser>
          <c:idx val="1"/>
          <c:order val="1"/>
          <c:tx>
            <c:strRef>
              <c:f>Hoja1!$C$1</c:f>
              <c:strCache>
                <c:ptCount val="1"/>
                <c:pt idx="0">
                  <c:v>Impuesto a Telefonía</c:v>
                </c:pt>
              </c:strCache>
            </c:strRef>
          </c:tx>
          <c:spPr>
            <a:effectLst>
              <a:outerShdw blurRad="50800" dist="50800" dir="5400000" algn="ctr" rotWithShape="0">
                <a:schemeClr val="tx1"/>
              </a:outerShdw>
            </a:effectLst>
          </c:spPr>
          <c:invertIfNegative val="0"/>
          <c:dLbls>
            <c:spPr>
              <a:noFill/>
              <a:ln>
                <a:noFill/>
              </a:ln>
              <a:effectLst/>
            </c:spPr>
            <c:txPr>
              <a:bodyPr/>
              <a:lstStyle/>
              <a:p>
                <a:pPr>
                  <a:defRPr sz="700"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2014</c:v>
                </c:pt>
                <c:pt idx="1">
                  <c:v>2015</c:v>
                </c:pt>
                <c:pt idx="2">
                  <c:v>Meta Presupuesto</c:v>
                </c:pt>
              </c:strCache>
            </c:strRef>
          </c:cat>
          <c:val>
            <c:numRef>
              <c:f>Hoja1!$C$2:$C$4</c:f>
              <c:numCache>
                <c:formatCode>General</c:formatCode>
                <c:ptCount val="3"/>
                <c:pt idx="2">
                  <c:v>477.5</c:v>
                </c:pt>
              </c:numCache>
            </c:numRef>
          </c:val>
          <c:extLst>
            <c:ext xmlns:c16="http://schemas.microsoft.com/office/drawing/2014/chart" uri="{C3380CC4-5D6E-409C-BE32-E72D297353CC}">
              <c16:uniqueId val="{00000006-CFBE-4CAA-918F-DBD18BFA97A4}"/>
            </c:ext>
          </c:extLst>
        </c:ser>
        <c:ser>
          <c:idx val="2"/>
          <c:order val="2"/>
          <c:tx>
            <c:strRef>
              <c:f>Hoja1!$D$1</c:f>
              <c:strCache>
                <c:ptCount val="1"/>
                <c:pt idx="0">
                  <c:v>Medidas Administrativas</c:v>
                </c:pt>
              </c:strCache>
            </c:strRef>
          </c:tx>
          <c:spPr>
            <a:effectLst>
              <a:outerShdw blurRad="50800" dist="50800" dir="5400000" algn="ctr" rotWithShape="0">
                <a:schemeClr val="tx1"/>
              </a:outerShdw>
            </a:effectLst>
          </c:spPr>
          <c:invertIfNegative val="0"/>
          <c:dLbls>
            <c:dLbl>
              <c:idx val="2"/>
              <c:spPr/>
              <c:txPr>
                <a:bodyPr/>
                <a:lstStyle/>
                <a:p>
                  <a:pPr>
                    <a:defRPr sz="700" b="1"/>
                  </a:pPr>
                  <a:endParaRPr lang="es-GT"/>
                </a:p>
              </c:txPr>
              <c:showLegendKey val="0"/>
              <c:showVal val="1"/>
              <c:showCatName val="0"/>
              <c:showSerName val="0"/>
              <c:showPercent val="0"/>
              <c:showBubbleSize val="0"/>
              <c:extLst>
                <c:ext xmlns:c16="http://schemas.microsoft.com/office/drawing/2014/chart" uri="{C3380CC4-5D6E-409C-BE32-E72D297353CC}">
                  <c16:uniqueId val="{00000007-CFBE-4CAA-918F-DBD18BFA97A4}"/>
                </c:ext>
              </c:extLst>
            </c:dLbl>
            <c:spPr>
              <a:noFill/>
              <a:ln>
                <a:noFill/>
              </a:ln>
              <a:effectLst/>
            </c:spPr>
            <c:txPr>
              <a:bodyPr/>
              <a:lstStyle/>
              <a:p>
                <a:pPr>
                  <a:defRPr b="1"/>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Hoja1!$A$2:$A$4</c:f>
              <c:strCache>
                <c:ptCount val="3"/>
                <c:pt idx="0">
                  <c:v>2014</c:v>
                </c:pt>
                <c:pt idx="1">
                  <c:v>2015</c:v>
                </c:pt>
                <c:pt idx="2">
                  <c:v>Meta Presupuesto</c:v>
                </c:pt>
              </c:strCache>
            </c:strRef>
          </c:cat>
          <c:val>
            <c:numRef>
              <c:f>Hoja1!$D$2:$D$4</c:f>
              <c:numCache>
                <c:formatCode>General</c:formatCode>
                <c:ptCount val="3"/>
                <c:pt idx="2">
                  <c:v>711.5</c:v>
                </c:pt>
              </c:numCache>
            </c:numRef>
          </c:val>
          <c:extLst>
            <c:ext xmlns:c16="http://schemas.microsoft.com/office/drawing/2014/chart" uri="{C3380CC4-5D6E-409C-BE32-E72D297353CC}">
              <c16:uniqueId val="{00000008-CFBE-4CAA-918F-DBD18BFA97A4}"/>
            </c:ext>
          </c:extLst>
        </c:ser>
        <c:dLbls>
          <c:showLegendKey val="0"/>
          <c:showVal val="0"/>
          <c:showCatName val="0"/>
          <c:showSerName val="0"/>
          <c:showPercent val="0"/>
          <c:showBubbleSize val="0"/>
        </c:dLbls>
        <c:gapWidth val="38"/>
        <c:overlap val="100"/>
        <c:axId val="115065216"/>
        <c:axId val="115067520"/>
      </c:barChart>
      <c:catAx>
        <c:axId val="115065216"/>
        <c:scaling>
          <c:orientation val="minMax"/>
        </c:scaling>
        <c:delete val="0"/>
        <c:axPos val="b"/>
        <c:numFmt formatCode="General" sourceLinked="0"/>
        <c:majorTickMark val="out"/>
        <c:minorTickMark val="none"/>
        <c:tickLblPos val="nextTo"/>
        <c:txPr>
          <a:bodyPr/>
          <a:lstStyle/>
          <a:p>
            <a:pPr>
              <a:defRPr b="1"/>
            </a:pPr>
            <a:endParaRPr lang="es-GT"/>
          </a:p>
        </c:txPr>
        <c:crossAx val="115067520"/>
        <c:crosses val="autoZero"/>
        <c:auto val="1"/>
        <c:lblAlgn val="ctr"/>
        <c:lblOffset val="100"/>
        <c:noMultiLvlLbl val="0"/>
      </c:catAx>
      <c:valAx>
        <c:axId val="115067520"/>
        <c:scaling>
          <c:orientation val="minMax"/>
          <c:max val="24000"/>
          <c:min val="16000"/>
        </c:scaling>
        <c:delete val="0"/>
        <c:axPos val="l"/>
        <c:numFmt formatCode="General" sourceLinked="1"/>
        <c:majorTickMark val="out"/>
        <c:minorTickMark val="none"/>
        <c:tickLblPos val="nextTo"/>
        <c:txPr>
          <a:bodyPr/>
          <a:lstStyle/>
          <a:p>
            <a:pPr>
              <a:defRPr sz="700"/>
            </a:pPr>
            <a:endParaRPr lang="es-GT"/>
          </a:p>
        </c:txPr>
        <c:crossAx val="115065216"/>
        <c:crosses val="autoZero"/>
        <c:crossBetween val="between"/>
        <c:majorUnit val="2000"/>
      </c:valAx>
    </c:plotArea>
    <c:legend>
      <c:legendPos val="b"/>
      <c:legendEntry>
        <c:idx val="0"/>
        <c:delete val="1"/>
      </c:legendEntry>
      <c:layout>
        <c:manualLayout>
          <c:xMode val="edge"/>
          <c:yMode val="edge"/>
          <c:x val="4.5055401528251401E-4"/>
          <c:y val="0.91322514295012458"/>
          <c:w val="0.99954949837762619"/>
          <c:h val="8.1071326669036048E-2"/>
        </c:manualLayout>
      </c:layout>
      <c:overlay val="0"/>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39621584943447"/>
          <c:y val="3.4298422514466582E-2"/>
          <c:w val="0.85779214033841833"/>
          <c:h val="0.74833431971327891"/>
        </c:manualLayout>
      </c:layout>
      <c:lineChart>
        <c:grouping val="standard"/>
        <c:varyColors val="0"/>
        <c:ser>
          <c:idx val="0"/>
          <c:order val="0"/>
          <c:tx>
            <c:strRef>
              <c:f>Hoja1!$B$1</c:f>
              <c:strCache>
                <c:ptCount val="1"/>
                <c:pt idx="0">
                  <c:v>2015-2014</c:v>
                </c:pt>
              </c:strCache>
            </c:strRef>
          </c:tx>
          <c:spPr>
            <a:ln>
              <a:solidFill>
                <a:srgbClr val="0070C0"/>
              </a:solidFill>
            </a:ln>
          </c:spPr>
          <c:marker>
            <c:symbol val="circle"/>
            <c:size val="5"/>
            <c:spPr>
              <a:solidFill>
                <a:srgbClr val="0070C0"/>
              </a:solidFill>
            </c:spPr>
          </c:marker>
          <c:dLbls>
            <c:dLbl>
              <c:idx val="3"/>
              <c:layout>
                <c:manualLayout>
                  <c:x val="-0.13170786482298613"/>
                  <c:y val="-6.0219757085967232E-2"/>
                </c:manualLayout>
              </c:layout>
              <c:spPr/>
              <c:txPr>
                <a:bodyPr/>
                <a:lstStyle/>
                <a:p>
                  <a:pPr>
                    <a:defRPr sz="800" b="1">
                      <a:solidFill>
                        <a:srgbClr val="0070C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B38-4A25-998E-1B1AF8081F74}"/>
                </c:ext>
              </c:extLst>
            </c:dLbl>
            <c:dLbl>
              <c:idx val="4"/>
              <c:layout>
                <c:manualLayout>
                  <c:x val="-3.1786179483576482E-2"/>
                  <c:y val="-6.1885168415369354E-2"/>
                </c:manualLayout>
              </c:layout>
              <c:numFmt formatCode="#,##0.0" sourceLinked="0"/>
              <c:spPr/>
              <c:txPr>
                <a:bodyPr/>
                <a:lstStyle/>
                <a:p>
                  <a:pPr>
                    <a:defRPr sz="800" b="1">
                      <a:solidFill>
                        <a:srgbClr val="0070C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38-4A25-998E-1B1AF8081F74}"/>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Hoja1!$A$2:$A$6</c:f>
              <c:strCache>
                <c:ptCount val="5"/>
                <c:pt idx="0">
                  <c:v>Ene</c:v>
                </c:pt>
                <c:pt idx="1">
                  <c:v>Feb</c:v>
                </c:pt>
                <c:pt idx="2">
                  <c:v>Mar</c:v>
                </c:pt>
                <c:pt idx="3">
                  <c:v>Abr</c:v>
                </c:pt>
                <c:pt idx="4">
                  <c:v>May</c:v>
                </c:pt>
              </c:strCache>
            </c:strRef>
          </c:cat>
          <c:val>
            <c:numRef>
              <c:f>Hoja1!$B$2:$B$6</c:f>
              <c:numCache>
                <c:formatCode>#,##0.0</c:formatCode>
                <c:ptCount val="5"/>
                <c:pt idx="0" formatCode="General">
                  <c:v>96.948942229999375</c:v>
                </c:pt>
                <c:pt idx="1">
                  <c:v>297.42003094999836</c:v>
                </c:pt>
                <c:pt idx="2">
                  <c:v>404.74016878000111</c:v>
                </c:pt>
                <c:pt idx="3">
                  <c:v>449.89988547000394</c:v>
                </c:pt>
                <c:pt idx="4" formatCode="General">
                  <c:v>400.13792990999355</c:v>
                </c:pt>
              </c:numCache>
            </c:numRef>
          </c:val>
          <c:smooth val="0"/>
          <c:extLst>
            <c:ext xmlns:c16="http://schemas.microsoft.com/office/drawing/2014/chart" uri="{C3380CC4-5D6E-409C-BE32-E72D297353CC}">
              <c16:uniqueId val="{00000002-EB38-4A25-998E-1B1AF8081F74}"/>
            </c:ext>
          </c:extLst>
        </c:ser>
        <c:ser>
          <c:idx val="1"/>
          <c:order val="1"/>
          <c:tx>
            <c:strRef>
              <c:f>Hoja1!$C$1</c:f>
              <c:strCache>
                <c:ptCount val="1"/>
                <c:pt idx="0">
                  <c:v>2015-Meta</c:v>
                </c:pt>
              </c:strCache>
            </c:strRef>
          </c:tx>
          <c:marker>
            <c:symbol val="circle"/>
            <c:size val="5"/>
          </c:marker>
          <c:dLbls>
            <c:dLbl>
              <c:idx val="3"/>
              <c:layout>
                <c:manualLayout>
                  <c:x val="-0.18620615420816253"/>
                  <c:y val="5.5692164648230777E-2"/>
                </c:manualLayout>
              </c:layout>
              <c:spPr/>
              <c:txPr>
                <a:bodyPr/>
                <a:lstStyle/>
                <a:p>
                  <a:pPr>
                    <a:defRPr sz="800" b="1">
                      <a:solidFill>
                        <a:srgbClr val="C0000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38-4A25-998E-1B1AF8081F74}"/>
                </c:ext>
              </c:extLst>
            </c:dLbl>
            <c:dLbl>
              <c:idx val="4"/>
              <c:layout>
                <c:manualLayout>
                  <c:x val="-4.0867945050312625E-2"/>
                  <c:y val="9.2827752623054025E-2"/>
                </c:manualLayout>
              </c:layout>
              <c:numFmt formatCode="#,##0.0" sourceLinked="0"/>
              <c:spPr/>
              <c:txPr>
                <a:bodyPr/>
                <a:lstStyle/>
                <a:p>
                  <a:pPr>
                    <a:defRPr sz="800" b="1">
                      <a:solidFill>
                        <a:srgbClr val="C00000"/>
                      </a:solidFill>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38-4A25-998E-1B1AF8081F74}"/>
                </c:ext>
              </c:extLst>
            </c:dLbl>
            <c:spPr>
              <a:noFill/>
              <a:ln>
                <a:noFill/>
              </a:ln>
              <a:effectLst/>
            </c:spPr>
            <c:txPr>
              <a:bodyPr/>
              <a:lstStyle/>
              <a:p>
                <a:pPr>
                  <a:defRPr sz="800"/>
                </a:pPr>
                <a:endParaRPr lang="es-GT"/>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Hoja1!$A$2:$A$6</c:f>
              <c:strCache>
                <c:ptCount val="5"/>
                <c:pt idx="0">
                  <c:v>Ene</c:v>
                </c:pt>
                <c:pt idx="1">
                  <c:v>Feb</c:v>
                </c:pt>
                <c:pt idx="2">
                  <c:v>Mar</c:v>
                </c:pt>
                <c:pt idx="3">
                  <c:v>Abr</c:v>
                </c:pt>
                <c:pt idx="4">
                  <c:v>May</c:v>
                </c:pt>
              </c:strCache>
            </c:strRef>
          </c:cat>
          <c:val>
            <c:numRef>
              <c:f>Hoja1!$C$2:$C$6</c:f>
              <c:numCache>
                <c:formatCode>#,##0.0</c:formatCode>
                <c:ptCount val="5"/>
                <c:pt idx="0" formatCode="General">
                  <c:v>-15.281346164754723</c:v>
                </c:pt>
                <c:pt idx="1">
                  <c:v>-111.68129228988073</c:v>
                </c:pt>
                <c:pt idx="2">
                  <c:v>-588.76221399393398</c:v>
                </c:pt>
                <c:pt idx="3">
                  <c:v>-1247.7424553077435</c:v>
                </c:pt>
                <c:pt idx="4" formatCode="General">
                  <c:v>-1899.3763127400671</c:v>
                </c:pt>
              </c:numCache>
            </c:numRef>
          </c:val>
          <c:smooth val="0"/>
          <c:extLst>
            <c:ext xmlns:c16="http://schemas.microsoft.com/office/drawing/2014/chart" uri="{C3380CC4-5D6E-409C-BE32-E72D297353CC}">
              <c16:uniqueId val="{00000005-EB38-4A25-998E-1B1AF8081F74}"/>
            </c:ext>
          </c:extLst>
        </c:ser>
        <c:dLbls>
          <c:showLegendKey val="0"/>
          <c:showVal val="0"/>
          <c:showCatName val="0"/>
          <c:showSerName val="0"/>
          <c:showPercent val="0"/>
          <c:showBubbleSize val="0"/>
        </c:dLbls>
        <c:marker val="1"/>
        <c:smooth val="0"/>
        <c:axId val="116398720"/>
        <c:axId val="116876032"/>
      </c:lineChart>
      <c:catAx>
        <c:axId val="116398720"/>
        <c:scaling>
          <c:orientation val="minMax"/>
        </c:scaling>
        <c:delete val="0"/>
        <c:axPos val="b"/>
        <c:numFmt formatCode="General" sourceLinked="0"/>
        <c:majorTickMark val="out"/>
        <c:minorTickMark val="none"/>
        <c:tickLblPos val="low"/>
        <c:txPr>
          <a:bodyPr/>
          <a:lstStyle/>
          <a:p>
            <a:pPr>
              <a:defRPr sz="800" b="1"/>
            </a:pPr>
            <a:endParaRPr lang="es-GT"/>
          </a:p>
        </c:txPr>
        <c:crossAx val="116876032"/>
        <c:crosses val="autoZero"/>
        <c:auto val="1"/>
        <c:lblAlgn val="ctr"/>
        <c:lblOffset val="100"/>
        <c:noMultiLvlLbl val="0"/>
      </c:catAx>
      <c:valAx>
        <c:axId val="116876032"/>
        <c:scaling>
          <c:orientation val="minMax"/>
        </c:scaling>
        <c:delete val="0"/>
        <c:axPos val="l"/>
        <c:numFmt formatCode="General" sourceLinked="1"/>
        <c:majorTickMark val="out"/>
        <c:minorTickMark val="none"/>
        <c:tickLblPos val="nextTo"/>
        <c:txPr>
          <a:bodyPr/>
          <a:lstStyle/>
          <a:p>
            <a:pPr>
              <a:defRPr sz="700"/>
            </a:pPr>
            <a:endParaRPr lang="es-GT"/>
          </a:p>
        </c:txPr>
        <c:crossAx val="116398720"/>
        <c:crosses val="autoZero"/>
        <c:crossBetween val="between"/>
      </c:valAx>
    </c:plotArea>
    <c:legend>
      <c:legendPos val="b"/>
      <c:layout>
        <c:manualLayout>
          <c:xMode val="edge"/>
          <c:yMode val="edge"/>
          <c:x val="0.18184771039851702"/>
          <c:y val="0.90839529459931712"/>
          <c:w val="0.64813648293963244"/>
          <c:h val="9.1604712201672461E-2"/>
        </c:manualLayout>
      </c:layout>
      <c:overlay val="0"/>
      <c:txPr>
        <a:bodyPr/>
        <a:lstStyle/>
        <a:p>
          <a:pPr>
            <a:defRPr sz="8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0.6084</cdr:x>
      <cdr:y>0.18313</cdr:y>
    </cdr:from>
    <cdr:to>
      <cdr:x>0.74429</cdr:x>
      <cdr:y>0.30554</cdr:y>
    </cdr:to>
    <cdr:cxnSp macro="">
      <cdr:nvCxnSpPr>
        <cdr:cNvPr id="3" name="2 Conector recto de flecha"/>
        <cdr:cNvCxnSpPr/>
      </cdr:nvCxnSpPr>
      <cdr:spPr>
        <a:xfrm xmlns:a="http://schemas.openxmlformats.org/drawingml/2006/main" flipH="1">
          <a:off x="1574301" y="360139"/>
          <a:ext cx="351632" cy="240731"/>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dr:relSizeAnchor xmlns:cdr="http://schemas.openxmlformats.org/drawingml/2006/chartDrawing">
    <cdr:from>
      <cdr:x>0.4617</cdr:x>
      <cdr:y>0.11862</cdr:y>
    </cdr:from>
    <cdr:to>
      <cdr:x>0.69063</cdr:x>
      <cdr:y>0.29324</cdr:y>
    </cdr:to>
    <cdr:sp macro="" textlink="">
      <cdr:nvSpPr>
        <cdr:cNvPr id="8" name="7 Cuadro de texto"/>
        <cdr:cNvSpPr txBox="1"/>
      </cdr:nvSpPr>
      <cdr:spPr>
        <a:xfrm xmlns:a="http://schemas.openxmlformats.org/drawingml/2006/main">
          <a:off x="1194719" y="233275"/>
          <a:ext cx="592360" cy="3434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GT" sz="700" b="1">
              <a:latin typeface="Times New Roman" panose="02020603050405020304" pitchFamily="18" charset="0"/>
              <a:cs typeface="Times New Roman" panose="02020603050405020304" pitchFamily="18" charset="0"/>
            </a:rPr>
            <a:t>Q 1,899.4 millones</a:t>
          </a:r>
        </a:p>
      </cdr:txBody>
    </cdr:sp>
  </cdr:relSizeAnchor>
  <cdr:relSizeAnchor xmlns:cdr="http://schemas.openxmlformats.org/drawingml/2006/chartDrawing">
    <cdr:from>
      <cdr:x>0.69938</cdr:x>
      <cdr:y>0.02632</cdr:y>
    </cdr:from>
    <cdr:to>
      <cdr:x>1</cdr:x>
      <cdr:y>0.122</cdr:y>
    </cdr:to>
    <cdr:sp macro="" textlink="">
      <cdr:nvSpPr>
        <cdr:cNvPr id="10" name="9 Cuadro de texto"/>
        <cdr:cNvSpPr txBox="1"/>
      </cdr:nvSpPr>
      <cdr:spPr>
        <a:xfrm xmlns:a="http://schemas.openxmlformats.org/drawingml/2006/main">
          <a:off x="1810040" y="51758"/>
          <a:ext cx="777885" cy="1881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GT" sz="700" b="1">
              <a:latin typeface="Times New Roman" panose="02020603050405020304" pitchFamily="18" charset="0"/>
              <a:cs typeface="Times New Roman" panose="02020603050405020304" pitchFamily="18" charset="0"/>
            </a:rPr>
            <a:t>Q 22,859.3</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8DAE-B4AB-4D0D-A9D0-8F237DF2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12507</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Rodas Anleu</dc:creator>
  <cp:lastModifiedBy>Saul Enrique De León Meneses</cp:lastModifiedBy>
  <cp:revision>2</cp:revision>
  <cp:lastPrinted>2014-03-08T04:17:00Z</cp:lastPrinted>
  <dcterms:created xsi:type="dcterms:W3CDTF">2018-05-14T20:43:00Z</dcterms:created>
  <dcterms:modified xsi:type="dcterms:W3CDTF">2018-05-14T20:43:00Z</dcterms:modified>
</cp:coreProperties>
</file>