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68" w:rsidRDefault="009C7168" w:rsidP="00EF6C10">
      <w:pPr>
        <w:spacing w:after="0" w:line="240" w:lineRule="auto"/>
        <w:rPr>
          <w:lang w:val="es-MX"/>
        </w:rPr>
      </w:pPr>
      <w:bookmarkStart w:id="0" w:name="_GoBack"/>
      <w:bookmarkEnd w:id="0"/>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jc w:val="center"/>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Pr="0029380C" w:rsidRDefault="0029380C" w:rsidP="00EF6C10">
      <w:pPr>
        <w:spacing w:after="0" w:line="240" w:lineRule="auto"/>
        <w:rPr>
          <w:rFonts w:ascii="Times New Roman" w:hAnsi="Times New Roman" w:cs="Times New Roman"/>
          <w:lang w:val="es-MX"/>
        </w:rPr>
      </w:pPr>
    </w:p>
    <w:p w:rsidR="0029380C" w:rsidRPr="0029380C" w:rsidRDefault="0029380C" w:rsidP="00EF6C10">
      <w:pPr>
        <w:spacing w:after="0" w:line="240" w:lineRule="auto"/>
        <w:jc w:val="center"/>
        <w:rPr>
          <w:rFonts w:ascii="Times New Roman" w:hAnsi="Times New Roman" w:cs="Times New Roman"/>
          <w:b/>
          <w:sz w:val="44"/>
          <w:szCs w:val="44"/>
          <w:lang w:val="es-MX"/>
        </w:rPr>
      </w:pPr>
      <w:r w:rsidRPr="0029380C">
        <w:rPr>
          <w:rFonts w:ascii="Times New Roman" w:hAnsi="Times New Roman" w:cs="Times New Roman"/>
          <w:b/>
          <w:sz w:val="44"/>
          <w:szCs w:val="44"/>
          <w:lang w:val="es-MX"/>
        </w:rPr>
        <w:t xml:space="preserve">Informe mensual de las Finanzas Públicas </w:t>
      </w:r>
    </w:p>
    <w:p w:rsidR="0029380C" w:rsidRPr="0029380C" w:rsidRDefault="00287E3A" w:rsidP="00EF6C10">
      <w:pPr>
        <w:spacing w:after="0" w:line="240" w:lineRule="auto"/>
        <w:jc w:val="center"/>
        <w:rPr>
          <w:rFonts w:ascii="Times New Roman" w:hAnsi="Times New Roman" w:cs="Times New Roman"/>
          <w:b/>
          <w:sz w:val="40"/>
          <w:szCs w:val="40"/>
          <w:lang w:val="es-MX"/>
        </w:rPr>
      </w:pPr>
      <w:r>
        <w:rPr>
          <w:rFonts w:ascii="Times New Roman" w:hAnsi="Times New Roman" w:cs="Times New Roman"/>
          <w:b/>
          <w:sz w:val="40"/>
          <w:szCs w:val="40"/>
          <w:lang w:val="es-MX"/>
        </w:rPr>
        <w:t>F</w:t>
      </w:r>
      <w:r w:rsidR="003107A6">
        <w:rPr>
          <w:rFonts w:ascii="Times New Roman" w:hAnsi="Times New Roman" w:cs="Times New Roman"/>
          <w:b/>
          <w:sz w:val="40"/>
          <w:szCs w:val="40"/>
          <w:lang w:val="es-MX"/>
        </w:rPr>
        <w:t>ebrero</w:t>
      </w:r>
      <w:r w:rsidR="0029380C" w:rsidRPr="0029380C">
        <w:rPr>
          <w:rFonts w:ascii="Times New Roman" w:hAnsi="Times New Roman" w:cs="Times New Roman"/>
          <w:b/>
          <w:sz w:val="40"/>
          <w:szCs w:val="40"/>
          <w:lang w:val="es-MX"/>
        </w:rPr>
        <w:t xml:space="preserve"> 2015</w:t>
      </w:r>
    </w:p>
    <w:p w:rsidR="0029380C" w:rsidRPr="0029380C" w:rsidRDefault="0029380C" w:rsidP="00EF6C10">
      <w:pPr>
        <w:spacing w:after="0" w:line="240" w:lineRule="auto"/>
        <w:rPr>
          <w:rFonts w:ascii="Times New Roman" w:hAnsi="Times New Roman" w:cs="Times New Roman"/>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EF6C10" w:rsidRDefault="00EF6C10"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Default="0029380C" w:rsidP="00EF6C10">
      <w:pPr>
        <w:spacing w:after="0" w:line="240" w:lineRule="auto"/>
        <w:rPr>
          <w:lang w:val="es-MX"/>
        </w:rPr>
      </w:pPr>
    </w:p>
    <w:p w:rsidR="0029380C" w:rsidRPr="007F29D0" w:rsidRDefault="0029380C" w:rsidP="00EF6C1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Ambiente macroeconómico: Interno y Externo</w:t>
      </w:r>
    </w:p>
    <w:p w:rsidR="0029380C" w:rsidRDefault="0029380C" w:rsidP="00EF6C10">
      <w:pPr>
        <w:spacing w:after="0" w:line="240" w:lineRule="auto"/>
        <w:rPr>
          <w:lang w:val="es-MX"/>
        </w:rPr>
      </w:pPr>
    </w:p>
    <w:p w:rsidR="00405556" w:rsidRDefault="00405556" w:rsidP="00EF6C10">
      <w:pPr>
        <w:spacing w:after="0" w:line="240" w:lineRule="auto"/>
        <w:jc w:val="both"/>
        <w:rPr>
          <w:rFonts w:ascii="Times New Roman" w:hAnsi="Times New Roman" w:cs="Times New Roman"/>
          <w:lang w:val="es-MX"/>
        </w:rPr>
        <w:sectPr w:rsidR="00405556">
          <w:headerReference w:type="default" r:id="rId8"/>
          <w:pgSz w:w="12240" w:h="15840"/>
          <w:pgMar w:top="1417" w:right="1701" w:bottom="1417" w:left="1701" w:header="708" w:footer="708" w:gutter="0"/>
          <w:cols w:space="708"/>
          <w:docGrid w:linePitch="360"/>
        </w:sectPr>
      </w:pPr>
    </w:p>
    <w:p w:rsidR="00FE1884" w:rsidRDefault="00FE1884" w:rsidP="00EF6C10">
      <w:pPr>
        <w:pStyle w:val="Prrafodelista"/>
        <w:spacing w:after="0" w:line="240" w:lineRule="auto"/>
        <w:ind w:left="0"/>
        <w:rPr>
          <w:rFonts w:eastAsiaTheme="minorEastAsia" w:cs="Times New Roman"/>
          <w:lang w:val="es-ES_tradnl" w:eastAsia="ja-JP"/>
        </w:rPr>
      </w:pPr>
      <w:r w:rsidRPr="00CD511B">
        <w:rPr>
          <w:rFonts w:eastAsiaTheme="minorEastAsia" w:cs="Times New Roman"/>
          <w:lang w:val="es-ES_tradnl" w:eastAsia="ja-JP"/>
        </w:rPr>
        <w:lastRenderedPageBreak/>
        <w:t>Durante 2014 las perspectivas de crecimiento económico</w:t>
      </w:r>
      <w:r w:rsidR="00813774">
        <w:rPr>
          <w:rFonts w:eastAsiaTheme="minorEastAsia" w:cs="Times New Roman"/>
          <w:lang w:val="es-ES_tradnl" w:eastAsia="ja-JP"/>
        </w:rPr>
        <w:t xml:space="preserve"> para las naciones desarrolladas y</w:t>
      </w:r>
      <w:r w:rsidR="0050409B">
        <w:rPr>
          <w:rFonts w:eastAsiaTheme="minorEastAsia" w:cs="Times New Roman"/>
          <w:lang w:val="es-ES_tradnl" w:eastAsia="ja-JP"/>
        </w:rPr>
        <w:t xml:space="preserve"> para las economías emergentes,</w:t>
      </w:r>
      <w:r w:rsidRPr="00CD511B">
        <w:rPr>
          <w:rFonts w:eastAsiaTheme="minorEastAsia" w:cs="Times New Roman"/>
          <w:lang w:val="es-ES_tradnl" w:eastAsia="ja-JP"/>
        </w:rPr>
        <w:t xml:space="preserve"> </w:t>
      </w:r>
      <w:r w:rsidR="002142B7">
        <w:rPr>
          <w:rFonts w:eastAsiaTheme="minorEastAsia" w:cs="Times New Roman"/>
          <w:lang w:val="es-ES_tradnl" w:eastAsia="ja-JP"/>
        </w:rPr>
        <w:t>se ajustaron</w:t>
      </w:r>
      <w:r w:rsidRPr="00CD511B">
        <w:rPr>
          <w:rFonts w:eastAsiaTheme="minorEastAsia" w:cs="Times New Roman"/>
          <w:lang w:val="es-ES_tradnl" w:eastAsia="ja-JP"/>
        </w:rPr>
        <w:t xml:space="preserve"> hacia la baja tanto por el FMI como por el Banco Mundial</w:t>
      </w:r>
      <w:r w:rsidR="00813774">
        <w:rPr>
          <w:rFonts w:eastAsiaTheme="minorEastAsia" w:cs="Times New Roman"/>
          <w:lang w:val="es-ES_tradnl" w:eastAsia="ja-JP"/>
        </w:rPr>
        <w:t>.</w:t>
      </w:r>
      <w:r w:rsidRPr="00CD511B">
        <w:rPr>
          <w:rFonts w:eastAsiaTheme="minorEastAsia" w:cs="Times New Roman"/>
          <w:lang w:val="es-ES_tradnl" w:eastAsia="ja-JP"/>
        </w:rPr>
        <w:t xml:space="preserve"> Una tendencia similar fue considerada por la CEPAL alertando que la desaceleración de inversiones tuvo implicaciones negativas en las perspectivas de crecimiento económico de varios países de América Latina.</w:t>
      </w:r>
    </w:p>
    <w:p w:rsidR="00171E55" w:rsidRPr="00171E55" w:rsidRDefault="00171E55" w:rsidP="00EF6C10">
      <w:pPr>
        <w:pStyle w:val="Prrafodelista"/>
        <w:spacing w:after="0" w:line="240" w:lineRule="auto"/>
        <w:ind w:left="0"/>
        <w:rPr>
          <w:rFonts w:eastAsiaTheme="minorEastAsia" w:cs="Times New Roman"/>
          <w:lang w:val="es-ES_tradnl" w:eastAsia="ja-JP"/>
        </w:rPr>
      </w:pPr>
    </w:p>
    <w:p w:rsidR="00FE1884" w:rsidRDefault="00813774" w:rsidP="00EF6C10">
      <w:pPr>
        <w:pStyle w:val="Prrafodelista"/>
        <w:spacing w:after="0" w:line="240" w:lineRule="auto"/>
        <w:ind w:left="0"/>
        <w:rPr>
          <w:rFonts w:eastAsiaTheme="minorEastAsia" w:cs="Times New Roman"/>
          <w:lang w:val="es-ES_tradnl" w:eastAsia="ja-JP"/>
        </w:rPr>
      </w:pPr>
      <w:r>
        <w:rPr>
          <w:rFonts w:eastAsiaTheme="minorEastAsia" w:cs="Times New Roman"/>
          <w:lang w:val="es-ES_tradnl" w:eastAsia="ja-JP"/>
        </w:rPr>
        <w:t>L</w:t>
      </w:r>
      <w:r w:rsidR="00FE1884" w:rsidRPr="00CD511B">
        <w:rPr>
          <w:rFonts w:eastAsiaTheme="minorEastAsia" w:cs="Times New Roman"/>
          <w:lang w:val="es-ES_tradnl" w:eastAsia="ja-JP"/>
        </w:rPr>
        <w:t>a desaceleración del crecimiento económico de los EE</w:t>
      </w:r>
      <w:r w:rsidR="0050409B">
        <w:rPr>
          <w:rFonts w:eastAsiaTheme="minorEastAsia" w:cs="Times New Roman"/>
          <w:lang w:val="es-ES_tradnl" w:eastAsia="ja-JP"/>
        </w:rPr>
        <w:t>.</w:t>
      </w:r>
      <w:r w:rsidR="00FE1884" w:rsidRPr="00CD511B">
        <w:rPr>
          <w:rFonts w:eastAsiaTheme="minorEastAsia" w:cs="Times New Roman"/>
          <w:lang w:val="es-ES_tradnl" w:eastAsia="ja-JP"/>
        </w:rPr>
        <w:t>UU</w:t>
      </w:r>
      <w:r w:rsidR="0050409B">
        <w:rPr>
          <w:rFonts w:eastAsiaTheme="minorEastAsia" w:cs="Times New Roman"/>
          <w:lang w:val="es-ES_tradnl" w:eastAsia="ja-JP"/>
        </w:rPr>
        <w:t>.</w:t>
      </w:r>
      <w:r w:rsidR="00FE1884" w:rsidRPr="00CD511B">
        <w:rPr>
          <w:rFonts w:eastAsiaTheme="minorEastAsia" w:cs="Times New Roman"/>
          <w:lang w:val="es-ES_tradnl" w:eastAsia="ja-JP"/>
        </w:rPr>
        <w:t xml:space="preserve"> en el cuarto trimestre</w:t>
      </w:r>
      <w:r>
        <w:rPr>
          <w:rFonts w:eastAsiaTheme="minorEastAsia" w:cs="Times New Roman"/>
          <w:lang w:val="es-ES_tradnl" w:eastAsia="ja-JP"/>
        </w:rPr>
        <w:t xml:space="preserve"> muestra una señal de alerta</w:t>
      </w:r>
      <w:r w:rsidR="00FE1884" w:rsidRPr="00CD511B">
        <w:rPr>
          <w:rFonts w:eastAsiaTheme="minorEastAsia" w:cs="Times New Roman"/>
          <w:lang w:val="es-ES_tradnl" w:eastAsia="ja-JP"/>
        </w:rPr>
        <w:t xml:space="preserve">, </w:t>
      </w:r>
      <w:r w:rsidR="00FE1884" w:rsidRPr="00171E55">
        <w:rPr>
          <w:rFonts w:eastAsiaTheme="minorEastAsia" w:cs="Times New Roman"/>
          <w:lang w:val="es-ES_tradnl" w:eastAsia="ja-JP"/>
        </w:rPr>
        <w:t>aunque los organismos coinciden en que la economía norteamericana mantendrá el dinamismo al menos similar al observado en 2014.</w:t>
      </w:r>
      <w:r w:rsidR="006D1BF8">
        <w:rPr>
          <w:rFonts w:eastAsiaTheme="minorEastAsia" w:cs="Times New Roman"/>
          <w:lang w:val="es-ES_tradnl" w:eastAsia="ja-JP"/>
        </w:rPr>
        <w:t xml:space="preserve"> </w:t>
      </w:r>
      <w:r w:rsidR="002D5572">
        <w:rPr>
          <w:rFonts w:eastAsiaTheme="minorEastAsia" w:cs="Times New Roman"/>
          <w:lang w:val="es-ES_tradnl" w:eastAsia="ja-JP"/>
        </w:rPr>
        <w:t>L</w:t>
      </w:r>
      <w:r w:rsidR="002D5572" w:rsidRPr="00CD511B">
        <w:rPr>
          <w:rFonts w:eastAsiaTheme="minorEastAsia" w:cs="Times New Roman"/>
          <w:lang w:val="es-ES_tradnl" w:eastAsia="ja-JP"/>
        </w:rPr>
        <w:t>as instituciones internacionales</w:t>
      </w:r>
      <w:r w:rsidR="00FE1884" w:rsidRPr="00CD511B">
        <w:rPr>
          <w:rFonts w:eastAsiaTheme="minorEastAsia" w:cs="Times New Roman"/>
          <w:lang w:val="es-ES_tradnl" w:eastAsia="ja-JP"/>
        </w:rPr>
        <w:t xml:space="preserve"> coinciden e</w:t>
      </w:r>
      <w:r w:rsidR="002D5572">
        <w:rPr>
          <w:rFonts w:eastAsiaTheme="minorEastAsia" w:cs="Times New Roman"/>
          <w:lang w:val="es-ES_tradnl" w:eastAsia="ja-JP"/>
        </w:rPr>
        <w:t xml:space="preserve">n </w:t>
      </w:r>
      <w:r w:rsidR="00FE1884" w:rsidRPr="00CD511B">
        <w:rPr>
          <w:rFonts w:eastAsiaTheme="minorEastAsia" w:cs="Times New Roman"/>
          <w:lang w:val="es-ES_tradnl" w:eastAsia="ja-JP"/>
        </w:rPr>
        <w:t xml:space="preserve">que </w:t>
      </w:r>
      <w:r>
        <w:rPr>
          <w:rFonts w:eastAsiaTheme="minorEastAsia" w:cs="Times New Roman"/>
          <w:lang w:val="es-ES_tradnl" w:eastAsia="ja-JP"/>
        </w:rPr>
        <w:t>el</w:t>
      </w:r>
      <w:r w:rsidR="00FE1884" w:rsidRPr="00CD511B">
        <w:rPr>
          <w:rFonts w:eastAsiaTheme="minorEastAsia" w:cs="Times New Roman"/>
          <w:lang w:val="es-ES_tradnl" w:eastAsia="ja-JP"/>
        </w:rPr>
        <w:t xml:space="preserve"> crecimiento podría ubicarse en 4.2%</w:t>
      </w:r>
      <w:r>
        <w:rPr>
          <w:rFonts w:eastAsiaTheme="minorEastAsia" w:cs="Times New Roman"/>
          <w:lang w:val="es-ES_tradnl" w:eastAsia="ja-JP"/>
        </w:rPr>
        <w:t>,</w:t>
      </w:r>
      <w:r w:rsidR="00FE1884" w:rsidRPr="00CD511B">
        <w:rPr>
          <w:rFonts w:eastAsiaTheme="minorEastAsia" w:cs="Times New Roman"/>
          <w:lang w:val="es-ES_tradnl" w:eastAsia="ja-JP"/>
        </w:rPr>
        <w:t xml:space="preserve"> con una tende</w:t>
      </w:r>
      <w:r w:rsidR="002D5572">
        <w:rPr>
          <w:rFonts w:eastAsiaTheme="minorEastAsia" w:cs="Times New Roman"/>
          <w:lang w:val="es-ES_tradnl" w:eastAsia="ja-JP"/>
        </w:rPr>
        <w:t>ncia creciente para 2016 y 2017.</w:t>
      </w:r>
    </w:p>
    <w:p w:rsidR="00FE1884" w:rsidRDefault="00FE1884" w:rsidP="00EF6C10">
      <w:pPr>
        <w:pStyle w:val="Prrafodelista"/>
        <w:spacing w:after="0" w:line="240" w:lineRule="auto"/>
        <w:ind w:left="0"/>
        <w:rPr>
          <w:rFonts w:eastAsiaTheme="minorEastAsia" w:cs="Times New Roman"/>
          <w:lang w:val="es-ES_tradnl" w:eastAsia="ja-JP"/>
        </w:rPr>
      </w:pPr>
    </w:p>
    <w:p w:rsidR="00FE1884" w:rsidRDefault="002142B7" w:rsidP="00EF6C10">
      <w:pPr>
        <w:pStyle w:val="Prrafodelista"/>
        <w:spacing w:after="0" w:line="240" w:lineRule="auto"/>
        <w:ind w:left="0"/>
        <w:rPr>
          <w:rFonts w:cs="Times New Roman"/>
          <w:lang w:val="es-MX"/>
        </w:rPr>
      </w:pPr>
      <w:r>
        <w:rPr>
          <w:rFonts w:cs="Times New Roman"/>
          <w:lang w:val="es-MX"/>
        </w:rPr>
        <w:t>De</w:t>
      </w:r>
      <w:r w:rsidR="00FE1884">
        <w:rPr>
          <w:rFonts w:cs="Times New Roman"/>
          <w:lang w:val="es-MX"/>
        </w:rPr>
        <w:t xml:space="preserve"> acuerdo a información del Departamento de Trabajo Federal de los EE</w:t>
      </w:r>
      <w:r w:rsidR="0050409B">
        <w:rPr>
          <w:rFonts w:cs="Times New Roman"/>
          <w:lang w:val="es-MX"/>
        </w:rPr>
        <w:t>.</w:t>
      </w:r>
      <w:r w:rsidR="00FE1884">
        <w:rPr>
          <w:rFonts w:cs="Times New Roman"/>
          <w:lang w:val="es-MX"/>
        </w:rPr>
        <w:t>UU</w:t>
      </w:r>
      <w:r w:rsidR="0050409B">
        <w:rPr>
          <w:rFonts w:cs="Times New Roman"/>
          <w:lang w:val="es-MX"/>
        </w:rPr>
        <w:t>.</w:t>
      </w:r>
      <w:r w:rsidR="00FE1884">
        <w:rPr>
          <w:rFonts w:cs="Times New Roman"/>
          <w:lang w:val="es-MX"/>
        </w:rPr>
        <w:t xml:space="preserve">, </w:t>
      </w:r>
      <w:r w:rsidR="0050409B">
        <w:rPr>
          <w:rFonts w:cs="Times New Roman"/>
          <w:lang w:val="es-MX"/>
        </w:rPr>
        <w:t xml:space="preserve">en febrero </w:t>
      </w:r>
      <w:r w:rsidR="00FE1884">
        <w:rPr>
          <w:rFonts w:cs="Times New Roman"/>
          <w:lang w:val="es-MX"/>
        </w:rPr>
        <w:t xml:space="preserve">se crearon 295,000 empleos en comparación al mes anterior, permitiendo </w:t>
      </w:r>
      <w:r w:rsidR="002D5572">
        <w:rPr>
          <w:rFonts w:cs="Times New Roman"/>
          <w:lang w:val="es-MX"/>
        </w:rPr>
        <w:t>la variación de -0.2%, alcanzando la cifra de 5.5%</w:t>
      </w:r>
      <w:r>
        <w:rPr>
          <w:rFonts w:cs="Times New Roman"/>
          <w:lang w:val="es-MX"/>
        </w:rPr>
        <w:t>;</w:t>
      </w:r>
      <w:r w:rsidR="0050409B">
        <w:rPr>
          <w:rFonts w:cs="Times New Roman"/>
          <w:lang w:val="es-MX"/>
        </w:rPr>
        <w:t xml:space="preserve"> y</w:t>
      </w:r>
      <w:r>
        <w:rPr>
          <w:rFonts w:cs="Times New Roman"/>
          <w:lang w:val="es-MX"/>
        </w:rPr>
        <w:t xml:space="preserve"> </w:t>
      </w:r>
      <w:r w:rsidR="0050409B">
        <w:rPr>
          <w:rFonts w:cs="Times New Roman"/>
          <w:lang w:val="es-MX"/>
        </w:rPr>
        <w:t xml:space="preserve">el número de desempleados </w:t>
      </w:r>
      <w:r w:rsidR="00FE1884">
        <w:rPr>
          <w:rFonts w:cs="Times New Roman"/>
          <w:lang w:val="es-MX"/>
        </w:rPr>
        <w:t>descendió hasta los 8.7 millones.</w:t>
      </w:r>
    </w:p>
    <w:p w:rsidR="00813774" w:rsidRDefault="00813774" w:rsidP="00EF6C10">
      <w:pPr>
        <w:pStyle w:val="Prrafodelista"/>
        <w:spacing w:after="0" w:line="240" w:lineRule="auto"/>
        <w:ind w:left="0"/>
        <w:rPr>
          <w:rFonts w:cs="Times New Roman"/>
          <w:lang w:val="es-MX"/>
        </w:rPr>
      </w:pPr>
    </w:p>
    <w:p w:rsidR="00FE1884" w:rsidRPr="00813774" w:rsidRDefault="002D5572" w:rsidP="00EF6C10">
      <w:pPr>
        <w:pStyle w:val="Prrafodelista"/>
        <w:spacing w:after="0" w:line="240" w:lineRule="auto"/>
        <w:ind w:left="0"/>
        <w:rPr>
          <w:rFonts w:eastAsiaTheme="minorEastAsia"/>
          <w:lang w:val="es-ES_tradnl" w:eastAsia="ja-JP"/>
        </w:rPr>
      </w:pPr>
      <w:r>
        <w:rPr>
          <w:rFonts w:cs="Times New Roman"/>
          <w:lang w:val="es-MX"/>
        </w:rPr>
        <w:t>La Fed</w:t>
      </w:r>
      <w:r w:rsidR="0050409B">
        <w:rPr>
          <w:rFonts w:cs="Times New Roman"/>
          <w:lang w:val="es-MX"/>
        </w:rPr>
        <w:t xml:space="preserve"> destaca en su informe, </w:t>
      </w:r>
      <w:r w:rsidR="00FE1884">
        <w:rPr>
          <w:rFonts w:cs="Times New Roman"/>
          <w:lang w:val="es-MX"/>
        </w:rPr>
        <w:t>conocido como Libro Beige, la estabilidad del empleo y el aumento moderado de los salarios</w:t>
      </w:r>
      <w:r w:rsidR="002142B7">
        <w:rPr>
          <w:rFonts w:cs="Times New Roman"/>
          <w:lang w:val="es-MX"/>
        </w:rPr>
        <w:t>.</w:t>
      </w:r>
      <w:r w:rsidR="00FE1884">
        <w:rPr>
          <w:rFonts w:cs="Times New Roman"/>
          <w:lang w:val="es-MX"/>
        </w:rPr>
        <w:t xml:space="preserve"> Aunque el mismo informe señala que a partir de la caída de los precios del petróleo se produjo un claro declive de la producción de hidrocarburos en varias regiones</w:t>
      </w:r>
      <w:r>
        <w:rPr>
          <w:rFonts w:cs="Times New Roman"/>
          <w:lang w:val="es-MX"/>
        </w:rPr>
        <w:t xml:space="preserve">, </w:t>
      </w:r>
      <w:r w:rsidR="00E748A1">
        <w:rPr>
          <w:rFonts w:cs="Times New Roman"/>
          <w:lang w:val="es-MX"/>
        </w:rPr>
        <w:t>también</w:t>
      </w:r>
      <w:r>
        <w:rPr>
          <w:rFonts w:cs="Times New Roman"/>
          <w:lang w:val="es-MX"/>
        </w:rPr>
        <w:t xml:space="preserve"> menciona que ya se </w:t>
      </w:r>
      <w:r w:rsidR="00FE1884">
        <w:rPr>
          <w:rFonts w:cs="Times New Roman"/>
          <w:lang w:val="es-MX"/>
        </w:rPr>
        <w:t xml:space="preserve"> </w:t>
      </w:r>
      <w:r>
        <w:rPr>
          <w:rFonts w:cs="Times New Roman"/>
          <w:lang w:val="es-MX"/>
        </w:rPr>
        <w:t>registran</w:t>
      </w:r>
      <w:r w:rsidR="00FE1884">
        <w:rPr>
          <w:rFonts w:cs="Times New Roman"/>
          <w:lang w:val="es-MX"/>
        </w:rPr>
        <w:t xml:space="preserve"> anuncios de recorte de inversiones en 2015. </w:t>
      </w:r>
    </w:p>
    <w:p w:rsidR="00FE1884" w:rsidRPr="007B54AB" w:rsidRDefault="00FE1884" w:rsidP="00EF6C10">
      <w:pPr>
        <w:pStyle w:val="Prrafodelista"/>
        <w:spacing w:after="0" w:line="240" w:lineRule="auto"/>
        <w:ind w:left="0"/>
        <w:rPr>
          <w:rFonts w:eastAsiaTheme="minorEastAsia"/>
          <w:color w:val="FF0000"/>
          <w:lang w:val="es-ES_tradnl" w:eastAsia="ja-JP"/>
        </w:rPr>
      </w:pPr>
    </w:p>
    <w:p w:rsidR="00FE1884" w:rsidRDefault="00FE1884" w:rsidP="00EF6C10">
      <w:pPr>
        <w:spacing w:after="0" w:line="240" w:lineRule="auto"/>
        <w:jc w:val="both"/>
        <w:rPr>
          <w:rFonts w:ascii="Times New Roman" w:hAnsi="Times New Roman" w:cs="Times New Roman"/>
          <w:lang w:val="es-MX"/>
        </w:rPr>
      </w:pPr>
      <w:r>
        <w:rPr>
          <w:rFonts w:ascii="Times New Roman" w:hAnsi="Times New Roman" w:cs="Times New Roman"/>
          <w:lang w:val="es-MX"/>
        </w:rPr>
        <w:t>L</w:t>
      </w:r>
      <w:r w:rsidRPr="004D679A">
        <w:rPr>
          <w:rFonts w:ascii="Times New Roman" w:hAnsi="Times New Roman" w:cs="Times New Roman"/>
          <w:lang w:val="es-MX"/>
        </w:rPr>
        <w:t>a actividad del sector servi</w:t>
      </w:r>
      <w:r>
        <w:rPr>
          <w:rFonts w:ascii="Times New Roman" w:hAnsi="Times New Roman" w:cs="Times New Roman"/>
          <w:lang w:val="es-MX"/>
        </w:rPr>
        <w:t xml:space="preserve">cios también continúa mejorando, según lo refleja el </w:t>
      </w:r>
      <w:r w:rsidR="00E748A1">
        <w:rPr>
          <w:rFonts w:ascii="Times New Roman" w:hAnsi="Times New Roman" w:cs="Times New Roman"/>
          <w:lang w:val="es-MX"/>
        </w:rPr>
        <w:t xml:space="preserve">incremento del </w:t>
      </w:r>
      <w:r>
        <w:rPr>
          <w:rFonts w:ascii="Times New Roman" w:hAnsi="Times New Roman" w:cs="Times New Roman"/>
          <w:lang w:val="es-MX"/>
        </w:rPr>
        <w:t>índice no manufacturero</w:t>
      </w:r>
      <w:r w:rsidR="0050409B">
        <w:rPr>
          <w:rFonts w:ascii="Times New Roman" w:hAnsi="Times New Roman" w:cs="Times New Roman"/>
          <w:lang w:val="es-MX"/>
        </w:rPr>
        <w:t xml:space="preserve"> ISM (a 56.7),</w:t>
      </w:r>
      <w:r w:rsidR="00E748A1">
        <w:rPr>
          <w:rFonts w:ascii="Times New Roman" w:hAnsi="Times New Roman" w:cs="Times New Roman"/>
          <w:lang w:val="es-MX"/>
        </w:rPr>
        <w:t xml:space="preserve"> mostrando una variación de 0.02 puntos </w:t>
      </w:r>
      <w:r w:rsidR="00171E55">
        <w:rPr>
          <w:rFonts w:ascii="Times New Roman" w:hAnsi="Times New Roman" w:cs="Times New Roman"/>
          <w:lang w:val="es-MX"/>
        </w:rPr>
        <w:t>respecto al mes anterior</w:t>
      </w:r>
      <w:r>
        <w:rPr>
          <w:rFonts w:ascii="Times New Roman" w:hAnsi="Times New Roman" w:cs="Times New Roman"/>
          <w:lang w:val="es-MX"/>
        </w:rPr>
        <w:t>.</w:t>
      </w:r>
      <w:r w:rsidRPr="004D679A">
        <w:rPr>
          <w:rFonts w:ascii="Times New Roman" w:hAnsi="Times New Roman" w:cs="Times New Roman"/>
          <w:lang w:val="es-MX"/>
        </w:rPr>
        <w:t xml:space="preserve"> </w:t>
      </w:r>
      <w:r w:rsidR="00E748A1">
        <w:rPr>
          <w:rFonts w:ascii="Times New Roman" w:hAnsi="Times New Roman" w:cs="Times New Roman"/>
          <w:lang w:val="es-MX"/>
        </w:rPr>
        <w:t>Mientras que en el sector manufacturero, l</w:t>
      </w:r>
      <w:r>
        <w:rPr>
          <w:rFonts w:ascii="Times New Roman" w:hAnsi="Times New Roman" w:cs="Times New Roman"/>
          <w:lang w:val="es-MX"/>
        </w:rPr>
        <w:t xml:space="preserve">a producción aumentó </w:t>
      </w:r>
      <w:r w:rsidR="00171E55">
        <w:rPr>
          <w:rFonts w:ascii="Times New Roman" w:hAnsi="Times New Roman" w:cs="Times New Roman"/>
          <w:lang w:val="es-MX"/>
        </w:rPr>
        <w:t>en</w:t>
      </w:r>
      <w:r w:rsidR="00E748A1">
        <w:rPr>
          <w:rFonts w:ascii="Times New Roman" w:hAnsi="Times New Roman" w:cs="Times New Roman"/>
          <w:lang w:val="es-MX"/>
        </w:rPr>
        <w:t xml:space="preserve"> 2.9%</w:t>
      </w:r>
      <w:r w:rsidR="00171E55">
        <w:rPr>
          <w:rFonts w:ascii="Times New Roman" w:hAnsi="Times New Roman" w:cs="Times New Roman"/>
          <w:lang w:val="es-MX"/>
        </w:rPr>
        <w:t xml:space="preserve"> (</w:t>
      </w:r>
      <w:r>
        <w:rPr>
          <w:rFonts w:ascii="Times New Roman" w:hAnsi="Times New Roman" w:cs="Times New Roman"/>
          <w:lang w:val="es-MX"/>
        </w:rPr>
        <w:t>a 6</w:t>
      </w:r>
      <w:r w:rsidR="00171E55">
        <w:rPr>
          <w:rFonts w:ascii="Times New Roman" w:hAnsi="Times New Roman" w:cs="Times New Roman"/>
          <w:lang w:val="es-MX"/>
        </w:rPr>
        <w:t>1.5%)</w:t>
      </w:r>
      <w:r>
        <w:rPr>
          <w:rFonts w:ascii="Times New Roman" w:hAnsi="Times New Roman" w:cs="Times New Roman"/>
          <w:lang w:val="es-MX"/>
        </w:rPr>
        <w:t>; el índice de producción industrial en enero también repuntó 4.8% con respecto al mes anterior.</w:t>
      </w:r>
    </w:p>
    <w:p w:rsidR="00FE1884" w:rsidRDefault="00171E55" w:rsidP="00EF6C10">
      <w:pPr>
        <w:spacing w:after="0" w:line="240" w:lineRule="auto"/>
        <w:jc w:val="both"/>
        <w:rPr>
          <w:rFonts w:ascii="Times New Roman" w:hAnsi="Times New Roman" w:cs="Times New Roman"/>
          <w:lang w:val="es-MX"/>
        </w:rPr>
      </w:pPr>
      <w:r>
        <w:rPr>
          <w:rFonts w:ascii="Times New Roman" w:hAnsi="Times New Roman" w:cs="Times New Roman"/>
        </w:rPr>
        <w:lastRenderedPageBreak/>
        <w:t>C</w:t>
      </w:r>
      <w:r w:rsidR="00FE1884">
        <w:rPr>
          <w:rFonts w:ascii="Times New Roman" w:hAnsi="Times New Roman" w:cs="Times New Roman"/>
        </w:rPr>
        <w:t xml:space="preserve">ontinúa </w:t>
      </w:r>
      <w:r w:rsidR="00FE1884" w:rsidRPr="003E696A">
        <w:rPr>
          <w:rFonts w:ascii="Times New Roman" w:hAnsi="Times New Roman" w:cs="Times New Roman"/>
          <w:lang w:val="es-MX"/>
        </w:rPr>
        <w:t xml:space="preserve">la incertidumbre generada por la posible alza de tasas de interés en </w:t>
      </w:r>
      <w:r w:rsidR="00FE1884">
        <w:rPr>
          <w:rFonts w:ascii="Times New Roman" w:hAnsi="Times New Roman" w:cs="Times New Roman"/>
          <w:lang w:val="es-MX"/>
        </w:rPr>
        <w:t>EE</w:t>
      </w:r>
      <w:r w:rsidR="0050409B">
        <w:rPr>
          <w:rFonts w:ascii="Times New Roman" w:hAnsi="Times New Roman" w:cs="Times New Roman"/>
          <w:lang w:val="es-MX"/>
        </w:rPr>
        <w:t>.</w:t>
      </w:r>
      <w:r w:rsidR="00FE1884">
        <w:rPr>
          <w:rFonts w:ascii="Times New Roman" w:hAnsi="Times New Roman" w:cs="Times New Roman"/>
          <w:lang w:val="es-MX"/>
        </w:rPr>
        <w:t>UU</w:t>
      </w:r>
      <w:r w:rsidR="0050409B">
        <w:rPr>
          <w:rFonts w:ascii="Times New Roman" w:hAnsi="Times New Roman" w:cs="Times New Roman"/>
          <w:lang w:val="es-MX"/>
        </w:rPr>
        <w:t>.</w:t>
      </w:r>
      <w:r w:rsidR="00FE1884" w:rsidRPr="003E696A">
        <w:rPr>
          <w:rFonts w:ascii="Times New Roman" w:hAnsi="Times New Roman" w:cs="Times New Roman"/>
          <w:lang w:val="es-MX"/>
        </w:rPr>
        <w:t xml:space="preserve"> antes de junio, </w:t>
      </w:r>
      <w:r w:rsidR="00FE1884">
        <w:rPr>
          <w:rFonts w:ascii="Times New Roman" w:hAnsi="Times New Roman" w:cs="Times New Roman"/>
          <w:lang w:val="es-MX"/>
        </w:rPr>
        <w:t xml:space="preserve">debido a que </w:t>
      </w:r>
      <w:r w:rsidR="00FE1884" w:rsidRPr="003E696A">
        <w:rPr>
          <w:rFonts w:ascii="Times New Roman" w:hAnsi="Times New Roman" w:cs="Times New Roman"/>
          <w:lang w:val="es-MX"/>
        </w:rPr>
        <w:t xml:space="preserve">se mantienen cerca </w:t>
      </w:r>
      <w:r w:rsidR="00E748A1">
        <w:rPr>
          <w:rFonts w:ascii="Times New Roman" w:hAnsi="Times New Roman" w:cs="Times New Roman"/>
          <w:lang w:val="es-MX"/>
        </w:rPr>
        <w:t>de cero desde finales del 2008. El Comité de Política M</w:t>
      </w:r>
      <w:r w:rsidR="00FE1884" w:rsidRPr="003E696A">
        <w:rPr>
          <w:rFonts w:ascii="Times New Roman" w:hAnsi="Times New Roman" w:cs="Times New Roman"/>
          <w:lang w:val="es-MX"/>
        </w:rPr>
        <w:t xml:space="preserve">onetaria de la Fed sostuvo que es poco probable que las condiciones económicas lo permitan y sugieren un alto grado de flexibilización monetaria para sostener el mejoramiento del empleo y ayudar a que la inflación se ubique en torno al 2%. </w:t>
      </w:r>
    </w:p>
    <w:p w:rsidR="00E748A1" w:rsidRDefault="00E748A1" w:rsidP="00EF6C10">
      <w:pPr>
        <w:spacing w:after="0" w:line="240" w:lineRule="auto"/>
        <w:jc w:val="both"/>
        <w:rPr>
          <w:rFonts w:ascii="Times New Roman" w:hAnsi="Times New Roman" w:cs="Times New Roman"/>
          <w:lang w:val="es-MX"/>
        </w:rPr>
      </w:pPr>
    </w:p>
    <w:p w:rsidR="00F26E2C" w:rsidRDefault="00FE1884" w:rsidP="00EF6C10">
      <w:pPr>
        <w:spacing w:after="0" w:line="240" w:lineRule="auto"/>
        <w:jc w:val="both"/>
        <w:rPr>
          <w:rFonts w:ascii="Times New Roman" w:hAnsi="Times New Roman" w:cs="Times New Roman"/>
          <w:lang w:val="es-MX"/>
        </w:rPr>
      </w:pPr>
      <w:r>
        <w:rPr>
          <w:rFonts w:ascii="Times New Roman" w:hAnsi="Times New Roman" w:cs="Times New Roman"/>
          <w:lang w:val="es-MX"/>
        </w:rPr>
        <w:t>Los precios al consumidor de EE</w:t>
      </w:r>
      <w:r w:rsidR="0050409B">
        <w:rPr>
          <w:rFonts w:ascii="Times New Roman" w:hAnsi="Times New Roman" w:cs="Times New Roman"/>
          <w:lang w:val="es-MX"/>
        </w:rPr>
        <w:t>.</w:t>
      </w:r>
      <w:r>
        <w:rPr>
          <w:rFonts w:ascii="Times New Roman" w:hAnsi="Times New Roman" w:cs="Times New Roman"/>
          <w:lang w:val="es-MX"/>
        </w:rPr>
        <w:t>UU</w:t>
      </w:r>
      <w:r w:rsidR="0050409B">
        <w:rPr>
          <w:rFonts w:ascii="Times New Roman" w:hAnsi="Times New Roman" w:cs="Times New Roman"/>
          <w:lang w:val="es-MX"/>
        </w:rPr>
        <w:t>.</w:t>
      </w:r>
      <w:r>
        <w:rPr>
          <w:rFonts w:ascii="Times New Roman" w:hAnsi="Times New Roman" w:cs="Times New Roman"/>
          <w:lang w:val="es-MX"/>
        </w:rPr>
        <w:t xml:space="preserve"> experimentaron en enero la caída más grande desde 2008</w:t>
      </w:r>
      <w:r w:rsidR="00E748A1">
        <w:rPr>
          <w:rFonts w:ascii="Times New Roman" w:hAnsi="Times New Roman" w:cs="Times New Roman"/>
          <w:lang w:val="es-MX"/>
        </w:rPr>
        <w:t xml:space="preserve"> (-0.7%)</w:t>
      </w:r>
      <w:r>
        <w:rPr>
          <w:rFonts w:ascii="Times New Roman" w:hAnsi="Times New Roman" w:cs="Times New Roman"/>
          <w:lang w:val="es-MX"/>
        </w:rPr>
        <w:t>, sin embargo los precios subyacentes que descartan los cost</w:t>
      </w:r>
      <w:r w:rsidR="002D5572">
        <w:rPr>
          <w:rFonts w:ascii="Times New Roman" w:hAnsi="Times New Roman" w:cs="Times New Roman"/>
          <w:lang w:val="es-MX"/>
        </w:rPr>
        <w:t>os de alimentos y energía crecieron</w:t>
      </w:r>
      <w:r>
        <w:rPr>
          <w:rFonts w:ascii="Times New Roman" w:hAnsi="Times New Roman" w:cs="Times New Roman"/>
          <w:lang w:val="es-MX"/>
        </w:rPr>
        <w:t xml:space="preserve"> 0.2%. </w:t>
      </w:r>
    </w:p>
    <w:p w:rsidR="00E748A1" w:rsidRDefault="00E748A1" w:rsidP="00EF6C10">
      <w:pPr>
        <w:spacing w:after="0" w:line="240" w:lineRule="auto"/>
        <w:jc w:val="both"/>
        <w:rPr>
          <w:rFonts w:ascii="Times New Roman" w:hAnsi="Times New Roman" w:cs="Times New Roman"/>
        </w:rPr>
      </w:pPr>
    </w:p>
    <w:p w:rsidR="00F26E2C" w:rsidRDefault="00F26E2C" w:rsidP="00EF6C10">
      <w:pPr>
        <w:spacing w:after="0" w:line="240" w:lineRule="auto"/>
        <w:jc w:val="both"/>
        <w:rPr>
          <w:rFonts w:ascii="Times New Roman" w:hAnsi="Times New Roman" w:cs="Times New Roman"/>
          <w:lang w:val="es-MX"/>
        </w:rPr>
      </w:pPr>
      <w:r>
        <w:rPr>
          <w:rFonts w:ascii="Times New Roman" w:hAnsi="Times New Roman" w:cs="Times New Roman"/>
        </w:rPr>
        <w:t>E</w:t>
      </w:r>
      <w:r w:rsidRPr="004D679A">
        <w:rPr>
          <w:rFonts w:ascii="Times New Roman" w:hAnsi="Times New Roman" w:cs="Times New Roman"/>
          <w:lang w:val="es-MX"/>
        </w:rPr>
        <w:t xml:space="preserve">n la </w:t>
      </w:r>
      <w:r>
        <w:rPr>
          <w:rFonts w:ascii="Times New Roman" w:hAnsi="Times New Roman" w:cs="Times New Roman"/>
          <w:lang w:val="es-MX"/>
        </w:rPr>
        <w:t>Eurozona,</w:t>
      </w:r>
      <w:r w:rsidRPr="004D679A">
        <w:rPr>
          <w:rFonts w:ascii="Times New Roman" w:hAnsi="Times New Roman" w:cs="Times New Roman"/>
          <w:lang w:val="es-MX"/>
        </w:rPr>
        <w:t xml:space="preserve"> la Comisión Europea elevó su pronóstico de crecimiento 2015 sobre la base de un aumento de la demanda a nivel internacional, así como de una política monetaria más ajustada y una posición fiscal más neutra; la comisión también confirmó que los países que la conforman permanecerán en deflación debido principalmente a la depreciación del euro y la contracción de los precios del petróleo.</w:t>
      </w:r>
    </w:p>
    <w:p w:rsidR="00F26E2C" w:rsidRDefault="00F26E2C" w:rsidP="00EF6C10">
      <w:pPr>
        <w:spacing w:after="0" w:line="240" w:lineRule="auto"/>
        <w:jc w:val="both"/>
        <w:rPr>
          <w:rFonts w:ascii="Times New Roman" w:hAnsi="Times New Roman" w:cs="Times New Roman"/>
          <w:lang w:val="es-MX"/>
        </w:rPr>
      </w:pPr>
    </w:p>
    <w:p w:rsidR="00F26E2C" w:rsidRPr="00171E55" w:rsidRDefault="00F26E2C" w:rsidP="00EF6C10">
      <w:pPr>
        <w:pStyle w:val="Prrafodelista"/>
        <w:spacing w:after="0" w:line="240" w:lineRule="auto"/>
        <w:ind w:left="0"/>
        <w:rPr>
          <w:rFonts w:eastAsiaTheme="minorEastAsia" w:cs="Times New Roman"/>
          <w:lang w:val="es-ES_tradnl" w:eastAsia="ja-JP"/>
        </w:rPr>
      </w:pPr>
      <w:r>
        <w:rPr>
          <w:rFonts w:eastAsiaTheme="minorEastAsia" w:cs="Times New Roman"/>
          <w:lang w:val="es-MX" w:eastAsia="ja-JP"/>
        </w:rPr>
        <w:t>E</w:t>
      </w:r>
      <w:r w:rsidRPr="00CD511B">
        <w:rPr>
          <w:rFonts w:eastAsiaTheme="minorEastAsia" w:cs="Times New Roman"/>
          <w:lang w:val="es-ES_tradnl" w:eastAsia="ja-JP"/>
        </w:rPr>
        <w:t>l desempeño económico siguió siendo adverso y las amenazas de recesiones en varios países de esa región fueron latentes</w:t>
      </w:r>
      <w:r>
        <w:rPr>
          <w:rFonts w:eastAsiaTheme="minorEastAsia" w:cs="Times New Roman"/>
          <w:lang w:val="es-ES_tradnl" w:eastAsia="ja-JP"/>
        </w:rPr>
        <w:t xml:space="preserve">. Por otro lado, </w:t>
      </w:r>
      <w:r>
        <w:rPr>
          <w:rFonts w:cs="Times New Roman"/>
          <w:lang w:val="es-MX"/>
        </w:rPr>
        <w:t>hay expectativas positivas a pesar de la crisis de la deuda de Grecia. Otro factor importante es el próximo inicio del plan de compra de activos del BCE en marzo.</w:t>
      </w:r>
    </w:p>
    <w:p w:rsidR="00F26E2C" w:rsidRDefault="00F26E2C" w:rsidP="00EF6C10">
      <w:pPr>
        <w:pStyle w:val="Prrafodelista"/>
        <w:spacing w:after="0" w:line="240" w:lineRule="auto"/>
        <w:ind w:left="0"/>
        <w:rPr>
          <w:rFonts w:eastAsiaTheme="minorEastAsia"/>
          <w:lang w:val="es-ES_tradnl" w:eastAsia="ja-JP"/>
        </w:rPr>
      </w:pPr>
    </w:p>
    <w:p w:rsidR="00FE1884" w:rsidRDefault="00FE1884" w:rsidP="00EF6C10">
      <w:pPr>
        <w:pStyle w:val="Prrafodelista"/>
        <w:spacing w:after="0" w:line="240" w:lineRule="auto"/>
        <w:ind w:left="0"/>
        <w:rPr>
          <w:rFonts w:eastAsiaTheme="minorEastAsia" w:cs="Times New Roman"/>
          <w:lang w:val="es-ES_tradnl" w:eastAsia="ja-JP"/>
        </w:rPr>
      </w:pPr>
      <w:r w:rsidRPr="00315983">
        <w:rPr>
          <w:rFonts w:eastAsiaTheme="minorEastAsia"/>
          <w:lang w:val="es-ES_tradnl" w:eastAsia="ja-JP"/>
        </w:rPr>
        <w:t>En el ámbito nacional, el comportamiento de los principales indicadores del ciclo económico</w:t>
      </w:r>
      <w:r w:rsidRPr="00582E23">
        <w:rPr>
          <w:rFonts w:eastAsiaTheme="minorEastAsia"/>
          <w:lang w:val="es-ES_tradnl" w:eastAsia="ja-JP"/>
        </w:rPr>
        <w:t xml:space="preserve"> </w:t>
      </w:r>
      <w:r w:rsidR="00A6490E" w:rsidRPr="00582E23">
        <w:rPr>
          <w:rFonts w:eastAsiaTheme="minorEastAsia"/>
          <w:lang w:val="es-ES_tradnl" w:eastAsia="ja-JP"/>
        </w:rPr>
        <w:t>revela</w:t>
      </w:r>
      <w:r w:rsidRPr="00582E23">
        <w:rPr>
          <w:rFonts w:eastAsiaTheme="minorEastAsia"/>
          <w:lang w:val="es-ES_tradnl" w:eastAsia="ja-JP"/>
        </w:rPr>
        <w:t xml:space="preserve"> estabilidad con respecto al año anterior, aunque </w:t>
      </w:r>
      <w:r w:rsidR="00F6755D">
        <w:rPr>
          <w:rFonts w:eastAsiaTheme="minorEastAsia"/>
          <w:lang w:val="es-ES_tradnl" w:eastAsia="ja-JP"/>
        </w:rPr>
        <w:t xml:space="preserve">hay </w:t>
      </w:r>
      <w:r w:rsidRPr="00582E23">
        <w:rPr>
          <w:rFonts w:eastAsiaTheme="minorEastAsia"/>
          <w:lang w:val="es-ES_tradnl" w:eastAsia="ja-JP"/>
        </w:rPr>
        <w:t xml:space="preserve">evidencia </w:t>
      </w:r>
      <w:r w:rsidR="00F6755D">
        <w:rPr>
          <w:rFonts w:eastAsiaTheme="minorEastAsia"/>
          <w:lang w:val="es-ES_tradnl" w:eastAsia="ja-JP"/>
        </w:rPr>
        <w:t xml:space="preserve">de </w:t>
      </w:r>
      <w:r>
        <w:rPr>
          <w:rFonts w:eastAsiaTheme="minorEastAsia"/>
          <w:lang w:val="es-ES_tradnl" w:eastAsia="ja-JP"/>
        </w:rPr>
        <w:t xml:space="preserve">una leve </w:t>
      </w:r>
      <w:r w:rsidRPr="00582E23">
        <w:rPr>
          <w:rFonts w:eastAsiaTheme="minorEastAsia"/>
          <w:lang w:val="es-ES_tradnl" w:eastAsia="ja-JP"/>
        </w:rPr>
        <w:t xml:space="preserve">desaceleración en </w:t>
      </w:r>
      <w:r w:rsidR="00F26E2C">
        <w:rPr>
          <w:rFonts w:eastAsiaTheme="minorEastAsia"/>
          <w:lang w:val="es-ES_tradnl" w:eastAsia="ja-JP"/>
        </w:rPr>
        <w:t>r</w:t>
      </w:r>
      <w:r w:rsidRPr="00582E23">
        <w:rPr>
          <w:rFonts w:eastAsiaTheme="minorEastAsia"/>
          <w:lang w:val="es-ES_tradnl" w:eastAsia="ja-JP"/>
        </w:rPr>
        <w:t xml:space="preserve">emesas, </w:t>
      </w:r>
      <w:r w:rsidR="00F26E2C">
        <w:rPr>
          <w:rFonts w:eastAsiaTheme="minorEastAsia"/>
          <w:lang w:val="es-ES_tradnl" w:eastAsia="ja-JP"/>
        </w:rPr>
        <w:t>c</w:t>
      </w:r>
      <w:r w:rsidRPr="00582E23">
        <w:rPr>
          <w:rFonts w:eastAsiaTheme="minorEastAsia"/>
          <w:lang w:val="es-ES_tradnl" w:eastAsia="ja-JP"/>
        </w:rPr>
        <w:t>rédito interno, inversión interna e ingresos tributarios</w:t>
      </w:r>
      <w:r w:rsidRPr="00582E23">
        <w:rPr>
          <w:rFonts w:eastAsiaTheme="minorEastAsia" w:cs="Times New Roman"/>
          <w:lang w:val="es-ES_tradnl" w:eastAsia="ja-JP"/>
        </w:rPr>
        <w:t xml:space="preserve">.  </w:t>
      </w:r>
    </w:p>
    <w:p w:rsidR="00E632A0" w:rsidRPr="007B54AB" w:rsidRDefault="00E632A0" w:rsidP="00EF6C10">
      <w:pPr>
        <w:pStyle w:val="Prrafodelista"/>
        <w:spacing w:after="0" w:line="240" w:lineRule="auto"/>
        <w:ind w:left="0"/>
        <w:rPr>
          <w:rFonts w:eastAsiaTheme="minorEastAsia"/>
          <w:color w:val="FF0000"/>
          <w:lang w:val="es-ES_tradnl" w:eastAsia="ja-JP"/>
        </w:rPr>
      </w:pPr>
    </w:p>
    <w:p w:rsidR="00FE1884" w:rsidRPr="00D5379A" w:rsidRDefault="00FE1884" w:rsidP="00EF6C10">
      <w:pPr>
        <w:pStyle w:val="NormalWeb"/>
        <w:spacing w:before="0" w:beforeAutospacing="0" w:after="0" w:afterAutospacing="0"/>
        <w:jc w:val="both"/>
        <w:rPr>
          <w:rFonts w:eastAsia="+mn-ea"/>
          <w:kern w:val="24"/>
          <w:sz w:val="22"/>
          <w:szCs w:val="28"/>
          <w:lang w:val="es-MX"/>
        </w:rPr>
      </w:pPr>
      <w:r w:rsidRPr="00D5379A">
        <w:rPr>
          <w:rFonts w:eastAsia="+mn-ea"/>
          <w:kern w:val="24"/>
          <w:sz w:val="22"/>
          <w:szCs w:val="28"/>
          <w:lang w:val="es-MX"/>
        </w:rPr>
        <w:t>Es positi</w:t>
      </w:r>
      <w:r>
        <w:rPr>
          <w:rFonts w:eastAsia="+mn-ea"/>
          <w:kern w:val="24"/>
          <w:sz w:val="22"/>
          <w:szCs w:val="28"/>
          <w:lang w:val="es-MX"/>
        </w:rPr>
        <w:t>v</w:t>
      </w:r>
      <w:r w:rsidRPr="00D5379A">
        <w:rPr>
          <w:rFonts w:eastAsia="+mn-ea"/>
          <w:kern w:val="24"/>
          <w:sz w:val="22"/>
          <w:szCs w:val="28"/>
          <w:lang w:val="es-MX"/>
        </w:rPr>
        <w:t xml:space="preserve">o el </w:t>
      </w:r>
      <w:r>
        <w:rPr>
          <w:rFonts w:eastAsia="+mn-ea"/>
          <w:kern w:val="24"/>
          <w:sz w:val="22"/>
          <w:szCs w:val="28"/>
          <w:lang w:val="es-MX"/>
        </w:rPr>
        <w:t>comportamiento</w:t>
      </w:r>
      <w:r w:rsidRPr="00D5379A">
        <w:rPr>
          <w:rFonts w:eastAsia="+mn-ea"/>
          <w:kern w:val="24"/>
          <w:sz w:val="22"/>
          <w:szCs w:val="28"/>
          <w:lang w:val="es-MX"/>
        </w:rPr>
        <w:t xml:space="preserve"> </w:t>
      </w:r>
      <w:r>
        <w:rPr>
          <w:rFonts w:eastAsia="+mn-ea"/>
          <w:kern w:val="24"/>
          <w:sz w:val="22"/>
          <w:szCs w:val="28"/>
          <w:lang w:val="es-MX"/>
        </w:rPr>
        <w:t>de</w:t>
      </w:r>
      <w:r w:rsidRPr="00D5379A">
        <w:rPr>
          <w:rFonts w:eastAsia="+mn-ea"/>
          <w:kern w:val="24"/>
          <w:sz w:val="22"/>
          <w:szCs w:val="28"/>
          <w:lang w:val="es-MX"/>
        </w:rPr>
        <w:t xml:space="preserve"> los niveles de liquidez interna y </w:t>
      </w:r>
      <w:r>
        <w:rPr>
          <w:rFonts w:eastAsia="+mn-ea"/>
          <w:kern w:val="24"/>
          <w:sz w:val="22"/>
          <w:szCs w:val="28"/>
          <w:lang w:val="es-MX"/>
        </w:rPr>
        <w:t>d</w:t>
      </w:r>
      <w:r w:rsidRPr="00D5379A">
        <w:rPr>
          <w:rFonts w:eastAsia="+mn-ea"/>
          <w:kern w:val="24"/>
          <w:sz w:val="22"/>
          <w:szCs w:val="28"/>
          <w:lang w:val="es-MX"/>
        </w:rPr>
        <w:t xml:space="preserve">el crédito en la economía, que de acuerdo a información de la Superintendencia de Bancos, se concentra en </w:t>
      </w:r>
      <w:r w:rsidRPr="00D5379A">
        <w:rPr>
          <w:rFonts w:eastAsia="+mn-ea"/>
          <w:kern w:val="24"/>
          <w:sz w:val="22"/>
          <w:szCs w:val="28"/>
          <w:lang w:val="es-MX"/>
        </w:rPr>
        <w:lastRenderedPageBreak/>
        <w:t xml:space="preserve">financiamiento al consumo y al comercio interno, en una escala mayor a los otros sectores de la actividad económica.   </w:t>
      </w:r>
    </w:p>
    <w:p w:rsidR="00813774" w:rsidRDefault="00813774" w:rsidP="00EF6C10">
      <w:pPr>
        <w:spacing w:after="0" w:line="240" w:lineRule="auto"/>
        <w:jc w:val="both"/>
        <w:rPr>
          <w:rFonts w:ascii="Times New Roman" w:hAnsi="Times New Roman" w:cs="Times New Roman"/>
        </w:rPr>
      </w:pPr>
    </w:p>
    <w:p w:rsidR="00FE1884" w:rsidRDefault="00FE1884" w:rsidP="00EF6C10">
      <w:pPr>
        <w:spacing w:after="0" w:line="240" w:lineRule="auto"/>
        <w:jc w:val="both"/>
        <w:rPr>
          <w:rFonts w:ascii="Times New Roman" w:hAnsi="Times New Roman" w:cs="Times New Roman"/>
        </w:rPr>
      </w:pPr>
      <w:r>
        <w:rPr>
          <w:rFonts w:ascii="Times New Roman" w:hAnsi="Times New Roman" w:cs="Times New Roman"/>
        </w:rPr>
        <w:t>F</w:t>
      </w:r>
      <w:r w:rsidRPr="005C1D9F">
        <w:rPr>
          <w:rFonts w:ascii="Times New Roman" w:hAnsi="Times New Roman" w:cs="Times New Roman"/>
        </w:rPr>
        <w:t xml:space="preserve">actores como el buen desempeño de la actividad económica y la tendencia general de los precios que se mantienen dentro de la meta de inflación principalmente, incidieron en la decisión de la Junta Monetaria de reducir el nivel de la tasa de interés líder de política monetaria de 4.0% a 3.5%.  </w:t>
      </w:r>
    </w:p>
    <w:p w:rsidR="00813774" w:rsidRDefault="00813774" w:rsidP="00EF6C10">
      <w:pPr>
        <w:spacing w:after="0" w:line="240" w:lineRule="auto"/>
        <w:jc w:val="both"/>
        <w:rPr>
          <w:rFonts w:ascii="Times New Roman" w:hAnsi="Times New Roman" w:cs="Times New Roman"/>
        </w:rPr>
      </w:pPr>
    </w:p>
    <w:p w:rsidR="00CA7BA5" w:rsidRDefault="00F26E2C" w:rsidP="00EF6C10">
      <w:pPr>
        <w:spacing w:after="0" w:line="240" w:lineRule="auto"/>
        <w:jc w:val="both"/>
        <w:rPr>
          <w:rFonts w:ascii="Times New Roman" w:hAnsi="Times New Roman" w:cs="Times New Roman"/>
          <w:lang w:val="es-MX"/>
        </w:rPr>
      </w:pPr>
      <w:r>
        <w:rPr>
          <w:rFonts w:ascii="Times New Roman" w:hAnsi="Times New Roman" w:cs="Times New Roman"/>
        </w:rPr>
        <w:t xml:space="preserve">En lo que respecta al ritmo </w:t>
      </w:r>
      <w:r w:rsidR="00FE1884" w:rsidRPr="005C1D9F">
        <w:rPr>
          <w:rFonts w:ascii="Times New Roman" w:hAnsi="Times New Roman" w:cs="Times New Roman"/>
        </w:rPr>
        <w:t xml:space="preserve">de inflación en </w:t>
      </w:r>
      <w:r>
        <w:rPr>
          <w:rFonts w:ascii="Times New Roman" w:hAnsi="Times New Roman" w:cs="Times New Roman"/>
        </w:rPr>
        <w:t>febrero</w:t>
      </w:r>
      <w:r w:rsidR="00FE1884" w:rsidRPr="005C1D9F">
        <w:rPr>
          <w:rFonts w:ascii="Times New Roman" w:hAnsi="Times New Roman" w:cs="Times New Roman"/>
        </w:rPr>
        <w:t xml:space="preserve"> </w:t>
      </w:r>
      <w:r w:rsidR="00E632A0">
        <w:rPr>
          <w:rFonts w:ascii="Times New Roman" w:hAnsi="Times New Roman" w:cs="Times New Roman"/>
        </w:rPr>
        <w:t>se registró</w:t>
      </w:r>
      <w:r w:rsidR="00FE1884" w:rsidRPr="005C1D9F">
        <w:rPr>
          <w:rFonts w:ascii="Times New Roman" w:hAnsi="Times New Roman" w:cs="Times New Roman"/>
        </w:rPr>
        <w:t xml:space="preserve"> una variación </w:t>
      </w:r>
      <w:r>
        <w:rPr>
          <w:rFonts w:ascii="Times New Roman" w:hAnsi="Times New Roman" w:cs="Times New Roman"/>
        </w:rPr>
        <w:t xml:space="preserve">con respecto </w:t>
      </w:r>
      <w:r>
        <w:rPr>
          <w:rFonts w:ascii="Times New Roman" w:hAnsi="Times New Roman" w:cs="Times New Roman"/>
        </w:rPr>
        <w:lastRenderedPageBreak/>
        <w:t xml:space="preserve">del mes anterior </w:t>
      </w:r>
      <w:r w:rsidR="00FE1884" w:rsidRPr="005C1D9F">
        <w:rPr>
          <w:rFonts w:ascii="Times New Roman" w:hAnsi="Times New Roman" w:cs="Times New Roman"/>
        </w:rPr>
        <w:t>de -</w:t>
      </w:r>
      <w:r w:rsidR="00813774">
        <w:rPr>
          <w:rFonts w:ascii="Times New Roman" w:hAnsi="Times New Roman" w:cs="Times New Roman"/>
        </w:rPr>
        <w:t>0.12</w:t>
      </w:r>
      <w:r w:rsidR="00FE1884" w:rsidRPr="005C1D9F">
        <w:rPr>
          <w:rFonts w:ascii="Times New Roman" w:hAnsi="Times New Roman" w:cs="Times New Roman"/>
        </w:rPr>
        <w:t>%</w:t>
      </w:r>
      <w:r w:rsidR="00813774">
        <w:rPr>
          <w:rFonts w:ascii="Times New Roman" w:hAnsi="Times New Roman" w:cs="Times New Roman"/>
        </w:rPr>
        <w:t xml:space="preserve">, </w:t>
      </w:r>
      <w:r w:rsidR="00FE1884" w:rsidRPr="005C1D9F">
        <w:rPr>
          <w:rFonts w:ascii="Times New Roman" w:hAnsi="Times New Roman" w:cs="Times New Roman"/>
        </w:rPr>
        <w:t>el costo de adquisición de la Canas</w:t>
      </w:r>
      <w:r w:rsidR="00813774">
        <w:rPr>
          <w:rFonts w:ascii="Times New Roman" w:hAnsi="Times New Roman" w:cs="Times New Roman"/>
        </w:rPr>
        <w:t>ta Básica Alimentaria aumentó Q</w:t>
      </w:r>
      <w:r w:rsidR="00FE1884" w:rsidRPr="005C1D9F">
        <w:rPr>
          <w:rFonts w:ascii="Times New Roman" w:hAnsi="Times New Roman" w:cs="Times New Roman"/>
        </w:rPr>
        <w:t>10.50 con relación al registrado el mes anterior</w:t>
      </w:r>
      <w:r w:rsidR="00F6755D">
        <w:rPr>
          <w:rFonts w:ascii="Times New Roman" w:hAnsi="Times New Roman" w:cs="Times New Roman"/>
        </w:rPr>
        <w:t>,</w:t>
      </w:r>
      <w:r w:rsidR="00FE1884" w:rsidRPr="005C1D9F">
        <w:rPr>
          <w:rFonts w:ascii="Times New Roman" w:hAnsi="Times New Roman" w:cs="Times New Roman"/>
        </w:rPr>
        <w:t xml:space="preserve"> </w:t>
      </w:r>
      <w:r w:rsidR="00813774">
        <w:rPr>
          <w:rFonts w:ascii="Times New Roman" w:hAnsi="Times New Roman" w:cs="Times New Roman"/>
        </w:rPr>
        <w:t xml:space="preserve">mientras que el </w:t>
      </w:r>
      <w:r w:rsidR="00FE1884" w:rsidRPr="005C1D9F">
        <w:rPr>
          <w:rFonts w:ascii="Times New Roman" w:hAnsi="Times New Roman" w:cs="Times New Roman"/>
        </w:rPr>
        <w:t>costo de adquisición de la</w:t>
      </w:r>
      <w:r w:rsidR="00813774">
        <w:rPr>
          <w:rFonts w:ascii="Times New Roman" w:hAnsi="Times New Roman" w:cs="Times New Roman"/>
        </w:rPr>
        <w:t xml:space="preserve"> Canasta Básica Vital aumentó Q</w:t>
      </w:r>
      <w:r w:rsidR="00FE1884" w:rsidRPr="005C1D9F">
        <w:rPr>
          <w:rFonts w:ascii="Times New Roman" w:hAnsi="Times New Roman" w:cs="Times New Roman"/>
        </w:rPr>
        <w:t>19.16 con respecto al mes anterior, según el informe del INE.</w:t>
      </w:r>
      <w:r w:rsidR="00FE1884">
        <w:rPr>
          <w:rFonts w:ascii="Times New Roman" w:hAnsi="Times New Roman" w:cs="Times New Roman"/>
        </w:rPr>
        <w:t xml:space="preserve"> </w:t>
      </w:r>
      <w:r w:rsidRPr="00813774">
        <w:rPr>
          <w:rFonts w:ascii="Times New Roman" w:hAnsi="Times New Roman" w:cs="Times New Roman"/>
        </w:rPr>
        <w:t>Finalmente</w:t>
      </w:r>
      <w:r w:rsidR="00F6755D">
        <w:rPr>
          <w:rFonts w:ascii="Times New Roman" w:hAnsi="Times New Roman" w:cs="Times New Roman"/>
        </w:rPr>
        <w:t xml:space="preserve">, </w:t>
      </w:r>
      <w:r w:rsidRPr="00813774">
        <w:rPr>
          <w:rFonts w:ascii="Times New Roman" w:hAnsi="Times New Roman" w:cs="Times New Roman"/>
        </w:rPr>
        <w:t>de acuerdo a la más</w:t>
      </w:r>
      <w:r w:rsidR="00FE1884" w:rsidRPr="00813774">
        <w:rPr>
          <w:rFonts w:ascii="Times New Roman" w:hAnsi="Times New Roman" w:cs="Times New Roman"/>
          <w:lang w:val="es-MX"/>
        </w:rPr>
        <w:t xml:space="preserve"> reciente publicación de los resultados de la actividad económica medida a través del IMAE</w:t>
      </w:r>
      <w:r w:rsidRPr="00813774">
        <w:rPr>
          <w:rFonts w:ascii="Times New Roman" w:hAnsi="Times New Roman" w:cs="Times New Roman"/>
          <w:lang w:val="es-MX"/>
        </w:rPr>
        <w:t>, se</w:t>
      </w:r>
      <w:r w:rsidR="00FE1884" w:rsidRPr="00813774">
        <w:rPr>
          <w:rFonts w:ascii="Times New Roman" w:hAnsi="Times New Roman" w:cs="Times New Roman"/>
          <w:lang w:val="es-MX"/>
        </w:rPr>
        <w:t xml:space="preserve"> registra  un crecimiento de 4.8% en enero 2015</w:t>
      </w:r>
      <w:r w:rsidR="00813774" w:rsidRPr="00813774">
        <w:rPr>
          <w:rFonts w:ascii="Times New Roman" w:hAnsi="Times New Roman" w:cs="Times New Roman"/>
          <w:lang w:val="es-MX"/>
        </w:rPr>
        <w:t>.</w:t>
      </w:r>
      <w:r w:rsidR="00FE1884" w:rsidRPr="00813774">
        <w:rPr>
          <w:rFonts w:ascii="Times New Roman" w:hAnsi="Times New Roman" w:cs="Times New Roman"/>
          <w:lang w:val="es-MX"/>
        </w:rPr>
        <w:t xml:space="preserve"> </w:t>
      </w:r>
    </w:p>
    <w:p w:rsidR="005366EF" w:rsidRDefault="005366EF" w:rsidP="00EF6C10">
      <w:pPr>
        <w:spacing w:after="0" w:line="240" w:lineRule="auto"/>
        <w:jc w:val="both"/>
        <w:rPr>
          <w:rFonts w:cs="Times New Roman"/>
          <w:lang w:val="es-MX"/>
        </w:rPr>
      </w:pPr>
    </w:p>
    <w:p w:rsidR="00405556" w:rsidRDefault="00405556" w:rsidP="00EF6C10">
      <w:pPr>
        <w:pStyle w:val="Sinespaciado"/>
        <w:rPr>
          <w:lang w:val="es-MX"/>
        </w:rPr>
        <w:sectPr w:rsidR="00405556" w:rsidSect="00405556">
          <w:type w:val="continuous"/>
          <w:pgSz w:w="12240" w:h="15840"/>
          <w:pgMar w:top="1417" w:right="1701" w:bottom="1417" w:left="1701" w:header="708" w:footer="708" w:gutter="0"/>
          <w:cols w:num="2" w:space="708"/>
          <w:docGrid w:linePitch="360"/>
        </w:sectPr>
      </w:pPr>
    </w:p>
    <w:p w:rsidR="00405556" w:rsidRPr="007F29D0" w:rsidRDefault="008D3700" w:rsidP="00EF6C1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Recaudación tributaria</w:t>
      </w:r>
      <w:r w:rsidR="00A0519D">
        <w:rPr>
          <w:rFonts w:ascii="Times New Roman" w:hAnsi="Times New Roman" w:cs="Times New Roman"/>
          <w:b/>
          <w:lang w:val="es-MX"/>
        </w:rPr>
        <w:t xml:space="preserve"> </w:t>
      </w:r>
      <w:r w:rsidR="003C552F">
        <w:rPr>
          <w:rFonts w:ascii="Times New Roman" w:hAnsi="Times New Roman" w:cs="Times New Roman"/>
          <w:b/>
          <w:lang w:val="es-MX"/>
        </w:rPr>
        <w:t>cumple con la m</w:t>
      </w:r>
      <w:r w:rsidR="00A6490E">
        <w:rPr>
          <w:rFonts w:ascii="Times New Roman" w:hAnsi="Times New Roman" w:cs="Times New Roman"/>
          <w:b/>
          <w:lang w:val="es-MX"/>
        </w:rPr>
        <w:t>eta SAT</w:t>
      </w:r>
    </w:p>
    <w:p w:rsidR="005366EF" w:rsidRDefault="005366EF" w:rsidP="00EF6C10">
      <w:pPr>
        <w:pStyle w:val="Sinespaciado"/>
        <w:rPr>
          <w:lang w:val="es-MX"/>
        </w:rPr>
        <w:sectPr w:rsidR="005366EF" w:rsidSect="00405556">
          <w:type w:val="continuous"/>
          <w:pgSz w:w="12240" w:h="15840"/>
          <w:pgMar w:top="1417" w:right="1701" w:bottom="1417" w:left="1701" w:header="708" w:footer="708" w:gutter="0"/>
          <w:cols w:space="708"/>
          <w:docGrid w:linePitch="360"/>
        </w:sectPr>
      </w:pPr>
    </w:p>
    <w:p w:rsidR="00317176" w:rsidRDefault="00317176" w:rsidP="00317176">
      <w:pPr>
        <w:spacing w:after="0" w:line="240" w:lineRule="auto"/>
        <w:jc w:val="both"/>
        <w:rPr>
          <w:rFonts w:ascii="Times New Roman" w:hAnsi="Times New Roman" w:cs="Times New Roman"/>
          <w:lang w:val="es-MX"/>
        </w:rPr>
        <w:sectPr w:rsidR="00317176" w:rsidSect="00317176">
          <w:headerReference w:type="default" r:id="rId9"/>
          <w:type w:val="continuous"/>
          <w:pgSz w:w="12240" w:h="15840"/>
          <w:pgMar w:top="1417" w:right="1701" w:bottom="1417" w:left="1701" w:header="708" w:footer="708" w:gutter="0"/>
          <w:cols w:space="708"/>
          <w:docGrid w:linePitch="360"/>
        </w:sectPr>
      </w:pPr>
    </w:p>
    <w:p w:rsidR="00CE6BA1" w:rsidRDefault="00851812" w:rsidP="00EF6C10">
      <w:pPr>
        <w:pStyle w:val="Sinespaciado"/>
        <w:jc w:val="both"/>
        <w:rPr>
          <w:rFonts w:ascii="Times New Roman" w:hAnsi="Times New Roman" w:cs="Times New Roman"/>
          <w:lang w:val="es-MX"/>
        </w:rPr>
      </w:pPr>
      <w:r w:rsidRPr="00851812">
        <w:rPr>
          <w:rFonts w:ascii="Times New Roman" w:hAnsi="Times New Roman" w:cs="Times New Roman"/>
          <w:lang w:val="es-MX"/>
        </w:rPr>
        <w:lastRenderedPageBreak/>
        <w:t xml:space="preserve">La recaudación tributaria </w:t>
      </w:r>
      <w:r w:rsidR="00CE6BA1">
        <w:rPr>
          <w:rFonts w:ascii="Times New Roman" w:hAnsi="Times New Roman" w:cs="Times New Roman"/>
          <w:lang w:val="es-MX"/>
        </w:rPr>
        <w:t xml:space="preserve">acumulada </w:t>
      </w:r>
      <w:r w:rsidR="00187CBE">
        <w:rPr>
          <w:rFonts w:ascii="Times New Roman" w:hAnsi="Times New Roman" w:cs="Times New Roman"/>
          <w:lang w:val="es-MX"/>
        </w:rPr>
        <w:t>a</w:t>
      </w:r>
      <w:r w:rsidRPr="00851812">
        <w:rPr>
          <w:rFonts w:ascii="Times New Roman" w:hAnsi="Times New Roman" w:cs="Times New Roman"/>
          <w:lang w:val="es-MX"/>
        </w:rPr>
        <w:t xml:space="preserve"> febrero </w:t>
      </w:r>
      <w:r>
        <w:rPr>
          <w:rFonts w:ascii="Times New Roman" w:hAnsi="Times New Roman" w:cs="Times New Roman"/>
          <w:lang w:val="es-MX"/>
        </w:rPr>
        <w:t xml:space="preserve">logró </w:t>
      </w:r>
      <w:r w:rsidR="00187CBE">
        <w:rPr>
          <w:rFonts w:ascii="Times New Roman" w:hAnsi="Times New Roman" w:cs="Times New Roman"/>
          <w:lang w:val="es-MX"/>
        </w:rPr>
        <w:t>superar en 3.8% lo observado en 2014.</w:t>
      </w:r>
      <w:r w:rsidR="00CE6BA1">
        <w:rPr>
          <w:rFonts w:ascii="Times New Roman" w:hAnsi="Times New Roman" w:cs="Times New Roman"/>
          <w:lang w:val="es-MX"/>
        </w:rPr>
        <w:t xml:space="preserve"> </w:t>
      </w:r>
      <w:r w:rsidR="00187CBE">
        <w:rPr>
          <w:rFonts w:ascii="Times New Roman" w:hAnsi="Times New Roman" w:cs="Times New Roman"/>
          <w:lang w:val="es-MX"/>
        </w:rPr>
        <w:t>C</w:t>
      </w:r>
      <w:r w:rsidR="00CE6BA1">
        <w:rPr>
          <w:rFonts w:ascii="Times New Roman" w:hAnsi="Times New Roman" w:cs="Times New Roman"/>
          <w:lang w:val="es-MX"/>
        </w:rPr>
        <w:t xml:space="preserve">on relación a la meta de </w:t>
      </w:r>
      <w:r w:rsidR="00187CBE">
        <w:rPr>
          <w:rFonts w:ascii="Times New Roman" w:hAnsi="Times New Roman" w:cs="Times New Roman"/>
          <w:lang w:val="es-MX"/>
        </w:rPr>
        <w:t xml:space="preserve">la </w:t>
      </w:r>
      <w:r w:rsidR="00CE6BA1">
        <w:rPr>
          <w:rFonts w:ascii="Times New Roman" w:hAnsi="Times New Roman" w:cs="Times New Roman"/>
          <w:lang w:val="es-MX"/>
        </w:rPr>
        <w:t xml:space="preserve">SAT la ejecución fue de 98.6%, </w:t>
      </w:r>
      <w:r w:rsidR="00187CBE">
        <w:rPr>
          <w:rFonts w:ascii="Times New Roman" w:hAnsi="Times New Roman" w:cs="Times New Roman"/>
          <w:lang w:val="es-MX"/>
        </w:rPr>
        <w:t xml:space="preserve">pero </w:t>
      </w:r>
      <w:r w:rsidR="00CE6BA1">
        <w:rPr>
          <w:rFonts w:ascii="Times New Roman" w:hAnsi="Times New Roman" w:cs="Times New Roman"/>
          <w:lang w:val="es-MX"/>
        </w:rPr>
        <w:t xml:space="preserve">es preciso indicar que </w:t>
      </w:r>
      <w:r w:rsidR="00187CBE">
        <w:rPr>
          <w:rFonts w:ascii="Times New Roman" w:hAnsi="Times New Roman" w:cs="Times New Roman"/>
          <w:lang w:val="es-MX"/>
        </w:rPr>
        <w:t xml:space="preserve">en </w:t>
      </w:r>
      <w:r w:rsidR="00CE6BA1">
        <w:rPr>
          <w:rFonts w:ascii="Times New Roman" w:hAnsi="Times New Roman" w:cs="Times New Roman"/>
          <w:lang w:val="es-MX"/>
        </w:rPr>
        <w:t xml:space="preserve">dicha meta </w:t>
      </w:r>
      <w:r w:rsidR="00187CBE">
        <w:rPr>
          <w:rFonts w:ascii="Times New Roman" w:hAnsi="Times New Roman" w:cs="Times New Roman"/>
          <w:lang w:val="es-MX"/>
        </w:rPr>
        <w:t xml:space="preserve">se </w:t>
      </w:r>
      <w:r w:rsidR="00CE6BA1">
        <w:rPr>
          <w:rFonts w:ascii="Times New Roman" w:hAnsi="Times New Roman" w:cs="Times New Roman"/>
          <w:lang w:val="es-MX"/>
        </w:rPr>
        <w:t>incluye</w:t>
      </w:r>
      <w:r w:rsidR="00187CBE">
        <w:rPr>
          <w:rFonts w:ascii="Times New Roman" w:hAnsi="Times New Roman" w:cs="Times New Roman"/>
          <w:lang w:val="es-MX"/>
        </w:rPr>
        <w:t>n</w:t>
      </w:r>
      <w:r w:rsidR="00CE6BA1">
        <w:rPr>
          <w:rFonts w:ascii="Times New Roman" w:hAnsi="Times New Roman" w:cs="Times New Roman"/>
          <w:lang w:val="es-MX"/>
        </w:rPr>
        <w:t xml:space="preserve"> Q 118.2 millones del Impuesto a la Telefonía</w:t>
      </w:r>
      <w:r w:rsidR="00187CBE">
        <w:rPr>
          <w:rFonts w:ascii="Times New Roman" w:hAnsi="Times New Roman" w:cs="Times New Roman"/>
          <w:lang w:val="es-MX"/>
        </w:rPr>
        <w:t>,</w:t>
      </w:r>
      <w:r w:rsidR="00CE6BA1">
        <w:rPr>
          <w:rFonts w:ascii="Times New Roman" w:hAnsi="Times New Roman" w:cs="Times New Roman"/>
          <w:lang w:val="es-MX"/>
        </w:rPr>
        <w:t xml:space="preserve"> el cual se encuentra suspendido por la Corte de Constitucionalidad</w:t>
      </w:r>
      <w:r w:rsidR="00210503">
        <w:rPr>
          <w:rFonts w:ascii="Times New Roman" w:hAnsi="Times New Roman" w:cs="Times New Roman"/>
          <w:lang w:val="es-MX"/>
        </w:rPr>
        <w:t>, a</w:t>
      </w:r>
      <w:r w:rsidR="00CE6BA1">
        <w:rPr>
          <w:rFonts w:ascii="Times New Roman" w:hAnsi="Times New Roman" w:cs="Times New Roman"/>
          <w:lang w:val="es-MX"/>
        </w:rPr>
        <w:t xml:space="preserve">l descontar dicho impuesto </w:t>
      </w:r>
      <w:r w:rsidR="00301F54">
        <w:rPr>
          <w:rFonts w:ascii="Times New Roman" w:hAnsi="Times New Roman" w:cs="Times New Roman"/>
          <w:lang w:val="es-MX"/>
        </w:rPr>
        <w:t xml:space="preserve">de </w:t>
      </w:r>
      <w:r w:rsidR="00CE6BA1">
        <w:rPr>
          <w:rFonts w:ascii="Times New Roman" w:hAnsi="Times New Roman" w:cs="Times New Roman"/>
          <w:lang w:val="es-MX"/>
        </w:rPr>
        <w:t>la meta de SAT se tiene una ejecución de 100.05%</w:t>
      </w:r>
      <w:r w:rsidR="00301F54">
        <w:rPr>
          <w:rFonts w:ascii="Times New Roman" w:hAnsi="Times New Roman" w:cs="Times New Roman"/>
          <w:lang w:val="es-MX"/>
        </w:rPr>
        <w:t>.</w:t>
      </w:r>
    </w:p>
    <w:p w:rsidR="00210503" w:rsidRDefault="00210503" w:rsidP="00EF6C10">
      <w:pPr>
        <w:pStyle w:val="Sinespaciado"/>
        <w:jc w:val="both"/>
        <w:rPr>
          <w:rFonts w:ascii="Times New Roman" w:hAnsi="Times New Roman" w:cs="Times New Roman"/>
          <w:lang w:val="es-MX"/>
        </w:rPr>
      </w:pP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Recaudación Tributaria</w:t>
      </w: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Al 28 de Febrero</w:t>
      </w:r>
    </w:p>
    <w:p w:rsidR="00210503" w:rsidRDefault="00210503" w:rsidP="00EF6C10">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F71F3F4" wp14:editId="01A8BC93">
            <wp:extent cx="2671639" cy="1709530"/>
            <wp:effectExtent l="0" t="0" r="0" b="508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4056" w:rsidRPr="003C5099" w:rsidRDefault="00854056" w:rsidP="00EF6C10">
      <w:pPr>
        <w:pStyle w:val="Sinespaciado"/>
        <w:jc w:val="both"/>
        <w:rPr>
          <w:rFonts w:ascii="Times New Roman" w:hAnsi="Times New Roman" w:cs="Times New Roman"/>
          <w:sz w:val="12"/>
          <w:lang w:val="es-MX"/>
        </w:rPr>
      </w:pPr>
      <w:r w:rsidRPr="003C5099">
        <w:rPr>
          <w:rFonts w:ascii="Times New Roman" w:hAnsi="Times New Roman" w:cs="Times New Roman"/>
          <w:sz w:val="12"/>
          <w:lang w:val="es-MX"/>
        </w:rPr>
        <w:t>Fuente: Dirección de Análisis y Política Fiscal</w:t>
      </w:r>
    </w:p>
    <w:p w:rsidR="00854056" w:rsidRDefault="00854056" w:rsidP="00EF6C10">
      <w:pPr>
        <w:pStyle w:val="Sinespaciado"/>
        <w:jc w:val="both"/>
        <w:rPr>
          <w:rFonts w:ascii="Times New Roman" w:hAnsi="Times New Roman" w:cs="Times New Roman"/>
          <w:lang w:val="es-MX"/>
        </w:rPr>
      </w:pPr>
    </w:p>
    <w:p w:rsidR="00301F54" w:rsidRDefault="00301F54" w:rsidP="00EF6C10">
      <w:pPr>
        <w:pStyle w:val="Sinespaciado"/>
        <w:jc w:val="both"/>
        <w:rPr>
          <w:rFonts w:ascii="Times New Roman" w:hAnsi="Times New Roman" w:cs="Times New Roman"/>
          <w:lang w:val="es-MX"/>
        </w:rPr>
      </w:pPr>
      <w:r>
        <w:rPr>
          <w:rFonts w:ascii="Times New Roman" w:hAnsi="Times New Roman" w:cs="Times New Roman"/>
          <w:lang w:val="es-MX"/>
        </w:rPr>
        <w:t xml:space="preserve">Factores importantes que permitieron que se cumpliera con lo programado por </w:t>
      </w:r>
      <w:r w:rsidR="00187CBE">
        <w:rPr>
          <w:rFonts w:ascii="Times New Roman" w:hAnsi="Times New Roman" w:cs="Times New Roman"/>
          <w:lang w:val="es-MX"/>
        </w:rPr>
        <w:t xml:space="preserve">la </w:t>
      </w:r>
      <w:r>
        <w:rPr>
          <w:rFonts w:ascii="Times New Roman" w:hAnsi="Times New Roman" w:cs="Times New Roman"/>
          <w:lang w:val="es-MX"/>
        </w:rPr>
        <w:t>SAT son el rendimiento positivo en el Impuesto a la Renta</w:t>
      </w:r>
      <w:r w:rsidR="00187CBE">
        <w:rPr>
          <w:rFonts w:ascii="Times New Roman" w:hAnsi="Times New Roman" w:cs="Times New Roman"/>
          <w:lang w:val="es-MX"/>
        </w:rPr>
        <w:t>,</w:t>
      </w:r>
      <w:r>
        <w:rPr>
          <w:rFonts w:ascii="Times New Roman" w:hAnsi="Times New Roman" w:cs="Times New Roman"/>
          <w:lang w:val="es-MX"/>
        </w:rPr>
        <w:t xml:space="preserve"> el cual </w:t>
      </w:r>
      <w:r w:rsidR="00AA1164">
        <w:rPr>
          <w:rFonts w:ascii="Times New Roman" w:hAnsi="Times New Roman" w:cs="Times New Roman"/>
          <w:lang w:val="es-MX"/>
        </w:rPr>
        <w:t>creció 1.6% respecto al año anterior y 4.2% respecto a la meta</w:t>
      </w:r>
      <w:r w:rsidR="00187CBE">
        <w:rPr>
          <w:rFonts w:ascii="Times New Roman" w:hAnsi="Times New Roman" w:cs="Times New Roman"/>
          <w:lang w:val="es-MX"/>
        </w:rPr>
        <w:t>.</w:t>
      </w:r>
      <w:r w:rsidR="00AA1164">
        <w:rPr>
          <w:rFonts w:ascii="Times New Roman" w:hAnsi="Times New Roman" w:cs="Times New Roman"/>
          <w:lang w:val="es-MX"/>
        </w:rPr>
        <w:t xml:space="preserve"> </w:t>
      </w:r>
      <w:r w:rsidR="00187CBE">
        <w:rPr>
          <w:rFonts w:ascii="Times New Roman" w:hAnsi="Times New Roman" w:cs="Times New Roman"/>
          <w:lang w:val="es-MX"/>
        </w:rPr>
        <w:t>E</w:t>
      </w:r>
      <w:r w:rsidR="00AA1164">
        <w:rPr>
          <w:rFonts w:ascii="Times New Roman" w:hAnsi="Times New Roman" w:cs="Times New Roman"/>
          <w:lang w:val="es-MX"/>
        </w:rPr>
        <w:t>ste impuesto vio su mayor rendimiento en el régimen sobre utilidades</w:t>
      </w:r>
      <w:r w:rsidR="000F2D03">
        <w:rPr>
          <w:rFonts w:ascii="Times New Roman" w:hAnsi="Times New Roman" w:cs="Times New Roman"/>
          <w:lang w:val="es-MX"/>
        </w:rPr>
        <w:t xml:space="preserve"> de actividades lucrativas</w:t>
      </w:r>
      <w:r w:rsidR="00AA1164">
        <w:rPr>
          <w:rFonts w:ascii="Times New Roman" w:hAnsi="Times New Roman" w:cs="Times New Roman"/>
          <w:lang w:val="es-MX"/>
        </w:rPr>
        <w:t xml:space="preserve"> </w:t>
      </w:r>
      <w:r w:rsidR="00AA1164" w:rsidRPr="00EF6C10">
        <w:rPr>
          <w:rFonts w:ascii="Times New Roman" w:hAnsi="Times New Roman" w:cs="Times New Roman"/>
          <w:b/>
          <w:i/>
          <w:lang w:val="es-MX"/>
        </w:rPr>
        <w:t>(Artículo 18</w:t>
      </w:r>
      <w:r w:rsidR="00EF6C10" w:rsidRPr="00EF6C10">
        <w:rPr>
          <w:rFonts w:ascii="Times New Roman" w:hAnsi="Times New Roman" w:cs="Times New Roman"/>
          <w:b/>
          <w:i/>
          <w:lang w:val="es-MX"/>
        </w:rPr>
        <w:t xml:space="preserve"> Decreto 10-2012</w:t>
      </w:r>
      <w:r w:rsidR="00AA1164" w:rsidRPr="00EF6C10">
        <w:rPr>
          <w:rFonts w:ascii="Times New Roman" w:hAnsi="Times New Roman" w:cs="Times New Roman"/>
          <w:b/>
          <w:i/>
          <w:lang w:val="es-MX"/>
        </w:rPr>
        <w:t>)</w:t>
      </w:r>
      <w:r w:rsidR="00AA1164">
        <w:rPr>
          <w:rFonts w:ascii="Times New Roman" w:hAnsi="Times New Roman" w:cs="Times New Roman"/>
          <w:lang w:val="es-MX"/>
        </w:rPr>
        <w:t xml:space="preserve"> el cual creció en un 127.1% respecto a lo observado el año anterior</w:t>
      </w:r>
      <w:r w:rsidR="00187CBE">
        <w:rPr>
          <w:rFonts w:ascii="Times New Roman" w:hAnsi="Times New Roman" w:cs="Times New Roman"/>
          <w:lang w:val="es-MX"/>
        </w:rPr>
        <w:t xml:space="preserve">.  Una explicación a </w:t>
      </w:r>
      <w:r w:rsidR="00187CBE">
        <w:rPr>
          <w:rFonts w:ascii="Times New Roman" w:hAnsi="Times New Roman" w:cs="Times New Roman"/>
          <w:lang w:val="es-MX"/>
        </w:rPr>
        <w:lastRenderedPageBreak/>
        <w:t xml:space="preserve">dichos cambio podría estar determinada por la </w:t>
      </w:r>
      <w:r w:rsidR="000F2D03">
        <w:rPr>
          <w:rFonts w:ascii="Times New Roman" w:hAnsi="Times New Roman" w:cs="Times New Roman"/>
          <w:lang w:val="es-MX"/>
        </w:rPr>
        <w:t xml:space="preserve">migración que se da entre </w:t>
      </w:r>
      <w:r w:rsidR="00187CBE">
        <w:rPr>
          <w:rFonts w:ascii="Times New Roman" w:hAnsi="Times New Roman" w:cs="Times New Roman"/>
          <w:lang w:val="es-MX"/>
        </w:rPr>
        <w:t xml:space="preserve">de los contribuyentes entre </w:t>
      </w:r>
      <w:r w:rsidR="000F2D03">
        <w:rPr>
          <w:rFonts w:ascii="Times New Roman" w:hAnsi="Times New Roman" w:cs="Times New Roman"/>
          <w:lang w:val="es-MX"/>
        </w:rPr>
        <w:t xml:space="preserve">regímenes </w:t>
      </w:r>
      <w:r w:rsidR="0003778E">
        <w:rPr>
          <w:rFonts w:ascii="Times New Roman" w:hAnsi="Times New Roman" w:cs="Times New Roman"/>
          <w:lang w:val="es-MX"/>
        </w:rPr>
        <w:t>de u</w:t>
      </w:r>
      <w:r w:rsidR="000F2D03">
        <w:rPr>
          <w:rFonts w:ascii="Times New Roman" w:hAnsi="Times New Roman" w:cs="Times New Roman"/>
          <w:lang w:val="es-MX"/>
        </w:rPr>
        <w:t xml:space="preserve">tilidades y </w:t>
      </w:r>
      <w:r w:rsidR="0003778E">
        <w:rPr>
          <w:rFonts w:ascii="Times New Roman" w:hAnsi="Times New Roman" w:cs="Times New Roman"/>
          <w:lang w:val="es-MX"/>
        </w:rPr>
        <w:t xml:space="preserve">el simplificado </w:t>
      </w:r>
      <w:r w:rsidR="000F2D03">
        <w:rPr>
          <w:rFonts w:ascii="Times New Roman" w:hAnsi="Times New Roman" w:cs="Times New Roman"/>
          <w:lang w:val="es-MX"/>
        </w:rPr>
        <w:t>sobre ingresos</w:t>
      </w:r>
      <w:r w:rsidR="00187CBE">
        <w:rPr>
          <w:rFonts w:ascii="Times New Roman" w:hAnsi="Times New Roman" w:cs="Times New Roman"/>
          <w:lang w:val="es-MX"/>
        </w:rPr>
        <w:t>.</w:t>
      </w:r>
      <w:r w:rsidR="00AA1164">
        <w:rPr>
          <w:rFonts w:ascii="Times New Roman" w:hAnsi="Times New Roman" w:cs="Times New Roman"/>
          <w:lang w:val="es-MX"/>
        </w:rPr>
        <w:t xml:space="preserve"> </w:t>
      </w:r>
      <w:r w:rsidR="00187CBE">
        <w:rPr>
          <w:rFonts w:ascii="Times New Roman" w:hAnsi="Times New Roman" w:cs="Times New Roman"/>
          <w:lang w:val="es-MX"/>
        </w:rPr>
        <w:t>O</w:t>
      </w:r>
      <w:r w:rsidR="0069290A">
        <w:rPr>
          <w:rFonts w:ascii="Times New Roman" w:hAnsi="Times New Roman" w:cs="Times New Roman"/>
          <w:lang w:val="es-MX"/>
        </w:rPr>
        <w:t>tro régimen que también aporta para dicho rendimiento</w:t>
      </w:r>
      <w:r w:rsidR="0003778E">
        <w:rPr>
          <w:rFonts w:ascii="Times New Roman" w:hAnsi="Times New Roman" w:cs="Times New Roman"/>
          <w:lang w:val="es-MX"/>
        </w:rPr>
        <w:t xml:space="preserve"> positivo</w:t>
      </w:r>
      <w:r w:rsidR="0069290A">
        <w:rPr>
          <w:rFonts w:ascii="Times New Roman" w:hAnsi="Times New Roman" w:cs="Times New Roman"/>
          <w:lang w:val="es-MX"/>
        </w:rPr>
        <w:t xml:space="preserve"> es el de </w:t>
      </w:r>
      <w:r w:rsidR="000F2D03">
        <w:rPr>
          <w:rFonts w:ascii="Times New Roman" w:hAnsi="Times New Roman" w:cs="Times New Roman"/>
          <w:lang w:val="es-MX"/>
        </w:rPr>
        <w:t xml:space="preserve">las </w:t>
      </w:r>
      <w:r w:rsidR="0069290A">
        <w:rPr>
          <w:rFonts w:ascii="Times New Roman" w:hAnsi="Times New Roman" w:cs="Times New Roman"/>
          <w:lang w:val="es-MX"/>
        </w:rPr>
        <w:t xml:space="preserve">rentas del trabajo en relación de dependencia </w:t>
      </w:r>
      <w:r w:rsidR="000F2D03" w:rsidRPr="00EF6C10">
        <w:rPr>
          <w:rFonts w:ascii="Times New Roman" w:hAnsi="Times New Roman" w:cs="Times New Roman"/>
          <w:b/>
          <w:i/>
          <w:lang w:val="es-MX"/>
        </w:rPr>
        <w:t>(Artículos del 68 al 82 del Decreto 10-2012)</w:t>
      </w:r>
      <w:r w:rsidR="000F2D03">
        <w:rPr>
          <w:rFonts w:ascii="Times New Roman" w:hAnsi="Times New Roman" w:cs="Times New Roman"/>
          <w:lang w:val="es-MX"/>
        </w:rPr>
        <w:t xml:space="preserve"> </w:t>
      </w:r>
      <w:r w:rsidR="0069290A">
        <w:rPr>
          <w:rFonts w:ascii="Times New Roman" w:hAnsi="Times New Roman" w:cs="Times New Roman"/>
          <w:lang w:val="es-MX"/>
        </w:rPr>
        <w:t>el cual crec</w:t>
      </w:r>
      <w:r w:rsidR="00187CBE">
        <w:rPr>
          <w:rFonts w:ascii="Times New Roman" w:hAnsi="Times New Roman" w:cs="Times New Roman"/>
          <w:lang w:val="es-MX"/>
        </w:rPr>
        <w:t>ió</w:t>
      </w:r>
      <w:r w:rsidR="0069290A">
        <w:rPr>
          <w:rFonts w:ascii="Times New Roman" w:hAnsi="Times New Roman" w:cs="Times New Roman"/>
          <w:lang w:val="es-MX"/>
        </w:rPr>
        <w:t xml:space="preserve"> </w:t>
      </w:r>
      <w:r w:rsidR="0003778E">
        <w:rPr>
          <w:rFonts w:ascii="Times New Roman" w:hAnsi="Times New Roman" w:cs="Times New Roman"/>
          <w:lang w:val="es-MX"/>
        </w:rPr>
        <w:t>36.2% respecto al año anterior</w:t>
      </w:r>
      <w:r w:rsidR="00187CBE">
        <w:rPr>
          <w:rFonts w:ascii="Times New Roman" w:hAnsi="Times New Roman" w:cs="Times New Roman"/>
          <w:lang w:val="es-MX"/>
        </w:rPr>
        <w:t>.</w:t>
      </w:r>
      <w:r w:rsidR="0003778E">
        <w:rPr>
          <w:rFonts w:ascii="Times New Roman" w:hAnsi="Times New Roman" w:cs="Times New Roman"/>
          <w:lang w:val="es-MX"/>
        </w:rPr>
        <w:t xml:space="preserve"> </w:t>
      </w:r>
      <w:r w:rsidR="00187CBE">
        <w:rPr>
          <w:rFonts w:ascii="Times New Roman" w:hAnsi="Times New Roman" w:cs="Times New Roman"/>
          <w:lang w:val="es-MX"/>
        </w:rPr>
        <w:t>D</w:t>
      </w:r>
      <w:r w:rsidR="0003778E">
        <w:rPr>
          <w:rFonts w:ascii="Times New Roman" w:hAnsi="Times New Roman" w:cs="Times New Roman"/>
          <w:lang w:val="es-MX"/>
        </w:rPr>
        <w:t xml:space="preserve">icho crecimiento es producto de un mejor control en las retenciones </w:t>
      </w:r>
      <w:r w:rsidR="00187CBE">
        <w:rPr>
          <w:rFonts w:ascii="Times New Roman" w:hAnsi="Times New Roman" w:cs="Times New Roman"/>
          <w:lang w:val="es-MX"/>
        </w:rPr>
        <w:t xml:space="preserve">que se hacen </w:t>
      </w:r>
      <w:r w:rsidR="0003778E">
        <w:rPr>
          <w:rFonts w:ascii="Times New Roman" w:hAnsi="Times New Roman" w:cs="Times New Roman"/>
          <w:lang w:val="es-MX"/>
        </w:rPr>
        <w:t>a los empleados en relación de dependencia.</w:t>
      </w:r>
    </w:p>
    <w:p w:rsidR="00987D9F" w:rsidRDefault="00987D9F" w:rsidP="00EF6C10">
      <w:pPr>
        <w:pStyle w:val="Sinespaciado"/>
        <w:jc w:val="both"/>
        <w:rPr>
          <w:rFonts w:ascii="Times New Roman" w:hAnsi="Times New Roman" w:cs="Times New Roman"/>
          <w:lang w:val="es-MX"/>
        </w:rPr>
      </w:pP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 xml:space="preserve">Recaudación </w:t>
      </w:r>
      <w:r>
        <w:rPr>
          <w:rFonts w:ascii="Times New Roman" w:hAnsi="Times New Roman" w:cs="Times New Roman"/>
          <w:b/>
          <w:lang w:val="es-MX"/>
        </w:rPr>
        <w:t>ISR</w:t>
      </w: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Al 28 de Febrero</w:t>
      </w:r>
      <w:r>
        <w:rPr>
          <w:rFonts w:ascii="Times New Roman" w:hAnsi="Times New Roman" w:cs="Times New Roman"/>
          <w:b/>
          <w:lang w:val="es-MX"/>
        </w:rPr>
        <w:t xml:space="preserve"> de cada año</w:t>
      </w:r>
    </w:p>
    <w:p w:rsidR="0003778E" w:rsidRDefault="0003778E" w:rsidP="00EF6C10">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4156FA4A" wp14:editId="40CCCD23">
            <wp:extent cx="2583712" cy="1977655"/>
            <wp:effectExtent l="0" t="0" r="7620" b="381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056" w:rsidRPr="003C5099" w:rsidRDefault="00854056" w:rsidP="00854056">
      <w:pPr>
        <w:pStyle w:val="Sinespaciado"/>
        <w:jc w:val="both"/>
        <w:rPr>
          <w:rFonts w:ascii="Times New Roman" w:hAnsi="Times New Roman" w:cs="Times New Roman"/>
          <w:sz w:val="12"/>
          <w:lang w:val="es-MX"/>
        </w:rPr>
      </w:pPr>
      <w:r w:rsidRPr="003C5099">
        <w:rPr>
          <w:rFonts w:ascii="Times New Roman" w:hAnsi="Times New Roman" w:cs="Times New Roman"/>
          <w:sz w:val="12"/>
          <w:lang w:val="es-MX"/>
        </w:rPr>
        <w:t>Fuente: Dirección de Análisis y Política Fiscal</w:t>
      </w:r>
    </w:p>
    <w:p w:rsidR="00301F54" w:rsidRDefault="00301F54" w:rsidP="00EF6C10">
      <w:pPr>
        <w:pStyle w:val="Sinespaciado"/>
        <w:jc w:val="both"/>
        <w:rPr>
          <w:rFonts w:ascii="Times New Roman" w:hAnsi="Times New Roman" w:cs="Times New Roman"/>
          <w:lang w:val="es-MX"/>
        </w:rPr>
      </w:pPr>
    </w:p>
    <w:p w:rsidR="0069290A" w:rsidRDefault="00987D9F" w:rsidP="00EF6C10">
      <w:pPr>
        <w:pStyle w:val="Sinespaciado"/>
        <w:jc w:val="both"/>
        <w:rPr>
          <w:rFonts w:ascii="Times New Roman" w:hAnsi="Times New Roman" w:cs="Times New Roman"/>
          <w:lang w:val="es-MX"/>
        </w:rPr>
      </w:pPr>
      <w:r>
        <w:rPr>
          <w:rFonts w:ascii="Times New Roman" w:hAnsi="Times New Roman" w:cs="Times New Roman"/>
          <w:lang w:val="es-MX"/>
        </w:rPr>
        <w:t>El impuesto al valor agregado total creció 0.5% respecto al año anterior y cayó en 2.7% con relación a la meta de SAT</w:t>
      </w:r>
      <w:r w:rsidR="008D7BCA">
        <w:rPr>
          <w:rFonts w:ascii="Times New Roman" w:hAnsi="Times New Roman" w:cs="Times New Roman"/>
          <w:lang w:val="es-MX"/>
        </w:rPr>
        <w:t xml:space="preserve"> (Q 3,958.4 millones)</w:t>
      </w:r>
      <w:r>
        <w:rPr>
          <w:rFonts w:ascii="Times New Roman" w:hAnsi="Times New Roman" w:cs="Times New Roman"/>
          <w:lang w:val="es-MX"/>
        </w:rPr>
        <w:t xml:space="preserve">, </w:t>
      </w:r>
      <w:r w:rsidR="00A476E9">
        <w:rPr>
          <w:rFonts w:ascii="Times New Roman" w:hAnsi="Times New Roman" w:cs="Times New Roman"/>
          <w:lang w:val="es-MX"/>
        </w:rPr>
        <w:t xml:space="preserve">dicho comportamiento </w:t>
      </w:r>
      <w:r>
        <w:rPr>
          <w:rFonts w:ascii="Times New Roman" w:hAnsi="Times New Roman" w:cs="Times New Roman"/>
          <w:lang w:val="es-MX"/>
        </w:rPr>
        <w:t>est</w:t>
      </w:r>
      <w:r w:rsidR="00A476E9">
        <w:rPr>
          <w:rFonts w:ascii="Times New Roman" w:hAnsi="Times New Roman" w:cs="Times New Roman"/>
          <w:lang w:val="es-MX"/>
        </w:rPr>
        <w:t>a</w:t>
      </w:r>
      <w:r>
        <w:rPr>
          <w:rFonts w:ascii="Times New Roman" w:hAnsi="Times New Roman" w:cs="Times New Roman"/>
          <w:lang w:val="es-MX"/>
        </w:rPr>
        <w:t xml:space="preserve"> </w:t>
      </w:r>
      <w:r w:rsidR="00A476E9">
        <w:rPr>
          <w:rFonts w:ascii="Times New Roman" w:hAnsi="Times New Roman" w:cs="Times New Roman"/>
          <w:lang w:val="es-MX"/>
        </w:rPr>
        <w:t xml:space="preserve">explicado </w:t>
      </w:r>
      <w:r>
        <w:rPr>
          <w:rFonts w:ascii="Times New Roman" w:hAnsi="Times New Roman" w:cs="Times New Roman"/>
          <w:lang w:val="es-MX"/>
        </w:rPr>
        <w:t xml:space="preserve">por la caída </w:t>
      </w:r>
      <w:r w:rsidR="00A476E9">
        <w:rPr>
          <w:rFonts w:ascii="Times New Roman" w:hAnsi="Times New Roman" w:cs="Times New Roman"/>
          <w:lang w:val="es-MX"/>
        </w:rPr>
        <w:t>de 7.</w:t>
      </w:r>
      <w:r w:rsidR="00ED4540">
        <w:rPr>
          <w:rFonts w:ascii="Times New Roman" w:hAnsi="Times New Roman" w:cs="Times New Roman"/>
          <w:lang w:val="es-MX"/>
        </w:rPr>
        <w:t>4</w:t>
      </w:r>
      <w:r w:rsidR="00A476E9">
        <w:rPr>
          <w:rFonts w:ascii="Times New Roman" w:hAnsi="Times New Roman" w:cs="Times New Roman"/>
          <w:lang w:val="es-MX"/>
        </w:rPr>
        <w:t xml:space="preserve">% en el IVA de </w:t>
      </w:r>
      <w:r w:rsidR="00A476E9">
        <w:rPr>
          <w:rFonts w:ascii="Times New Roman" w:hAnsi="Times New Roman" w:cs="Times New Roman"/>
          <w:lang w:val="es-MX"/>
        </w:rPr>
        <w:lastRenderedPageBreak/>
        <w:t>importaciones</w:t>
      </w:r>
      <w:r w:rsidR="00ED4540">
        <w:rPr>
          <w:rFonts w:ascii="Times New Roman" w:hAnsi="Times New Roman" w:cs="Times New Roman"/>
          <w:lang w:val="es-MX"/>
        </w:rPr>
        <w:t xml:space="preserve"> respecto al año 2014</w:t>
      </w:r>
      <w:r w:rsidR="00E66D12">
        <w:rPr>
          <w:rFonts w:ascii="Times New Roman" w:hAnsi="Times New Roman" w:cs="Times New Roman"/>
          <w:lang w:val="es-MX"/>
        </w:rPr>
        <w:t>.  Esta caída podría estar asociada a las</w:t>
      </w:r>
      <w:r w:rsidR="00ED4540">
        <w:rPr>
          <w:rFonts w:ascii="Times New Roman" w:hAnsi="Times New Roman" w:cs="Times New Roman"/>
          <w:lang w:val="es-MX"/>
        </w:rPr>
        <w:t xml:space="preserve"> distorsiones en el  precio internacional de los combustibles y la apreciación del quetzal ante el dólar</w:t>
      </w:r>
      <w:r w:rsidR="00E66D12">
        <w:rPr>
          <w:rFonts w:ascii="Times New Roman" w:hAnsi="Times New Roman" w:cs="Times New Roman"/>
          <w:lang w:val="es-MX"/>
        </w:rPr>
        <w:t>.</w:t>
      </w:r>
      <w:r w:rsidR="00ED4540">
        <w:rPr>
          <w:rFonts w:ascii="Times New Roman" w:hAnsi="Times New Roman" w:cs="Times New Roman"/>
          <w:lang w:val="es-MX"/>
        </w:rPr>
        <w:t xml:space="preserve"> </w:t>
      </w:r>
      <w:r w:rsidR="00E66D12">
        <w:rPr>
          <w:rFonts w:ascii="Times New Roman" w:hAnsi="Times New Roman" w:cs="Times New Roman"/>
          <w:lang w:val="es-MX"/>
        </w:rPr>
        <w:t>D</w:t>
      </w:r>
      <w:r w:rsidR="00ED4540">
        <w:rPr>
          <w:rFonts w:ascii="Times New Roman" w:hAnsi="Times New Roman" w:cs="Times New Roman"/>
          <w:lang w:val="es-MX"/>
        </w:rPr>
        <w:t xml:space="preserve">atos preliminares dan cuenta de una pérdida total de Q 264 millones producto del comportamiento de </w:t>
      </w:r>
      <w:r w:rsidR="00E66D12">
        <w:rPr>
          <w:rFonts w:ascii="Times New Roman" w:hAnsi="Times New Roman" w:cs="Times New Roman"/>
          <w:lang w:val="es-MX"/>
        </w:rPr>
        <w:t>los</w:t>
      </w:r>
      <w:r w:rsidR="00ED4540">
        <w:rPr>
          <w:rFonts w:ascii="Times New Roman" w:hAnsi="Times New Roman" w:cs="Times New Roman"/>
          <w:lang w:val="es-MX"/>
        </w:rPr>
        <w:t xml:space="preserve"> dos fenómenos</w:t>
      </w:r>
      <w:r w:rsidR="00E66D12">
        <w:rPr>
          <w:rFonts w:ascii="Times New Roman" w:hAnsi="Times New Roman" w:cs="Times New Roman"/>
          <w:lang w:val="es-MX"/>
        </w:rPr>
        <w:t xml:space="preserve"> citados.  P</w:t>
      </w:r>
      <w:r w:rsidR="00ED4540">
        <w:rPr>
          <w:rFonts w:ascii="Times New Roman" w:hAnsi="Times New Roman" w:cs="Times New Roman"/>
          <w:lang w:val="es-MX"/>
        </w:rPr>
        <w:t>or aparte</w:t>
      </w:r>
      <w:r w:rsidR="00E66D12">
        <w:rPr>
          <w:rFonts w:ascii="Times New Roman" w:hAnsi="Times New Roman" w:cs="Times New Roman"/>
          <w:lang w:val="es-MX"/>
        </w:rPr>
        <w:t>,</w:t>
      </w:r>
      <w:r w:rsidR="00ED4540">
        <w:rPr>
          <w:rFonts w:ascii="Times New Roman" w:hAnsi="Times New Roman" w:cs="Times New Roman"/>
          <w:lang w:val="es-MX"/>
        </w:rPr>
        <w:t xml:space="preserve"> el IVA asociado al consumo interno </w:t>
      </w:r>
      <w:r w:rsidR="00940706">
        <w:rPr>
          <w:rFonts w:ascii="Times New Roman" w:hAnsi="Times New Roman" w:cs="Times New Roman"/>
          <w:lang w:val="es-MX"/>
        </w:rPr>
        <w:t>reflej</w:t>
      </w:r>
      <w:r w:rsidR="00E66D12">
        <w:rPr>
          <w:rFonts w:ascii="Times New Roman" w:hAnsi="Times New Roman" w:cs="Times New Roman"/>
          <w:lang w:val="es-MX"/>
        </w:rPr>
        <w:t>ó</w:t>
      </w:r>
      <w:r w:rsidR="00940706">
        <w:rPr>
          <w:rFonts w:ascii="Times New Roman" w:hAnsi="Times New Roman" w:cs="Times New Roman"/>
          <w:lang w:val="es-MX"/>
        </w:rPr>
        <w:t xml:space="preserve"> un crecimiento de 9.7% respecto a 2014, dicho valor está por arriba del crecimiento de la economía el cual según BANGUAT se ubica en el rango de 7.6 a 8.3</w:t>
      </w:r>
      <w:r w:rsidR="00E66D12">
        <w:rPr>
          <w:rFonts w:ascii="Times New Roman" w:hAnsi="Times New Roman" w:cs="Times New Roman"/>
          <w:lang w:val="es-MX"/>
        </w:rPr>
        <w:t>.</w:t>
      </w:r>
      <w:r w:rsidR="00940706">
        <w:rPr>
          <w:rFonts w:ascii="Times New Roman" w:hAnsi="Times New Roman" w:cs="Times New Roman"/>
          <w:lang w:val="es-MX"/>
        </w:rPr>
        <w:t xml:space="preserve"> </w:t>
      </w:r>
      <w:r w:rsidR="00E66D12">
        <w:rPr>
          <w:rFonts w:ascii="Times New Roman" w:hAnsi="Times New Roman" w:cs="Times New Roman"/>
          <w:lang w:val="es-MX"/>
        </w:rPr>
        <w:t>E</w:t>
      </w:r>
      <w:r w:rsidR="00940706">
        <w:rPr>
          <w:rFonts w:ascii="Times New Roman" w:hAnsi="Times New Roman" w:cs="Times New Roman"/>
          <w:lang w:val="es-MX"/>
        </w:rPr>
        <w:t>s importante destacar que el flujo de remesas familiares a febrero también refleja un crecimiento de 7.9% respecto al año anterior.</w:t>
      </w:r>
    </w:p>
    <w:p w:rsidR="00940706" w:rsidRDefault="00940706" w:rsidP="00EF6C10">
      <w:pPr>
        <w:pStyle w:val="Sinespaciado"/>
        <w:jc w:val="both"/>
        <w:rPr>
          <w:rFonts w:ascii="Times New Roman" w:hAnsi="Times New Roman" w:cs="Times New Roman"/>
          <w:lang w:val="es-MX"/>
        </w:rPr>
      </w:pP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 xml:space="preserve">Recaudación </w:t>
      </w:r>
      <w:r>
        <w:rPr>
          <w:rFonts w:ascii="Times New Roman" w:hAnsi="Times New Roman" w:cs="Times New Roman"/>
          <w:b/>
          <w:lang w:val="es-MX"/>
        </w:rPr>
        <w:t>IVA Total</w:t>
      </w: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Al 28 de Febrero</w:t>
      </w:r>
    </w:p>
    <w:p w:rsidR="006C63E6" w:rsidRDefault="00DF36A2" w:rsidP="00EF6C10">
      <w:pPr>
        <w:pStyle w:val="Sinespaciado"/>
        <w:jc w:val="both"/>
        <w:rPr>
          <w:rFonts w:ascii="Times New Roman" w:hAnsi="Times New Roman" w:cs="Times New Roman"/>
          <w:lang w:val="es-MX"/>
        </w:rPr>
      </w:pPr>
      <w:r w:rsidRPr="00DF36A2">
        <w:rPr>
          <w:noProof/>
          <w:lang w:eastAsia="es-GT"/>
        </w:rPr>
        <w:drawing>
          <wp:inline distT="0" distB="0" distL="0" distR="0" wp14:anchorId="05C2C182" wp14:editId="1B8647CF">
            <wp:extent cx="2462586" cy="202758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7606" cy="2031715"/>
                    </a:xfrm>
                    <a:prstGeom prst="rect">
                      <a:avLst/>
                    </a:prstGeom>
                    <a:noFill/>
                    <a:ln>
                      <a:noFill/>
                    </a:ln>
                  </pic:spPr>
                </pic:pic>
              </a:graphicData>
            </a:graphic>
          </wp:inline>
        </w:drawing>
      </w:r>
    </w:p>
    <w:p w:rsidR="00854056" w:rsidRPr="003C5099" w:rsidRDefault="00854056" w:rsidP="00854056">
      <w:pPr>
        <w:pStyle w:val="Sinespaciado"/>
        <w:jc w:val="both"/>
        <w:rPr>
          <w:rFonts w:ascii="Times New Roman" w:hAnsi="Times New Roman" w:cs="Times New Roman"/>
          <w:sz w:val="12"/>
          <w:lang w:val="es-MX"/>
        </w:rPr>
      </w:pPr>
      <w:r w:rsidRPr="003C5099">
        <w:rPr>
          <w:rFonts w:ascii="Times New Roman" w:hAnsi="Times New Roman" w:cs="Times New Roman"/>
          <w:sz w:val="12"/>
          <w:lang w:val="es-MX"/>
        </w:rPr>
        <w:t>Fuente: Dirección de Análisis y Política Fiscal</w:t>
      </w:r>
    </w:p>
    <w:p w:rsidR="00854056" w:rsidRDefault="00854056" w:rsidP="00EF6C10">
      <w:pPr>
        <w:pStyle w:val="Sinespaciado"/>
        <w:jc w:val="both"/>
        <w:rPr>
          <w:rFonts w:ascii="Times New Roman" w:hAnsi="Times New Roman" w:cs="Times New Roman"/>
          <w:lang w:val="es-MX"/>
        </w:rPr>
      </w:pPr>
    </w:p>
    <w:p w:rsidR="00E66D12" w:rsidRDefault="008D7BCA" w:rsidP="00317176">
      <w:pPr>
        <w:pStyle w:val="Sinespaciado"/>
        <w:jc w:val="both"/>
        <w:rPr>
          <w:rFonts w:ascii="Times New Roman" w:hAnsi="Times New Roman" w:cs="Times New Roman"/>
          <w:lang w:val="es-MX"/>
        </w:rPr>
      </w:pPr>
      <w:r>
        <w:rPr>
          <w:rFonts w:ascii="Times New Roman" w:hAnsi="Times New Roman" w:cs="Times New Roman"/>
          <w:lang w:val="es-MX"/>
        </w:rPr>
        <w:t>Otro impuesto del que es importante comentar es el relacionado con la Distribución del</w:t>
      </w:r>
      <w:r w:rsidR="00E66D12">
        <w:rPr>
          <w:rFonts w:ascii="Times New Roman" w:hAnsi="Times New Roman" w:cs="Times New Roman"/>
          <w:lang w:val="es-MX"/>
        </w:rPr>
        <w:t xml:space="preserve"> Petróleo Crudo y sus derivados.</w:t>
      </w:r>
      <w:r>
        <w:rPr>
          <w:rFonts w:ascii="Times New Roman" w:hAnsi="Times New Roman" w:cs="Times New Roman"/>
          <w:lang w:val="es-MX"/>
        </w:rPr>
        <w:t xml:space="preserve"> </w:t>
      </w:r>
      <w:r w:rsidR="00E66D12">
        <w:rPr>
          <w:rFonts w:ascii="Times New Roman" w:hAnsi="Times New Roman" w:cs="Times New Roman"/>
          <w:lang w:val="es-MX"/>
        </w:rPr>
        <w:t>E</w:t>
      </w:r>
      <w:r>
        <w:rPr>
          <w:rFonts w:ascii="Times New Roman" w:hAnsi="Times New Roman" w:cs="Times New Roman"/>
          <w:lang w:val="es-MX"/>
        </w:rPr>
        <w:t>ste impuesto presenta un crecimiento interanual de 22.6%, con relación a la meta</w:t>
      </w:r>
      <w:r w:rsidR="00E66D12">
        <w:rPr>
          <w:rFonts w:ascii="Times New Roman" w:hAnsi="Times New Roman" w:cs="Times New Roman"/>
          <w:lang w:val="es-MX"/>
        </w:rPr>
        <w:t xml:space="preserve">. Este incremento </w:t>
      </w:r>
      <w:r w:rsidR="00233593">
        <w:rPr>
          <w:rFonts w:ascii="Times New Roman" w:hAnsi="Times New Roman" w:cs="Times New Roman"/>
          <w:lang w:val="es-MX"/>
        </w:rPr>
        <w:t>está</w:t>
      </w:r>
      <w:r w:rsidR="00E66D12">
        <w:rPr>
          <w:rFonts w:ascii="Times New Roman" w:hAnsi="Times New Roman" w:cs="Times New Roman"/>
          <w:lang w:val="es-MX"/>
        </w:rPr>
        <w:t xml:space="preserve"> determinado en gran parte a </w:t>
      </w:r>
      <w:r>
        <w:rPr>
          <w:rFonts w:ascii="Times New Roman" w:hAnsi="Times New Roman" w:cs="Times New Roman"/>
          <w:lang w:val="es-MX"/>
        </w:rPr>
        <w:t xml:space="preserve">la caída en el precio internacional de los combustibles y por </w:t>
      </w:r>
      <w:r w:rsidR="00E66D12">
        <w:rPr>
          <w:rFonts w:ascii="Times New Roman" w:hAnsi="Times New Roman" w:cs="Times New Roman"/>
          <w:lang w:val="es-MX"/>
        </w:rPr>
        <w:t xml:space="preserve">ende </w:t>
      </w:r>
      <w:r>
        <w:rPr>
          <w:rFonts w:ascii="Times New Roman" w:hAnsi="Times New Roman" w:cs="Times New Roman"/>
          <w:lang w:val="es-MX"/>
        </w:rPr>
        <w:t xml:space="preserve">el aumento del consumo que según el </w:t>
      </w:r>
      <w:r>
        <w:rPr>
          <w:rFonts w:ascii="Times New Roman" w:hAnsi="Times New Roman" w:cs="Times New Roman"/>
          <w:lang w:val="es-MX"/>
        </w:rPr>
        <w:lastRenderedPageBreak/>
        <w:t>Ministerio de Energía y Minas para el mes de enero se ubicó en 13%</w:t>
      </w:r>
      <w:r w:rsidR="00E66D12">
        <w:rPr>
          <w:rFonts w:ascii="Times New Roman" w:hAnsi="Times New Roman" w:cs="Times New Roman"/>
          <w:lang w:val="es-MX"/>
        </w:rPr>
        <w:t>.</w:t>
      </w:r>
    </w:p>
    <w:p w:rsidR="00E66D12" w:rsidRDefault="00E66D12" w:rsidP="00317176">
      <w:pPr>
        <w:pStyle w:val="Sinespaciado"/>
        <w:jc w:val="both"/>
        <w:rPr>
          <w:rFonts w:ascii="Times New Roman" w:hAnsi="Times New Roman" w:cs="Times New Roman"/>
          <w:lang w:val="es-MX"/>
        </w:rPr>
      </w:pPr>
    </w:p>
    <w:p w:rsidR="00940706" w:rsidRDefault="00E66D12" w:rsidP="00317176">
      <w:pPr>
        <w:pStyle w:val="Sinespaciado"/>
        <w:jc w:val="both"/>
        <w:rPr>
          <w:rFonts w:ascii="Times New Roman" w:hAnsi="Times New Roman" w:cs="Times New Roman"/>
          <w:lang w:val="es-MX"/>
        </w:rPr>
      </w:pPr>
      <w:r>
        <w:rPr>
          <w:rFonts w:ascii="Times New Roman" w:hAnsi="Times New Roman" w:cs="Times New Roman"/>
          <w:lang w:val="es-MX"/>
        </w:rPr>
        <w:t>E</w:t>
      </w:r>
      <w:r w:rsidR="0007249B">
        <w:rPr>
          <w:rFonts w:ascii="Times New Roman" w:hAnsi="Times New Roman" w:cs="Times New Roman"/>
          <w:lang w:val="es-MX"/>
        </w:rPr>
        <w:t>l resto de impuestos asociados a los productos industriales</w:t>
      </w:r>
      <w:r>
        <w:rPr>
          <w:rFonts w:ascii="Times New Roman" w:hAnsi="Times New Roman" w:cs="Times New Roman"/>
          <w:lang w:val="es-MX"/>
        </w:rPr>
        <w:t>,</w:t>
      </w:r>
      <w:r w:rsidR="0007249B">
        <w:rPr>
          <w:rFonts w:ascii="Times New Roman" w:hAnsi="Times New Roman" w:cs="Times New Roman"/>
          <w:lang w:val="es-MX"/>
        </w:rPr>
        <w:t xml:space="preserve"> </w:t>
      </w:r>
      <w:r w:rsidR="00DF36A2">
        <w:rPr>
          <w:rFonts w:ascii="Times New Roman" w:hAnsi="Times New Roman" w:cs="Times New Roman"/>
          <w:lang w:val="es-MX"/>
        </w:rPr>
        <w:t>tal el c</w:t>
      </w:r>
      <w:r w:rsidR="0007249B">
        <w:rPr>
          <w:rFonts w:ascii="Times New Roman" w:hAnsi="Times New Roman" w:cs="Times New Roman"/>
          <w:lang w:val="es-MX"/>
        </w:rPr>
        <w:t xml:space="preserve">aso de la Distribución de Bebidas </w:t>
      </w:r>
      <w:r w:rsidR="00DF36A2">
        <w:rPr>
          <w:rFonts w:ascii="Times New Roman" w:hAnsi="Times New Roman" w:cs="Times New Roman"/>
          <w:lang w:val="es-MX"/>
        </w:rPr>
        <w:t>refleja un ritmo de crecimiento interanual de 10.6% y cumplimiento de metas en el orden de 6.1%</w:t>
      </w:r>
      <w:r>
        <w:rPr>
          <w:rFonts w:ascii="Times New Roman" w:hAnsi="Times New Roman" w:cs="Times New Roman"/>
          <w:lang w:val="es-MX"/>
        </w:rPr>
        <w:t>.</w:t>
      </w:r>
      <w:r w:rsidR="00DF36A2">
        <w:rPr>
          <w:rFonts w:ascii="Times New Roman" w:hAnsi="Times New Roman" w:cs="Times New Roman"/>
          <w:lang w:val="es-MX"/>
        </w:rPr>
        <w:t xml:space="preserve"> </w:t>
      </w:r>
      <w:r>
        <w:rPr>
          <w:rFonts w:ascii="Times New Roman" w:hAnsi="Times New Roman" w:cs="Times New Roman"/>
          <w:lang w:val="es-MX"/>
        </w:rPr>
        <w:t>E</w:t>
      </w:r>
      <w:r w:rsidR="00DF36A2">
        <w:rPr>
          <w:rFonts w:ascii="Times New Roman" w:hAnsi="Times New Roman" w:cs="Times New Roman"/>
          <w:lang w:val="es-MX"/>
        </w:rPr>
        <w:t xml:space="preserve">l Cemento </w:t>
      </w:r>
      <w:r>
        <w:rPr>
          <w:rFonts w:ascii="Times New Roman" w:hAnsi="Times New Roman" w:cs="Times New Roman"/>
          <w:lang w:val="es-MX"/>
        </w:rPr>
        <w:t>t</w:t>
      </w:r>
      <w:r w:rsidR="00DF36A2">
        <w:rPr>
          <w:rFonts w:ascii="Times New Roman" w:hAnsi="Times New Roman" w:cs="Times New Roman"/>
          <w:lang w:val="es-MX"/>
        </w:rPr>
        <w:t>iene un crecimiento interanual de 122.3% producto del cambio de tasa del impuesto</w:t>
      </w:r>
      <w:r>
        <w:rPr>
          <w:rFonts w:ascii="Times New Roman" w:hAnsi="Times New Roman" w:cs="Times New Roman"/>
          <w:lang w:val="es-MX"/>
        </w:rPr>
        <w:t>,</w:t>
      </w:r>
      <w:r w:rsidR="00DF36A2">
        <w:rPr>
          <w:rFonts w:ascii="Times New Roman" w:hAnsi="Times New Roman" w:cs="Times New Roman"/>
          <w:lang w:val="es-MX"/>
        </w:rPr>
        <w:t xml:space="preserve"> ya que ahora se liquida con tasa de Q 5.00 por saco de 42 kg</w:t>
      </w:r>
      <w:r>
        <w:rPr>
          <w:rFonts w:ascii="Times New Roman" w:hAnsi="Times New Roman" w:cs="Times New Roman"/>
          <w:lang w:val="es-MX"/>
        </w:rPr>
        <w:t>.</w:t>
      </w:r>
      <w:r w:rsidR="00DF36A2">
        <w:rPr>
          <w:rFonts w:ascii="Times New Roman" w:hAnsi="Times New Roman" w:cs="Times New Roman"/>
          <w:lang w:val="es-MX"/>
        </w:rPr>
        <w:t xml:space="preserve"> </w:t>
      </w:r>
      <w:r>
        <w:rPr>
          <w:rFonts w:ascii="Times New Roman" w:hAnsi="Times New Roman" w:cs="Times New Roman"/>
          <w:lang w:val="es-MX"/>
        </w:rPr>
        <w:t>C</w:t>
      </w:r>
      <w:r w:rsidR="00DF36A2">
        <w:rPr>
          <w:rFonts w:ascii="Times New Roman" w:hAnsi="Times New Roman" w:cs="Times New Roman"/>
          <w:lang w:val="es-MX"/>
        </w:rPr>
        <w:t>on relación a la meta de SAT esta fue superada en 9.6%</w:t>
      </w:r>
      <w:r>
        <w:rPr>
          <w:rFonts w:ascii="Times New Roman" w:hAnsi="Times New Roman" w:cs="Times New Roman"/>
          <w:lang w:val="es-MX"/>
        </w:rPr>
        <w:t>.</w:t>
      </w:r>
      <w:r w:rsidR="00DF36A2">
        <w:rPr>
          <w:rFonts w:ascii="Times New Roman" w:hAnsi="Times New Roman" w:cs="Times New Roman"/>
          <w:lang w:val="es-MX"/>
        </w:rPr>
        <w:t xml:space="preserve"> </w:t>
      </w:r>
      <w:r>
        <w:rPr>
          <w:rFonts w:ascii="Times New Roman" w:hAnsi="Times New Roman" w:cs="Times New Roman"/>
          <w:lang w:val="es-MX"/>
        </w:rPr>
        <w:t>E</w:t>
      </w:r>
      <w:r w:rsidR="00DF36A2">
        <w:rPr>
          <w:rFonts w:ascii="Times New Roman" w:hAnsi="Times New Roman" w:cs="Times New Roman"/>
          <w:lang w:val="es-MX"/>
        </w:rPr>
        <w:t>l impuesto a los tabacos de igual manera que el año anterior presenta decrecimiento en los primeros dos meses del año</w:t>
      </w:r>
      <w:r>
        <w:rPr>
          <w:rFonts w:ascii="Times New Roman" w:hAnsi="Times New Roman" w:cs="Times New Roman"/>
          <w:lang w:val="es-MX"/>
        </w:rPr>
        <w:t>.</w:t>
      </w:r>
    </w:p>
    <w:p w:rsidR="00301F54" w:rsidRDefault="00301F54" w:rsidP="00EF6C10">
      <w:pPr>
        <w:pStyle w:val="Sinespaciado"/>
        <w:jc w:val="both"/>
        <w:rPr>
          <w:rFonts w:ascii="Times New Roman" w:hAnsi="Times New Roman" w:cs="Times New Roman"/>
          <w:lang w:val="es-MX"/>
        </w:rPr>
      </w:pPr>
    </w:p>
    <w:p w:rsidR="00854056" w:rsidRPr="00854056" w:rsidRDefault="0002316D" w:rsidP="00854056">
      <w:pPr>
        <w:pStyle w:val="Sinespaciado"/>
        <w:jc w:val="center"/>
        <w:rPr>
          <w:rFonts w:ascii="Times New Roman" w:hAnsi="Times New Roman" w:cs="Times New Roman"/>
          <w:b/>
          <w:lang w:val="es-MX"/>
        </w:rPr>
      </w:pPr>
      <w:r>
        <w:rPr>
          <w:rFonts w:ascii="Times New Roman" w:hAnsi="Times New Roman" w:cs="Times New Roman"/>
          <w:b/>
          <w:lang w:val="es-MX"/>
        </w:rPr>
        <w:t>Recaudación</w:t>
      </w:r>
      <w:r w:rsidR="00854056">
        <w:rPr>
          <w:rFonts w:ascii="Times New Roman" w:hAnsi="Times New Roman" w:cs="Times New Roman"/>
          <w:b/>
          <w:lang w:val="es-MX"/>
        </w:rPr>
        <w:t xml:space="preserve"> Total</w:t>
      </w:r>
    </w:p>
    <w:p w:rsidR="00854056" w:rsidRPr="00854056" w:rsidRDefault="00854056" w:rsidP="00854056">
      <w:pPr>
        <w:pStyle w:val="Sinespaciado"/>
        <w:jc w:val="center"/>
        <w:rPr>
          <w:rFonts w:ascii="Times New Roman" w:hAnsi="Times New Roman" w:cs="Times New Roman"/>
          <w:b/>
          <w:lang w:val="es-MX"/>
        </w:rPr>
      </w:pPr>
      <w:r w:rsidRPr="00854056">
        <w:rPr>
          <w:rFonts w:ascii="Times New Roman" w:hAnsi="Times New Roman" w:cs="Times New Roman"/>
          <w:b/>
          <w:lang w:val="es-MX"/>
        </w:rPr>
        <w:t>Al 28 de Febrero</w:t>
      </w:r>
    </w:p>
    <w:p w:rsidR="00842321" w:rsidRDefault="00647681" w:rsidP="00EF6C10">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F4D66AB" wp14:editId="0768960D">
            <wp:extent cx="2343150" cy="30765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4056" w:rsidRPr="003C5099" w:rsidRDefault="00854056" w:rsidP="00854056">
      <w:pPr>
        <w:pStyle w:val="Sinespaciado"/>
        <w:jc w:val="both"/>
        <w:rPr>
          <w:rFonts w:ascii="Times New Roman" w:hAnsi="Times New Roman" w:cs="Times New Roman"/>
          <w:sz w:val="12"/>
          <w:lang w:val="es-MX"/>
        </w:rPr>
      </w:pPr>
      <w:r w:rsidRPr="003C5099">
        <w:rPr>
          <w:rFonts w:ascii="Times New Roman" w:hAnsi="Times New Roman" w:cs="Times New Roman"/>
          <w:sz w:val="12"/>
          <w:lang w:val="es-MX"/>
        </w:rPr>
        <w:t>Fuente: Dirección de Análisis y Política Fiscal</w:t>
      </w:r>
    </w:p>
    <w:p w:rsidR="00317176" w:rsidRDefault="00317176" w:rsidP="00854056">
      <w:pPr>
        <w:pStyle w:val="Sinespaciado"/>
        <w:jc w:val="both"/>
        <w:rPr>
          <w:rFonts w:ascii="Times New Roman" w:hAnsi="Times New Roman" w:cs="Times New Roman"/>
          <w:sz w:val="16"/>
          <w:lang w:val="es-MX"/>
        </w:rPr>
        <w:sectPr w:rsidR="00317176" w:rsidSect="00317176">
          <w:type w:val="continuous"/>
          <w:pgSz w:w="12240" w:h="15840"/>
          <w:pgMar w:top="851" w:right="1701" w:bottom="1418" w:left="1701" w:header="709" w:footer="709" w:gutter="0"/>
          <w:cols w:num="2" w:space="708"/>
          <w:docGrid w:linePitch="360"/>
        </w:sectPr>
      </w:pPr>
    </w:p>
    <w:p w:rsidR="00317176" w:rsidRDefault="00317176" w:rsidP="00854056">
      <w:pPr>
        <w:pStyle w:val="Sinespaciado"/>
        <w:jc w:val="both"/>
        <w:rPr>
          <w:rFonts w:ascii="Times New Roman" w:hAnsi="Times New Roman" w:cs="Times New Roman"/>
          <w:sz w:val="16"/>
          <w:lang w:val="es-MX"/>
        </w:rPr>
      </w:pPr>
    </w:p>
    <w:p w:rsidR="00317176" w:rsidRPr="00317176" w:rsidRDefault="00317176" w:rsidP="00854056">
      <w:pPr>
        <w:pStyle w:val="Sinespaciado"/>
        <w:jc w:val="both"/>
        <w:rPr>
          <w:rFonts w:ascii="Times New Roman" w:hAnsi="Times New Roman" w:cs="Times New Roman"/>
          <w:lang w:val="es-MX"/>
        </w:rPr>
        <w:sectPr w:rsidR="00317176" w:rsidRPr="00317176" w:rsidSect="00317176">
          <w:type w:val="continuous"/>
          <w:pgSz w:w="12240" w:h="15840"/>
          <w:pgMar w:top="851" w:right="1701" w:bottom="1418" w:left="1701" w:header="709" w:footer="709" w:gutter="0"/>
          <w:cols w:space="708"/>
          <w:docGrid w:linePitch="360"/>
        </w:sectPr>
      </w:pPr>
    </w:p>
    <w:p w:rsidR="002F51BC" w:rsidRPr="00D8200F" w:rsidRDefault="002F51BC" w:rsidP="00EF6C1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 xml:space="preserve">Gasto público: </w:t>
      </w:r>
      <w:r>
        <w:rPr>
          <w:rFonts w:ascii="Times New Roman" w:hAnsi="Times New Roman" w:cs="Times New Roman"/>
          <w:b/>
        </w:rPr>
        <w:t>ac</w:t>
      </w:r>
      <w:r w:rsidRPr="00D8200F">
        <w:rPr>
          <w:rFonts w:ascii="Times New Roman" w:hAnsi="Times New Roman" w:cs="Times New Roman"/>
          <w:b/>
        </w:rPr>
        <w:t>eleración en la ejecución</w:t>
      </w:r>
    </w:p>
    <w:p w:rsidR="00417B82" w:rsidRPr="00D17DED" w:rsidRDefault="00417B82" w:rsidP="00EF6C10">
      <w:pPr>
        <w:spacing w:after="0" w:line="240" w:lineRule="auto"/>
        <w:rPr>
          <w:rFonts w:ascii="Times New Roman" w:hAnsi="Times New Roman" w:cs="Times New Roman"/>
          <w:sz w:val="16"/>
          <w:szCs w:val="16"/>
          <w:lang w:val="es-MX"/>
        </w:rPr>
        <w:sectPr w:rsidR="00417B82" w:rsidRPr="00D17DED" w:rsidSect="00D17DED">
          <w:type w:val="continuous"/>
          <w:pgSz w:w="12240" w:h="15840"/>
          <w:pgMar w:top="851" w:right="1701" w:bottom="1418" w:left="1701" w:header="709" w:footer="709" w:gutter="0"/>
          <w:cols w:space="708"/>
          <w:docGrid w:linePitch="360"/>
        </w:sectPr>
      </w:pPr>
    </w:p>
    <w:p w:rsidR="00D17DED" w:rsidRDefault="00D17DED" w:rsidP="00EF6C10">
      <w:pPr>
        <w:pStyle w:val="Sinespaciado"/>
        <w:jc w:val="both"/>
        <w:rPr>
          <w:rFonts w:ascii="Times New Roman" w:hAnsi="Times New Roman" w:cs="Times New Roman"/>
          <w:lang w:val="es-MX"/>
        </w:rPr>
      </w:pPr>
    </w:p>
    <w:p w:rsidR="001C1EE6" w:rsidRDefault="001C1EE6" w:rsidP="00EF6C10">
      <w:pPr>
        <w:pStyle w:val="Sinespaciado"/>
        <w:jc w:val="both"/>
        <w:rPr>
          <w:rFonts w:ascii="Times New Roman" w:hAnsi="Times New Roman" w:cs="Times New Roman"/>
          <w:lang w:val="es-MX"/>
        </w:rPr>
        <w:sectPr w:rsidR="001C1EE6" w:rsidSect="001C1EE6">
          <w:type w:val="continuous"/>
          <w:pgSz w:w="12240" w:h="15840"/>
          <w:pgMar w:top="1627" w:right="1701" w:bottom="1417" w:left="1701" w:header="708" w:footer="708" w:gutter="0"/>
          <w:cols w:space="708"/>
          <w:docGrid w:linePitch="360"/>
        </w:sect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Una de las principales características de la gestión financiera a febrero, es el alto dinamismo en la ejecución de gasto público. El contar con un presupuesto aprobado por el Congreso de la República con sus respectivas fuentes de financiamiento, permitió una importante movilización de recursos de </w:t>
      </w:r>
      <w:r>
        <w:rPr>
          <w:rFonts w:ascii="Times New Roman" w:hAnsi="Times New Roman" w:cs="Times New Roman"/>
          <w:lang w:val="es-MX"/>
        </w:rPr>
        <w:lastRenderedPageBreak/>
        <w:t>endeudamiento</w:t>
      </w:r>
      <w:r w:rsidR="00AA7357">
        <w:rPr>
          <w:rFonts w:ascii="Times New Roman" w:hAnsi="Times New Roman" w:cs="Times New Roman"/>
          <w:lang w:val="es-MX"/>
        </w:rPr>
        <w:t>. Movilización que se dio a</w:t>
      </w:r>
      <w:r>
        <w:rPr>
          <w:rFonts w:ascii="Times New Roman" w:hAnsi="Times New Roman" w:cs="Times New Roman"/>
          <w:lang w:val="es-MX"/>
        </w:rPr>
        <w:t xml:space="preserve"> través de un nivel adecuado de colocación de Bonos del Tesoro y por </w:t>
      </w:r>
      <w:r w:rsidR="00AA7357">
        <w:rPr>
          <w:rFonts w:ascii="Times New Roman" w:hAnsi="Times New Roman" w:cs="Times New Roman"/>
          <w:lang w:val="es-MX"/>
        </w:rPr>
        <w:t xml:space="preserve">los </w:t>
      </w:r>
      <w:r>
        <w:rPr>
          <w:rFonts w:ascii="Times New Roman" w:hAnsi="Times New Roman" w:cs="Times New Roman"/>
          <w:lang w:val="es-MX"/>
        </w:rPr>
        <w:t xml:space="preserve">desembolsos de préstamos externos esperados para este año (apoyo presupuestario del Banco Mundial US$340 millones). </w:t>
      </w:r>
    </w:p>
    <w:p w:rsidR="003C552F" w:rsidRDefault="003C552F" w:rsidP="00EF6C10">
      <w:pPr>
        <w:pStyle w:val="Sinespaciado"/>
        <w:jc w:val="both"/>
        <w:rPr>
          <w:rFonts w:ascii="Times New Roman" w:hAnsi="Times New Roman" w:cs="Times New Roman"/>
          <w:lang w:val="es-MX"/>
        </w:r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lastRenderedPageBreak/>
        <w:t>En efecto, el nivel de ejecuci</w:t>
      </w:r>
      <w:r w:rsidR="0050409B">
        <w:rPr>
          <w:rFonts w:ascii="Times New Roman" w:hAnsi="Times New Roman" w:cs="Times New Roman"/>
          <w:lang w:val="es-MX"/>
        </w:rPr>
        <w:t>ón de gasto público se sitúo en</w:t>
      </w:r>
      <w:r>
        <w:rPr>
          <w:rFonts w:ascii="Times New Roman" w:hAnsi="Times New Roman" w:cs="Times New Roman"/>
          <w:lang w:val="es-MX"/>
        </w:rPr>
        <w:t xml:space="preserve"> </w:t>
      </w:r>
      <w:r w:rsidR="00DA09AA">
        <w:rPr>
          <w:rFonts w:ascii="Times New Roman" w:hAnsi="Times New Roman" w:cs="Times New Roman"/>
          <w:lang w:val="es-MX"/>
        </w:rPr>
        <w:t>Q</w:t>
      </w:r>
      <w:r w:rsidR="006C63E6">
        <w:rPr>
          <w:rFonts w:ascii="Times New Roman" w:hAnsi="Times New Roman" w:cs="Times New Roman"/>
          <w:lang w:val="es-MX"/>
        </w:rPr>
        <w:t xml:space="preserve"> </w:t>
      </w:r>
      <w:r w:rsidRPr="009C766D">
        <w:rPr>
          <w:rFonts w:ascii="Times New Roman" w:hAnsi="Times New Roman" w:cs="Times New Roman"/>
          <w:lang w:val="es-MX"/>
        </w:rPr>
        <w:t>8,729.8 millones</w:t>
      </w:r>
      <w:r w:rsidRPr="00F92177">
        <w:rPr>
          <w:rFonts w:ascii="Times New Roman" w:hAnsi="Times New Roman" w:cs="Times New Roman"/>
          <w:lang w:val="es-MX"/>
        </w:rPr>
        <w:t xml:space="preserve">, con un crecimiento interanual </w:t>
      </w:r>
      <w:r>
        <w:rPr>
          <w:rFonts w:ascii="Times New Roman" w:hAnsi="Times New Roman" w:cs="Times New Roman"/>
          <w:lang w:val="es-MX"/>
        </w:rPr>
        <w:t xml:space="preserve">de </w:t>
      </w:r>
      <w:r w:rsidRPr="009C766D">
        <w:rPr>
          <w:rFonts w:ascii="Times New Roman" w:hAnsi="Times New Roman" w:cs="Times New Roman"/>
          <w:lang w:val="es-MX"/>
        </w:rPr>
        <w:t>22.4%,</w:t>
      </w:r>
      <w:r>
        <w:rPr>
          <w:rFonts w:ascii="Times New Roman" w:hAnsi="Times New Roman" w:cs="Times New Roman"/>
          <w:lang w:val="es-MX"/>
        </w:rPr>
        <w:t xml:space="preserve"> el cual contrasta con el desempeño obtenido en febrero del año anterior cuya ejecución mostró una contracción interanual de </w:t>
      </w:r>
      <w:r w:rsidRPr="009C766D">
        <w:rPr>
          <w:rFonts w:ascii="Times New Roman" w:hAnsi="Times New Roman" w:cs="Times New Roman"/>
          <w:lang w:val="es-MX"/>
        </w:rPr>
        <w:t>2.1%.</w:t>
      </w:r>
    </w:p>
    <w:p w:rsidR="003C552F" w:rsidRDefault="003C552F" w:rsidP="00EF6C10">
      <w:pPr>
        <w:pStyle w:val="Sinespaciado"/>
        <w:jc w:val="both"/>
        <w:rPr>
          <w:rFonts w:ascii="Times New Roman" w:hAnsi="Times New Roman" w:cs="Times New Roman"/>
          <w:lang w:val="es-MX"/>
        </w:r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 xml:space="preserve">Asimismo, el ritmo de ejecución observado a la fecha, está por arriba del crecimiento  esperado para este año (13.2%), siendo </w:t>
      </w:r>
      <w:r w:rsidR="00DA09AA">
        <w:rPr>
          <w:rFonts w:ascii="Times New Roman" w:hAnsi="Times New Roman" w:cs="Times New Roman"/>
          <w:lang w:val="es-MX"/>
        </w:rPr>
        <w:t>este el</w:t>
      </w:r>
      <w:r>
        <w:rPr>
          <w:rFonts w:ascii="Times New Roman" w:hAnsi="Times New Roman" w:cs="Times New Roman"/>
          <w:lang w:val="es-MX"/>
        </w:rPr>
        <w:t xml:space="preserve"> incremento interanual más alto observado en esta administración. Esta señal de cambio en el gasto, es característica del último año de administración gubernamental.</w:t>
      </w:r>
      <w:r w:rsidR="003919AB">
        <w:rPr>
          <w:rFonts w:ascii="Times New Roman" w:hAnsi="Times New Roman" w:cs="Times New Roman"/>
          <w:lang w:val="es-MX"/>
        </w:rPr>
        <w:t xml:space="preserve"> </w:t>
      </w:r>
      <w:r>
        <w:rPr>
          <w:rFonts w:ascii="Times New Roman" w:hAnsi="Times New Roman" w:cs="Times New Roman"/>
          <w:lang w:val="es-MX"/>
        </w:rPr>
        <w:t>Los rubros de gasto que mostraron más dinamismo fueron: la nómina estatal cuyo crecimiento super</w:t>
      </w:r>
      <w:r w:rsidR="00DA09AA">
        <w:rPr>
          <w:rFonts w:ascii="Times New Roman" w:hAnsi="Times New Roman" w:cs="Times New Roman"/>
          <w:lang w:val="es-MX"/>
        </w:rPr>
        <w:t xml:space="preserve">a el 20% debido al pago oportuno </w:t>
      </w:r>
      <w:r>
        <w:rPr>
          <w:rFonts w:ascii="Times New Roman" w:hAnsi="Times New Roman" w:cs="Times New Roman"/>
          <w:lang w:val="es-MX"/>
        </w:rPr>
        <w:t xml:space="preserve">de la nómina ministerial, especialmente los aumentos salariales como los realizados en el ministerio de educación.   </w:t>
      </w:r>
    </w:p>
    <w:p w:rsidR="003C552F" w:rsidRDefault="003C552F" w:rsidP="00EF6C10">
      <w:pPr>
        <w:pStyle w:val="Sinespaciado"/>
        <w:jc w:val="both"/>
        <w:rPr>
          <w:rFonts w:ascii="Times New Roman" w:hAnsi="Times New Roman" w:cs="Times New Roman"/>
          <w:lang w:val="es-MX"/>
        </w:r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 xml:space="preserve">Asimismo, el rubro </w:t>
      </w:r>
      <w:r w:rsidR="008D3700">
        <w:rPr>
          <w:rFonts w:ascii="Times New Roman" w:hAnsi="Times New Roman" w:cs="Times New Roman"/>
          <w:lang w:val="es-MX"/>
        </w:rPr>
        <w:t>de bienes y servicios</w:t>
      </w:r>
      <w:r>
        <w:rPr>
          <w:rFonts w:ascii="Times New Roman" w:hAnsi="Times New Roman" w:cs="Times New Roman"/>
          <w:lang w:val="es-MX"/>
        </w:rPr>
        <w:t xml:space="preserve"> registra un crecimiento interanual importante</w:t>
      </w:r>
      <w:r>
        <w:t xml:space="preserve"> </w:t>
      </w:r>
      <w:r w:rsidRPr="00705815">
        <w:rPr>
          <w:rFonts w:ascii="Times New Roman" w:hAnsi="Times New Roman" w:cs="Times New Roman"/>
        </w:rPr>
        <w:t>superior al 80%</w:t>
      </w:r>
      <w:r>
        <w:rPr>
          <w:rFonts w:ascii="Times New Roman" w:hAnsi="Times New Roman" w:cs="Times New Roman"/>
          <w:lang w:val="es-MX"/>
        </w:rPr>
        <w:t xml:space="preserve"> y se transfirieron una mayor cantidad de recursos</w:t>
      </w:r>
      <w:r w:rsidR="00AA7357">
        <w:rPr>
          <w:rFonts w:ascii="Times New Roman" w:hAnsi="Times New Roman" w:cs="Times New Roman"/>
          <w:lang w:val="es-MX"/>
        </w:rPr>
        <w:t xml:space="preserve"> </w:t>
      </w:r>
      <w:r>
        <w:rPr>
          <w:rFonts w:ascii="Times New Roman" w:hAnsi="Times New Roman" w:cs="Times New Roman"/>
          <w:lang w:val="es-MX"/>
        </w:rPr>
        <w:t xml:space="preserve">a </w:t>
      </w:r>
      <w:r w:rsidR="008D3700">
        <w:rPr>
          <w:rFonts w:ascii="Times New Roman" w:hAnsi="Times New Roman" w:cs="Times New Roman"/>
          <w:lang w:val="es-MX"/>
        </w:rPr>
        <w:t xml:space="preserve">Organizaciones No Gubernamentales (ONG), </w:t>
      </w:r>
      <w:r>
        <w:rPr>
          <w:rFonts w:ascii="Times New Roman" w:hAnsi="Times New Roman" w:cs="Times New Roman"/>
          <w:lang w:val="es-MX"/>
        </w:rPr>
        <w:t>entidades descentralizadas y autónomas.</w:t>
      </w: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Por su parte, el gasto de capital  mostró un crecimiento interanual de 11.2%</w:t>
      </w:r>
      <w:r w:rsidR="00AA7357">
        <w:rPr>
          <w:rFonts w:ascii="Times New Roman" w:hAnsi="Times New Roman" w:cs="Times New Roman"/>
          <w:lang w:val="es-MX"/>
        </w:rPr>
        <w:t>,</w:t>
      </w:r>
      <w:r>
        <w:rPr>
          <w:rFonts w:ascii="Times New Roman" w:hAnsi="Times New Roman" w:cs="Times New Roman"/>
          <w:lang w:val="es-MX"/>
        </w:rPr>
        <w:t xml:space="preserve"> como resultado de una mayor asignación a las municipalidades</w:t>
      </w:r>
      <w:r w:rsidR="00AA7357">
        <w:rPr>
          <w:rFonts w:ascii="Times New Roman" w:hAnsi="Times New Roman" w:cs="Times New Roman"/>
          <w:lang w:val="es-MX"/>
        </w:rPr>
        <w:t>. Esto d</w:t>
      </w:r>
      <w:r>
        <w:rPr>
          <w:rFonts w:ascii="Times New Roman" w:hAnsi="Times New Roman" w:cs="Times New Roman"/>
          <w:lang w:val="es-MX"/>
        </w:rPr>
        <w:t>ebido al aumento en la estimación de la recaudaci</w:t>
      </w:r>
      <w:r w:rsidR="0050409B">
        <w:rPr>
          <w:rFonts w:ascii="Times New Roman" w:hAnsi="Times New Roman" w:cs="Times New Roman"/>
          <w:lang w:val="es-MX"/>
        </w:rPr>
        <w:t>ón contenida en el presupuesto.</w:t>
      </w:r>
      <w:r>
        <w:rPr>
          <w:rFonts w:ascii="Times New Roman" w:hAnsi="Times New Roman" w:cs="Times New Roman"/>
          <w:lang w:val="es-MX"/>
        </w:rPr>
        <w:t xml:space="preserve"> Asimismo, se observa un mayor aporte al FOPAVI con respecto a lo realizado e</w:t>
      </w:r>
      <w:r w:rsidR="00AA7357">
        <w:rPr>
          <w:rFonts w:ascii="Times New Roman" w:hAnsi="Times New Roman" w:cs="Times New Roman"/>
          <w:lang w:val="es-MX"/>
        </w:rPr>
        <w:t>n 2014</w:t>
      </w:r>
      <w:r>
        <w:rPr>
          <w:rFonts w:ascii="Times New Roman" w:hAnsi="Times New Roman" w:cs="Times New Roman"/>
          <w:lang w:val="es-MX"/>
        </w:rPr>
        <w:t xml:space="preserve">.  </w:t>
      </w:r>
    </w:p>
    <w:p w:rsidR="003C552F" w:rsidRDefault="003C552F" w:rsidP="00EF6C10">
      <w:pPr>
        <w:pStyle w:val="Sinespaciado"/>
        <w:jc w:val="both"/>
        <w:rPr>
          <w:rFonts w:ascii="Times New Roman" w:hAnsi="Times New Roman" w:cs="Times New Roman"/>
          <w:lang w:val="es-MX"/>
        </w:r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 xml:space="preserve">El único rubro de gasto que </w:t>
      </w:r>
      <w:r w:rsidR="00AA7357">
        <w:rPr>
          <w:rFonts w:ascii="Times New Roman" w:hAnsi="Times New Roman" w:cs="Times New Roman"/>
          <w:lang w:val="es-MX"/>
        </w:rPr>
        <w:t>registra</w:t>
      </w:r>
      <w:r>
        <w:rPr>
          <w:rFonts w:ascii="Times New Roman" w:hAnsi="Times New Roman" w:cs="Times New Roman"/>
          <w:lang w:val="es-MX"/>
        </w:rPr>
        <w:t xml:space="preserve"> una contracción </w:t>
      </w:r>
      <w:r w:rsidR="00AA7357">
        <w:rPr>
          <w:rFonts w:ascii="Times New Roman" w:hAnsi="Times New Roman" w:cs="Times New Roman"/>
          <w:lang w:val="es-MX"/>
        </w:rPr>
        <w:t>son</w:t>
      </w:r>
      <w:r>
        <w:rPr>
          <w:rFonts w:ascii="Times New Roman" w:hAnsi="Times New Roman" w:cs="Times New Roman"/>
          <w:lang w:val="es-MX"/>
        </w:rPr>
        <w:t xml:space="preserve"> los intereses de </w:t>
      </w:r>
      <w:r w:rsidR="00AA7357">
        <w:rPr>
          <w:rFonts w:ascii="Times New Roman" w:hAnsi="Times New Roman" w:cs="Times New Roman"/>
          <w:lang w:val="es-MX"/>
        </w:rPr>
        <w:t xml:space="preserve">la </w:t>
      </w:r>
      <w:r>
        <w:rPr>
          <w:rFonts w:ascii="Times New Roman" w:hAnsi="Times New Roman" w:cs="Times New Roman"/>
          <w:lang w:val="es-MX"/>
        </w:rPr>
        <w:t>deuda pública, debido a un rezago en la regularización de los pagos efectuados en la deuda interna en los últimos días del mes.</w:t>
      </w:r>
    </w:p>
    <w:p w:rsidR="003C552F" w:rsidRDefault="003C552F" w:rsidP="00EF6C10">
      <w:pPr>
        <w:pStyle w:val="Sinespaciado"/>
        <w:jc w:val="both"/>
        <w:rPr>
          <w:rFonts w:ascii="Times New Roman" w:hAnsi="Times New Roman" w:cs="Times New Roman"/>
          <w:lang w:val="es-MX"/>
        </w:rPr>
      </w:pPr>
    </w:p>
    <w:p w:rsidR="003C552F" w:rsidRDefault="003C552F" w:rsidP="00EF6C10">
      <w:pPr>
        <w:pStyle w:val="Sinespaciado"/>
        <w:jc w:val="both"/>
        <w:rPr>
          <w:rFonts w:ascii="Times New Roman" w:hAnsi="Times New Roman" w:cs="Times New Roman"/>
          <w:lang w:val="es-MX"/>
        </w:rPr>
      </w:pPr>
      <w:r>
        <w:rPr>
          <w:rFonts w:ascii="Times New Roman" w:hAnsi="Times New Roman" w:cs="Times New Roman"/>
          <w:lang w:val="es-MX"/>
        </w:rPr>
        <w:t>El comportamiento del gasto  permitió que el gr</w:t>
      </w:r>
      <w:r w:rsidR="00AA7357">
        <w:rPr>
          <w:rFonts w:ascii="Times New Roman" w:hAnsi="Times New Roman" w:cs="Times New Roman"/>
          <w:lang w:val="es-MX"/>
        </w:rPr>
        <w:t>ado de ejecución presupuestaria</w:t>
      </w:r>
      <w:r>
        <w:rPr>
          <w:rFonts w:ascii="Times New Roman" w:hAnsi="Times New Roman" w:cs="Times New Roman"/>
          <w:lang w:val="es-MX"/>
        </w:rPr>
        <w:t xml:space="preserve"> se ubicara al cierre de febrero en 13.2%, por arriba de lo obtenido en </w:t>
      </w:r>
      <w:r w:rsidR="00AA7357">
        <w:rPr>
          <w:rFonts w:ascii="Times New Roman" w:hAnsi="Times New Roman" w:cs="Times New Roman"/>
          <w:lang w:val="es-MX"/>
        </w:rPr>
        <w:t>el mismo</w:t>
      </w:r>
      <w:r>
        <w:rPr>
          <w:rFonts w:ascii="Times New Roman" w:hAnsi="Times New Roman" w:cs="Times New Roman"/>
          <w:lang w:val="es-MX"/>
        </w:rPr>
        <w:t xml:space="preserve"> período de 2014 (11.3%) </w:t>
      </w:r>
      <w:r w:rsidR="00970ECB">
        <w:rPr>
          <w:rFonts w:ascii="Times New Roman" w:hAnsi="Times New Roman" w:cs="Times New Roman"/>
          <w:lang w:val="es-MX"/>
        </w:rPr>
        <w:t xml:space="preserve">y </w:t>
      </w:r>
      <w:r>
        <w:rPr>
          <w:rFonts w:ascii="Times New Roman" w:hAnsi="Times New Roman" w:cs="Times New Roman"/>
          <w:lang w:val="es-MX"/>
        </w:rPr>
        <w:t xml:space="preserve">por arriba del promedio de los años </w:t>
      </w:r>
      <w:r w:rsidR="00970ECB">
        <w:rPr>
          <w:rFonts w:ascii="Times New Roman" w:hAnsi="Times New Roman" w:cs="Times New Roman"/>
          <w:lang w:val="es-MX"/>
        </w:rPr>
        <w:t>2008-2014,</w:t>
      </w:r>
      <w:r>
        <w:rPr>
          <w:rFonts w:ascii="Times New Roman" w:hAnsi="Times New Roman" w:cs="Times New Roman"/>
          <w:lang w:val="es-MX"/>
        </w:rPr>
        <w:t xml:space="preserve"> que fue de 11.8%. </w:t>
      </w:r>
    </w:p>
    <w:p w:rsidR="004E584F" w:rsidRDefault="004E584F" w:rsidP="00EF6C10">
      <w:pPr>
        <w:pStyle w:val="Sinespaciado"/>
        <w:jc w:val="both"/>
        <w:rPr>
          <w:rFonts w:ascii="Times New Roman" w:hAnsi="Times New Roman" w:cs="Times New Roman"/>
          <w:lang w:val="es-MX"/>
        </w:rPr>
      </w:pPr>
    </w:p>
    <w:p w:rsidR="003C552F" w:rsidRPr="002A1B95" w:rsidRDefault="003C552F" w:rsidP="00EF6C10">
      <w:pPr>
        <w:pStyle w:val="Sinespaciado"/>
        <w:jc w:val="center"/>
        <w:rPr>
          <w:rFonts w:ascii="Times New Roman" w:hAnsi="Times New Roman" w:cs="Times New Roman"/>
          <w:b/>
          <w:lang w:val="es-MX"/>
        </w:rPr>
      </w:pPr>
      <w:r>
        <w:rPr>
          <w:rFonts w:ascii="Times New Roman" w:hAnsi="Times New Roman" w:cs="Times New Roman"/>
          <w:b/>
          <w:lang w:val="es-MX"/>
        </w:rPr>
        <w:lastRenderedPageBreak/>
        <w:t>Grad</w:t>
      </w:r>
      <w:r w:rsidR="00970ECB">
        <w:rPr>
          <w:rFonts w:ascii="Times New Roman" w:hAnsi="Times New Roman" w:cs="Times New Roman"/>
          <w:b/>
          <w:lang w:val="es-MX"/>
        </w:rPr>
        <w:t>o de Ejecución Institucional</w:t>
      </w:r>
    </w:p>
    <w:p w:rsidR="003C552F" w:rsidRPr="005428FF" w:rsidRDefault="00970ECB" w:rsidP="00EF6C10">
      <w:pPr>
        <w:pStyle w:val="Sinespaciado"/>
        <w:jc w:val="center"/>
        <w:rPr>
          <w:rFonts w:ascii="Times New Roman" w:hAnsi="Times New Roman" w:cs="Times New Roman"/>
          <w:sz w:val="18"/>
          <w:lang w:val="es-MX"/>
        </w:rPr>
      </w:pPr>
      <w:r>
        <w:rPr>
          <w:rFonts w:ascii="Times New Roman" w:hAnsi="Times New Roman" w:cs="Times New Roman"/>
          <w:sz w:val="18"/>
          <w:lang w:val="es-MX"/>
        </w:rPr>
        <w:t xml:space="preserve">Acumulado al </w:t>
      </w:r>
      <w:r w:rsidR="003C552F" w:rsidRPr="005428FF">
        <w:rPr>
          <w:rFonts w:ascii="Times New Roman" w:hAnsi="Times New Roman" w:cs="Times New Roman"/>
          <w:sz w:val="18"/>
          <w:lang w:val="es-MX"/>
        </w:rPr>
        <w:t>28 de Febrero de 2015</w:t>
      </w:r>
    </w:p>
    <w:p w:rsidR="003C552F" w:rsidRDefault="003C552F" w:rsidP="00EF6C10">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27C454A8" wp14:editId="31F0895F">
            <wp:extent cx="2593975" cy="1609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111" cy="1618497"/>
                    </a:xfrm>
                    <a:prstGeom prst="rect">
                      <a:avLst/>
                    </a:prstGeom>
                    <a:noFill/>
                  </pic:spPr>
                </pic:pic>
              </a:graphicData>
            </a:graphic>
          </wp:inline>
        </w:drawing>
      </w:r>
    </w:p>
    <w:p w:rsidR="00970ECB" w:rsidRDefault="003C552F" w:rsidP="00EF6C10">
      <w:pPr>
        <w:pStyle w:val="Sinespaciado"/>
        <w:jc w:val="both"/>
        <w:rPr>
          <w:rFonts w:ascii="Times New Roman" w:hAnsi="Times New Roman" w:cs="Times New Roman"/>
          <w:sz w:val="12"/>
        </w:rPr>
      </w:pPr>
      <w:r w:rsidRPr="00582E23">
        <w:rPr>
          <w:rFonts w:ascii="Times New Roman" w:hAnsi="Times New Roman" w:cs="Times New Roman"/>
          <w:sz w:val="12"/>
        </w:rPr>
        <w:t>Fuente: Dirección de Análisis y Política fiscal</w:t>
      </w:r>
    </w:p>
    <w:p w:rsidR="00970ECB" w:rsidRDefault="00970ECB" w:rsidP="00EF6C10">
      <w:pPr>
        <w:pStyle w:val="Sinespaciado"/>
        <w:jc w:val="both"/>
        <w:rPr>
          <w:rFonts w:ascii="Times New Roman" w:hAnsi="Times New Roman" w:cs="Times New Roman"/>
        </w:rPr>
      </w:pPr>
    </w:p>
    <w:p w:rsidR="003C552F" w:rsidRDefault="003C552F" w:rsidP="00EF6C10">
      <w:pPr>
        <w:pStyle w:val="Sinespaciado"/>
        <w:jc w:val="both"/>
        <w:rPr>
          <w:rFonts w:ascii="Times New Roman" w:hAnsi="Times New Roman" w:cs="Times New Roman"/>
        </w:rPr>
      </w:pPr>
      <w:r>
        <w:rPr>
          <w:rFonts w:ascii="Times New Roman" w:hAnsi="Times New Roman" w:cs="Times New Roman"/>
        </w:rPr>
        <w:t>En cuanto al gasto social, en febrero de 2015 se ejecutaron Q</w:t>
      </w:r>
      <w:r w:rsidR="00317176">
        <w:rPr>
          <w:rFonts w:ascii="Times New Roman" w:hAnsi="Times New Roman" w:cs="Times New Roman"/>
        </w:rPr>
        <w:t xml:space="preserve"> </w:t>
      </w:r>
      <w:r>
        <w:rPr>
          <w:rFonts w:ascii="Times New Roman" w:hAnsi="Times New Roman" w:cs="Times New Roman"/>
        </w:rPr>
        <w:t>3,573.6 millones, 13.4</w:t>
      </w:r>
      <w:r w:rsidRPr="00596A4A">
        <w:rPr>
          <w:rFonts w:ascii="Times New Roman" w:hAnsi="Times New Roman" w:cs="Times New Roman"/>
        </w:rPr>
        <w:t xml:space="preserve">% de lo asignado en el </w:t>
      </w:r>
      <w:r w:rsidR="00970ECB">
        <w:rPr>
          <w:rFonts w:ascii="Times New Roman" w:hAnsi="Times New Roman" w:cs="Times New Roman"/>
        </w:rPr>
        <w:t>presupuesto;</w:t>
      </w:r>
      <w:r>
        <w:rPr>
          <w:rFonts w:ascii="Times New Roman" w:hAnsi="Times New Roman" w:cs="Times New Roman"/>
          <w:b/>
        </w:rPr>
        <w:t xml:space="preserve"> </w:t>
      </w:r>
      <w:r>
        <w:rPr>
          <w:rFonts w:ascii="Times New Roman" w:hAnsi="Times New Roman" w:cs="Times New Roman"/>
        </w:rPr>
        <w:t>sin embargo, esto representa el 41.0% del gasto total ejecutado a la fecha.</w:t>
      </w:r>
    </w:p>
    <w:p w:rsidR="00970ECB" w:rsidRDefault="00970ECB" w:rsidP="00EF6C10">
      <w:pPr>
        <w:pStyle w:val="Sinespaciado"/>
        <w:jc w:val="both"/>
        <w:rPr>
          <w:rFonts w:ascii="Times New Roman" w:hAnsi="Times New Roman" w:cs="Times New Roman"/>
        </w:rPr>
      </w:pPr>
    </w:p>
    <w:p w:rsidR="003C552F" w:rsidRPr="000C4C00" w:rsidRDefault="003C552F" w:rsidP="00EF6C10">
      <w:pPr>
        <w:pStyle w:val="Sinespaciado"/>
        <w:jc w:val="center"/>
        <w:rPr>
          <w:rFonts w:ascii="Times New Roman" w:hAnsi="Times New Roman" w:cs="Times New Roman"/>
          <w:b/>
        </w:rPr>
      </w:pPr>
      <w:r w:rsidRPr="000C4C00">
        <w:rPr>
          <w:rFonts w:ascii="Times New Roman" w:hAnsi="Times New Roman" w:cs="Times New Roman"/>
          <w:b/>
        </w:rPr>
        <w:t>Ejecución de Gasto Social</w:t>
      </w:r>
    </w:p>
    <w:p w:rsidR="003C552F" w:rsidRPr="000C4C00" w:rsidRDefault="003C552F" w:rsidP="00EF6C10">
      <w:pPr>
        <w:pStyle w:val="Sinespaciado"/>
        <w:jc w:val="center"/>
        <w:rPr>
          <w:rFonts w:ascii="Times New Roman" w:hAnsi="Times New Roman" w:cs="Times New Roman"/>
          <w:sz w:val="18"/>
        </w:rPr>
      </w:pPr>
      <w:r>
        <w:rPr>
          <w:rFonts w:ascii="Times New Roman" w:hAnsi="Times New Roman" w:cs="Times New Roman"/>
          <w:sz w:val="18"/>
        </w:rPr>
        <w:t xml:space="preserve">Al </w:t>
      </w:r>
      <w:r w:rsidR="008D3700">
        <w:rPr>
          <w:rFonts w:ascii="Times New Roman" w:hAnsi="Times New Roman" w:cs="Times New Roman"/>
          <w:sz w:val="18"/>
        </w:rPr>
        <w:t xml:space="preserve">28 de febrero </w:t>
      </w:r>
      <w:r w:rsidRPr="000C4C00">
        <w:rPr>
          <w:rFonts w:ascii="Times New Roman" w:hAnsi="Times New Roman" w:cs="Times New Roman"/>
          <w:sz w:val="18"/>
        </w:rPr>
        <w:t>2015</w:t>
      </w:r>
    </w:p>
    <w:p w:rsidR="003C552F" w:rsidRPr="000C4C00" w:rsidRDefault="003C552F" w:rsidP="00EF6C10">
      <w:pPr>
        <w:pStyle w:val="Sinespaciado"/>
        <w:jc w:val="center"/>
        <w:rPr>
          <w:rFonts w:ascii="Times New Roman" w:hAnsi="Times New Roman" w:cs="Times New Roman"/>
          <w:sz w:val="18"/>
        </w:rPr>
      </w:pPr>
      <w:r w:rsidRPr="000C4C00">
        <w:rPr>
          <w:rFonts w:ascii="Times New Roman" w:hAnsi="Times New Roman" w:cs="Times New Roman"/>
          <w:sz w:val="18"/>
        </w:rPr>
        <w:t>Millones de Quetzales</w:t>
      </w:r>
    </w:p>
    <w:p w:rsidR="003C552F" w:rsidRDefault="003C552F" w:rsidP="00EF6C10">
      <w:pPr>
        <w:pStyle w:val="Sinespaciado"/>
        <w:jc w:val="center"/>
        <w:rPr>
          <w:rFonts w:ascii="Times New Roman" w:hAnsi="Times New Roman" w:cs="Times New Roman"/>
          <w:sz w:val="12"/>
        </w:rPr>
      </w:pPr>
      <w:r>
        <w:rPr>
          <w:rFonts w:ascii="Times New Roman" w:hAnsi="Times New Roman" w:cs="Times New Roman"/>
          <w:noProof/>
          <w:lang w:eastAsia="es-GT"/>
        </w:rPr>
        <w:drawing>
          <wp:inline distT="0" distB="0" distL="0" distR="0" wp14:anchorId="73D2E144" wp14:editId="7C18F326">
            <wp:extent cx="2536825" cy="14001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552F" w:rsidRPr="007F29D0" w:rsidRDefault="003C552F" w:rsidP="00EF6C10">
      <w:pPr>
        <w:pStyle w:val="Sinespaciado"/>
        <w:jc w:val="center"/>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3C552F" w:rsidRDefault="003C552F" w:rsidP="00EF6C10">
      <w:pPr>
        <w:pStyle w:val="Sinespaciado"/>
        <w:jc w:val="both"/>
        <w:rPr>
          <w:rFonts w:ascii="Times New Roman" w:hAnsi="Times New Roman" w:cs="Times New Roman"/>
        </w:rPr>
      </w:pPr>
    </w:p>
    <w:p w:rsidR="00317176" w:rsidRDefault="003C552F" w:rsidP="00317176">
      <w:pPr>
        <w:pStyle w:val="Sinespaciado"/>
        <w:jc w:val="both"/>
        <w:rPr>
          <w:rFonts w:ascii="Times New Roman" w:hAnsi="Times New Roman" w:cs="Times New Roman"/>
        </w:rPr>
      </w:pPr>
      <w:r>
        <w:rPr>
          <w:rFonts w:ascii="Times New Roman" w:hAnsi="Times New Roman" w:cs="Times New Roman"/>
        </w:rPr>
        <w:t xml:space="preserve">En lo referente a los Pactos de Gobierno, estos presentaron una ejecución de Q349.8 millones, este nivel de gasto aumentará en los próximos meses en la medida en que se atiendan los programas estratégicos. </w:t>
      </w:r>
    </w:p>
    <w:p w:rsidR="00317176" w:rsidRDefault="00317176" w:rsidP="00317176">
      <w:pPr>
        <w:pStyle w:val="Sinespaciado"/>
        <w:jc w:val="both"/>
        <w:rPr>
          <w:rFonts w:ascii="Times New Roman" w:hAnsi="Times New Roman" w:cs="Times New Roman"/>
        </w:rPr>
      </w:pPr>
    </w:p>
    <w:p w:rsidR="003C552F" w:rsidRPr="002A1B95" w:rsidRDefault="003C552F" w:rsidP="00EF6C10">
      <w:pPr>
        <w:pStyle w:val="Sinespaciado"/>
        <w:jc w:val="center"/>
        <w:rPr>
          <w:rFonts w:ascii="Times New Roman" w:hAnsi="Times New Roman" w:cs="Times New Roman"/>
          <w:b/>
          <w:lang w:val="es-MX"/>
        </w:rPr>
      </w:pPr>
      <w:r>
        <w:rPr>
          <w:rFonts w:ascii="Times New Roman" w:hAnsi="Times New Roman" w:cs="Times New Roman"/>
          <w:b/>
          <w:lang w:val="es-MX"/>
        </w:rPr>
        <w:t xml:space="preserve">Gasto por Pactos del Gobierno </w:t>
      </w:r>
    </w:p>
    <w:p w:rsidR="003C552F" w:rsidRDefault="003C552F" w:rsidP="00EF6C10">
      <w:pPr>
        <w:pStyle w:val="Sinespaciado"/>
        <w:jc w:val="center"/>
        <w:rPr>
          <w:rFonts w:ascii="Times New Roman" w:hAnsi="Times New Roman" w:cs="Times New Roman"/>
          <w:sz w:val="18"/>
          <w:lang w:val="es-MX"/>
        </w:rPr>
      </w:pPr>
      <w:r>
        <w:rPr>
          <w:rFonts w:ascii="Times New Roman" w:hAnsi="Times New Roman" w:cs="Times New Roman"/>
          <w:sz w:val="18"/>
          <w:lang w:val="es-MX"/>
        </w:rPr>
        <w:t>Al 28 de febre</w:t>
      </w:r>
      <w:r w:rsidRPr="00944E6F">
        <w:rPr>
          <w:rFonts w:ascii="Times New Roman" w:hAnsi="Times New Roman" w:cs="Times New Roman"/>
          <w:sz w:val="18"/>
          <w:lang w:val="es-MX"/>
        </w:rPr>
        <w:t>ro de 2015</w:t>
      </w:r>
    </w:p>
    <w:p w:rsidR="003C552F" w:rsidRPr="000C4C00" w:rsidRDefault="003C552F" w:rsidP="00EF6C10">
      <w:pPr>
        <w:pStyle w:val="Sinespaciado"/>
        <w:jc w:val="center"/>
        <w:rPr>
          <w:rFonts w:ascii="Times New Roman" w:hAnsi="Times New Roman" w:cs="Times New Roman"/>
          <w:sz w:val="18"/>
        </w:rPr>
      </w:pPr>
      <w:r w:rsidRPr="000C4C00">
        <w:rPr>
          <w:rFonts w:ascii="Times New Roman" w:hAnsi="Times New Roman" w:cs="Times New Roman"/>
          <w:sz w:val="18"/>
        </w:rPr>
        <w:t>Millones de Quetzales</w:t>
      </w:r>
    </w:p>
    <w:p w:rsidR="003C552F" w:rsidRDefault="003C552F" w:rsidP="00EF6C10">
      <w:pPr>
        <w:pStyle w:val="Sinespaciado"/>
        <w:rPr>
          <w:rFonts w:ascii="Times New Roman" w:hAnsi="Times New Roman" w:cs="Times New Roman"/>
          <w:sz w:val="10"/>
          <w:szCs w:val="10"/>
        </w:rPr>
      </w:pPr>
    </w:p>
    <w:p w:rsidR="003C552F" w:rsidRPr="0029380C" w:rsidRDefault="00970ECB" w:rsidP="00EF6C10">
      <w:pPr>
        <w:pStyle w:val="Sinespaciado"/>
        <w:rPr>
          <w:rFonts w:ascii="Times New Roman" w:hAnsi="Times New Roman" w:cs="Times New Roman"/>
          <w:sz w:val="10"/>
          <w:szCs w:val="10"/>
        </w:rPr>
      </w:pPr>
      <w:r w:rsidRPr="00970ECB">
        <w:rPr>
          <w:noProof/>
          <w:lang w:eastAsia="es-GT"/>
        </w:rPr>
        <w:drawing>
          <wp:inline distT="0" distB="0" distL="0" distR="0" wp14:anchorId="6434E5F9" wp14:editId="5C677452">
            <wp:extent cx="2581275" cy="7626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762649"/>
                    </a:xfrm>
                    <a:prstGeom prst="rect">
                      <a:avLst/>
                    </a:prstGeom>
                    <a:noFill/>
                    <a:ln>
                      <a:noFill/>
                    </a:ln>
                  </pic:spPr>
                </pic:pic>
              </a:graphicData>
            </a:graphic>
          </wp:inline>
        </w:drawing>
      </w:r>
    </w:p>
    <w:p w:rsidR="00970ECB" w:rsidRPr="00317176" w:rsidRDefault="003C552F" w:rsidP="00317176">
      <w:pPr>
        <w:pStyle w:val="Sinespaciado"/>
        <w:spacing w:after="240"/>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317176" w:rsidRDefault="00317176" w:rsidP="00EF6C10">
      <w:pPr>
        <w:pStyle w:val="Sinespaciado"/>
        <w:jc w:val="both"/>
        <w:rPr>
          <w:rFonts w:ascii="Times New Roman" w:hAnsi="Times New Roman" w:cs="Times New Roman"/>
        </w:rPr>
      </w:pPr>
    </w:p>
    <w:p w:rsidR="00317176" w:rsidRDefault="00317176" w:rsidP="00EF6C10">
      <w:pPr>
        <w:pStyle w:val="Sinespaciado"/>
        <w:jc w:val="both"/>
        <w:rPr>
          <w:rFonts w:ascii="Times New Roman" w:hAnsi="Times New Roman" w:cs="Times New Roman"/>
        </w:rPr>
      </w:pPr>
    </w:p>
    <w:p w:rsidR="00317176" w:rsidRDefault="00317176" w:rsidP="00EF6C10">
      <w:pPr>
        <w:pStyle w:val="Sinespaciado"/>
        <w:jc w:val="both"/>
        <w:rPr>
          <w:rFonts w:ascii="Times New Roman" w:hAnsi="Times New Roman" w:cs="Times New Roman"/>
        </w:rPr>
        <w:sectPr w:rsidR="00317176" w:rsidSect="003C552F">
          <w:type w:val="continuous"/>
          <w:pgSz w:w="12240" w:h="15840"/>
          <w:pgMar w:top="1627" w:right="1701" w:bottom="1417" w:left="1701" w:header="708" w:footer="708" w:gutter="0"/>
          <w:cols w:num="2" w:space="708"/>
          <w:docGrid w:linePitch="360"/>
        </w:sectPr>
      </w:pPr>
    </w:p>
    <w:p w:rsidR="008D3700" w:rsidRPr="00D5379A" w:rsidRDefault="008D3700" w:rsidP="00EF6C1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Resultado presupuestario: d</w:t>
      </w:r>
      <w:r w:rsidRPr="00D5379A">
        <w:rPr>
          <w:rFonts w:ascii="Times New Roman" w:hAnsi="Times New Roman" w:cs="Times New Roman"/>
          <w:b/>
          <w:lang w:val="es-MX"/>
        </w:rPr>
        <w:t xml:space="preserve">éficit fiscal prematuro </w:t>
      </w:r>
    </w:p>
    <w:p w:rsidR="006C0A20" w:rsidRDefault="006C0A20" w:rsidP="00EF6C10">
      <w:pPr>
        <w:pStyle w:val="Sinespaciado"/>
        <w:jc w:val="both"/>
        <w:rPr>
          <w:lang w:val="es-MX"/>
        </w:rPr>
      </w:pPr>
    </w:p>
    <w:p w:rsidR="00106014" w:rsidRDefault="00106014" w:rsidP="00EF6C10">
      <w:pPr>
        <w:pStyle w:val="Sinespaciado"/>
        <w:jc w:val="both"/>
        <w:sectPr w:rsidR="00106014" w:rsidSect="009C7168">
          <w:type w:val="continuous"/>
          <w:pgSz w:w="12240" w:h="15840"/>
          <w:pgMar w:top="1417" w:right="1701" w:bottom="1417" w:left="1701" w:header="708" w:footer="708" w:gutter="0"/>
          <w:cols w:space="708"/>
          <w:docGrid w:linePitch="360"/>
        </w:sectPr>
      </w:pPr>
    </w:p>
    <w:p w:rsidR="002F51BC" w:rsidRDefault="00440D9E" w:rsidP="00EF6C10">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w:t>
      </w:r>
      <w:r w:rsidRPr="00F92177">
        <w:rPr>
          <w:rFonts w:ascii="Times New Roman" w:hAnsi="Times New Roman" w:cs="Times New Roman"/>
          <w:lang w:val="es-MX"/>
        </w:rPr>
        <w:t xml:space="preserve">un </w:t>
      </w:r>
      <w:r>
        <w:rPr>
          <w:rFonts w:ascii="Times New Roman" w:hAnsi="Times New Roman" w:cs="Times New Roman"/>
          <w:lang w:val="es-MX"/>
        </w:rPr>
        <w:t>déficit</w:t>
      </w:r>
      <w:r w:rsidRPr="00F92177">
        <w:rPr>
          <w:rFonts w:ascii="Times New Roman" w:hAnsi="Times New Roman" w:cs="Times New Roman"/>
          <w:lang w:val="es-MX"/>
        </w:rPr>
        <w:t xml:space="preserve"> fiscal</w:t>
      </w:r>
      <w:r w:rsidR="00762914">
        <w:rPr>
          <w:rFonts w:ascii="Times New Roman" w:hAnsi="Times New Roman" w:cs="Times New Roman"/>
          <w:lang w:val="es-MX"/>
        </w:rPr>
        <w:t xml:space="preserve"> acumulado</w:t>
      </w:r>
      <w:r>
        <w:rPr>
          <w:rFonts w:ascii="Times New Roman" w:hAnsi="Times New Roman" w:cs="Times New Roman"/>
          <w:lang w:val="es-MX"/>
        </w:rPr>
        <w:t xml:space="preserve"> de</w:t>
      </w:r>
      <w:r w:rsidRPr="00F92177">
        <w:rPr>
          <w:rFonts w:ascii="Times New Roman" w:hAnsi="Times New Roman" w:cs="Times New Roman"/>
          <w:lang w:val="es-MX"/>
        </w:rPr>
        <w:t xml:space="preserve"> </w:t>
      </w:r>
      <w:r w:rsidR="00A0519D" w:rsidRPr="008D3700">
        <w:rPr>
          <w:rFonts w:ascii="Times New Roman" w:hAnsi="Times New Roman" w:cs="Times New Roman"/>
          <w:lang w:val="es-MX"/>
        </w:rPr>
        <w:t>Q</w:t>
      </w:r>
      <w:r w:rsidR="00762914" w:rsidRPr="008D3700">
        <w:rPr>
          <w:rFonts w:ascii="Times New Roman" w:hAnsi="Times New Roman" w:cs="Times New Roman"/>
          <w:lang w:val="es-MX"/>
        </w:rPr>
        <w:t>17</w:t>
      </w:r>
      <w:r w:rsidRPr="008D3700">
        <w:rPr>
          <w:rFonts w:ascii="Times New Roman" w:hAnsi="Times New Roman" w:cs="Times New Roman"/>
          <w:lang w:val="es-MX"/>
        </w:rPr>
        <w:t>7</w:t>
      </w:r>
      <w:r w:rsidR="00762914" w:rsidRPr="008D3700">
        <w:rPr>
          <w:rFonts w:ascii="Times New Roman" w:hAnsi="Times New Roman" w:cs="Times New Roman"/>
          <w:lang w:val="es-MX"/>
        </w:rPr>
        <w:t>.4</w:t>
      </w:r>
      <w:r w:rsidRPr="008D3700">
        <w:rPr>
          <w:rFonts w:ascii="Times New Roman" w:hAnsi="Times New Roman" w:cs="Times New Roman"/>
          <w:lang w:val="es-MX"/>
        </w:rPr>
        <w:t xml:space="preserve"> millones</w:t>
      </w:r>
      <w:r w:rsidR="00970ECB">
        <w:rPr>
          <w:rFonts w:ascii="Times New Roman" w:hAnsi="Times New Roman" w:cs="Times New Roman"/>
          <w:lang w:val="es-MX"/>
        </w:rPr>
        <w:t>,</w:t>
      </w:r>
      <w:r>
        <w:rPr>
          <w:rFonts w:ascii="Times New Roman" w:hAnsi="Times New Roman" w:cs="Times New Roman"/>
          <w:lang w:val="es-MX"/>
        </w:rPr>
        <w:t xml:space="preserve"> contrario al superávit observado a est</w:t>
      </w:r>
      <w:r w:rsidR="0050409B">
        <w:rPr>
          <w:rFonts w:ascii="Times New Roman" w:hAnsi="Times New Roman" w:cs="Times New Roman"/>
          <w:lang w:val="es-MX"/>
        </w:rPr>
        <w:t>e mismo mes en años anteriores. Este resultado</w:t>
      </w:r>
      <w:r>
        <w:rPr>
          <w:rFonts w:ascii="Times New Roman" w:hAnsi="Times New Roman" w:cs="Times New Roman"/>
          <w:lang w:val="es-MX"/>
        </w:rPr>
        <w:t xml:space="preserve"> está determinado por un nivel de recaudación tributaria que mantiene un ritmo </w:t>
      </w:r>
      <w:r w:rsidR="00D40FE3">
        <w:rPr>
          <w:rFonts w:ascii="Times New Roman" w:hAnsi="Times New Roman" w:cs="Times New Roman"/>
          <w:lang w:val="es-MX"/>
        </w:rPr>
        <w:t xml:space="preserve">de </w:t>
      </w:r>
      <w:r>
        <w:rPr>
          <w:rFonts w:ascii="Times New Roman" w:hAnsi="Times New Roman" w:cs="Times New Roman"/>
          <w:lang w:val="es-MX"/>
        </w:rPr>
        <w:t>3.</w:t>
      </w:r>
      <w:r w:rsidR="006D64AC">
        <w:rPr>
          <w:rFonts w:ascii="Times New Roman" w:hAnsi="Times New Roman" w:cs="Times New Roman"/>
          <w:lang w:val="es-MX"/>
        </w:rPr>
        <w:t>6</w:t>
      </w:r>
      <w:r>
        <w:rPr>
          <w:rFonts w:ascii="Times New Roman" w:hAnsi="Times New Roman" w:cs="Times New Roman"/>
          <w:lang w:val="es-MX"/>
        </w:rPr>
        <w:t xml:space="preserve">% de crecimiento interanual, mientras que la ejecución de gasto público muestra un ritmo de ejecución acelerado </w:t>
      </w:r>
      <w:r w:rsidR="00D40FE3">
        <w:rPr>
          <w:rFonts w:ascii="Times New Roman" w:hAnsi="Times New Roman" w:cs="Times New Roman"/>
          <w:lang w:val="es-MX"/>
        </w:rPr>
        <w:t xml:space="preserve">de </w:t>
      </w:r>
      <w:r w:rsidR="006D64AC">
        <w:rPr>
          <w:rFonts w:ascii="Times New Roman" w:hAnsi="Times New Roman" w:cs="Times New Roman"/>
          <w:lang w:val="es-MX"/>
        </w:rPr>
        <w:t>22.4</w:t>
      </w:r>
      <w:r w:rsidRPr="008D3700">
        <w:rPr>
          <w:rFonts w:ascii="Times New Roman" w:hAnsi="Times New Roman" w:cs="Times New Roman"/>
          <w:lang w:val="es-MX"/>
        </w:rPr>
        <w:t xml:space="preserve">%. </w:t>
      </w:r>
      <w:r>
        <w:rPr>
          <w:rFonts w:ascii="Times New Roman" w:hAnsi="Times New Roman" w:cs="Times New Roman"/>
          <w:lang w:val="es-MX"/>
        </w:rPr>
        <w:t>El ritmo de ejecución está influenciado por el aumento en las disponibilidades del gobierno producto de las colocaciones de Bonos del Tesoro, la obtención de préstamos externos, así como por el impulso que suele haber en el gasto en los primeros meses de un año electoral.</w:t>
      </w:r>
    </w:p>
    <w:p w:rsidR="002F51BC" w:rsidRDefault="002F51BC" w:rsidP="00EF6C10">
      <w:pPr>
        <w:pStyle w:val="Sinespaciado"/>
        <w:jc w:val="both"/>
        <w:rPr>
          <w:rFonts w:ascii="Times New Roman" w:hAnsi="Times New Roman" w:cs="Times New Roman"/>
        </w:rPr>
      </w:pPr>
    </w:p>
    <w:p w:rsidR="002F51BC" w:rsidRDefault="002F51BC" w:rsidP="00EF6C10">
      <w:pPr>
        <w:pStyle w:val="Sinespaciado"/>
        <w:jc w:val="both"/>
        <w:rPr>
          <w:rFonts w:ascii="Times New Roman" w:hAnsi="Times New Roman" w:cs="Times New Roman"/>
        </w:rPr>
      </w:pPr>
      <w:r>
        <w:rPr>
          <w:rFonts w:ascii="Times New Roman" w:hAnsi="Times New Roman" w:cs="Times New Roman"/>
        </w:rPr>
        <w:t xml:space="preserve">En cuanto a </w:t>
      </w:r>
      <w:r w:rsidRPr="001A16F1">
        <w:rPr>
          <w:rFonts w:ascii="Times New Roman" w:hAnsi="Times New Roman" w:cs="Times New Roman"/>
        </w:rPr>
        <w:t>la colocación de Bonos del Tesoro</w:t>
      </w:r>
      <w:r>
        <w:rPr>
          <w:rFonts w:ascii="Times New Roman" w:hAnsi="Times New Roman" w:cs="Times New Roman"/>
        </w:rPr>
        <w:t xml:space="preserve">, en lo que lo va del año se ha adjudicado </w:t>
      </w:r>
      <w:r w:rsidRPr="006D64AC">
        <w:rPr>
          <w:rFonts w:ascii="Times New Roman" w:hAnsi="Times New Roman" w:cs="Times New Roman"/>
        </w:rPr>
        <w:t>Q</w:t>
      </w:r>
      <w:r w:rsidR="00233593">
        <w:rPr>
          <w:rFonts w:ascii="Times New Roman" w:hAnsi="Times New Roman" w:cs="Times New Roman"/>
        </w:rPr>
        <w:t xml:space="preserve"> </w:t>
      </w:r>
      <w:r w:rsidR="00B028CA" w:rsidRPr="006D64AC">
        <w:rPr>
          <w:rFonts w:ascii="Times New Roman" w:hAnsi="Times New Roman" w:cs="Times New Roman"/>
        </w:rPr>
        <w:t>3,096.0</w:t>
      </w:r>
      <w:r w:rsidRPr="00B028CA">
        <w:rPr>
          <w:rFonts w:ascii="Times New Roman" w:hAnsi="Times New Roman" w:cs="Times New Roman"/>
          <w:b/>
        </w:rPr>
        <w:t xml:space="preserve"> </w:t>
      </w:r>
      <w:r>
        <w:rPr>
          <w:rFonts w:ascii="Times New Roman" w:hAnsi="Times New Roman" w:cs="Times New Roman"/>
        </w:rPr>
        <w:t>millones. Las condiciones a las que fueron colocados los títulos del gobierno fueron favorables ya que en términos generales se mantuvo el costo promedio en 7.4</w:t>
      </w:r>
      <w:r w:rsidR="006D64AC">
        <w:rPr>
          <w:rFonts w:ascii="Times New Roman" w:hAnsi="Times New Roman" w:cs="Times New Roman"/>
        </w:rPr>
        <w:t>3</w:t>
      </w:r>
      <w:r>
        <w:rPr>
          <w:rFonts w:ascii="Times New Roman" w:hAnsi="Times New Roman" w:cs="Times New Roman"/>
        </w:rPr>
        <w:t xml:space="preserve">% y el plazo medio es de 14 años.  </w:t>
      </w:r>
    </w:p>
    <w:p w:rsidR="00317176" w:rsidRDefault="00317176" w:rsidP="00317176">
      <w:pPr>
        <w:pStyle w:val="Sinespaciado"/>
        <w:jc w:val="center"/>
        <w:rPr>
          <w:rFonts w:ascii="Times New Roman" w:hAnsi="Times New Roman" w:cs="Times New Roman"/>
          <w:b/>
        </w:rPr>
      </w:pPr>
    </w:p>
    <w:p w:rsidR="002F51BC" w:rsidRPr="003527FC" w:rsidRDefault="002F51BC" w:rsidP="00EF6C10">
      <w:pPr>
        <w:pStyle w:val="Sinespaciado"/>
        <w:jc w:val="center"/>
        <w:rPr>
          <w:rFonts w:ascii="Times New Roman" w:hAnsi="Times New Roman" w:cs="Times New Roman"/>
          <w:b/>
        </w:rPr>
      </w:pPr>
      <w:r w:rsidRPr="0071717E">
        <w:rPr>
          <w:rFonts w:ascii="Times New Roman" w:hAnsi="Times New Roman" w:cs="Times New Roman"/>
          <w:b/>
        </w:rPr>
        <w:t>Condiciones Financiera de la colocación de</w:t>
      </w:r>
      <w:r w:rsidRPr="003527FC">
        <w:rPr>
          <w:rFonts w:ascii="Times New Roman" w:hAnsi="Times New Roman" w:cs="Times New Roman"/>
          <w:b/>
        </w:rPr>
        <w:t xml:space="preserve"> Bonos del Tesoro</w:t>
      </w:r>
    </w:p>
    <w:p w:rsidR="002F51BC" w:rsidRDefault="002F51BC" w:rsidP="00EF6C10">
      <w:pPr>
        <w:pStyle w:val="Sinespaciado"/>
        <w:jc w:val="center"/>
        <w:rPr>
          <w:rFonts w:ascii="Times New Roman" w:hAnsi="Times New Roman" w:cs="Times New Roman"/>
          <w:sz w:val="18"/>
        </w:rPr>
      </w:pPr>
      <w:r w:rsidRPr="003527FC">
        <w:rPr>
          <w:rFonts w:ascii="Times New Roman" w:hAnsi="Times New Roman" w:cs="Times New Roman"/>
          <w:sz w:val="18"/>
        </w:rPr>
        <w:t>Millones de Quetzales</w:t>
      </w:r>
    </w:p>
    <w:p w:rsidR="003D6E07" w:rsidRPr="003D6E07" w:rsidRDefault="003D6E07" w:rsidP="00EF6C10">
      <w:pPr>
        <w:pStyle w:val="Sinespaciado"/>
        <w:jc w:val="center"/>
        <w:rPr>
          <w:rFonts w:ascii="Times New Roman" w:hAnsi="Times New Roman" w:cs="Times New Roman"/>
          <w:sz w:val="10"/>
          <w:szCs w:val="10"/>
        </w:rPr>
      </w:pPr>
    </w:p>
    <w:p w:rsidR="002F51BC" w:rsidRPr="003D6E07" w:rsidRDefault="003D6E07" w:rsidP="00EF6C10">
      <w:pPr>
        <w:pStyle w:val="Sinespaciado"/>
        <w:jc w:val="center"/>
        <w:rPr>
          <w:rFonts w:ascii="Times New Roman" w:hAnsi="Times New Roman" w:cs="Times New Roman"/>
          <w:sz w:val="18"/>
        </w:rPr>
      </w:pPr>
      <w:r w:rsidRPr="003D6E07">
        <w:rPr>
          <w:noProof/>
          <w:lang w:eastAsia="es-GT"/>
        </w:rPr>
        <w:drawing>
          <wp:inline distT="0" distB="0" distL="0" distR="0" wp14:anchorId="07E65917" wp14:editId="2AF47F07">
            <wp:extent cx="2747381" cy="659959"/>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381" cy="659959"/>
                    </a:xfrm>
                    <a:prstGeom prst="rect">
                      <a:avLst/>
                    </a:prstGeom>
                    <a:noFill/>
                    <a:ln>
                      <a:noFill/>
                    </a:ln>
                  </pic:spPr>
                </pic:pic>
              </a:graphicData>
            </a:graphic>
          </wp:inline>
        </w:drawing>
      </w:r>
    </w:p>
    <w:p w:rsidR="00317176" w:rsidRDefault="002F51BC" w:rsidP="00EF6C10">
      <w:pPr>
        <w:pStyle w:val="Sinespaciado"/>
        <w:jc w:val="both"/>
        <w:rPr>
          <w:rFonts w:ascii="Times New Roman" w:hAnsi="Times New Roman" w:cs="Times New Roman"/>
          <w:sz w:val="12"/>
        </w:rPr>
      </w:pPr>
      <w:r w:rsidRPr="00582E23">
        <w:rPr>
          <w:rFonts w:ascii="Times New Roman" w:hAnsi="Times New Roman" w:cs="Times New Roman"/>
          <w:sz w:val="12"/>
        </w:rPr>
        <w:lastRenderedPageBreak/>
        <w:t>Fuente: Dirección de Análisis y Política fiscal</w:t>
      </w:r>
    </w:p>
    <w:p w:rsidR="00317176" w:rsidRPr="00317176" w:rsidRDefault="00317176" w:rsidP="00EF6C10">
      <w:pPr>
        <w:pStyle w:val="Sinespaciado"/>
        <w:jc w:val="both"/>
        <w:rPr>
          <w:rFonts w:ascii="Times New Roman" w:hAnsi="Times New Roman" w:cs="Times New Roman"/>
          <w:sz w:val="4"/>
        </w:rPr>
      </w:pPr>
    </w:p>
    <w:p w:rsidR="00440D9E" w:rsidRDefault="00440D9E" w:rsidP="00EF6C10">
      <w:pPr>
        <w:pStyle w:val="Sinespaciado"/>
        <w:jc w:val="both"/>
        <w:rPr>
          <w:rFonts w:ascii="Times New Roman" w:hAnsi="Times New Roman" w:cs="Times New Roman"/>
          <w:b/>
          <w:lang w:val="es-MX"/>
        </w:rPr>
      </w:pPr>
      <w:r>
        <w:rPr>
          <w:rFonts w:ascii="Times New Roman" w:hAnsi="Times New Roman" w:cs="Times New Roman"/>
          <w:lang w:val="es-MX"/>
        </w:rPr>
        <w:t>La contención de gasto en este año está orientada a reducir las expectativas de las entidades para gastar, debido a que la programación financiera se aprueba únicamente para un mes.</w:t>
      </w:r>
    </w:p>
    <w:p w:rsidR="008633DA" w:rsidRDefault="008633DA" w:rsidP="00EF6C10">
      <w:pPr>
        <w:pStyle w:val="Sinespaciado"/>
        <w:jc w:val="center"/>
        <w:rPr>
          <w:rFonts w:ascii="Times New Roman" w:hAnsi="Times New Roman" w:cs="Times New Roman"/>
          <w:b/>
          <w:lang w:val="es-MX"/>
        </w:rPr>
      </w:pPr>
    </w:p>
    <w:p w:rsidR="002F51BC" w:rsidRPr="00C1022E" w:rsidRDefault="002F51BC" w:rsidP="00EF6C10">
      <w:pPr>
        <w:pStyle w:val="Sinespaciado"/>
        <w:jc w:val="center"/>
        <w:rPr>
          <w:rFonts w:ascii="Times New Roman" w:hAnsi="Times New Roman" w:cs="Times New Roman"/>
          <w:b/>
          <w:lang w:val="es-MX"/>
        </w:rPr>
      </w:pPr>
      <w:r w:rsidRPr="00C1022E">
        <w:rPr>
          <w:rFonts w:ascii="Times New Roman" w:hAnsi="Times New Roman" w:cs="Times New Roman"/>
          <w:b/>
          <w:lang w:val="es-MX"/>
        </w:rPr>
        <w:t>Resultado Presupuestario</w:t>
      </w:r>
    </w:p>
    <w:p w:rsidR="002F51BC" w:rsidRDefault="002F51BC" w:rsidP="00EF6C10">
      <w:pPr>
        <w:pStyle w:val="Sinespaciado"/>
        <w:jc w:val="center"/>
        <w:rPr>
          <w:rFonts w:ascii="Times New Roman" w:hAnsi="Times New Roman" w:cs="Times New Roman"/>
          <w:sz w:val="18"/>
          <w:lang w:val="es-MX"/>
        </w:rPr>
      </w:pPr>
      <w:r w:rsidRPr="00C1022E">
        <w:rPr>
          <w:rFonts w:ascii="Times New Roman" w:hAnsi="Times New Roman" w:cs="Times New Roman"/>
          <w:sz w:val="18"/>
          <w:lang w:val="es-MX"/>
        </w:rPr>
        <w:t xml:space="preserve">Al </w:t>
      </w:r>
      <w:r>
        <w:rPr>
          <w:rFonts w:ascii="Times New Roman" w:hAnsi="Times New Roman" w:cs="Times New Roman"/>
          <w:sz w:val="18"/>
          <w:lang w:val="es-MX"/>
        </w:rPr>
        <w:t xml:space="preserve">28 </w:t>
      </w:r>
      <w:r w:rsidRPr="00C1022E">
        <w:rPr>
          <w:rFonts w:ascii="Times New Roman" w:hAnsi="Times New Roman" w:cs="Times New Roman"/>
          <w:sz w:val="18"/>
          <w:lang w:val="es-MX"/>
        </w:rPr>
        <w:t xml:space="preserve">de </w:t>
      </w:r>
      <w:r>
        <w:rPr>
          <w:rFonts w:ascii="Times New Roman" w:hAnsi="Times New Roman" w:cs="Times New Roman"/>
          <w:sz w:val="18"/>
          <w:lang w:val="es-MX"/>
        </w:rPr>
        <w:t>Febrero</w:t>
      </w:r>
      <w:r w:rsidRPr="00C1022E">
        <w:rPr>
          <w:rFonts w:ascii="Times New Roman" w:hAnsi="Times New Roman" w:cs="Times New Roman"/>
          <w:sz w:val="18"/>
          <w:lang w:val="es-MX"/>
        </w:rPr>
        <w:t xml:space="preserve"> de </w:t>
      </w:r>
      <w:r>
        <w:rPr>
          <w:rFonts w:ascii="Times New Roman" w:hAnsi="Times New Roman" w:cs="Times New Roman"/>
          <w:sz w:val="18"/>
          <w:lang w:val="es-MX"/>
        </w:rPr>
        <w:t>c</w:t>
      </w:r>
      <w:r w:rsidRPr="00C1022E">
        <w:rPr>
          <w:rFonts w:ascii="Times New Roman" w:hAnsi="Times New Roman" w:cs="Times New Roman"/>
          <w:sz w:val="18"/>
          <w:lang w:val="es-MX"/>
        </w:rPr>
        <w:t xml:space="preserve">ada </w:t>
      </w:r>
      <w:r>
        <w:rPr>
          <w:rFonts w:ascii="Times New Roman" w:hAnsi="Times New Roman" w:cs="Times New Roman"/>
          <w:sz w:val="18"/>
          <w:lang w:val="es-MX"/>
        </w:rPr>
        <w:t>a</w:t>
      </w:r>
      <w:r w:rsidRPr="00C1022E">
        <w:rPr>
          <w:rFonts w:ascii="Times New Roman" w:hAnsi="Times New Roman" w:cs="Times New Roman"/>
          <w:sz w:val="18"/>
          <w:lang w:val="es-MX"/>
        </w:rPr>
        <w:t>ño</w:t>
      </w:r>
    </w:p>
    <w:p w:rsidR="002F51BC" w:rsidRPr="00C1022E" w:rsidRDefault="002F51BC" w:rsidP="00EF6C10">
      <w:pPr>
        <w:pStyle w:val="Sinespaciado"/>
        <w:jc w:val="center"/>
        <w:rPr>
          <w:rFonts w:ascii="Times New Roman" w:hAnsi="Times New Roman" w:cs="Times New Roman"/>
          <w:sz w:val="18"/>
          <w:lang w:val="es-MX"/>
        </w:rPr>
      </w:pPr>
      <w:r>
        <w:rPr>
          <w:rFonts w:ascii="Times New Roman" w:hAnsi="Times New Roman" w:cs="Times New Roman"/>
          <w:sz w:val="18"/>
          <w:lang w:val="es-MX"/>
        </w:rPr>
        <w:t>Millones de Quetzales</w:t>
      </w:r>
    </w:p>
    <w:p w:rsidR="002F51BC" w:rsidRDefault="00F026A9" w:rsidP="00EF6C10">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00BA07D0" wp14:editId="7BCA68FC">
            <wp:extent cx="2484782" cy="1649895"/>
            <wp:effectExtent l="0" t="0" r="0" b="76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51BC" w:rsidRDefault="002F51BC" w:rsidP="00EF6C10">
      <w:pPr>
        <w:spacing w:line="240" w:lineRule="auto"/>
        <w:rPr>
          <w:rFonts w:ascii="Times New Roman" w:hAnsi="Times New Roman" w:cs="Times New Roman"/>
          <w:sz w:val="12"/>
          <w:szCs w:val="12"/>
        </w:rPr>
      </w:pPr>
      <w:r>
        <w:t xml:space="preserve">     </w:t>
      </w:r>
      <w:r w:rsidRPr="000350E4">
        <w:rPr>
          <w:rFonts w:ascii="Times New Roman" w:hAnsi="Times New Roman" w:cs="Times New Roman"/>
          <w:sz w:val="12"/>
          <w:szCs w:val="12"/>
        </w:rPr>
        <w:t>Fuente: D</w:t>
      </w:r>
      <w:r>
        <w:rPr>
          <w:rFonts w:ascii="Times New Roman" w:hAnsi="Times New Roman" w:cs="Times New Roman"/>
          <w:sz w:val="12"/>
          <w:szCs w:val="12"/>
        </w:rPr>
        <w:t xml:space="preserve">irección de </w:t>
      </w:r>
      <w:r w:rsidRPr="000350E4">
        <w:rPr>
          <w:rFonts w:ascii="Times New Roman" w:hAnsi="Times New Roman" w:cs="Times New Roman"/>
          <w:sz w:val="12"/>
          <w:szCs w:val="12"/>
        </w:rPr>
        <w:t>A</w:t>
      </w:r>
      <w:r>
        <w:rPr>
          <w:rFonts w:ascii="Times New Roman" w:hAnsi="Times New Roman" w:cs="Times New Roman"/>
          <w:sz w:val="12"/>
          <w:szCs w:val="12"/>
        </w:rPr>
        <w:t xml:space="preserve">nálisis y </w:t>
      </w:r>
      <w:r w:rsidRPr="000350E4">
        <w:rPr>
          <w:rFonts w:ascii="Times New Roman" w:hAnsi="Times New Roman" w:cs="Times New Roman"/>
          <w:sz w:val="12"/>
          <w:szCs w:val="12"/>
        </w:rPr>
        <w:t>P</w:t>
      </w:r>
      <w:r>
        <w:rPr>
          <w:rFonts w:ascii="Times New Roman" w:hAnsi="Times New Roman" w:cs="Times New Roman"/>
          <w:sz w:val="12"/>
          <w:szCs w:val="12"/>
        </w:rPr>
        <w:t xml:space="preserve">olítica </w:t>
      </w:r>
      <w:r w:rsidRPr="000350E4">
        <w:rPr>
          <w:rFonts w:ascii="Times New Roman" w:hAnsi="Times New Roman" w:cs="Times New Roman"/>
          <w:sz w:val="12"/>
          <w:szCs w:val="12"/>
        </w:rPr>
        <w:t>F</w:t>
      </w:r>
      <w:r>
        <w:rPr>
          <w:rFonts w:ascii="Times New Roman" w:hAnsi="Times New Roman" w:cs="Times New Roman"/>
          <w:sz w:val="12"/>
          <w:szCs w:val="12"/>
        </w:rPr>
        <w:t>iscal</w:t>
      </w:r>
      <w:r w:rsidRPr="000350E4">
        <w:rPr>
          <w:rFonts w:ascii="Times New Roman" w:hAnsi="Times New Roman" w:cs="Times New Roman"/>
          <w:sz w:val="12"/>
          <w:szCs w:val="12"/>
        </w:rPr>
        <w:t xml:space="preserve"> </w:t>
      </w:r>
    </w:p>
    <w:p w:rsidR="008633DA" w:rsidRDefault="008633DA"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Default="00317176" w:rsidP="00EF6C10">
      <w:pPr>
        <w:spacing w:line="240" w:lineRule="auto"/>
        <w:rPr>
          <w:rFonts w:ascii="Times New Roman" w:hAnsi="Times New Roman" w:cs="Times New Roman"/>
          <w:sz w:val="12"/>
          <w:szCs w:val="12"/>
        </w:rPr>
      </w:pPr>
    </w:p>
    <w:p w:rsidR="00317176" w:rsidRPr="000350E4" w:rsidRDefault="00317176" w:rsidP="00EF6C10">
      <w:pPr>
        <w:spacing w:line="240" w:lineRule="auto"/>
        <w:rPr>
          <w:rFonts w:ascii="Times New Roman" w:hAnsi="Times New Roman" w:cs="Times New Roman"/>
          <w:sz w:val="12"/>
          <w:szCs w:val="12"/>
        </w:rPr>
      </w:pPr>
    </w:p>
    <w:p w:rsidR="002F51BC" w:rsidRDefault="002F51BC" w:rsidP="00EF6C10">
      <w:pPr>
        <w:pStyle w:val="Sinespaciado"/>
        <w:jc w:val="center"/>
        <w:rPr>
          <w:rFonts w:ascii="Times New Roman" w:hAnsi="Times New Roman" w:cs="Times New Roman"/>
          <w:b/>
        </w:rPr>
      </w:pPr>
    </w:p>
    <w:p w:rsidR="00F026A9" w:rsidRPr="002F51BC" w:rsidRDefault="00F026A9" w:rsidP="00EF6C10">
      <w:pPr>
        <w:pStyle w:val="Sinespaciado"/>
        <w:jc w:val="center"/>
        <w:rPr>
          <w:rFonts w:ascii="Times New Roman" w:hAnsi="Times New Roman" w:cs="Times New Roman"/>
          <w:b/>
        </w:rPr>
        <w:sectPr w:rsidR="00F026A9" w:rsidRPr="002F51BC" w:rsidSect="00C55791">
          <w:type w:val="continuous"/>
          <w:pgSz w:w="12240" w:h="15840"/>
          <w:pgMar w:top="1417" w:right="1701" w:bottom="1417" w:left="1701" w:header="708" w:footer="708" w:gutter="0"/>
          <w:cols w:num="2" w:space="708"/>
          <w:docGrid w:linePitch="360"/>
        </w:sectPr>
      </w:pPr>
    </w:p>
    <w:p w:rsidR="00440D9E" w:rsidRDefault="00440D9E" w:rsidP="00EF6C10">
      <w:pPr>
        <w:pStyle w:val="Sinespaciado"/>
        <w:jc w:val="center"/>
        <w:rPr>
          <w:rFonts w:ascii="Times New Roman" w:hAnsi="Times New Roman" w:cs="Times New Roman"/>
          <w:b/>
          <w:lang w:val="es-MX"/>
        </w:rPr>
      </w:pPr>
    </w:p>
    <w:p w:rsidR="00440D9E" w:rsidRDefault="00440D9E" w:rsidP="00EF6C10">
      <w:pPr>
        <w:pStyle w:val="Sinespaciado"/>
        <w:jc w:val="center"/>
        <w:rPr>
          <w:rFonts w:ascii="Times New Roman" w:hAnsi="Times New Roman" w:cs="Times New Roman"/>
          <w:b/>
          <w:lang w:val="es-MX"/>
        </w:rPr>
      </w:pPr>
    </w:p>
    <w:p w:rsidR="00DB1B87" w:rsidRDefault="00DB1B87" w:rsidP="00EF6C10">
      <w:pPr>
        <w:spacing w:line="240" w:lineRule="auto"/>
      </w:pPr>
    </w:p>
    <w:p w:rsidR="003919AB" w:rsidRDefault="003919AB" w:rsidP="00EF6C10">
      <w:pPr>
        <w:spacing w:line="240" w:lineRule="auto"/>
      </w:pPr>
    </w:p>
    <w:p w:rsidR="003919AB" w:rsidRDefault="003919AB" w:rsidP="00EF6C10">
      <w:pPr>
        <w:spacing w:line="240" w:lineRule="auto"/>
      </w:pPr>
    </w:p>
    <w:p w:rsidR="003919AB" w:rsidRDefault="003919AB" w:rsidP="00EF6C10">
      <w:pPr>
        <w:spacing w:line="240" w:lineRule="auto"/>
      </w:pPr>
    </w:p>
    <w:p w:rsidR="003919AB" w:rsidRDefault="003919AB" w:rsidP="00EF6C10">
      <w:pPr>
        <w:spacing w:line="240" w:lineRule="auto"/>
      </w:pPr>
    </w:p>
    <w:p w:rsidR="004E584F" w:rsidRDefault="004E584F" w:rsidP="00EF6C10">
      <w:pPr>
        <w:spacing w:line="240" w:lineRule="auto"/>
      </w:pPr>
    </w:p>
    <w:p w:rsidR="00233593" w:rsidRDefault="00233593" w:rsidP="00EF6C10">
      <w:pPr>
        <w:spacing w:line="240" w:lineRule="auto"/>
        <w:sectPr w:rsidR="00233593" w:rsidSect="00684346">
          <w:type w:val="continuous"/>
          <w:pgSz w:w="12240" w:h="15840"/>
          <w:pgMar w:top="1417" w:right="1701" w:bottom="1417" w:left="1701" w:header="708" w:footer="708" w:gutter="0"/>
          <w:cols w:space="708"/>
          <w:docGrid w:linePitch="360"/>
        </w:sectPr>
      </w:pPr>
    </w:p>
    <w:p w:rsidR="00317176" w:rsidRDefault="00317176" w:rsidP="00233593">
      <w:pPr>
        <w:spacing w:after="0" w:line="240" w:lineRule="auto"/>
        <w:rPr>
          <w:lang w:val="es-MX"/>
        </w:rPr>
      </w:pPr>
    </w:p>
    <w:p w:rsidR="006C0A20" w:rsidRPr="006C0A20" w:rsidRDefault="006C0A20" w:rsidP="00EF6C1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6C0A20">
        <w:rPr>
          <w:rFonts w:ascii="Times New Roman" w:hAnsi="Times New Roman" w:cs="Times New Roman"/>
          <w:b/>
          <w:lang w:val="es-MX"/>
        </w:rPr>
        <w:lastRenderedPageBreak/>
        <w:t>Anexo</w:t>
      </w:r>
    </w:p>
    <w:p w:rsidR="00EE085E" w:rsidRDefault="00EE085E" w:rsidP="00EF6C10">
      <w:pPr>
        <w:pStyle w:val="Prrafodelista"/>
        <w:spacing w:after="0" w:line="240" w:lineRule="auto"/>
        <w:ind w:left="0"/>
        <w:jc w:val="center"/>
        <w:rPr>
          <w:rFonts w:cs="Times New Roman"/>
          <w:lang w:val="es-MX"/>
        </w:rPr>
      </w:pPr>
    </w:p>
    <w:p w:rsidR="00BC631A" w:rsidRPr="00BC631A" w:rsidRDefault="00BC631A" w:rsidP="00EF6C10">
      <w:pPr>
        <w:pStyle w:val="Prrafodelista"/>
        <w:spacing w:after="0" w:line="240" w:lineRule="auto"/>
        <w:ind w:left="0"/>
        <w:jc w:val="center"/>
        <w:rPr>
          <w:rFonts w:cs="Times New Roman"/>
          <w:b/>
          <w:sz w:val="32"/>
          <w:lang w:val="es-MX"/>
        </w:rPr>
      </w:pPr>
      <w:r w:rsidRPr="00BC631A">
        <w:rPr>
          <w:rFonts w:cs="Times New Roman"/>
          <w:b/>
          <w:sz w:val="32"/>
          <w:lang w:val="es-MX"/>
        </w:rPr>
        <w:t xml:space="preserve">Recaudación Tributaria </w:t>
      </w:r>
    </w:p>
    <w:p w:rsidR="00BC631A" w:rsidRPr="00BC631A" w:rsidRDefault="00BC631A" w:rsidP="00EF6C10">
      <w:pPr>
        <w:pStyle w:val="Prrafodelista"/>
        <w:spacing w:after="0" w:line="240" w:lineRule="auto"/>
        <w:ind w:left="0"/>
        <w:jc w:val="center"/>
        <w:rPr>
          <w:rFonts w:cs="Times New Roman"/>
          <w:b/>
          <w:sz w:val="20"/>
          <w:lang w:val="es-MX"/>
        </w:rPr>
      </w:pPr>
      <w:r w:rsidRPr="00BC631A">
        <w:rPr>
          <w:rFonts w:cs="Times New Roman"/>
          <w:b/>
          <w:sz w:val="20"/>
          <w:lang w:val="es-MX"/>
        </w:rPr>
        <w:t>Al 28 de Febrero de cada año</w:t>
      </w:r>
    </w:p>
    <w:p w:rsidR="00BC631A" w:rsidRPr="00BC631A" w:rsidRDefault="00BC631A" w:rsidP="00EF6C10">
      <w:pPr>
        <w:pStyle w:val="Prrafodelista"/>
        <w:spacing w:after="0" w:line="240" w:lineRule="auto"/>
        <w:ind w:left="0"/>
        <w:jc w:val="center"/>
        <w:rPr>
          <w:rFonts w:cs="Times New Roman"/>
          <w:b/>
          <w:sz w:val="20"/>
          <w:lang w:val="es-MX"/>
        </w:rPr>
      </w:pPr>
      <w:r w:rsidRPr="00BC631A">
        <w:rPr>
          <w:rFonts w:cs="Times New Roman"/>
          <w:b/>
          <w:sz w:val="20"/>
          <w:lang w:val="es-MX"/>
        </w:rPr>
        <w:t>Millones de quetzales y porcentajes</w:t>
      </w:r>
    </w:p>
    <w:p w:rsidR="00BC631A" w:rsidRDefault="00BC631A" w:rsidP="00EF6C10">
      <w:pPr>
        <w:pStyle w:val="Prrafodelista"/>
        <w:spacing w:after="0" w:line="240" w:lineRule="auto"/>
        <w:ind w:left="0"/>
        <w:jc w:val="center"/>
        <w:rPr>
          <w:rFonts w:cs="Times New Roman"/>
          <w:lang w:val="es-MX"/>
        </w:rPr>
      </w:pPr>
    </w:p>
    <w:p w:rsidR="008C2B29" w:rsidRPr="00BC631A" w:rsidRDefault="00BC631A" w:rsidP="00EF6C10">
      <w:pPr>
        <w:spacing w:line="240" w:lineRule="auto"/>
        <w:jc w:val="center"/>
        <w:rPr>
          <w:lang w:val="es-MX"/>
        </w:rPr>
      </w:pPr>
      <w:r w:rsidRPr="00BC631A">
        <w:rPr>
          <w:noProof/>
          <w:lang w:eastAsia="es-GT"/>
        </w:rPr>
        <w:drawing>
          <wp:inline distT="0" distB="0" distL="0" distR="0" wp14:anchorId="04AE4926" wp14:editId="2D38FAD7">
            <wp:extent cx="5605670" cy="50490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5054897"/>
                    </a:xfrm>
                    <a:prstGeom prst="rect">
                      <a:avLst/>
                    </a:prstGeom>
                    <a:noFill/>
                    <a:ln>
                      <a:noFill/>
                    </a:ln>
                  </pic:spPr>
                </pic:pic>
              </a:graphicData>
            </a:graphic>
          </wp:inline>
        </w:drawing>
      </w:r>
    </w:p>
    <w:p w:rsidR="008C2B29" w:rsidRPr="00BC631A" w:rsidRDefault="008C2B29" w:rsidP="00EF6C10">
      <w:pPr>
        <w:pStyle w:val="Sinespaciado"/>
        <w:jc w:val="both"/>
        <w:rPr>
          <w:rFonts w:ascii="Times New Roman" w:hAnsi="Times New Roman" w:cs="Times New Roman"/>
          <w:sz w:val="14"/>
          <w:szCs w:val="12"/>
        </w:rPr>
      </w:pPr>
      <w:r w:rsidRPr="00BC631A">
        <w:rPr>
          <w:rFonts w:ascii="Times New Roman" w:hAnsi="Times New Roman" w:cs="Times New Roman"/>
          <w:sz w:val="14"/>
          <w:szCs w:val="12"/>
        </w:rPr>
        <w:t>Fuente: Dirección de Análisis y Política fiscal</w:t>
      </w:r>
    </w:p>
    <w:p w:rsidR="008C2B29" w:rsidRDefault="008C2B29" w:rsidP="00EF6C10">
      <w:pPr>
        <w:spacing w:line="240" w:lineRule="auto"/>
      </w:pPr>
    </w:p>
    <w:p w:rsidR="00AF08EA" w:rsidRDefault="00AF08EA" w:rsidP="00EF6C10">
      <w:pPr>
        <w:spacing w:line="240" w:lineRule="auto"/>
        <w:jc w:val="center"/>
        <w:rPr>
          <w:lang w:val="es-MX"/>
        </w:rPr>
      </w:pPr>
    </w:p>
    <w:p w:rsidR="008C2B29" w:rsidRDefault="008C2B29" w:rsidP="00EF6C10">
      <w:pPr>
        <w:spacing w:line="240" w:lineRule="auto"/>
        <w:jc w:val="center"/>
        <w:rPr>
          <w:lang w:val="es-MX"/>
        </w:rPr>
      </w:pPr>
    </w:p>
    <w:p w:rsidR="008C2B29" w:rsidRDefault="008C2B29" w:rsidP="00EF6C10">
      <w:pPr>
        <w:spacing w:line="240" w:lineRule="auto"/>
        <w:jc w:val="center"/>
        <w:rPr>
          <w:lang w:val="es-MX"/>
        </w:rPr>
      </w:pPr>
    </w:p>
    <w:p w:rsidR="00CE6B9A" w:rsidRDefault="00D6244A" w:rsidP="00EF6C10">
      <w:pPr>
        <w:spacing w:after="0" w:line="240" w:lineRule="auto"/>
        <w:jc w:val="center"/>
        <w:rPr>
          <w:lang w:val="es-MX"/>
        </w:rPr>
      </w:pPr>
      <w:r w:rsidRPr="00D6244A">
        <w:rPr>
          <w:noProof/>
          <w:lang w:eastAsia="es-GT"/>
        </w:rPr>
        <w:lastRenderedPageBreak/>
        <w:drawing>
          <wp:inline distT="0" distB="0" distL="0" distR="0" wp14:anchorId="15C5670B" wp14:editId="510ED2DB">
            <wp:extent cx="3719558" cy="8031193"/>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347" cy="8035055"/>
                    </a:xfrm>
                    <a:prstGeom prst="rect">
                      <a:avLst/>
                    </a:prstGeom>
                    <a:noFill/>
                    <a:ln>
                      <a:noFill/>
                    </a:ln>
                  </pic:spPr>
                </pic:pic>
              </a:graphicData>
            </a:graphic>
          </wp:inline>
        </w:drawing>
      </w:r>
    </w:p>
    <w:p w:rsidR="000079DA" w:rsidRPr="00CE6B9A" w:rsidRDefault="00CE6B9A" w:rsidP="00EF6C10">
      <w:pPr>
        <w:spacing w:after="0" w:line="240" w:lineRule="auto"/>
        <w:ind w:left="708" w:firstLine="708"/>
        <w:rPr>
          <w:rFonts w:ascii="Times New Roman" w:hAnsi="Times New Roman" w:cs="Times New Roman"/>
          <w:sz w:val="12"/>
          <w:lang w:val="es-MX"/>
        </w:rPr>
      </w:pPr>
      <w:r w:rsidRPr="00CE6B9A">
        <w:rPr>
          <w:rFonts w:ascii="Times New Roman" w:hAnsi="Times New Roman" w:cs="Times New Roman"/>
          <w:sz w:val="12"/>
          <w:lang w:val="es-MX"/>
        </w:rPr>
        <w:t>Fuente: Dirección de Análisis y Política Fiscal</w:t>
      </w:r>
    </w:p>
    <w:sectPr w:rsidR="000079DA" w:rsidRPr="00CE6B9A" w:rsidSect="009C716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D7" w:rsidRDefault="00E623D7" w:rsidP="006C0A20">
      <w:pPr>
        <w:spacing w:after="0" w:line="240" w:lineRule="auto"/>
      </w:pPr>
      <w:r>
        <w:separator/>
      </w:r>
    </w:p>
  </w:endnote>
  <w:endnote w:type="continuationSeparator" w:id="0">
    <w:p w:rsidR="00E623D7" w:rsidRDefault="00E623D7" w:rsidP="006C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D7" w:rsidRDefault="00E623D7" w:rsidP="006C0A20">
      <w:pPr>
        <w:spacing w:after="0" w:line="240" w:lineRule="auto"/>
      </w:pPr>
      <w:r>
        <w:separator/>
      </w:r>
    </w:p>
  </w:footnote>
  <w:footnote w:type="continuationSeparator" w:id="0">
    <w:p w:rsidR="00E623D7" w:rsidRDefault="00E623D7" w:rsidP="006C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20" w:rsidRPr="004920BA" w:rsidRDefault="006C0A20" w:rsidP="006C0A20">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0288" behindDoc="1" locked="0" layoutInCell="1" allowOverlap="1" wp14:anchorId="5040E30F" wp14:editId="6453A5B7">
          <wp:simplePos x="0" y="0"/>
          <wp:positionH relativeFrom="margin">
            <wp:posOffset>-327661</wp:posOffset>
          </wp:positionH>
          <wp:positionV relativeFrom="margin">
            <wp:posOffset>-780266</wp:posOffset>
          </wp:positionV>
          <wp:extent cx="2219325" cy="689126"/>
          <wp:effectExtent l="0" t="0" r="0" b="0"/>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2220674" cy="68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6C0A20" w:rsidRDefault="006C0A20" w:rsidP="006C0A20">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78095390" wp14:editId="18D7C5B5">
              <wp:simplePos x="0" y="0"/>
              <wp:positionH relativeFrom="column">
                <wp:posOffset>1986915</wp:posOffset>
              </wp:positionH>
              <wp:positionV relativeFrom="paragraph">
                <wp:posOffset>146050</wp:posOffset>
              </wp:positionV>
              <wp:extent cx="4010025" cy="0"/>
              <wp:effectExtent l="0" t="0" r="9525" b="19050"/>
              <wp:wrapNone/>
              <wp:docPr id="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A12781"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3C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zBSpAOL&#10;ZqgCq6jXFtmwhR71xhVQWqmtDSrpSb2YJ02/Ocgld8kQOAOYu/6TZgBHDgARPjo1tgs7iEan6MB5&#10;cICfPKJwmUMT0skUI3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Cv8H3C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FE1884">
      <w:rPr>
        <w:rFonts w:ascii="Times New Roman" w:hAnsi="Times New Roman"/>
        <w:color w:val="0F243E" w:themeColor="text2" w:themeShade="80"/>
        <w:sz w:val="20"/>
        <w:szCs w:val="20"/>
      </w:rPr>
      <w:t>Febrero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p w:rsidR="006C0A20" w:rsidRDefault="006C0A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76" w:rsidRPr="004920BA" w:rsidRDefault="00317176" w:rsidP="006C0A20">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3360" behindDoc="1" locked="0" layoutInCell="1" allowOverlap="1" wp14:anchorId="532A8C7B" wp14:editId="225C3D37">
          <wp:simplePos x="0" y="0"/>
          <wp:positionH relativeFrom="margin">
            <wp:posOffset>-327661</wp:posOffset>
          </wp:positionH>
          <wp:positionV relativeFrom="margin">
            <wp:posOffset>-780266</wp:posOffset>
          </wp:positionV>
          <wp:extent cx="2219325" cy="689126"/>
          <wp:effectExtent l="0" t="0" r="0" b="0"/>
          <wp:wrapNone/>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2220674" cy="68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317176" w:rsidRDefault="00317176" w:rsidP="006C0A20">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2336" behindDoc="0" locked="0" layoutInCell="1" allowOverlap="1" wp14:anchorId="47A51FC7" wp14:editId="24C0E2FF">
              <wp:simplePos x="0" y="0"/>
              <wp:positionH relativeFrom="column">
                <wp:posOffset>1986915</wp:posOffset>
              </wp:positionH>
              <wp:positionV relativeFrom="paragraph">
                <wp:posOffset>146050</wp:posOffset>
              </wp:positionV>
              <wp:extent cx="4010025" cy="0"/>
              <wp:effectExtent l="0" t="0" r="9525" b="19050"/>
              <wp:wrapNone/>
              <wp:docPr id="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BD0102" id="6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oJ84VQ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Febrero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p w:rsidR="00317176" w:rsidRDefault="003171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4F1A"/>
    <w:multiLevelType w:val="hybridMultilevel"/>
    <w:tmpl w:val="0B041E0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270E0473"/>
    <w:multiLevelType w:val="hybridMultilevel"/>
    <w:tmpl w:val="B12A10A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EF04A9F"/>
    <w:multiLevelType w:val="hybridMultilevel"/>
    <w:tmpl w:val="41B2CC96"/>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57465AD7"/>
    <w:multiLevelType w:val="hybridMultilevel"/>
    <w:tmpl w:val="72C4477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577C08D8"/>
    <w:multiLevelType w:val="hybridMultilevel"/>
    <w:tmpl w:val="28105704"/>
    <w:lvl w:ilvl="0" w:tplc="5ED459DE">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739B59BF"/>
    <w:multiLevelType w:val="hybridMultilevel"/>
    <w:tmpl w:val="5566A2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81F00E2"/>
    <w:multiLevelType w:val="hybridMultilevel"/>
    <w:tmpl w:val="B46ACB9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20"/>
    <w:rsid w:val="000079DA"/>
    <w:rsid w:val="00021435"/>
    <w:rsid w:val="00022C1F"/>
    <w:rsid w:val="0002316D"/>
    <w:rsid w:val="000350E4"/>
    <w:rsid w:val="0003778E"/>
    <w:rsid w:val="0007249B"/>
    <w:rsid w:val="00084A21"/>
    <w:rsid w:val="000A74B6"/>
    <w:rsid w:val="000B2381"/>
    <w:rsid w:val="000B63D0"/>
    <w:rsid w:val="000C4C00"/>
    <w:rsid w:val="000C654A"/>
    <w:rsid w:val="000E494A"/>
    <w:rsid w:val="000E5660"/>
    <w:rsid w:val="000E7E15"/>
    <w:rsid w:val="000F2D03"/>
    <w:rsid w:val="0010004D"/>
    <w:rsid w:val="00106014"/>
    <w:rsid w:val="00107433"/>
    <w:rsid w:val="00107A77"/>
    <w:rsid w:val="00134178"/>
    <w:rsid w:val="001529FA"/>
    <w:rsid w:val="00154609"/>
    <w:rsid w:val="001659E2"/>
    <w:rsid w:val="00167316"/>
    <w:rsid w:val="00171E55"/>
    <w:rsid w:val="00187CBE"/>
    <w:rsid w:val="001B461F"/>
    <w:rsid w:val="001C1EE6"/>
    <w:rsid w:val="00210503"/>
    <w:rsid w:val="002142B7"/>
    <w:rsid w:val="00217674"/>
    <w:rsid w:val="00225614"/>
    <w:rsid w:val="00233593"/>
    <w:rsid w:val="00273372"/>
    <w:rsid w:val="002770A6"/>
    <w:rsid w:val="00287E3A"/>
    <w:rsid w:val="0029380C"/>
    <w:rsid w:val="002969C6"/>
    <w:rsid w:val="002B4253"/>
    <w:rsid w:val="002D4C47"/>
    <w:rsid w:val="002D5572"/>
    <w:rsid w:val="002D56E5"/>
    <w:rsid w:val="002F51BC"/>
    <w:rsid w:val="00301F54"/>
    <w:rsid w:val="00303C6F"/>
    <w:rsid w:val="003107A6"/>
    <w:rsid w:val="00317176"/>
    <w:rsid w:val="003919AB"/>
    <w:rsid w:val="00397963"/>
    <w:rsid w:val="003B7A8C"/>
    <w:rsid w:val="003C5099"/>
    <w:rsid w:val="003C552F"/>
    <w:rsid w:val="003C5D5D"/>
    <w:rsid w:val="003D6E07"/>
    <w:rsid w:val="00405556"/>
    <w:rsid w:val="0041348D"/>
    <w:rsid w:val="00417B82"/>
    <w:rsid w:val="00440D9E"/>
    <w:rsid w:val="00453631"/>
    <w:rsid w:val="00454D82"/>
    <w:rsid w:val="00496B8B"/>
    <w:rsid w:val="004D3635"/>
    <w:rsid w:val="004D453F"/>
    <w:rsid w:val="004E584F"/>
    <w:rsid w:val="00502B5E"/>
    <w:rsid w:val="0050409B"/>
    <w:rsid w:val="005366EF"/>
    <w:rsid w:val="00554129"/>
    <w:rsid w:val="00596A4A"/>
    <w:rsid w:val="00597169"/>
    <w:rsid w:val="0059738C"/>
    <w:rsid w:val="005A0B85"/>
    <w:rsid w:val="005C16A2"/>
    <w:rsid w:val="006075FD"/>
    <w:rsid w:val="0063561C"/>
    <w:rsid w:val="00636E2E"/>
    <w:rsid w:val="00637F90"/>
    <w:rsid w:val="006428A2"/>
    <w:rsid w:val="00642BA8"/>
    <w:rsid w:val="00647681"/>
    <w:rsid w:val="0068063A"/>
    <w:rsid w:val="00684346"/>
    <w:rsid w:val="0069290A"/>
    <w:rsid w:val="006B7858"/>
    <w:rsid w:val="006C0A20"/>
    <w:rsid w:val="006C63E6"/>
    <w:rsid w:val="006D1BF8"/>
    <w:rsid w:val="006D64AC"/>
    <w:rsid w:val="006F0FAA"/>
    <w:rsid w:val="006F24C7"/>
    <w:rsid w:val="0070631D"/>
    <w:rsid w:val="007166B9"/>
    <w:rsid w:val="00721481"/>
    <w:rsid w:val="00721D1A"/>
    <w:rsid w:val="00730FB4"/>
    <w:rsid w:val="00736EE1"/>
    <w:rsid w:val="00744C89"/>
    <w:rsid w:val="00761614"/>
    <w:rsid w:val="00762914"/>
    <w:rsid w:val="00765F1D"/>
    <w:rsid w:val="00780065"/>
    <w:rsid w:val="007D377D"/>
    <w:rsid w:val="00813774"/>
    <w:rsid w:val="00816616"/>
    <w:rsid w:val="00820C1A"/>
    <w:rsid w:val="00825088"/>
    <w:rsid w:val="00842321"/>
    <w:rsid w:val="00851812"/>
    <w:rsid w:val="008529BC"/>
    <w:rsid w:val="00854056"/>
    <w:rsid w:val="008633DA"/>
    <w:rsid w:val="008737CF"/>
    <w:rsid w:val="00892208"/>
    <w:rsid w:val="008C2B29"/>
    <w:rsid w:val="008D3700"/>
    <w:rsid w:val="008D7BCA"/>
    <w:rsid w:val="008F26B2"/>
    <w:rsid w:val="008F3EB8"/>
    <w:rsid w:val="00930022"/>
    <w:rsid w:val="00940706"/>
    <w:rsid w:val="00970ECB"/>
    <w:rsid w:val="00987D9F"/>
    <w:rsid w:val="009C7168"/>
    <w:rsid w:val="009E46DD"/>
    <w:rsid w:val="009F66EE"/>
    <w:rsid w:val="00A0519D"/>
    <w:rsid w:val="00A13238"/>
    <w:rsid w:val="00A354AA"/>
    <w:rsid w:val="00A476E9"/>
    <w:rsid w:val="00A479F7"/>
    <w:rsid w:val="00A55B2C"/>
    <w:rsid w:val="00A611D7"/>
    <w:rsid w:val="00A6490E"/>
    <w:rsid w:val="00A6701B"/>
    <w:rsid w:val="00AA1164"/>
    <w:rsid w:val="00AA7357"/>
    <w:rsid w:val="00AD1533"/>
    <w:rsid w:val="00AF08EA"/>
    <w:rsid w:val="00AF29AF"/>
    <w:rsid w:val="00B0270C"/>
    <w:rsid w:val="00B028CA"/>
    <w:rsid w:val="00B11591"/>
    <w:rsid w:val="00B24B14"/>
    <w:rsid w:val="00B55422"/>
    <w:rsid w:val="00B678C1"/>
    <w:rsid w:val="00B825E0"/>
    <w:rsid w:val="00BA722C"/>
    <w:rsid w:val="00BB7938"/>
    <w:rsid w:val="00BC631A"/>
    <w:rsid w:val="00BD3A11"/>
    <w:rsid w:val="00C067E6"/>
    <w:rsid w:val="00C515EE"/>
    <w:rsid w:val="00C55791"/>
    <w:rsid w:val="00C6127F"/>
    <w:rsid w:val="00C67FAD"/>
    <w:rsid w:val="00CA7BA5"/>
    <w:rsid w:val="00CC0415"/>
    <w:rsid w:val="00CE6B9A"/>
    <w:rsid w:val="00CE6BA1"/>
    <w:rsid w:val="00D17DED"/>
    <w:rsid w:val="00D40FE3"/>
    <w:rsid w:val="00D444CF"/>
    <w:rsid w:val="00D51F74"/>
    <w:rsid w:val="00D6244A"/>
    <w:rsid w:val="00D673EA"/>
    <w:rsid w:val="00D87038"/>
    <w:rsid w:val="00DA09AA"/>
    <w:rsid w:val="00DB1B87"/>
    <w:rsid w:val="00DF36A2"/>
    <w:rsid w:val="00E0134B"/>
    <w:rsid w:val="00E16833"/>
    <w:rsid w:val="00E231AD"/>
    <w:rsid w:val="00E623D7"/>
    <w:rsid w:val="00E62B57"/>
    <w:rsid w:val="00E632A0"/>
    <w:rsid w:val="00E66D12"/>
    <w:rsid w:val="00E748A1"/>
    <w:rsid w:val="00EA516E"/>
    <w:rsid w:val="00EC04AB"/>
    <w:rsid w:val="00EC2B55"/>
    <w:rsid w:val="00ED4540"/>
    <w:rsid w:val="00EE085E"/>
    <w:rsid w:val="00EF3DEB"/>
    <w:rsid w:val="00EF6C10"/>
    <w:rsid w:val="00F026A9"/>
    <w:rsid w:val="00F1010D"/>
    <w:rsid w:val="00F133DD"/>
    <w:rsid w:val="00F26E2C"/>
    <w:rsid w:val="00F6755D"/>
    <w:rsid w:val="00F73ADD"/>
    <w:rsid w:val="00F81140"/>
    <w:rsid w:val="00F96824"/>
    <w:rsid w:val="00FB6E74"/>
    <w:rsid w:val="00FD0A01"/>
    <w:rsid w:val="00FD4C1B"/>
    <w:rsid w:val="00FE1884"/>
    <w:rsid w:val="00FF3D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71593-7DB4-4AB8-9931-FCE72190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A20"/>
  </w:style>
  <w:style w:type="paragraph" w:styleId="Piedepgina">
    <w:name w:val="footer"/>
    <w:basedOn w:val="Normal"/>
    <w:link w:val="PiedepginaCar"/>
    <w:uiPriority w:val="99"/>
    <w:unhideWhenUsed/>
    <w:rsid w:val="006C0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A20"/>
  </w:style>
  <w:style w:type="paragraph" w:styleId="Sinespaciado">
    <w:name w:val="No Spacing"/>
    <w:link w:val="SinespaciadoCar"/>
    <w:uiPriority w:val="1"/>
    <w:qFormat/>
    <w:rsid w:val="006C0A20"/>
    <w:pPr>
      <w:spacing w:after="0" w:line="240" w:lineRule="auto"/>
    </w:pPr>
  </w:style>
  <w:style w:type="character" w:customStyle="1" w:styleId="SinespaciadoCar">
    <w:name w:val="Sin espaciado Car"/>
    <w:basedOn w:val="Fuentedeprrafopredeter"/>
    <w:link w:val="Sinespaciado"/>
    <w:uiPriority w:val="1"/>
    <w:locked/>
    <w:rsid w:val="006C0A20"/>
  </w:style>
  <w:style w:type="paragraph" w:styleId="Prrafodelista">
    <w:name w:val="List Paragraph"/>
    <w:basedOn w:val="Normal"/>
    <w:uiPriority w:val="34"/>
    <w:qFormat/>
    <w:rsid w:val="006C0A20"/>
    <w:pPr>
      <w:ind w:left="720"/>
      <w:contextualSpacing/>
      <w:jc w:val="both"/>
    </w:pPr>
    <w:rPr>
      <w:rFonts w:ascii="Times New Roman" w:hAnsi="Times New Roman"/>
    </w:rPr>
  </w:style>
  <w:style w:type="paragraph" w:styleId="Textodeglobo">
    <w:name w:val="Balloon Text"/>
    <w:basedOn w:val="Normal"/>
    <w:link w:val="TextodegloboCar"/>
    <w:uiPriority w:val="99"/>
    <w:semiHidden/>
    <w:unhideWhenUsed/>
    <w:rsid w:val="006C0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A20"/>
    <w:rPr>
      <w:rFonts w:ascii="Tahoma" w:hAnsi="Tahoma" w:cs="Tahoma"/>
      <w:sz w:val="16"/>
      <w:szCs w:val="16"/>
    </w:rPr>
  </w:style>
  <w:style w:type="character" w:styleId="Refdecomentario">
    <w:name w:val="annotation reference"/>
    <w:basedOn w:val="Fuentedeprrafopredeter"/>
    <w:uiPriority w:val="99"/>
    <w:semiHidden/>
    <w:unhideWhenUsed/>
    <w:rsid w:val="00107A77"/>
    <w:rPr>
      <w:sz w:val="16"/>
      <w:szCs w:val="16"/>
    </w:rPr>
  </w:style>
  <w:style w:type="paragraph" w:styleId="Textocomentario">
    <w:name w:val="annotation text"/>
    <w:basedOn w:val="Normal"/>
    <w:link w:val="TextocomentarioCar"/>
    <w:uiPriority w:val="99"/>
    <w:semiHidden/>
    <w:unhideWhenUsed/>
    <w:rsid w:val="00107A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7A77"/>
    <w:rPr>
      <w:sz w:val="20"/>
      <w:szCs w:val="20"/>
    </w:rPr>
  </w:style>
  <w:style w:type="paragraph" w:styleId="Asuntodelcomentario">
    <w:name w:val="annotation subject"/>
    <w:basedOn w:val="Textocomentario"/>
    <w:next w:val="Textocomentario"/>
    <w:link w:val="AsuntodelcomentarioCar"/>
    <w:uiPriority w:val="99"/>
    <w:semiHidden/>
    <w:unhideWhenUsed/>
    <w:rsid w:val="00107A77"/>
    <w:rPr>
      <w:b/>
      <w:bCs/>
    </w:rPr>
  </w:style>
  <w:style w:type="character" w:customStyle="1" w:styleId="AsuntodelcomentarioCar">
    <w:name w:val="Asunto del comentario Car"/>
    <w:basedOn w:val="TextocomentarioCar"/>
    <w:link w:val="Asuntodelcomentario"/>
    <w:uiPriority w:val="99"/>
    <w:semiHidden/>
    <w:rsid w:val="00107A77"/>
    <w:rPr>
      <w:b/>
      <w:bCs/>
      <w:sz w:val="20"/>
      <w:szCs w:val="20"/>
    </w:rPr>
  </w:style>
  <w:style w:type="paragraph" w:styleId="NormalWeb">
    <w:name w:val="Normal (Web)"/>
    <w:basedOn w:val="Normal"/>
    <w:uiPriority w:val="99"/>
    <w:unhideWhenUsed/>
    <w:rsid w:val="00FE1884"/>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4558">
      <w:bodyDiv w:val="1"/>
      <w:marLeft w:val="0"/>
      <w:marRight w:val="0"/>
      <w:marTop w:val="0"/>
      <w:marBottom w:val="0"/>
      <w:divBdr>
        <w:top w:val="none" w:sz="0" w:space="0" w:color="auto"/>
        <w:left w:val="none" w:sz="0" w:space="0" w:color="auto"/>
        <w:bottom w:val="none" w:sz="0" w:space="0" w:color="auto"/>
        <w:right w:val="none" w:sz="0" w:space="0" w:color="auto"/>
      </w:divBdr>
    </w:div>
    <w:div w:id="380635233">
      <w:bodyDiv w:val="1"/>
      <w:marLeft w:val="0"/>
      <w:marRight w:val="0"/>
      <w:marTop w:val="0"/>
      <w:marBottom w:val="0"/>
      <w:divBdr>
        <w:top w:val="none" w:sz="0" w:space="0" w:color="auto"/>
        <w:left w:val="none" w:sz="0" w:space="0" w:color="auto"/>
        <w:bottom w:val="none" w:sz="0" w:space="0" w:color="auto"/>
        <w:right w:val="none" w:sz="0" w:space="0" w:color="auto"/>
      </w:divBdr>
    </w:div>
    <w:div w:id="422991884">
      <w:bodyDiv w:val="1"/>
      <w:marLeft w:val="0"/>
      <w:marRight w:val="0"/>
      <w:marTop w:val="0"/>
      <w:marBottom w:val="0"/>
      <w:divBdr>
        <w:top w:val="none" w:sz="0" w:space="0" w:color="auto"/>
        <w:left w:val="none" w:sz="0" w:space="0" w:color="auto"/>
        <w:bottom w:val="none" w:sz="0" w:space="0" w:color="auto"/>
        <w:right w:val="none" w:sz="0" w:space="0" w:color="auto"/>
      </w:divBdr>
    </w:div>
    <w:div w:id="548303669">
      <w:bodyDiv w:val="1"/>
      <w:marLeft w:val="0"/>
      <w:marRight w:val="0"/>
      <w:marTop w:val="0"/>
      <w:marBottom w:val="0"/>
      <w:divBdr>
        <w:top w:val="none" w:sz="0" w:space="0" w:color="auto"/>
        <w:left w:val="none" w:sz="0" w:space="0" w:color="auto"/>
        <w:bottom w:val="none" w:sz="0" w:space="0" w:color="auto"/>
        <w:right w:val="none" w:sz="0" w:space="0" w:color="auto"/>
      </w:divBdr>
    </w:div>
    <w:div w:id="686522363">
      <w:bodyDiv w:val="1"/>
      <w:marLeft w:val="0"/>
      <w:marRight w:val="0"/>
      <w:marTop w:val="0"/>
      <w:marBottom w:val="0"/>
      <w:divBdr>
        <w:top w:val="none" w:sz="0" w:space="0" w:color="auto"/>
        <w:left w:val="none" w:sz="0" w:space="0" w:color="auto"/>
        <w:bottom w:val="none" w:sz="0" w:space="0" w:color="auto"/>
        <w:right w:val="none" w:sz="0" w:space="0" w:color="auto"/>
      </w:divBdr>
    </w:div>
    <w:div w:id="841360728">
      <w:bodyDiv w:val="1"/>
      <w:marLeft w:val="0"/>
      <w:marRight w:val="0"/>
      <w:marTop w:val="0"/>
      <w:marBottom w:val="0"/>
      <w:divBdr>
        <w:top w:val="none" w:sz="0" w:space="0" w:color="auto"/>
        <w:left w:val="none" w:sz="0" w:space="0" w:color="auto"/>
        <w:bottom w:val="none" w:sz="0" w:space="0" w:color="auto"/>
        <w:right w:val="none" w:sz="0" w:space="0" w:color="auto"/>
      </w:divBdr>
    </w:div>
    <w:div w:id="887837490">
      <w:bodyDiv w:val="1"/>
      <w:marLeft w:val="0"/>
      <w:marRight w:val="0"/>
      <w:marTop w:val="0"/>
      <w:marBottom w:val="0"/>
      <w:divBdr>
        <w:top w:val="none" w:sz="0" w:space="0" w:color="auto"/>
        <w:left w:val="none" w:sz="0" w:space="0" w:color="auto"/>
        <w:bottom w:val="none" w:sz="0" w:space="0" w:color="auto"/>
        <w:right w:val="none" w:sz="0" w:space="0" w:color="auto"/>
      </w:divBdr>
    </w:div>
    <w:div w:id="900945728">
      <w:bodyDiv w:val="1"/>
      <w:marLeft w:val="0"/>
      <w:marRight w:val="0"/>
      <w:marTop w:val="0"/>
      <w:marBottom w:val="0"/>
      <w:divBdr>
        <w:top w:val="none" w:sz="0" w:space="0" w:color="auto"/>
        <w:left w:val="none" w:sz="0" w:space="0" w:color="auto"/>
        <w:bottom w:val="none" w:sz="0" w:space="0" w:color="auto"/>
        <w:right w:val="none" w:sz="0" w:space="0" w:color="auto"/>
      </w:divBdr>
    </w:div>
    <w:div w:id="962199708">
      <w:bodyDiv w:val="1"/>
      <w:marLeft w:val="0"/>
      <w:marRight w:val="0"/>
      <w:marTop w:val="0"/>
      <w:marBottom w:val="0"/>
      <w:divBdr>
        <w:top w:val="none" w:sz="0" w:space="0" w:color="auto"/>
        <w:left w:val="none" w:sz="0" w:space="0" w:color="auto"/>
        <w:bottom w:val="none" w:sz="0" w:space="0" w:color="auto"/>
        <w:right w:val="none" w:sz="0" w:space="0" w:color="auto"/>
      </w:divBdr>
    </w:div>
    <w:div w:id="967315463">
      <w:bodyDiv w:val="1"/>
      <w:marLeft w:val="0"/>
      <w:marRight w:val="0"/>
      <w:marTop w:val="0"/>
      <w:marBottom w:val="0"/>
      <w:divBdr>
        <w:top w:val="none" w:sz="0" w:space="0" w:color="auto"/>
        <w:left w:val="none" w:sz="0" w:space="0" w:color="auto"/>
        <w:bottom w:val="none" w:sz="0" w:space="0" w:color="auto"/>
        <w:right w:val="none" w:sz="0" w:space="0" w:color="auto"/>
      </w:divBdr>
    </w:div>
    <w:div w:id="1009336869">
      <w:bodyDiv w:val="1"/>
      <w:marLeft w:val="0"/>
      <w:marRight w:val="0"/>
      <w:marTop w:val="0"/>
      <w:marBottom w:val="0"/>
      <w:divBdr>
        <w:top w:val="none" w:sz="0" w:space="0" w:color="auto"/>
        <w:left w:val="none" w:sz="0" w:space="0" w:color="auto"/>
        <w:bottom w:val="none" w:sz="0" w:space="0" w:color="auto"/>
        <w:right w:val="none" w:sz="0" w:space="0" w:color="auto"/>
      </w:divBdr>
    </w:div>
    <w:div w:id="1096512408">
      <w:bodyDiv w:val="1"/>
      <w:marLeft w:val="0"/>
      <w:marRight w:val="0"/>
      <w:marTop w:val="0"/>
      <w:marBottom w:val="0"/>
      <w:divBdr>
        <w:top w:val="none" w:sz="0" w:space="0" w:color="auto"/>
        <w:left w:val="none" w:sz="0" w:space="0" w:color="auto"/>
        <w:bottom w:val="none" w:sz="0" w:space="0" w:color="auto"/>
        <w:right w:val="none" w:sz="0" w:space="0" w:color="auto"/>
      </w:divBdr>
    </w:div>
    <w:div w:id="1454785335">
      <w:bodyDiv w:val="1"/>
      <w:marLeft w:val="0"/>
      <w:marRight w:val="0"/>
      <w:marTop w:val="0"/>
      <w:marBottom w:val="0"/>
      <w:divBdr>
        <w:top w:val="none" w:sz="0" w:space="0" w:color="auto"/>
        <w:left w:val="none" w:sz="0" w:space="0" w:color="auto"/>
        <w:bottom w:val="none" w:sz="0" w:space="0" w:color="auto"/>
        <w:right w:val="none" w:sz="0" w:space="0" w:color="auto"/>
      </w:divBdr>
    </w:div>
    <w:div w:id="1606694104">
      <w:bodyDiv w:val="1"/>
      <w:marLeft w:val="0"/>
      <w:marRight w:val="0"/>
      <w:marTop w:val="0"/>
      <w:marBottom w:val="0"/>
      <w:divBdr>
        <w:top w:val="none" w:sz="0" w:space="0" w:color="auto"/>
        <w:left w:val="none" w:sz="0" w:space="0" w:color="auto"/>
        <w:bottom w:val="none" w:sz="0" w:space="0" w:color="auto"/>
        <w:right w:val="none" w:sz="0" w:space="0" w:color="auto"/>
      </w:divBdr>
    </w:div>
    <w:div w:id="1607156807">
      <w:bodyDiv w:val="1"/>
      <w:marLeft w:val="0"/>
      <w:marRight w:val="0"/>
      <w:marTop w:val="0"/>
      <w:marBottom w:val="0"/>
      <w:divBdr>
        <w:top w:val="none" w:sz="0" w:space="0" w:color="auto"/>
        <w:left w:val="none" w:sz="0" w:space="0" w:color="auto"/>
        <w:bottom w:val="none" w:sz="0" w:space="0" w:color="auto"/>
        <w:right w:val="none" w:sz="0" w:space="0" w:color="auto"/>
      </w:divBdr>
    </w:div>
    <w:div w:id="1657104208">
      <w:bodyDiv w:val="1"/>
      <w:marLeft w:val="0"/>
      <w:marRight w:val="0"/>
      <w:marTop w:val="0"/>
      <w:marBottom w:val="0"/>
      <w:divBdr>
        <w:top w:val="none" w:sz="0" w:space="0" w:color="auto"/>
        <w:left w:val="none" w:sz="0" w:space="0" w:color="auto"/>
        <w:bottom w:val="none" w:sz="0" w:space="0" w:color="auto"/>
        <w:right w:val="none" w:sz="0" w:space="0" w:color="auto"/>
      </w:divBdr>
    </w:div>
    <w:div w:id="17242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invertIfNegative val="0"/>
          <c:dPt>
            <c:idx val="2"/>
            <c:invertIfNegative val="0"/>
            <c:bubble3D val="0"/>
            <c:spPr>
              <a:solidFill>
                <a:schemeClr val="accent6">
                  <a:lumMod val="50000"/>
                </a:schemeClr>
              </a:solidFill>
            </c:spPr>
            <c:extLst>
              <c:ext xmlns:c16="http://schemas.microsoft.com/office/drawing/2014/chart" uri="{C3380CC4-5D6E-409C-BE32-E72D297353CC}">
                <c16:uniqueId val="{00000001-BAA0-46FE-9398-F63F11FCB15C}"/>
              </c:ext>
            </c:extLst>
          </c:dPt>
          <c:dLbls>
            <c:spPr>
              <a:noFill/>
              <a:ln>
                <a:noFill/>
              </a:ln>
              <a:effectLst/>
            </c:spPr>
            <c:txPr>
              <a:bodyPr/>
              <a:lstStyle/>
              <a:p>
                <a:pPr>
                  <a:defRPr sz="800" b="1">
                    <a:solidFill>
                      <a:schemeClr val="bg1"/>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2014</c:v>
                </c:pt>
                <c:pt idx="1">
                  <c:v>2015</c:v>
                </c:pt>
                <c:pt idx="2">
                  <c:v>SAT</c:v>
                </c:pt>
              </c:strCache>
            </c:strRef>
          </c:cat>
          <c:val>
            <c:numRef>
              <c:f>Hoja1!$B$2:$B$4</c:f>
              <c:numCache>
                <c:formatCode>#,##0.0</c:formatCode>
                <c:ptCount val="3"/>
                <c:pt idx="0">
                  <c:v>7836.1082065300006</c:v>
                </c:pt>
                <c:pt idx="1">
                  <c:v>8130.9545480499992</c:v>
                </c:pt>
                <c:pt idx="2">
                  <c:v>8127.0218079969791</c:v>
                </c:pt>
              </c:numCache>
            </c:numRef>
          </c:val>
          <c:extLst>
            <c:ext xmlns:c16="http://schemas.microsoft.com/office/drawing/2014/chart" uri="{C3380CC4-5D6E-409C-BE32-E72D297353CC}">
              <c16:uniqueId val="{00000002-BAA0-46FE-9398-F63F11FCB15C}"/>
            </c:ext>
          </c:extLst>
        </c:ser>
        <c:ser>
          <c:idx val="1"/>
          <c:order val="1"/>
          <c:tx>
            <c:strRef>
              <c:f>Hoja1!$C$1</c:f>
              <c:strCache>
                <c:ptCount val="1"/>
                <c:pt idx="0">
                  <c:v>Serie 2</c:v>
                </c:pt>
              </c:strCache>
            </c:strRef>
          </c:tx>
          <c:spPr>
            <a:solidFill>
              <a:srgbClr val="FF0000"/>
            </a:solidFill>
          </c:spPr>
          <c:invertIfNegative val="0"/>
          <c:cat>
            <c:strRef>
              <c:f>Hoja1!$A$2:$A$4</c:f>
              <c:strCache>
                <c:ptCount val="3"/>
                <c:pt idx="0">
                  <c:v>2014</c:v>
                </c:pt>
                <c:pt idx="1">
                  <c:v>2015</c:v>
                </c:pt>
                <c:pt idx="2">
                  <c:v>SAT</c:v>
                </c:pt>
              </c:strCache>
            </c:strRef>
          </c:cat>
          <c:val>
            <c:numRef>
              <c:f>Hoja1!$C$2:$C$4</c:f>
              <c:numCache>
                <c:formatCode>General</c:formatCode>
                <c:ptCount val="3"/>
                <c:pt idx="2" formatCode="#,##0.0">
                  <c:v>118.18772177290066</c:v>
                </c:pt>
              </c:numCache>
            </c:numRef>
          </c:val>
          <c:extLst>
            <c:ext xmlns:c16="http://schemas.microsoft.com/office/drawing/2014/chart" uri="{C3380CC4-5D6E-409C-BE32-E72D297353CC}">
              <c16:uniqueId val="{00000003-BAA0-46FE-9398-F63F11FCB15C}"/>
            </c:ext>
          </c:extLst>
        </c:ser>
        <c:dLbls>
          <c:showLegendKey val="0"/>
          <c:showVal val="0"/>
          <c:showCatName val="0"/>
          <c:showSerName val="0"/>
          <c:showPercent val="0"/>
          <c:showBubbleSize val="0"/>
        </c:dLbls>
        <c:gapWidth val="39"/>
        <c:overlap val="100"/>
        <c:axId val="187291904"/>
        <c:axId val="187293696"/>
      </c:barChart>
      <c:catAx>
        <c:axId val="187291904"/>
        <c:scaling>
          <c:orientation val="minMax"/>
        </c:scaling>
        <c:delete val="0"/>
        <c:axPos val="b"/>
        <c:numFmt formatCode="General" sourceLinked="0"/>
        <c:majorTickMark val="out"/>
        <c:minorTickMark val="none"/>
        <c:tickLblPos val="nextTo"/>
        <c:txPr>
          <a:bodyPr/>
          <a:lstStyle/>
          <a:p>
            <a:pPr>
              <a:defRPr b="1"/>
            </a:pPr>
            <a:endParaRPr lang="es-GT"/>
          </a:p>
        </c:txPr>
        <c:crossAx val="187293696"/>
        <c:crosses val="autoZero"/>
        <c:auto val="1"/>
        <c:lblAlgn val="ctr"/>
        <c:lblOffset val="100"/>
        <c:noMultiLvlLbl val="0"/>
      </c:catAx>
      <c:valAx>
        <c:axId val="187293696"/>
        <c:scaling>
          <c:orientation val="minMax"/>
        </c:scaling>
        <c:delete val="0"/>
        <c:axPos val="l"/>
        <c:numFmt formatCode="#,##0" sourceLinked="0"/>
        <c:majorTickMark val="out"/>
        <c:minorTickMark val="none"/>
        <c:tickLblPos val="nextTo"/>
        <c:txPr>
          <a:bodyPr/>
          <a:lstStyle/>
          <a:p>
            <a:pPr>
              <a:defRPr sz="900"/>
            </a:pPr>
            <a:endParaRPr lang="es-GT"/>
          </a:p>
        </c:txPr>
        <c:crossAx val="18729190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5714197229771"/>
          <c:y val="7.695902174077951E-2"/>
          <c:w val="0.83613491897583603"/>
          <c:h val="0.64382127124231914"/>
        </c:manualLayout>
      </c:layout>
      <c:barChart>
        <c:barDir val="col"/>
        <c:grouping val="stacked"/>
        <c:varyColors val="0"/>
        <c:ser>
          <c:idx val="0"/>
          <c:order val="0"/>
          <c:tx>
            <c:strRef>
              <c:f>Hoja1!$B$1</c:f>
              <c:strCache>
                <c:ptCount val="1"/>
                <c:pt idx="0">
                  <c:v>Otros ISR</c:v>
                </c:pt>
              </c:strCache>
            </c:strRef>
          </c:tx>
          <c:invertIfNegative val="0"/>
          <c:cat>
            <c:numRef>
              <c:f>Hoja1!$A$2:$A$3</c:f>
              <c:numCache>
                <c:formatCode>General</c:formatCode>
                <c:ptCount val="2"/>
                <c:pt idx="0">
                  <c:v>2014</c:v>
                </c:pt>
                <c:pt idx="1">
                  <c:v>2015</c:v>
                </c:pt>
              </c:numCache>
            </c:numRef>
          </c:cat>
          <c:val>
            <c:numRef>
              <c:f>Hoja1!$B$2:$B$3</c:f>
              <c:numCache>
                <c:formatCode>#,##0.0</c:formatCode>
                <c:ptCount val="2"/>
                <c:pt idx="0">
                  <c:v>1760.7754439900002</c:v>
                </c:pt>
                <c:pt idx="1">
                  <c:v>1652.6456295100002</c:v>
                </c:pt>
              </c:numCache>
            </c:numRef>
          </c:val>
          <c:extLst>
            <c:ext xmlns:c16="http://schemas.microsoft.com/office/drawing/2014/chart" uri="{C3380CC4-5D6E-409C-BE32-E72D297353CC}">
              <c16:uniqueId val="{00000000-9F28-4E04-B8C0-F5C2B2E04939}"/>
            </c:ext>
          </c:extLst>
        </c:ser>
        <c:ser>
          <c:idx val="1"/>
          <c:order val="1"/>
          <c:tx>
            <c:strRef>
              <c:f>Hoja1!$C$1</c:f>
              <c:strCache>
                <c:ptCount val="1"/>
                <c:pt idx="0">
                  <c:v>Utilidades</c:v>
                </c:pt>
              </c:strCache>
            </c:strRef>
          </c:tx>
          <c:invertIfNegative val="0"/>
          <c:cat>
            <c:numRef>
              <c:f>Hoja1!$A$2:$A$3</c:f>
              <c:numCache>
                <c:formatCode>General</c:formatCode>
                <c:ptCount val="2"/>
                <c:pt idx="0">
                  <c:v>2014</c:v>
                </c:pt>
                <c:pt idx="1">
                  <c:v>2015</c:v>
                </c:pt>
              </c:numCache>
            </c:numRef>
          </c:cat>
          <c:val>
            <c:numRef>
              <c:f>Hoja1!$C$2:$C$3</c:f>
              <c:numCache>
                <c:formatCode>#,##0.0</c:formatCode>
                <c:ptCount val="2"/>
                <c:pt idx="0">
                  <c:v>67.900000000000006</c:v>
                </c:pt>
                <c:pt idx="1">
                  <c:v>154.30000000000001</c:v>
                </c:pt>
              </c:numCache>
            </c:numRef>
          </c:val>
          <c:extLst>
            <c:ext xmlns:c16="http://schemas.microsoft.com/office/drawing/2014/chart" uri="{C3380CC4-5D6E-409C-BE32-E72D297353CC}">
              <c16:uniqueId val="{00000001-9F28-4E04-B8C0-F5C2B2E04939}"/>
            </c:ext>
          </c:extLst>
        </c:ser>
        <c:ser>
          <c:idx val="2"/>
          <c:order val="2"/>
          <c:tx>
            <c:strRef>
              <c:f>Hoja1!$D$1</c:f>
              <c:strCache>
                <c:ptCount val="1"/>
                <c:pt idx="0">
                  <c:v>Rentas Trabajo</c:v>
                </c:pt>
              </c:strCache>
            </c:strRef>
          </c:tx>
          <c:invertIfNegative val="0"/>
          <c:cat>
            <c:numRef>
              <c:f>Hoja1!$A$2:$A$3</c:f>
              <c:numCache>
                <c:formatCode>General</c:formatCode>
                <c:ptCount val="2"/>
                <c:pt idx="0">
                  <c:v>2014</c:v>
                </c:pt>
                <c:pt idx="1">
                  <c:v>2015</c:v>
                </c:pt>
              </c:numCache>
            </c:numRef>
          </c:cat>
          <c:val>
            <c:numRef>
              <c:f>Hoja1!$D$2:$D$3</c:f>
              <c:numCache>
                <c:formatCode>General</c:formatCode>
                <c:ptCount val="2"/>
                <c:pt idx="0">
                  <c:v>146.6</c:v>
                </c:pt>
                <c:pt idx="1">
                  <c:v>199.7</c:v>
                </c:pt>
              </c:numCache>
            </c:numRef>
          </c:val>
          <c:extLst>
            <c:ext xmlns:c16="http://schemas.microsoft.com/office/drawing/2014/chart" uri="{C3380CC4-5D6E-409C-BE32-E72D297353CC}">
              <c16:uniqueId val="{00000002-9F28-4E04-B8C0-F5C2B2E04939}"/>
            </c:ext>
          </c:extLst>
        </c:ser>
        <c:dLbls>
          <c:showLegendKey val="0"/>
          <c:showVal val="0"/>
          <c:showCatName val="0"/>
          <c:showSerName val="0"/>
          <c:showPercent val="0"/>
          <c:showBubbleSize val="0"/>
        </c:dLbls>
        <c:gapWidth val="39"/>
        <c:overlap val="100"/>
        <c:axId val="187536512"/>
        <c:axId val="187538048"/>
      </c:barChart>
      <c:catAx>
        <c:axId val="187536512"/>
        <c:scaling>
          <c:orientation val="minMax"/>
        </c:scaling>
        <c:delete val="0"/>
        <c:axPos val="b"/>
        <c:numFmt formatCode="General" sourceLinked="1"/>
        <c:majorTickMark val="out"/>
        <c:minorTickMark val="none"/>
        <c:tickLblPos val="nextTo"/>
        <c:txPr>
          <a:bodyPr/>
          <a:lstStyle/>
          <a:p>
            <a:pPr>
              <a:defRPr b="1"/>
            </a:pPr>
            <a:endParaRPr lang="es-GT"/>
          </a:p>
        </c:txPr>
        <c:crossAx val="187538048"/>
        <c:crosses val="autoZero"/>
        <c:auto val="1"/>
        <c:lblAlgn val="ctr"/>
        <c:lblOffset val="100"/>
        <c:noMultiLvlLbl val="0"/>
      </c:catAx>
      <c:valAx>
        <c:axId val="187538048"/>
        <c:scaling>
          <c:orientation val="minMax"/>
        </c:scaling>
        <c:delete val="0"/>
        <c:axPos val="l"/>
        <c:numFmt formatCode="#,##0" sourceLinked="0"/>
        <c:majorTickMark val="out"/>
        <c:minorTickMark val="none"/>
        <c:tickLblPos val="nextTo"/>
        <c:txPr>
          <a:bodyPr/>
          <a:lstStyle/>
          <a:p>
            <a:pPr>
              <a:defRPr sz="900"/>
            </a:pPr>
            <a:endParaRPr lang="es-GT"/>
          </a:p>
        </c:txPr>
        <c:crossAx val="187536512"/>
        <c:crosses val="autoZero"/>
        <c:crossBetween val="between"/>
      </c:valAx>
    </c:plotArea>
    <c:legend>
      <c:legendPos val="b"/>
      <c:layout>
        <c:manualLayout>
          <c:xMode val="edge"/>
          <c:yMode val="edge"/>
          <c:x val="8.4606953096939461E-4"/>
          <c:y val="0.83979943258537759"/>
          <c:w val="0.99915375622295"/>
          <c:h val="0.16020076292338001"/>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02866959571524"/>
          <c:y val="2.4584282423389881E-2"/>
          <c:w val="0.69866308603982408"/>
          <c:h val="0.91694938660248515"/>
        </c:manualLayout>
      </c:layout>
      <c:barChart>
        <c:barDir val="bar"/>
        <c:grouping val="clustered"/>
        <c:varyColors val="0"/>
        <c:ser>
          <c:idx val="0"/>
          <c:order val="0"/>
          <c:tx>
            <c:strRef>
              <c:f>Hoja1!$B$1</c:f>
              <c:strCache>
                <c:ptCount val="1"/>
                <c:pt idx="0">
                  <c:v>2015/2014</c:v>
                </c:pt>
              </c:strCache>
            </c:strRef>
          </c:tx>
          <c:spPr>
            <a:solidFill>
              <a:schemeClr val="accent6">
                <a:lumMod val="75000"/>
              </a:schemeClr>
            </a:solidFill>
          </c:spPr>
          <c:invertIfNegative val="0"/>
          <c:dLbls>
            <c:spPr>
              <a:noFill/>
              <a:ln>
                <a:noFill/>
              </a:ln>
              <a:effectLst/>
            </c:spPr>
            <c:txPr>
              <a:bodyPr/>
              <a:lstStyle/>
              <a:p>
                <a:pPr>
                  <a:defRPr sz="600" b="1">
                    <a:solidFill>
                      <a:schemeClr val="accent6">
                        <a:lumMod val="75000"/>
                      </a:schemeClr>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Hoja1!$A$2:$A$17</c:f>
              <c:strCache>
                <c:ptCount val="16"/>
                <c:pt idx="0">
                  <c:v>Timbres</c:v>
                </c:pt>
                <c:pt idx="1">
                  <c:v>Salidas</c:v>
                </c:pt>
                <c:pt idx="2">
                  <c:v>IVA Imp</c:v>
                </c:pt>
                <c:pt idx="3">
                  <c:v>Regalías</c:v>
                </c:pt>
                <c:pt idx="4">
                  <c:v>DAI</c:v>
                </c:pt>
                <c:pt idx="5">
                  <c:v>Tabacos</c:v>
                </c:pt>
                <c:pt idx="6">
                  <c:v>Otros</c:v>
                </c:pt>
                <c:pt idx="7">
                  <c:v>ISR</c:v>
                </c:pt>
                <c:pt idx="8">
                  <c:v>IVA Dom</c:v>
                </c:pt>
                <c:pt idx="9">
                  <c:v>Bebidas</c:v>
                </c:pt>
                <c:pt idx="10">
                  <c:v>Propiedad</c:v>
                </c:pt>
                <c:pt idx="11">
                  <c:v>ISO</c:v>
                </c:pt>
                <c:pt idx="12">
                  <c:v>Vehículos</c:v>
                </c:pt>
                <c:pt idx="13">
                  <c:v>Petróleo</c:v>
                </c:pt>
                <c:pt idx="14">
                  <c:v>IPRIMA</c:v>
                </c:pt>
                <c:pt idx="15">
                  <c:v>Cemento</c:v>
                </c:pt>
              </c:strCache>
            </c:strRef>
          </c:cat>
          <c:val>
            <c:numRef>
              <c:f>Hoja1!$B$2:$B$17</c:f>
              <c:numCache>
                <c:formatCode>0.0%</c:formatCode>
                <c:ptCount val="16"/>
                <c:pt idx="0">
                  <c:v>-0.16759638906719654</c:v>
                </c:pt>
                <c:pt idx="1">
                  <c:v>-0.11042568633285255</c:v>
                </c:pt>
                <c:pt idx="2">
                  <c:v>-7.4380671161620837E-2</c:v>
                </c:pt>
                <c:pt idx="3">
                  <c:v>-6.3974534722416765E-2</c:v>
                </c:pt>
                <c:pt idx="4">
                  <c:v>-5.742962748869096E-3</c:v>
                </c:pt>
                <c:pt idx="5">
                  <c:v>-2.4741448052254533E-3</c:v>
                </c:pt>
                <c:pt idx="6">
                  <c:v>-1.4427911096149826E-3</c:v>
                </c:pt>
                <c:pt idx="7">
                  <c:v>1.5881423330324607E-2</c:v>
                </c:pt>
                <c:pt idx="8">
                  <c:v>9.6953551596674847E-2</c:v>
                </c:pt>
                <c:pt idx="9">
                  <c:v>0.10572244014141297</c:v>
                </c:pt>
                <c:pt idx="10">
                  <c:v>0.11341191952614982</c:v>
                </c:pt>
                <c:pt idx="11">
                  <c:v>0.11972971732010507</c:v>
                </c:pt>
                <c:pt idx="12">
                  <c:v>0.20044982289818991</c:v>
                </c:pt>
                <c:pt idx="13">
                  <c:v>0.22579913336527935</c:v>
                </c:pt>
                <c:pt idx="14">
                  <c:v>0.28877910882080915</c:v>
                </c:pt>
                <c:pt idx="15">
                  <c:v>1.2234957086472629</c:v>
                </c:pt>
              </c:numCache>
            </c:numRef>
          </c:val>
          <c:extLst>
            <c:ext xmlns:c16="http://schemas.microsoft.com/office/drawing/2014/chart" uri="{C3380CC4-5D6E-409C-BE32-E72D297353CC}">
              <c16:uniqueId val="{00000000-97FC-46D8-90D0-17697F4A462D}"/>
            </c:ext>
          </c:extLst>
        </c:ser>
        <c:ser>
          <c:idx val="1"/>
          <c:order val="1"/>
          <c:tx>
            <c:strRef>
              <c:f>Hoja1!$C$1</c:f>
              <c:strCache>
                <c:ptCount val="1"/>
                <c:pt idx="0">
                  <c:v>2015/Meta</c:v>
                </c:pt>
              </c:strCache>
            </c:strRef>
          </c:tx>
          <c:spPr>
            <a:solidFill>
              <a:srgbClr val="0070C0"/>
            </a:solidFill>
          </c:spPr>
          <c:invertIfNegative val="0"/>
          <c:dLbls>
            <c:numFmt formatCode="0.0%" sourceLinked="0"/>
            <c:spPr>
              <a:noFill/>
              <a:ln>
                <a:noFill/>
              </a:ln>
              <a:effectLst/>
            </c:spPr>
            <c:txPr>
              <a:bodyPr/>
              <a:lstStyle/>
              <a:p>
                <a:pPr>
                  <a:defRPr sz="6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Hoja1!$A$2:$A$17</c:f>
              <c:strCache>
                <c:ptCount val="16"/>
                <c:pt idx="0">
                  <c:v>Timbres</c:v>
                </c:pt>
                <c:pt idx="1">
                  <c:v>Salidas</c:v>
                </c:pt>
                <c:pt idx="2">
                  <c:v>IVA Imp</c:v>
                </c:pt>
                <c:pt idx="3">
                  <c:v>Regalías</c:v>
                </c:pt>
                <c:pt idx="4">
                  <c:v>DAI</c:v>
                </c:pt>
                <c:pt idx="5">
                  <c:v>Tabacos</c:v>
                </c:pt>
                <c:pt idx="6">
                  <c:v>Otros</c:v>
                </c:pt>
                <c:pt idx="7">
                  <c:v>ISR</c:v>
                </c:pt>
                <c:pt idx="8">
                  <c:v>IVA Dom</c:v>
                </c:pt>
                <c:pt idx="9">
                  <c:v>Bebidas</c:v>
                </c:pt>
                <c:pt idx="10">
                  <c:v>Propiedad</c:v>
                </c:pt>
                <c:pt idx="11">
                  <c:v>ISO</c:v>
                </c:pt>
                <c:pt idx="12">
                  <c:v>Vehículos</c:v>
                </c:pt>
                <c:pt idx="13">
                  <c:v>Petróleo</c:v>
                </c:pt>
                <c:pt idx="14">
                  <c:v>IPRIMA</c:v>
                </c:pt>
                <c:pt idx="15">
                  <c:v>Cemento</c:v>
                </c:pt>
              </c:strCache>
            </c:strRef>
          </c:cat>
          <c:val>
            <c:numRef>
              <c:f>Hoja1!$C$2:$C$17</c:f>
              <c:numCache>
                <c:formatCode>0.0%</c:formatCode>
                <c:ptCount val="16"/>
                <c:pt idx="0">
                  <c:v>-0.19410847150010302</c:v>
                </c:pt>
                <c:pt idx="1">
                  <c:v>-0.16255839116621196</c:v>
                </c:pt>
                <c:pt idx="2">
                  <c:v>-7.2651477573442813E-2</c:v>
                </c:pt>
                <c:pt idx="3">
                  <c:v>-0.49694447283018972</c:v>
                </c:pt>
                <c:pt idx="4">
                  <c:v>1.2968043240336735E-2</c:v>
                </c:pt>
                <c:pt idx="5">
                  <c:v>-0.23884768461267059</c:v>
                </c:pt>
                <c:pt idx="6">
                  <c:v>8.4820114625992593E-2</c:v>
                </c:pt>
                <c:pt idx="7">
                  <c:v>4.1560749652175266E-2</c:v>
                </c:pt>
                <c:pt idx="8">
                  <c:v>2.2327394936410894E-2</c:v>
                </c:pt>
                <c:pt idx="9">
                  <c:v>6.1388445682539095E-2</c:v>
                </c:pt>
                <c:pt idx="10">
                  <c:v>0.86747808364091128</c:v>
                </c:pt>
                <c:pt idx="11">
                  <c:v>4.719269399192938E-2</c:v>
                </c:pt>
                <c:pt idx="12">
                  <c:v>0.36837537275946453</c:v>
                </c:pt>
                <c:pt idx="13">
                  <c:v>5.9356726658225778E-2</c:v>
                </c:pt>
                <c:pt idx="14">
                  <c:v>9.7438735497474172E-2</c:v>
                </c:pt>
                <c:pt idx="15">
                  <c:v>9.6240479353453035E-2</c:v>
                </c:pt>
              </c:numCache>
            </c:numRef>
          </c:val>
          <c:extLst>
            <c:ext xmlns:c16="http://schemas.microsoft.com/office/drawing/2014/chart" uri="{C3380CC4-5D6E-409C-BE32-E72D297353CC}">
              <c16:uniqueId val="{00000001-97FC-46D8-90D0-17697F4A462D}"/>
            </c:ext>
          </c:extLst>
        </c:ser>
        <c:dLbls>
          <c:showLegendKey val="0"/>
          <c:showVal val="0"/>
          <c:showCatName val="0"/>
          <c:showSerName val="0"/>
          <c:showPercent val="0"/>
          <c:showBubbleSize val="0"/>
        </c:dLbls>
        <c:gapWidth val="71"/>
        <c:axId val="190349312"/>
        <c:axId val="190350848"/>
      </c:barChart>
      <c:catAx>
        <c:axId val="190349312"/>
        <c:scaling>
          <c:orientation val="minMax"/>
        </c:scaling>
        <c:delete val="0"/>
        <c:axPos val="l"/>
        <c:majorGridlines>
          <c:spPr>
            <a:ln w="0">
              <a:solidFill>
                <a:srgbClr val="0070C0">
                  <a:alpha val="50000"/>
                </a:srgbClr>
              </a:solidFill>
              <a:prstDash val="sysDash"/>
            </a:ln>
          </c:spPr>
        </c:majorGridlines>
        <c:numFmt formatCode="General" sourceLinked="0"/>
        <c:majorTickMark val="out"/>
        <c:minorTickMark val="none"/>
        <c:tickLblPos val="low"/>
        <c:txPr>
          <a:bodyPr/>
          <a:lstStyle/>
          <a:p>
            <a:pPr>
              <a:defRPr sz="800"/>
            </a:pPr>
            <a:endParaRPr lang="es-GT"/>
          </a:p>
        </c:txPr>
        <c:crossAx val="190350848"/>
        <c:crosses val="autoZero"/>
        <c:auto val="1"/>
        <c:lblAlgn val="ctr"/>
        <c:lblOffset val="100"/>
        <c:noMultiLvlLbl val="0"/>
      </c:catAx>
      <c:valAx>
        <c:axId val="190350848"/>
        <c:scaling>
          <c:orientation val="minMax"/>
        </c:scaling>
        <c:delete val="0"/>
        <c:axPos val="b"/>
        <c:majorGridlines>
          <c:spPr>
            <a:ln>
              <a:solidFill>
                <a:srgbClr val="0070C0">
                  <a:alpha val="40000"/>
                </a:srgbClr>
              </a:solidFill>
              <a:prstDash val="sysDash"/>
            </a:ln>
          </c:spPr>
        </c:majorGridlines>
        <c:numFmt formatCode="0%" sourceLinked="0"/>
        <c:majorTickMark val="out"/>
        <c:minorTickMark val="none"/>
        <c:tickLblPos val="nextTo"/>
        <c:crossAx val="190349312"/>
        <c:crosses val="autoZero"/>
        <c:crossBetween val="between"/>
      </c:valAx>
    </c:plotArea>
    <c:legend>
      <c:legendPos val="b"/>
      <c:layout>
        <c:manualLayout>
          <c:xMode val="edge"/>
          <c:yMode val="edge"/>
          <c:x val="0.55311655695769812"/>
          <c:y val="0.88327796952712212"/>
          <c:w val="0.44631939197470316"/>
          <c:h val="4.8954560955056972E-2"/>
        </c:manualLayout>
      </c:layout>
      <c:overlay val="0"/>
      <c:spPr>
        <a:solidFill>
          <a:schemeClr val="lt1"/>
        </a:solidFill>
      </c:spPr>
      <c:txPr>
        <a:bodyPr/>
        <a:lstStyle/>
        <a:p>
          <a:pPr>
            <a:defRPr sz="700" b="1"/>
          </a:pPr>
          <a:endParaRPr lang="es-GT"/>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81498002404874"/>
          <c:y val="0"/>
          <c:w val="0.57935283919768332"/>
          <c:h val="0.99328101701332039"/>
        </c:manualLayout>
      </c:layout>
      <c:pieChart>
        <c:varyColors val="1"/>
        <c:ser>
          <c:idx val="0"/>
          <c:order val="0"/>
          <c:tx>
            <c:strRef>
              <c:f>Hoja1!$B$1</c:f>
              <c:strCache>
                <c:ptCount val="1"/>
                <c:pt idx="0">
                  <c:v>Columna2</c:v>
                </c:pt>
              </c:strCache>
            </c:strRef>
          </c:tx>
          <c:spPr>
            <a:scene3d>
              <a:camera prst="orthographicFront"/>
              <a:lightRig rig="threePt" dir="t"/>
            </a:scene3d>
            <a:sp3d>
              <a:bevelT w="50800"/>
              <a:bevelB w="50800"/>
            </a:sp3d>
          </c:spPr>
          <c:explosion val="10"/>
          <c:dPt>
            <c:idx val="0"/>
            <c:bubble3D val="0"/>
            <c:spPr>
              <a:solidFill>
                <a:schemeClr val="accent5">
                  <a:lumMod val="75000"/>
                </a:schemeClr>
              </a:solidFill>
              <a:scene3d>
                <a:camera prst="orthographicFront"/>
                <a:lightRig rig="threePt" dir="t"/>
              </a:scene3d>
              <a:sp3d>
                <a:bevelT w="50800"/>
                <a:bevelB w="50800"/>
              </a:sp3d>
            </c:spPr>
            <c:extLst>
              <c:ext xmlns:c16="http://schemas.microsoft.com/office/drawing/2014/chart" uri="{C3380CC4-5D6E-409C-BE32-E72D297353CC}">
                <c16:uniqueId val="{00000001-F253-4313-9740-472E9442928B}"/>
              </c:ext>
            </c:extLst>
          </c:dPt>
          <c:dPt>
            <c:idx val="1"/>
            <c:bubble3D val="0"/>
            <c:explosion val="14"/>
            <c:spPr>
              <a:solidFill>
                <a:schemeClr val="accent6">
                  <a:lumMod val="75000"/>
                </a:schemeClr>
              </a:solidFill>
              <a:scene3d>
                <a:camera prst="orthographicFront"/>
                <a:lightRig rig="threePt" dir="t"/>
              </a:scene3d>
              <a:sp3d>
                <a:bevelT w="50800"/>
                <a:bevelB w="50800"/>
              </a:sp3d>
            </c:spPr>
            <c:extLst>
              <c:ext xmlns:c16="http://schemas.microsoft.com/office/drawing/2014/chart" uri="{C3380CC4-5D6E-409C-BE32-E72D297353CC}">
                <c16:uniqueId val="{00000003-F253-4313-9740-472E9442928B}"/>
              </c:ext>
            </c:extLst>
          </c:dPt>
          <c:dLbls>
            <c:dLbl>
              <c:idx val="0"/>
              <c:layout>
                <c:manualLayout>
                  <c:x val="8.8053217485745319E-3"/>
                  <c:y val="-6.9206741719268564E-3"/>
                </c:manualLayout>
              </c:layout>
              <c:tx>
                <c:rich>
                  <a:bodyPr/>
                  <a:lstStyle/>
                  <a:p>
                    <a:r>
                      <a:rPr lang="en-US"/>
                      <a:t>Salud, </a:t>
                    </a:r>
                  </a:p>
                  <a:p>
                    <a:r>
                      <a:rPr lang="en-US"/>
                      <a:t>Q434.8</a:t>
                    </a:r>
                  </a:p>
                  <a:p>
                    <a:r>
                      <a:rPr lang="en-US"/>
                      <a:t> 31.5%</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53-4313-9740-472E9442928B}"/>
                </c:ext>
              </c:extLst>
            </c:dLbl>
            <c:dLbl>
              <c:idx val="1"/>
              <c:layout>
                <c:manualLayout>
                  <c:x val="0.25400094335750073"/>
                  <c:y val="-2.2125100618409204E-2"/>
                </c:manualLayout>
              </c:layout>
              <c:tx>
                <c:rich>
                  <a:bodyPr/>
                  <a:lstStyle/>
                  <a:p>
                    <a:r>
                      <a:rPr lang="en-US"/>
                      <a:t>Educación,</a:t>
                    </a:r>
                  </a:p>
                  <a:p>
                    <a:r>
                      <a:rPr lang="en-US"/>
                      <a:t> Q1,112.10</a:t>
                    </a:r>
                  </a:p>
                  <a:p>
                    <a:r>
                      <a:rPr lang="en-US"/>
                      <a:t>66.4%</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53-4313-9740-472E9442928B}"/>
                </c:ext>
              </c:extLst>
            </c:dLbl>
            <c:dLbl>
              <c:idx val="2"/>
              <c:layout>
                <c:manualLayout>
                  <c:x val="9.1378146697180099E-2"/>
                  <c:y val="5.8775948460987833E-2"/>
                </c:manualLayout>
              </c:layout>
              <c:tx>
                <c:rich>
                  <a:bodyPr/>
                  <a:lstStyle/>
                  <a:p>
                    <a:r>
                      <a:rPr lang="en-US"/>
                      <a:t>Vivienda, Q70.85 </a:t>
                    </a:r>
                  </a:p>
                  <a:p>
                    <a:r>
                      <a:rPr lang="en-US"/>
                      <a:t>2.0%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253-4313-9740-472E9442928B}"/>
                </c:ext>
              </c:extLst>
            </c:dLbl>
            <c:spPr>
              <a:noFill/>
              <a:ln>
                <a:noFill/>
              </a:ln>
              <a:effectLst/>
            </c:spPr>
            <c:txPr>
              <a:bodyPr/>
              <a:lstStyle/>
              <a:p>
                <a:pPr>
                  <a:defRPr sz="500" b="1">
                    <a:latin typeface="Times New Roman" pitchFamily="18" charset="0"/>
                    <a:cs typeface="Times New Roman" pitchFamily="18" charset="0"/>
                  </a:defRPr>
                </a:pPr>
                <a:endParaRPr lang="es-GT"/>
              </a:p>
            </c:txPr>
            <c:showLegendKey val="0"/>
            <c:showVal val="1"/>
            <c:showCatName val="1"/>
            <c:showSerName val="0"/>
            <c:showPercent val="1"/>
            <c:showBubbleSize val="0"/>
            <c:showLeaderLines val="1"/>
            <c:extLst>
              <c:ext xmlns:c15="http://schemas.microsoft.com/office/drawing/2012/chart" uri="{CE6537A1-D6FC-4f65-9D91-7224C49458BB}"/>
            </c:extLst>
          </c:dLbls>
          <c:cat>
            <c:strRef>
              <c:f>Hoja1!$A$2:$A$4</c:f>
              <c:strCache>
                <c:ptCount val="3"/>
                <c:pt idx="0">
                  <c:v>Salud</c:v>
                </c:pt>
                <c:pt idx="1">
                  <c:v>Educación</c:v>
                </c:pt>
                <c:pt idx="2">
                  <c:v>Vivienda</c:v>
                </c:pt>
              </c:strCache>
            </c:strRef>
          </c:cat>
          <c:val>
            <c:numRef>
              <c:f>Hoja1!$B$2:$B$4</c:f>
              <c:numCache>
                <c:formatCode>#,##0.00</c:formatCode>
                <c:ptCount val="3"/>
                <c:pt idx="0" formatCode="General">
                  <c:v>1126.10701928</c:v>
                </c:pt>
                <c:pt idx="1">
                  <c:v>2374.3302331400005</c:v>
                </c:pt>
                <c:pt idx="2" formatCode="General">
                  <c:v>73.157125600000001</c:v>
                </c:pt>
              </c:numCache>
            </c:numRef>
          </c:val>
          <c:extLst>
            <c:ext xmlns:c16="http://schemas.microsoft.com/office/drawing/2014/chart" uri="{C3380CC4-5D6E-409C-BE32-E72D297353CC}">
              <c16:uniqueId val="{00000005-F253-4313-9740-472E9442928B}"/>
            </c:ext>
          </c:extLst>
        </c:ser>
        <c:dLbls>
          <c:showLegendKey val="0"/>
          <c:showVal val="0"/>
          <c:showCatName val="0"/>
          <c:showSerName val="0"/>
          <c:showPercent val="0"/>
          <c:showBubbleSize val="0"/>
          <c:showLeaderLines val="1"/>
        </c:dLbls>
        <c:firstSliceAng val="44"/>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0359561483351"/>
          <c:y val="7.6211572246004042E-2"/>
          <c:w val="0.86839638012519194"/>
          <c:h val="0.81492067887147979"/>
        </c:manualLayout>
      </c:layout>
      <c:barChart>
        <c:barDir val="col"/>
        <c:grouping val="clustered"/>
        <c:varyColors val="0"/>
        <c:ser>
          <c:idx val="0"/>
          <c:order val="0"/>
          <c:tx>
            <c:strRef>
              <c:f>Hoja1!$B$1</c:f>
              <c:strCache>
                <c:ptCount val="1"/>
                <c:pt idx="0">
                  <c:v>Serie 1</c:v>
                </c:pt>
              </c:strCache>
            </c:strRef>
          </c:tx>
          <c:spPr>
            <a:ln>
              <a:noFill/>
            </a:ln>
            <a:scene3d>
              <a:camera prst="orthographicFront"/>
              <a:lightRig rig="threePt" dir="t"/>
            </a:scene3d>
            <a:sp3d>
              <a:bevelT/>
            </a:sp3d>
          </c:spPr>
          <c:invertIfNegative val="0"/>
          <c:dPt>
            <c:idx val="0"/>
            <c:invertIfNegative val="0"/>
            <c:bubble3D val="0"/>
            <c:spPr>
              <a:solidFill>
                <a:srgbClr val="FF6600"/>
              </a:solidFill>
              <a:ln>
                <a:noFill/>
              </a:ln>
              <a:scene3d>
                <a:camera prst="orthographicFront"/>
                <a:lightRig rig="threePt" dir="t"/>
              </a:scene3d>
              <a:sp3d>
                <a:bevelT/>
              </a:sp3d>
            </c:spPr>
            <c:extLst>
              <c:ext xmlns:c16="http://schemas.microsoft.com/office/drawing/2014/chart" uri="{C3380CC4-5D6E-409C-BE32-E72D297353CC}">
                <c16:uniqueId val="{00000001-EA9D-4FB8-89A3-EC4AEE81E411}"/>
              </c:ext>
            </c:extLst>
          </c:dPt>
          <c:dPt>
            <c:idx val="1"/>
            <c:invertIfNegative val="0"/>
            <c:bubble3D val="0"/>
            <c:spPr>
              <a:solidFill>
                <a:srgbClr val="008080"/>
              </a:solidFill>
              <a:ln>
                <a:noFill/>
              </a:ln>
              <a:scene3d>
                <a:camera prst="orthographicFront"/>
                <a:lightRig rig="threePt" dir="t"/>
              </a:scene3d>
              <a:sp3d>
                <a:bevelT/>
              </a:sp3d>
            </c:spPr>
            <c:extLst>
              <c:ext xmlns:c16="http://schemas.microsoft.com/office/drawing/2014/chart" uri="{C3380CC4-5D6E-409C-BE32-E72D297353CC}">
                <c16:uniqueId val="{00000003-EA9D-4FB8-89A3-EC4AEE81E411}"/>
              </c:ext>
            </c:extLst>
          </c:dPt>
          <c:dPt>
            <c:idx val="2"/>
            <c:invertIfNegative val="0"/>
            <c:bubble3D val="0"/>
            <c:spPr>
              <a:solidFill>
                <a:srgbClr val="008080"/>
              </a:solidFill>
              <a:ln>
                <a:noFill/>
              </a:ln>
              <a:scene3d>
                <a:camera prst="orthographicFront"/>
                <a:lightRig rig="threePt" dir="t"/>
              </a:scene3d>
              <a:sp3d>
                <a:bevelT/>
              </a:sp3d>
            </c:spPr>
            <c:extLst>
              <c:ext xmlns:c16="http://schemas.microsoft.com/office/drawing/2014/chart" uri="{C3380CC4-5D6E-409C-BE32-E72D297353CC}">
                <c16:uniqueId val="{00000005-EA9D-4FB8-89A3-EC4AEE81E411}"/>
              </c:ext>
            </c:extLst>
          </c:dPt>
          <c:dPt>
            <c:idx val="3"/>
            <c:invertIfNegative val="0"/>
            <c:bubble3D val="0"/>
            <c:spPr>
              <a:solidFill>
                <a:srgbClr val="008080"/>
              </a:solidFill>
              <a:ln>
                <a:noFill/>
              </a:ln>
              <a:scene3d>
                <a:camera prst="orthographicFront"/>
                <a:lightRig rig="threePt" dir="t"/>
              </a:scene3d>
              <a:sp3d>
                <a:bevelT/>
              </a:sp3d>
            </c:spPr>
            <c:extLst>
              <c:ext xmlns:c16="http://schemas.microsoft.com/office/drawing/2014/chart" uri="{C3380CC4-5D6E-409C-BE32-E72D297353CC}">
                <c16:uniqueId val="{00000007-EA9D-4FB8-89A3-EC4AEE81E411}"/>
              </c:ext>
            </c:extLst>
          </c:dPt>
          <c:dPt>
            <c:idx val="4"/>
            <c:invertIfNegative val="0"/>
            <c:bubble3D val="0"/>
            <c:spPr>
              <a:solidFill>
                <a:srgbClr val="FF6600"/>
              </a:solidFill>
              <a:ln>
                <a:noFill/>
              </a:ln>
              <a:scene3d>
                <a:camera prst="orthographicFront"/>
                <a:lightRig rig="threePt" dir="t"/>
              </a:scene3d>
              <a:sp3d>
                <a:bevelT/>
              </a:sp3d>
            </c:spPr>
            <c:extLst>
              <c:ext xmlns:c16="http://schemas.microsoft.com/office/drawing/2014/chart" uri="{C3380CC4-5D6E-409C-BE32-E72D297353CC}">
                <c16:uniqueId val="{00000009-EA9D-4FB8-89A3-EC4AEE81E411}"/>
              </c:ext>
            </c:extLst>
          </c:dPt>
          <c:dLbls>
            <c:dLbl>
              <c:idx val="0"/>
              <c:layout>
                <c:manualLayout>
                  <c:x val="0"/>
                  <c:y val="0.353333249427174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9D-4FB8-89A3-EC4AEE81E411}"/>
                </c:ext>
              </c:extLst>
            </c:dLbl>
            <c:dLbl>
              <c:idx val="4"/>
              <c:layout>
                <c:manualLayout>
                  <c:x val="9.0268997089079908E-17"/>
                  <c:y val="0.243968196033049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9D-4FB8-89A3-EC4AEE81E411}"/>
                </c:ext>
              </c:extLst>
            </c:dLbl>
            <c:spPr>
              <a:noFill/>
              <a:ln>
                <a:noFill/>
              </a:ln>
              <a:effectLst/>
            </c:spPr>
            <c:txPr>
              <a:bodyPr/>
              <a:lstStyle/>
              <a:p>
                <a:pPr>
                  <a:defRPr sz="800" b="1">
                    <a:latin typeface="Times New Roman" pitchFamily="18" charset="0"/>
                    <a:cs typeface="Times New Roman"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Hoja1!$A$2:$A$6</c:f>
              <c:numCache>
                <c:formatCode>General</c:formatCode>
                <c:ptCount val="5"/>
                <c:pt idx="0">
                  <c:v>2011</c:v>
                </c:pt>
                <c:pt idx="1">
                  <c:v>2012</c:v>
                </c:pt>
                <c:pt idx="2">
                  <c:v>2013</c:v>
                </c:pt>
                <c:pt idx="3">
                  <c:v>2014</c:v>
                </c:pt>
                <c:pt idx="4">
                  <c:v>2015</c:v>
                </c:pt>
              </c:numCache>
            </c:numRef>
          </c:cat>
          <c:val>
            <c:numRef>
              <c:f>Hoja1!$B$2:$B$6</c:f>
              <c:numCache>
                <c:formatCode>General</c:formatCode>
                <c:ptCount val="5"/>
                <c:pt idx="0">
                  <c:v>-572.6</c:v>
                </c:pt>
                <c:pt idx="1">
                  <c:v>472.5</c:v>
                </c:pt>
                <c:pt idx="2">
                  <c:v>565.9</c:v>
                </c:pt>
                <c:pt idx="3">
                  <c:v>1117.5</c:v>
                </c:pt>
                <c:pt idx="4">
                  <c:v>-177.4</c:v>
                </c:pt>
              </c:numCache>
            </c:numRef>
          </c:val>
          <c:extLst>
            <c:ext xmlns:c16="http://schemas.microsoft.com/office/drawing/2014/chart" uri="{C3380CC4-5D6E-409C-BE32-E72D297353CC}">
              <c16:uniqueId val="{0000000A-EA9D-4FB8-89A3-EC4AEE81E411}"/>
            </c:ext>
          </c:extLst>
        </c:ser>
        <c:dLbls>
          <c:showLegendKey val="0"/>
          <c:showVal val="0"/>
          <c:showCatName val="0"/>
          <c:showSerName val="0"/>
          <c:showPercent val="0"/>
          <c:showBubbleSize val="0"/>
        </c:dLbls>
        <c:gapWidth val="18"/>
        <c:overlap val="-62"/>
        <c:axId val="187259136"/>
        <c:axId val="188764160"/>
      </c:barChart>
      <c:catAx>
        <c:axId val="187259136"/>
        <c:scaling>
          <c:orientation val="minMax"/>
        </c:scaling>
        <c:delete val="0"/>
        <c:axPos val="b"/>
        <c:numFmt formatCode="General" sourceLinked="1"/>
        <c:majorTickMark val="out"/>
        <c:minorTickMark val="out"/>
        <c:tickLblPos val="low"/>
        <c:txPr>
          <a:bodyPr/>
          <a:lstStyle/>
          <a:p>
            <a:pPr>
              <a:defRPr sz="800">
                <a:latin typeface="Times New Roman" pitchFamily="18" charset="0"/>
                <a:cs typeface="Times New Roman" pitchFamily="18" charset="0"/>
              </a:defRPr>
            </a:pPr>
            <a:endParaRPr lang="es-GT"/>
          </a:p>
        </c:txPr>
        <c:crossAx val="188764160"/>
        <c:crosses val="autoZero"/>
        <c:auto val="0"/>
        <c:lblAlgn val="ctr"/>
        <c:lblOffset val="100"/>
        <c:noMultiLvlLbl val="0"/>
      </c:catAx>
      <c:valAx>
        <c:axId val="188764160"/>
        <c:scaling>
          <c:orientation val="minMax"/>
        </c:scaling>
        <c:delete val="0"/>
        <c:axPos val="l"/>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s-GT"/>
          </a:p>
        </c:txPr>
        <c:crossAx val="187259136"/>
        <c:crosses val="autoZero"/>
        <c:crossBetween val="between"/>
        <c:majorUnit val="200"/>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0.23216</cdr:x>
      <cdr:y>0.03721</cdr:y>
    </cdr:from>
    <cdr:to>
      <cdr:x>0.56849</cdr:x>
      <cdr:y>0.23257</cdr:y>
    </cdr:to>
    <cdr:sp macro="" textlink="">
      <cdr:nvSpPr>
        <cdr:cNvPr id="2" name="1 Llamada con línea 1"/>
        <cdr:cNvSpPr/>
      </cdr:nvSpPr>
      <cdr:spPr>
        <a:xfrm xmlns:a="http://schemas.openxmlformats.org/drawingml/2006/main" flipH="1">
          <a:off x="620202" y="63608"/>
          <a:ext cx="898496" cy="333956"/>
        </a:xfrm>
        <a:prstGeom xmlns:a="http://schemas.openxmlformats.org/drawingml/2006/main" prst="borderCallout1">
          <a:avLst>
            <a:gd name="adj1" fmla="val 18750"/>
            <a:gd name="adj2" fmla="val -8333"/>
            <a:gd name="adj3" fmla="val 89953"/>
            <a:gd name="adj4" fmla="val -69027"/>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800" b="1">
              <a:solidFill>
                <a:sysClr val="windowText" lastClr="000000"/>
              </a:solidFill>
              <a:latin typeface="Times New Roman" panose="02020603050405020304" pitchFamily="18" charset="0"/>
              <a:cs typeface="Times New Roman" panose="02020603050405020304" pitchFamily="18" charset="0"/>
            </a:rPr>
            <a:t>Telefonía Q118.2 millones</a:t>
          </a:r>
        </a:p>
      </cdr:txBody>
    </cdr:sp>
  </cdr:relSizeAnchor>
</c:userShapes>
</file>

<file path=word/drawings/drawing2.xml><?xml version="1.0" encoding="utf-8"?>
<c:userShapes xmlns:c="http://schemas.openxmlformats.org/drawingml/2006/chart">
  <cdr:relSizeAnchor xmlns:cdr="http://schemas.openxmlformats.org/drawingml/2006/chartDrawing">
    <cdr:from>
      <cdr:x>0.21147</cdr:x>
      <cdr:y>0.04204</cdr:y>
    </cdr:from>
    <cdr:to>
      <cdr:x>0.47121</cdr:x>
      <cdr:y>0.2102</cdr:y>
    </cdr:to>
    <cdr:sp macro="" textlink="">
      <cdr:nvSpPr>
        <cdr:cNvPr id="2" name="1 Rectángulo"/>
        <cdr:cNvSpPr/>
      </cdr:nvSpPr>
      <cdr:spPr>
        <a:xfrm xmlns:a="http://schemas.openxmlformats.org/drawingml/2006/main">
          <a:off x="546265" y="83128"/>
          <a:ext cx="670956" cy="3325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s-GT" sz="800" b="1">
              <a:latin typeface="Times New Roman" panose="02020603050405020304" pitchFamily="18" charset="0"/>
              <a:cs typeface="Times New Roman" panose="02020603050405020304" pitchFamily="18" charset="0"/>
            </a:rPr>
            <a:t>Q 2,006.6 Millones</a:t>
          </a:r>
        </a:p>
      </cdr:txBody>
    </cdr:sp>
  </cdr:relSizeAnchor>
  <cdr:relSizeAnchor xmlns:cdr="http://schemas.openxmlformats.org/drawingml/2006/chartDrawing">
    <cdr:from>
      <cdr:x>0.60223</cdr:x>
      <cdr:y>0.06306</cdr:y>
    </cdr:from>
    <cdr:to>
      <cdr:x>0.93323</cdr:x>
      <cdr:y>0.24623</cdr:y>
    </cdr:to>
    <cdr:sp macro="" textlink="">
      <cdr:nvSpPr>
        <cdr:cNvPr id="4" name="3 Rectángulo"/>
        <cdr:cNvSpPr/>
      </cdr:nvSpPr>
      <cdr:spPr>
        <a:xfrm xmlns:a="http://schemas.openxmlformats.org/drawingml/2006/main">
          <a:off x="1555669" y="124691"/>
          <a:ext cx="855023" cy="36219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s-GT" sz="800" b="1">
              <a:latin typeface="Times New Roman" panose="02020603050405020304" pitchFamily="18" charset="0"/>
              <a:cs typeface="Times New Roman" panose="02020603050405020304" pitchFamily="18" charset="0"/>
            </a:rPr>
            <a:t>Q 1,926.6</a:t>
          </a:r>
          <a:r>
            <a:rPr lang="es-GT" sz="800" b="1" baseline="0">
              <a:latin typeface="Times New Roman" panose="02020603050405020304" pitchFamily="18" charset="0"/>
              <a:cs typeface="Times New Roman" panose="02020603050405020304" pitchFamily="18" charset="0"/>
            </a:rPr>
            <a:t> Millones</a:t>
          </a:r>
          <a:endParaRPr lang="es-GT" sz="8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1DC0-2375-4FF5-8AB9-2E565346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Eunice Argueta Castillo</dc:creator>
  <cp:lastModifiedBy>Saul Enrique De León Meneses</cp:lastModifiedBy>
  <cp:revision>2</cp:revision>
  <cp:lastPrinted>2015-03-31T21:21:00Z</cp:lastPrinted>
  <dcterms:created xsi:type="dcterms:W3CDTF">2018-05-14T20:15:00Z</dcterms:created>
  <dcterms:modified xsi:type="dcterms:W3CDTF">2018-05-14T20:15:00Z</dcterms:modified>
</cp:coreProperties>
</file>