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F342FF" w:rsidRDefault="00F342FF"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F342FF" w:rsidSect="00754057">
          <w:headerReference w:type="default" r:id="rId8"/>
          <w:footerReference w:type="default" r:id="rId9"/>
          <w:pgSz w:w="12240" w:h="15840" w:code="1"/>
          <w:pgMar w:top="1418" w:right="1418" w:bottom="1418" w:left="1418" w:header="709" w:footer="709" w:gutter="0"/>
          <w:cols w:space="708"/>
          <w:docGrid w:linePitch="360"/>
        </w:sectPr>
      </w:pPr>
      <w:r w:rsidRPr="00F342FF">
        <w:rPr>
          <w:rFonts w:ascii="Times New Roman" w:hAnsi="Times New Roman" w:cs="Times New Roman"/>
          <w:b/>
          <w:lang w:val="es-MX"/>
        </w:rPr>
        <w:t>Se</w:t>
      </w:r>
      <w:r w:rsidR="001178B6" w:rsidRPr="00F342FF">
        <w:rPr>
          <w:rFonts w:ascii="Times New Roman" w:hAnsi="Times New Roman" w:cs="Times New Roman"/>
          <w:b/>
          <w:lang w:val="es-MX"/>
        </w:rPr>
        <w:t xml:space="preserve"> mantiene el </w:t>
      </w:r>
      <w:r w:rsidR="00C646C4" w:rsidRPr="00F342FF">
        <w:rPr>
          <w:rFonts w:ascii="Times New Roman" w:hAnsi="Times New Roman" w:cs="Times New Roman"/>
          <w:b/>
          <w:lang w:val="es-MX"/>
        </w:rPr>
        <w:t>superávit</w:t>
      </w:r>
      <w:r w:rsidR="00157402" w:rsidRPr="00F342FF">
        <w:rPr>
          <w:rFonts w:ascii="Times New Roman" w:hAnsi="Times New Roman" w:cs="Times New Roman"/>
          <w:b/>
          <w:lang w:val="es-MX"/>
        </w:rPr>
        <w:t xml:space="preserve"> fiscal</w:t>
      </w:r>
      <w:r w:rsidR="00443336" w:rsidRPr="00F342FF">
        <w:rPr>
          <w:rFonts w:ascii="Times New Roman" w:hAnsi="Times New Roman" w:cs="Times New Roman"/>
          <w:b/>
          <w:lang w:val="es-MX"/>
        </w:rPr>
        <w:t xml:space="preserve"> </w:t>
      </w:r>
    </w:p>
    <w:p w:rsidR="007D4651" w:rsidRPr="000D0C01" w:rsidRDefault="007D4651" w:rsidP="007D4651">
      <w:pPr>
        <w:pStyle w:val="NoSpacing"/>
        <w:rPr>
          <w:rFonts w:ascii="Times New Roman" w:hAnsi="Times New Roman" w:cs="Times New Roman"/>
          <w:b/>
          <w:color w:val="FF0000"/>
          <w:sz w:val="6"/>
          <w:lang w:val="es-MX"/>
        </w:rPr>
      </w:pPr>
    </w:p>
    <w:p w:rsidR="007D4651" w:rsidRPr="000D0C01" w:rsidRDefault="007D4651" w:rsidP="007D4651">
      <w:pPr>
        <w:pStyle w:val="NoSpacing"/>
        <w:jc w:val="center"/>
        <w:rPr>
          <w:rFonts w:ascii="Times New Roman" w:hAnsi="Times New Roman" w:cs="Times New Roman"/>
          <w:b/>
          <w:color w:val="FF0000"/>
          <w:sz w:val="16"/>
          <w:lang w:val="es-MX"/>
        </w:rPr>
      </w:pPr>
    </w:p>
    <w:p w:rsidR="009C4027" w:rsidRPr="000D0C01" w:rsidRDefault="009C4027" w:rsidP="007D4651">
      <w:pPr>
        <w:pStyle w:val="NoSpacing"/>
        <w:jc w:val="center"/>
        <w:rPr>
          <w:rFonts w:ascii="Times New Roman" w:hAnsi="Times New Roman" w:cs="Times New Roman"/>
          <w:b/>
          <w:color w:val="FF0000"/>
          <w:lang w:val="es-MX"/>
        </w:rPr>
        <w:sectPr w:rsidR="009C4027" w:rsidRPr="000D0C01" w:rsidSect="004E358C">
          <w:type w:val="continuous"/>
          <w:pgSz w:w="12240" w:h="15840"/>
          <w:pgMar w:top="1417" w:right="1701" w:bottom="1417" w:left="1701" w:header="708" w:footer="708" w:gutter="0"/>
          <w:cols w:space="708"/>
          <w:docGrid w:linePitch="360"/>
        </w:sectPr>
      </w:pPr>
    </w:p>
    <w:p w:rsidR="00F342FF" w:rsidRDefault="00F342FF" w:rsidP="00F342FF">
      <w:pPr>
        <w:pStyle w:val="NoSpacing"/>
        <w:jc w:val="both"/>
        <w:rPr>
          <w:rFonts w:ascii="Times New Roman" w:hAnsi="Times New Roman" w:cs="Times New Roman"/>
          <w:lang w:val="es-MX"/>
        </w:rPr>
      </w:pPr>
      <w:r>
        <w:rPr>
          <w:rFonts w:ascii="Times New Roman" w:hAnsi="Times New Roman" w:cs="Times New Roman"/>
          <w:lang w:val="es-MX"/>
        </w:rPr>
        <w:lastRenderedPageBreak/>
        <w:t xml:space="preserve">Al 31 de julio se observa un mayor dinamismo en la recaudación tributaria con respecto al desempeño que tiene la ejecución del gasto público, lo cual incide en el resultado fiscal, que a dicha fecha muestra un superávit de </w:t>
      </w:r>
      <w:r>
        <w:rPr>
          <w:rFonts w:ascii="Times New Roman" w:hAnsi="Times New Roman" w:cs="Times New Roman"/>
          <w:lang w:val="es-MX"/>
        </w:rPr>
        <w:t xml:space="preserve">       </w:t>
      </w:r>
      <w:r>
        <w:rPr>
          <w:rFonts w:ascii="Times New Roman" w:hAnsi="Times New Roman" w:cs="Times New Roman"/>
          <w:lang w:val="es-MX"/>
        </w:rPr>
        <w:t>Q</w:t>
      </w:r>
      <w:r>
        <w:rPr>
          <w:rFonts w:ascii="Times New Roman" w:hAnsi="Times New Roman" w:cs="Times New Roman"/>
          <w:lang w:val="es-MX"/>
        </w:rPr>
        <w:t xml:space="preserve"> </w:t>
      </w:r>
      <w:r>
        <w:rPr>
          <w:rFonts w:ascii="Times New Roman" w:hAnsi="Times New Roman" w:cs="Times New Roman"/>
          <w:lang w:val="es-MX"/>
        </w:rPr>
        <w:t>689.7 millones.  Esta situación es</w:t>
      </w:r>
      <w:r>
        <w:rPr>
          <w:rFonts w:ascii="Times New Roman" w:hAnsi="Times New Roman" w:cs="Times New Roman"/>
          <w:lang w:val="es-MX"/>
        </w:rPr>
        <w:t xml:space="preserve"> resultado </w:t>
      </w:r>
      <w:r>
        <w:rPr>
          <w:rFonts w:ascii="Times New Roman" w:hAnsi="Times New Roman" w:cs="Times New Roman"/>
          <w:lang w:val="es-MX"/>
        </w:rPr>
        <w:t xml:space="preserve">de la desaceleración en la ejecución presupuestaria que principalmente se refleja en los rubros de bienes y servicios y la inversión real directa, rubros que están </w:t>
      </w:r>
      <w:r>
        <w:rPr>
          <w:rFonts w:ascii="Times New Roman" w:hAnsi="Times New Roman" w:cs="Times New Roman"/>
          <w:lang w:val="es-MX"/>
        </w:rPr>
        <w:lastRenderedPageBreak/>
        <w:t>íntimamente relacionados con los compras y contrataciones.</w:t>
      </w:r>
    </w:p>
    <w:p w:rsidR="00F342FF" w:rsidRDefault="00F342FF" w:rsidP="00F342FF">
      <w:pPr>
        <w:pStyle w:val="NoSpacing"/>
        <w:jc w:val="both"/>
        <w:rPr>
          <w:rFonts w:ascii="Times New Roman" w:hAnsi="Times New Roman" w:cs="Times New Roman"/>
          <w:lang w:val="es-MX"/>
        </w:rPr>
      </w:pPr>
    </w:p>
    <w:p w:rsidR="00F342FF" w:rsidRDefault="00F342FF" w:rsidP="00F342FF">
      <w:pPr>
        <w:pStyle w:val="NoSpacing"/>
        <w:jc w:val="both"/>
        <w:rPr>
          <w:rFonts w:ascii="Times New Roman" w:hAnsi="Times New Roman" w:cs="Times New Roman"/>
          <w:b/>
          <w:lang w:val="es-MX"/>
        </w:rPr>
        <w:sectPr w:rsidR="00F342FF" w:rsidSect="005D6A2E">
          <w:type w:val="continuous"/>
          <w:pgSz w:w="12240" w:h="15840"/>
          <w:pgMar w:top="1417" w:right="1701" w:bottom="1417" w:left="1701" w:header="708" w:footer="708" w:gutter="0"/>
          <w:cols w:num="2" w:space="708"/>
          <w:docGrid w:linePitch="360"/>
        </w:sectPr>
      </w:pPr>
      <w:r w:rsidRPr="00E803B0">
        <w:rPr>
          <w:rFonts w:ascii="Times New Roman" w:hAnsi="Times New Roman" w:cs="Times New Roman"/>
          <w:lang w:val="es-MX"/>
        </w:rPr>
        <w:t>Conforme a las estimaciones realizadas se tiene previsto que para el cierre del año se alcance una ejecución presupuestaria no mayor de 94.3%, lo que podría generar un déficit fiscal que como máximo alcance el 1.5% del PIB</w:t>
      </w:r>
      <w:r>
        <w:rPr>
          <w:rFonts w:ascii="Times New Roman" w:hAnsi="Times New Roman" w:cs="Times New Roman"/>
          <w:lang w:val="es-MX"/>
        </w:rPr>
        <w:t>.</w:t>
      </w:r>
    </w:p>
    <w:p w:rsidR="007D4651" w:rsidRPr="000D0C01" w:rsidRDefault="007D4651" w:rsidP="00F342FF">
      <w:pPr>
        <w:pStyle w:val="NoSpacing"/>
        <w:rPr>
          <w:rFonts w:ascii="Times New Roman" w:hAnsi="Times New Roman" w:cs="Times New Roman"/>
          <w:b/>
          <w:color w:val="FF0000"/>
          <w:lang w:val="es-MX"/>
        </w:rPr>
        <w:sectPr w:rsidR="007D4651" w:rsidRPr="000D0C01" w:rsidSect="004E358C">
          <w:type w:val="continuous"/>
          <w:pgSz w:w="12240" w:h="15840"/>
          <w:pgMar w:top="1417" w:right="1701" w:bottom="1417" w:left="1701" w:header="708" w:footer="708" w:gutter="0"/>
          <w:cols w:num="2" w:space="708"/>
          <w:docGrid w:linePitch="360"/>
        </w:sectPr>
      </w:pPr>
    </w:p>
    <w:p w:rsidR="007D4651" w:rsidRPr="000D0C01" w:rsidRDefault="007D4651" w:rsidP="00B9286A">
      <w:pPr>
        <w:pStyle w:val="NoSpacing"/>
        <w:rPr>
          <w:rFonts w:ascii="Times New Roman" w:hAnsi="Times New Roman" w:cs="Times New Roman"/>
          <w:b/>
          <w:color w:val="FF0000"/>
          <w:sz w:val="16"/>
          <w:lang w:val="es-MX"/>
        </w:rPr>
      </w:pPr>
    </w:p>
    <w:p w:rsidR="009C4027" w:rsidRPr="000D0C01" w:rsidRDefault="009C4027" w:rsidP="007D4651">
      <w:pPr>
        <w:pStyle w:val="NoSpacing"/>
        <w:jc w:val="center"/>
        <w:rPr>
          <w:rFonts w:ascii="Times New Roman" w:hAnsi="Times New Roman" w:cs="Times New Roman"/>
          <w:b/>
          <w:color w:val="FF0000"/>
          <w:lang w:val="es-MX"/>
        </w:rPr>
      </w:pPr>
    </w:p>
    <w:p w:rsidR="009C4027" w:rsidRPr="000D0C01" w:rsidRDefault="009C4027" w:rsidP="007D4651">
      <w:pPr>
        <w:pStyle w:val="NoSpacing"/>
        <w:jc w:val="center"/>
        <w:rPr>
          <w:rFonts w:ascii="Times New Roman" w:hAnsi="Times New Roman" w:cs="Times New Roman"/>
          <w:b/>
          <w:color w:val="FF0000"/>
          <w:lang w:val="es-MX"/>
        </w:rPr>
        <w:sectPr w:rsidR="009C4027" w:rsidRPr="000D0C01" w:rsidSect="007D4651">
          <w:type w:val="continuous"/>
          <w:pgSz w:w="12240" w:h="15840" w:code="1"/>
          <w:pgMar w:top="1418" w:right="1418" w:bottom="1418" w:left="1418" w:header="709" w:footer="709" w:gutter="0"/>
          <w:cols w:num="2" w:space="708"/>
          <w:docGrid w:linePitch="360"/>
        </w:sectPr>
      </w:pPr>
    </w:p>
    <w:p w:rsidR="00950874" w:rsidRPr="00F342FF" w:rsidRDefault="00950874" w:rsidP="00950874">
      <w:pPr>
        <w:pStyle w:val="NoSpacing"/>
        <w:jc w:val="center"/>
        <w:rPr>
          <w:rFonts w:ascii="Times New Roman" w:hAnsi="Times New Roman" w:cs="Times New Roman"/>
          <w:b/>
          <w:lang w:val="es-MX"/>
        </w:rPr>
      </w:pPr>
      <w:r w:rsidRPr="00F342FF">
        <w:rPr>
          <w:rFonts w:ascii="Times New Roman" w:hAnsi="Times New Roman" w:cs="Times New Roman"/>
          <w:b/>
          <w:lang w:val="es-MX"/>
        </w:rPr>
        <w:lastRenderedPageBreak/>
        <w:t>Resultado Presupuestario</w:t>
      </w:r>
    </w:p>
    <w:p w:rsidR="00AF68D3" w:rsidRPr="00F342FF" w:rsidRDefault="00950874" w:rsidP="00443336">
      <w:pPr>
        <w:pStyle w:val="NoSpacing"/>
        <w:jc w:val="center"/>
        <w:rPr>
          <w:rFonts w:ascii="Times New Roman" w:hAnsi="Times New Roman" w:cs="Times New Roman"/>
          <w:sz w:val="18"/>
          <w:lang w:val="es-MX"/>
        </w:rPr>
      </w:pPr>
      <w:r w:rsidRPr="00F342FF">
        <w:rPr>
          <w:rFonts w:ascii="Times New Roman" w:hAnsi="Times New Roman" w:cs="Times New Roman"/>
          <w:sz w:val="18"/>
          <w:lang w:val="es-MX"/>
        </w:rPr>
        <w:t>Millones de quetzales</w:t>
      </w:r>
    </w:p>
    <w:p w:rsidR="007D4651" w:rsidRPr="00F342FF" w:rsidRDefault="00BF2610" w:rsidP="007D4651">
      <w:pPr>
        <w:pStyle w:val="NoSpacing"/>
        <w:jc w:val="center"/>
        <w:rPr>
          <w:rFonts w:ascii="Times New Roman" w:hAnsi="Times New Roman" w:cs="Times New Roman"/>
          <w:lang w:val="es-MX"/>
        </w:rPr>
      </w:pPr>
      <w:r w:rsidRPr="00F342FF">
        <w:rPr>
          <w:rFonts w:ascii="Times New Roman" w:hAnsi="Times New Roman" w:cs="Times New Roman"/>
          <w:noProof/>
          <w:lang w:val="es-ES" w:eastAsia="es-ES"/>
        </w:rPr>
        <w:drawing>
          <wp:inline distT="0" distB="0" distL="0" distR="0" wp14:anchorId="74AED2FD" wp14:editId="71E120DA">
            <wp:extent cx="5453449" cy="2784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9581" cy="2787521"/>
                    </a:xfrm>
                    <a:prstGeom prst="rect">
                      <a:avLst/>
                    </a:prstGeom>
                    <a:noFill/>
                    <a:ln>
                      <a:noFill/>
                    </a:ln>
                  </pic:spPr>
                </pic:pic>
              </a:graphicData>
            </a:graphic>
          </wp:inline>
        </w:drawing>
      </w:r>
    </w:p>
    <w:p w:rsidR="00DF71A8" w:rsidRPr="00F342FF" w:rsidRDefault="00AF68D3" w:rsidP="00AF68D3">
      <w:pPr>
        <w:pStyle w:val="NoSpacing"/>
        <w:jc w:val="both"/>
        <w:rPr>
          <w:rFonts w:ascii="Times New Roman" w:hAnsi="Times New Roman" w:cs="Times New Roman"/>
          <w:sz w:val="16"/>
        </w:rPr>
      </w:pPr>
      <w:r w:rsidRPr="00F342FF">
        <w:rPr>
          <w:rFonts w:ascii="Times New Roman" w:hAnsi="Times New Roman" w:cs="Times New Roman"/>
          <w:sz w:val="16"/>
        </w:rPr>
        <w:t xml:space="preserve">                      </w:t>
      </w:r>
      <w:r w:rsidR="007D4651" w:rsidRPr="00F342FF">
        <w:rPr>
          <w:rFonts w:ascii="Times New Roman" w:hAnsi="Times New Roman" w:cs="Times New Roman"/>
          <w:sz w:val="16"/>
        </w:rPr>
        <w:t>Fuente: Dirección de Análisis y Política fiscal</w:t>
      </w:r>
    </w:p>
    <w:p w:rsidR="009C4027" w:rsidRPr="00677E6C" w:rsidRDefault="009C4027" w:rsidP="007D4651">
      <w:pPr>
        <w:spacing w:after="0" w:line="240" w:lineRule="auto"/>
        <w:rPr>
          <w:rFonts w:ascii="Times New Roman" w:hAnsi="Times New Roman" w:cs="Times New Roman"/>
          <w:color w:val="FF0000"/>
          <w:sz w:val="36"/>
          <w:lang w:val="es-MX"/>
        </w:rPr>
      </w:pPr>
    </w:p>
    <w:p w:rsidR="009C4027" w:rsidRPr="00677E6C" w:rsidRDefault="009C4027" w:rsidP="007D4651">
      <w:pPr>
        <w:spacing w:after="0" w:line="240" w:lineRule="auto"/>
        <w:rPr>
          <w:rFonts w:ascii="Times New Roman" w:hAnsi="Times New Roman" w:cs="Times New Roman"/>
          <w:color w:val="FF0000"/>
          <w:sz w:val="36"/>
          <w:lang w:val="es-MX"/>
        </w:rPr>
        <w:sectPr w:rsidR="009C4027" w:rsidRPr="00677E6C" w:rsidSect="007D4651">
          <w:type w:val="continuous"/>
          <w:pgSz w:w="12240" w:h="15840" w:code="1"/>
          <w:pgMar w:top="1418" w:right="1418" w:bottom="1418" w:left="1418" w:header="709" w:footer="709" w:gutter="0"/>
          <w:cols w:space="708"/>
          <w:docGrid w:linePitch="360"/>
        </w:sectPr>
      </w:pPr>
    </w:p>
    <w:p w:rsidR="00E16925" w:rsidRPr="00677E6C" w:rsidRDefault="009F1C62" w:rsidP="00270CA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677E6C"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677E6C">
        <w:rPr>
          <w:rFonts w:ascii="Times New Roman" w:hAnsi="Times New Roman" w:cs="Times New Roman"/>
          <w:b/>
          <w:lang w:val="es-MX"/>
        </w:rPr>
        <w:lastRenderedPageBreak/>
        <w:t>El vencimiento trimestral del ISR e ISO no se cumplió</w:t>
      </w:r>
    </w:p>
    <w:p w:rsidR="00E16925" w:rsidRPr="00677E6C" w:rsidRDefault="00E16925" w:rsidP="00E16925">
      <w:pPr>
        <w:pStyle w:val="NoSpacing"/>
        <w:rPr>
          <w:rFonts w:ascii="Times New Roman" w:hAnsi="Times New Roman" w:cs="Times New Roman"/>
          <w:b/>
          <w:color w:val="FF0000"/>
          <w:sz w:val="14"/>
          <w:lang w:val="es-MX"/>
        </w:rPr>
      </w:pPr>
    </w:p>
    <w:p w:rsidR="00E16925" w:rsidRPr="000D0C01" w:rsidRDefault="00E16925" w:rsidP="00E16925">
      <w:pPr>
        <w:pStyle w:val="NoSpacing"/>
        <w:jc w:val="center"/>
        <w:rPr>
          <w:rFonts w:ascii="Times New Roman" w:hAnsi="Times New Roman" w:cs="Times New Roman"/>
          <w:b/>
          <w:color w:val="FF0000"/>
          <w:lang w:val="es-MX"/>
        </w:rPr>
      </w:pPr>
    </w:p>
    <w:p w:rsidR="00343A5D" w:rsidRPr="000D0C01" w:rsidRDefault="00343A5D" w:rsidP="00E16925">
      <w:pPr>
        <w:pStyle w:val="NoSpacing"/>
        <w:jc w:val="center"/>
        <w:rPr>
          <w:rFonts w:ascii="Times New Roman" w:hAnsi="Times New Roman" w:cs="Times New Roman"/>
          <w:b/>
          <w:color w:val="FF0000"/>
          <w:sz w:val="28"/>
          <w:lang w:val="es-MX"/>
        </w:rPr>
        <w:sectPr w:rsidR="00343A5D" w:rsidRPr="000D0C01" w:rsidSect="004E358C">
          <w:type w:val="continuous"/>
          <w:pgSz w:w="12240" w:h="15840"/>
          <w:pgMar w:top="1417" w:right="1701" w:bottom="1417" w:left="1701" w:header="708" w:footer="708" w:gutter="0"/>
          <w:cols w:space="708"/>
          <w:docGrid w:linePitch="360"/>
        </w:sectPr>
      </w:pP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lang w:val="es-MX"/>
        </w:rPr>
        <w:lastRenderedPageBreak/>
        <w:t xml:space="preserve">Cifras preliminares de recaudación de julio dan cuenta del incumplimiento del pago trimestral de ISR e </w:t>
      </w:r>
      <w:r w:rsidR="009B4EBA">
        <w:rPr>
          <w:rFonts w:ascii="Times New Roman" w:hAnsi="Times New Roman" w:cs="Times New Roman"/>
          <w:lang w:val="es-MX"/>
        </w:rPr>
        <w:t>ISO,</w:t>
      </w:r>
      <w:r>
        <w:rPr>
          <w:rFonts w:ascii="Times New Roman" w:hAnsi="Times New Roman" w:cs="Times New Roman"/>
          <w:lang w:val="es-MX"/>
        </w:rPr>
        <w:t xml:space="preserve"> así como de los vencimientos mensuales de IVA y del impuesto de circulación de vehículos, en conjunto estos impuestos dejaron de percibir Q</w:t>
      </w:r>
      <w:r w:rsidR="009B4EBA">
        <w:rPr>
          <w:rFonts w:ascii="Times New Roman" w:hAnsi="Times New Roman" w:cs="Times New Roman"/>
          <w:lang w:val="es-MX"/>
        </w:rPr>
        <w:t xml:space="preserve"> </w:t>
      </w:r>
      <w:r>
        <w:rPr>
          <w:rFonts w:ascii="Times New Roman" w:hAnsi="Times New Roman" w:cs="Times New Roman"/>
          <w:lang w:val="es-MX"/>
        </w:rPr>
        <w:t xml:space="preserve">233.1 millones respecto a la meta, con este resultado mensual nuevamente </w:t>
      </w:r>
      <w:r>
        <w:rPr>
          <w:rFonts w:ascii="Times New Roman" w:hAnsi="Times New Roman" w:cs="Times New Roman"/>
          <w:lang w:val="es-MX"/>
        </w:rPr>
        <w:lastRenderedPageBreak/>
        <w:t xml:space="preserve">se amplía la brecha fiscal negativa acumulada a julio ubicándola de nuevo en el orden de los </w:t>
      </w:r>
      <w:r w:rsidR="009B4EBA">
        <w:rPr>
          <w:rFonts w:ascii="Times New Roman" w:hAnsi="Times New Roman" w:cs="Times New Roman"/>
          <w:lang w:val="es-MX"/>
        </w:rPr>
        <w:t xml:space="preserve">       </w:t>
      </w:r>
      <w:r>
        <w:rPr>
          <w:rFonts w:ascii="Times New Roman" w:hAnsi="Times New Roman" w:cs="Times New Roman"/>
          <w:lang w:val="es-MX"/>
        </w:rPr>
        <w:t>Q</w:t>
      </w:r>
      <w:r w:rsidR="009B4EBA">
        <w:rPr>
          <w:rFonts w:ascii="Times New Roman" w:hAnsi="Times New Roman" w:cs="Times New Roman"/>
          <w:lang w:val="es-MX"/>
        </w:rPr>
        <w:t xml:space="preserve"> </w:t>
      </w:r>
      <w:r>
        <w:rPr>
          <w:rFonts w:ascii="Times New Roman" w:hAnsi="Times New Roman" w:cs="Times New Roman"/>
          <w:lang w:val="es-MX"/>
        </w:rPr>
        <w:t>631.1 millones.</w:t>
      </w: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lang w:val="es-MX"/>
        </w:rPr>
        <w:t xml:space="preserve"> </w:t>
      </w:r>
    </w:p>
    <w:p w:rsidR="00677E6C" w:rsidRDefault="00677E6C" w:rsidP="00677E6C">
      <w:pPr>
        <w:spacing w:after="0" w:line="240" w:lineRule="auto"/>
        <w:jc w:val="both"/>
        <w:rPr>
          <w:rFonts w:ascii="Times New Roman" w:hAnsi="Times New Roman" w:cs="Times New Roman"/>
          <w:lang w:val="es-MX"/>
        </w:rPr>
      </w:pPr>
    </w:p>
    <w:p w:rsidR="00677E6C" w:rsidRDefault="00677E6C" w:rsidP="00677E6C">
      <w:pPr>
        <w:spacing w:after="0" w:line="240" w:lineRule="auto"/>
        <w:jc w:val="both"/>
        <w:rPr>
          <w:rFonts w:ascii="Times New Roman" w:hAnsi="Times New Roman" w:cs="Times New Roman"/>
          <w:lang w:val="es-MX"/>
        </w:rPr>
      </w:pPr>
    </w:p>
    <w:p w:rsidR="00677E6C" w:rsidRDefault="00677E6C" w:rsidP="00677E6C">
      <w:pPr>
        <w:spacing w:after="0" w:line="240" w:lineRule="auto"/>
        <w:jc w:val="both"/>
        <w:rPr>
          <w:rFonts w:ascii="Times New Roman" w:hAnsi="Times New Roman" w:cs="Times New Roman"/>
          <w:lang w:val="es-MX"/>
        </w:rPr>
      </w:pPr>
    </w:p>
    <w:p w:rsidR="00677E6C" w:rsidRPr="00D47E32" w:rsidRDefault="00677E6C" w:rsidP="00677E6C">
      <w:pPr>
        <w:spacing w:after="0" w:line="240" w:lineRule="auto"/>
        <w:jc w:val="center"/>
        <w:rPr>
          <w:rFonts w:ascii="Times New Roman" w:hAnsi="Times New Roman" w:cs="Times New Roman"/>
          <w:b/>
          <w:lang w:val="es-MX"/>
        </w:rPr>
      </w:pPr>
      <w:r>
        <w:rPr>
          <w:rFonts w:ascii="Times New Roman" w:hAnsi="Times New Roman" w:cs="Times New Roman"/>
          <w:b/>
          <w:lang w:val="es-MX"/>
        </w:rPr>
        <w:lastRenderedPageBreak/>
        <w:t>R</w:t>
      </w:r>
      <w:r w:rsidRPr="00D47E32">
        <w:rPr>
          <w:rFonts w:ascii="Times New Roman" w:hAnsi="Times New Roman" w:cs="Times New Roman"/>
          <w:b/>
          <w:lang w:val="es-MX"/>
        </w:rPr>
        <w:t xml:space="preserve">ecaudación </w:t>
      </w:r>
      <w:r>
        <w:rPr>
          <w:rFonts w:ascii="Times New Roman" w:hAnsi="Times New Roman" w:cs="Times New Roman"/>
          <w:b/>
          <w:lang w:val="es-MX"/>
        </w:rPr>
        <w:t>Tributaria</w:t>
      </w:r>
    </w:p>
    <w:p w:rsidR="00677E6C" w:rsidRPr="00677E6C" w:rsidRDefault="00677E6C" w:rsidP="00677E6C">
      <w:pPr>
        <w:spacing w:after="0" w:line="240" w:lineRule="auto"/>
        <w:jc w:val="center"/>
        <w:rPr>
          <w:rFonts w:ascii="Times New Roman" w:hAnsi="Times New Roman" w:cs="Times New Roman"/>
          <w:sz w:val="18"/>
          <w:lang w:val="es-MX"/>
        </w:rPr>
      </w:pPr>
      <w:r w:rsidRPr="00677E6C">
        <w:rPr>
          <w:rFonts w:ascii="Times New Roman" w:hAnsi="Times New Roman" w:cs="Times New Roman"/>
          <w:sz w:val="18"/>
          <w:lang w:val="es-MX"/>
        </w:rPr>
        <w:t>Millones de quetzales</w:t>
      </w:r>
    </w:p>
    <w:p w:rsidR="00677E6C" w:rsidRDefault="00677E6C" w:rsidP="00677E6C">
      <w:pPr>
        <w:spacing w:after="0" w:line="240" w:lineRule="auto"/>
        <w:jc w:val="center"/>
        <w:rPr>
          <w:rFonts w:ascii="Times New Roman" w:hAnsi="Times New Roman" w:cs="Times New Roman"/>
          <w:b/>
          <w:sz w:val="14"/>
          <w:lang w:val="es-MX"/>
        </w:rPr>
      </w:pPr>
      <w:r>
        <w:rPr>
          <w:rFonts w:ascii="Times New Roman" w:hAnsi="Times New Roman" w:cs="Times New Roman"/>
          <w:b/>
          <w:noProof/>
          <w:sz w:val="14"/>
          <w:lang w:val="es-ES" w:eastAsia="es-ES"/>
        </w:rPr>
        <w:drawing>
          <wp:inline distT="0" distB="0" distL="0" distR="0" wp14:anchorId="6D24C7E9" wp14:editId="37162537">
            <wp:extent cx="2590800" cy="2085975"/>
            <wp:effectExtent l="0" t="0" r="0" b="0"/>
            <wp:docPr id="3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77E6C" w:rsidRPr="00677E6C" w:rsidRDefault="00677E6C" w:rsidP="00677E6C">
      <w:pPr>
        <w:spacing w:after="0" w:line="240" w:lineRule="auto"/>
        <w:jc w:val="both"/>
        <w:rPr>
          <w:rFonts w:ascii="Times New Roman" w:hAnsi="Times New Roman" w:cs="Times New Roman"/>
          <w:sz w:val="24"/>
          <w:lang w:val="es-MX"/>
        </w:rPr>
      </w:pPr>
      <w:r w:rsidRPr="00677E6C">
        <w:rPr>
          <w:rFonts w:ascii="Times New Roman" w:hAnsi="Times New Roman" w:cs="Times New Roman"/>
          <w:sz w:val="16"/>
          <w:lang w:val="es-MX"/>
        </w:rPr>
        <w:t>Fuente: Dirección de Análisis y Política Fiscal</w:t>
      </w:r>
    </w:p>
    <w:p w:rsidR="00677E6C" w:rsidRDefault="00677E6C" w:rsidP="00677E6C">
      <w:pPr>
        <w:spacing w:after="0" w:line="240" w:lineRule="auto"/>
        <w:jc w:val="both"/>
        <w:rPr>
          <w:rFonts w:ascii="Times New Roman" w:hAnsi="Times New Roman" w:cs="Times New Roman"/>
          <w:lang w:val="es-MX"/>
        </w:rPr>
      </w:pP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lang w:val="es-MX"/>
        </w:rPr>
        <w:t>De manera interanual la recaudación tributaria acumulada crece en 6.1% (Q</w:t>
      </w:r>
      <w:r w:rsidR="009B4EBA">
        <w:rPr>
          <w:rFonts w:ascii="Times New Roman" w:hAnsi="Times New Roman" w:cs="Times New Roman"/>
          <w:lang w:val="es-MX"/>
        </w:rPr>
        <w:t xml:space="preserve"> </w:t>
      </w:r>
      <w:r>
        <w:rPr>
          <w:rFonts w:ascii="Times New Roman" w:hAnsi="Times New Roman" w:cs="Times New Roman"/>
          <w:lang w:val="es-MX"/>
        </w:rPr>
        <w:t>1,981.2 millones), es preciso indicar que esta comparación incluye el recaudo extraordinario obtenido a julio de 2016 por Q</w:t>
      </w:r>
      <w:r w:rsidR="009B4EBA">
        <w:rPr>
          <w:rFonts w:ascii="Times New Roman" w:hAnsi="Times New Roman" w:cs="Times New Roman"/>
          <w:lang w:val="es-MX"/>
        </w:rPr>
        <w:t xml:space="preserve"> </w:t>
      </w:r>
      <w:r>
        <w:rPr>
          <w:rFonts w:ascii="Times New Roman" w:hAnsi="Times New Roman" w:cs="Times New Roman"/>
          <w:lang w:val="es-MX"/>
        </w:rPr>
        <w:t>1,320.7 millones por concepto de adeudos tributarios de ejercicios anteriores de los cuales solo por ISR eran Q</w:t>
      </w:r>
      <w:r w:rsidR="009B4EBA">
        <w:rPr>
          <w:rFonts w:ascii="Times New Roman" w:hAnsi="Times New Roman" w:cs="Times New Roman"/>
          <w:lang w:val="es-MX"/>
        </w:rPr>
        <w:t xml:space="preserve"> </w:t>
      </w:r>
      <w:r>
        <w:rPr>
          <w:rFonts w:ascii="Times New Roman" w:hAnsi="Times New Roman" w:cs="Times New Roman"/>
          <w:lang w:val="es-MX"/>
        </w:rPr>
        <w:t>987.6 millones y de IVA Q</w:t>
      </w:r>
      <w:r w:rsidR="009B4EBA">
        <w:rPr>
          <w:rFonts w:ascii="Times New Roman" w:hAnsi="Times New Roman" w:cs="Times New Roman"/>
          <w:lang w:val="es-MX"/>
        </w:rPr>
        <w:t xml:space="preserve"> </w:t>
      </w:r>
      <w:r>
        <w:rPr>
          <w:rFonts w:ascii="Times New Roman" w:hAnsi="Times New Roman" w:cs="Times New Roman"/>
          <w:lang w:val="es-MX"/>
        </w:rPr>
        <w:t xml:space="preserve">333.1 millones. </w:t>
      </w: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lang w:val="es-MX"/>
        </w:rPr>
        <w:t xml:space="preserve"> </w:t>
      </w:r>
    </w:p>
    <w:p w:rsidR="00677E6C" w:rsidRDefault="00677E6C" w:rsidP="00677E6C">
      <w:pPr>
        <w:spacing w:after="0" w:line="240" w:lineRule="auto"/>
        <w:jc w:val="both"/>
        <w:rPr>
          <w:rFonts w:ascii="Times New Roman" w:hAnsi="Times New Roman" w:cs="Times New Roman"/>
          <w:b/>
          <w:lang w:val="es-MX"/>
        </w:rPr>
      </w:pPr>
      <w:r w:rsidRPr="00F3141C">
        <w:rPr>
          <w:rFonts w:ascii="Times New Roman" w:hAnsi="Times New Roman" w:cs="Times New Roman"/>
          <w:b/>
          <w:lang w:val="es-MX"/>
        </w:rPr>
        <w:t>Impuesto al valor agregado</w:t>
      </w:r>
    </w:p>
    <w:p w:rsidR="00677E6C" w:rsidRPr="00F3141C" w:rsidRDefault="00677E6C" w:rsidP="00677E6C">
      <w:pPr>
        <w:spacing w:after="0" w:line="240" w:lineRule="auto"/>
        <w:jc w:val="both"/>
        <w:rPr>
          <w:rFonts w:ascii="Times New Roman" w:hAnsi="Times New Roman" w:cs="Times New Roman"/>
          <w:b/>
          <w:lang w:val="es-MX"/>
        </w:rPr>
      </w:pP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lang w:val="es-MX"/>
        </w:rPr>
        <w:t>La recaudación mensual de este impuesto como se indicó al inicio dejo de recaudar Q</w:t>
      </w:r>
      <w:r w:rsidR="009B4EBA">
        <w:rPr>
          <w:rFonts w:ascii="Times New Roman" w:hAnsi="Times New Roman" w:cs="Times New Roman"/>
          <w:lang w:val="es-MX"/>
        </w:rPr>
        <w:t xml:space="preserve"> </w:t>
      </w:r>
      <w:r>
        <w:rPr>
          <w:rFonts w:ascii="Times New Roman" w:hAnsi="Times New Roman" w:cs="Times New Roman"/>
          <w:lang w:val="es-MX"/>
        </w:rPr>
        <w:t xml:space="preserve">75.9 millones respecto a la meta, esta caída obedece al bajo rendimiento en el IVA doméstico y el de importaciones. </w:t>
      </w:r>
    </w:p>
    <w:p w:rsidR="009B4EBA" w:rsidRDefault="009B4EBA" w:rsidP="00677E6C">
      <w:pPr>
        <w:spacing w:after="0" w:line="240" w:lineRule="auto"/>
        <w:jc w:val="both"/>
        <w:rPr>
          <w:rFonts w:ascii="Times New Roman" w:hAnsi="Times New Roman" w:cs="Times New Roman"/>
          <w:lang w:val="es-MX"/>
        </w:rPr>
      </w:pP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lang w:val="es-MX"/>
        </w:rPr>
        <w:t xml:space="preserve">De manera interanual tanto el IVA asociado al comercio exterior como el IVA doméstico reflejan crecimiento, para el IVA de importaciones el crecimiento está sustentado por el desempeño de variables macroeconómicas como las importaciones gravadas no asociadas a los derivados de petróleo cuyo monto acumulado a junio marca un crecimiento de 5.3% y su volumen que también crece en 9.1%, por otro lado las importaciones asociadas a los derivados de petróleo tienen un crecimiento acumulado a </w:t>
      </w:r>
      <w:r>
        <w:rPr>
          <w:rFonts w:ascii="Times New Roman" w:hAnsi="Times New Roman" w:cs="Times New Roman"/>
          <w:lang w:val="es-MX"/>
        </w:rPr>
        <w:lastRenderedPageBreak/>
        <w:t xml:space="preserve">junio de 28% y su volumen de igual manera crece en 8.2% esto influenciado por una baja en el precio internacional del petróleo y a la apreciación del quetzal ante el dólar, de manera acumulada el IVA de importaciones respecto a la meta establecida ha dejado de recaudar </w:t>
      </w:r>
      <w:r w:rsidR="009B4EBA">
        <w:rPr>
          <w:rFonts w:ascii="Times New Roman" w:hAnsi="Times New Roman" w:cs="Times New Roman"/>
          <w:lang w:val="es-MX"/>
        </w:rPr>
        <w:t xml:space="preserve">           </w:t>
      </w:r>
      <w:r>
        <w:rPr>
          <w:rFonts w:ascii="Times New Roman" w:hAnsi="Times New Roman" w:cs="Times New Roman"/>
          <w:lang w:val="es-MX"/>
        </w:rPr>
        <w:t>Q</w:t>
      </w:r>
      <w:r w:rsidR="009B4EBA">
        <w:rPr>
          <w:rFonts w:ascii="Times New Roman" w:hAnsi="Times New Roman" w:cs="Times New Roman"/>
          <w:lang w:val="es-MX"/>
        </w:rPr>
        <w:t xml:space="preserve"> </w:t>
      </w:r>
      <w:r>
        <w:rPr>
          <w:rFonts w:ascii="Times New Roman" w:hAnsi="Times New Roman" w:cs="Times New Roman"/>
          <w:lang w:val="es-MX"/>
        </w:rPr>
        <w:t>421.6 millones.</w:t>
      </w:r>
    </w:p>
    <w:p w:rsidR="00677E6C" w:rsidRDefault="00677E6C" w:rsidP="00677E6C">
      <w:pPr>
        <w:spacing w:after="0" w:line="240" w:lineRule="auto"/>
        <w:jc w:val="both"/>
        <w:rPr>
          <w:rFonts w:ascii="Times New Roman" w:hAnsi="Times New Roman" w:cs="Times New Roman"/>
          <w:lang w:val="es-MX"/>
        </w:rPr>
      </w:pP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lang w:val="es-MX"/>
        </w:rPr>
        <w:t xml:space="preserve">Por su parte el IVA doméstico tiene un crecimiento interanual acumulado de 9.3%, este impuesto continua creciendo en buena parte impulsado por el flujo de remesas familiares que de manera acumulada crecen respecto a lo observado en 2016 </w:t>
      </w:r>
      <w:r w:rsidRPr="00BD4604">
        <w:rPr>
          <w:rFonts w:ascii="Times New Roman" w:hAnsi="Times New Roman" w:cs="Times New Roman"/>
          <w:i/>
          <w:lang w:val="es-MX"/>
        </w:rPr>
        <w:t>(a julio las remesas familiares se ubican en 16.5% monto superior al observado en 2016 cuando crecían en 14.7%)</w:t>
      </w:r>
      <w:r>
        <w:rPr>
          <w:rFonts w:ascii="Times New Roman" w:hAnsi="Times New Roman" w:cs="Times New Roman"/>
          <w:lang w:val="es-MX"/>
        </w:rPr>
        <w:t>, además también puede indicarse que dicho crecimiento está influenciado por una mejora en la economía interna que medida a través de la variación de tendencia ciclo del IMAE la sitúa en junio en un ritmo de 3.2% superior al 2.6% del año anterior.</w:t>
      </w:r>
    </w:p>
    <w:p w:rsidR="00677E6C" w:rsidRDefault="00677E6C" w:rsidP="00677E6C">
      <w:pPr>
        <w:spacing w:after="0" w:line="240" w:lineRule="auto"/>
        <w:jc w:val="both"/>
        <w:rPr>
          <w:rFonts w:ascii="Times New Roman" w:hAnsi="Times New Roman" w:cs="Times New Roman"/>
          <w:lang w:val="es-MX"/>
        </w:rPr>
      </w:pPr>
    </w:p>
    <w:p w:rsidR="00677E6C" w:rsidRPr="00D47E32" w:rsidRDefault="00677E6C" w:rsidP="00677E6C">
      <w:pPr>
        <w:spacing w:after="0" w:line="240" w:lineRule="auto"/>
        <w:jc w:val="center"/>
        <w:rPr>
          <w:rFonts w:ascii="Times New Roman" w:hAnsi="Times New Roman" w:cs="Times New Roman"/>
          <w:b/>
          <w:lang w:val="es-MX"/>
        </w:rPr>
      </w:pPr>
      <w:r>
        <w:rPr>
          <w:rFonts w:ascii="Times New Roman" w:hAnsi="Times New Roman" w:cs="Times New Roman"/>
          <w:b/>
          <w:lang w:val="es-MX"/>
        </w:rPr>
        <w:t>Impuesto al valor agregado total</w:t>
      </w:r>
    </w:p>
    <w:p w:rsidR="00677E6C" w:rsidRPr="00677E6C" w:rsidRDefault="00677E6C" w:rsidP="00677E6C">
      <w:pPr>
        <w:spacing w:after="0" w:line="240" w:lineRule="auto"/>
        <w:jc w:val="center"/>
        <w:rPr>
          <w:rFonts w:ascii="Times New Roman" w:hAnsi="Times New Roman" w:cs="Times New Roman"/>
          <w:sz w:val="18"/>
          <w:lang w:val="es-MX"/>
        </w:rPr>
      </w:pPr>
      <w:r w:rsidRPr="00677E6C">
        <w:rPr>
          <w:rFonts w:ascii="Times New Roman" w:hAnsi="Times New Roman" w:cs="Times New Roman"/>
          <w:sz w:val="18"/>
          <w:lang w:val="es-MX"/>
        </w:rPr>
        <w:t>Variación interanual Acumulada</w:t>
      </w:r>
    </w:p>
    <w:p w:rsidR="00677E6C" w:rsidRDefault="00677E6C" w:rsidP="00677E6C">
      <w:pPr>
        <w:spacing w:after="0" w:line="240" w:lineRule="auto"/>
        <w:jc w:val="both"/>
        <w:rPr>
          <w:rFonts w:ascii="Times New Roman" w:hAnsi="Times New Roman" w:cs="Times New Roman"/>
          <w:b/>
          <w:sz w:val="14"/>
          <w:lang w:val="es-MX"/>
        </w:rPr>
      </w:pPr>
      <w:r>
        <w:rPr>
          <w:rFonts w:ascii="Times New Roman" w:hAnsi="Times New Roman" w:cs="Times New Roman"/>
          <w:b/>
          <w:noProof/>
          <w:sz w:val="14"/>
          <w:lang w:val="es-ES" w:eastAsia="es-ES"/>
        </w:rPr>
        <w:drawing>
          <wp:inline distT="0" distB="0" distL="0" distR="0" wp14:anchorId="679E7449" wp14:editId="44E01565">
            <wp:extent cx="2667000" cy="1685925"/>
            <wp:effectExtent l="0" t="0" r="0" b="0"/>
            <wp:docPr id="3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7E6C" w:rsidRPr="00677E6C" w:rsidRDefault="00677E6C" w:rsidP="00677E6C">
      <w:pPr>
        <w:spacing w:after="0" w:line="240" w:lineRule="auto"/>
        <w:jc w:val="both"/>
        <w:rPr>
          <w:rFonts w:ascii="Times New Roman" w:hAnsi="Times New Roman" w:cs="Times New Roman"/>
          <w:sz w:val="24"/>
          <w:lang w:val="es-MX"/>
        </w:rPr>
      </w:pPr>
      <w:r w:rsidRPr="00677E6C">
        <w:rPr>
          <w:rFonts w:ascii="Times New Roman" w:hAnsi="Times New Roman" w:cs="Times New Roman"/>
          <w:sz w:val="16"/>
          <w:lang w:val="es-MX"/>
        </w:rPr>
        <w:t>Fuente: Dirección de Análisis y Política Fiscal</w:t>
      </w:r>
    </w:p>
    <w:p w:rsidR="00644B94" w:rsidRDefault="00644B94" w:rsidP="00677E6C">
      <w:pPr>
        <w:spacing w:after="0" w:line="240" w:lineRule="auto"/>
        <w:jc w:val="both"/>
        <w:rPr>
          <w:rFonts w:ascii="Times New Roman" w:hAnsi="Times New Roman" w:cs="Times New Roman"/>
          <w:b/>
          <w:lang w:val="es-MX"/>
        </w:rPr>
      </w:pPr>
    </w:p>
    <w:p w:rsidR="00677E6C" w:rsidRDefault="00677E6C" w:rsidP="00677E6C">
      <w:pPr>
        <w:spacing w:after="0" w:line="240" w:lineRule="auto"/>
        <w:jc w:val="both"/>
        <w:rPr>
          <w:rFonts w:ascii="Times New Roman" w:hAnsi="Times New Roman" w:cs="Times New Roman"/>
          <w:b/>
          <w:lang w:val="es-MX"/>
        </w:rPr>
      </w:pPr>
      <w:r w:rsidRPr="00D74D30">
        <w:rPr>
          <w:rFonts w:ascii="Times New Roman" w:hAnsi="Times New Roman" w:cs="Times New Roman"/>
          <w:b/>
          <w:lang w:val="es-MX"/>
        </w:rPr>
        <w:t>El impuesto sobre la renta</w:t>
      </w:r>
    </w:p>
    <w:p w:rsidR="00644B94" w:rsidRPr="00D74D30" w:rsidRDefault="00644B94" w:rsidP="00677E6C">
      <w:pPr>
        <w:spacing w:after="0" w:line="240" w:lineRule="auto"/>
        <w:jc w:val="both"/>
        <w:rPr>
          <w:rFonts w:ascii="Times New Roman" w:hAnsi="Times New Roman" w:cs="Times New Roman"/>
          <w:b/>
          <w:lang w:val="es-MX"/>
        </w:rPr>
      </w:pP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lang w:val="es-MX"/>
        </w:rPr>
        <w:t>Este impuesto no alcanzo de manera mensual la meta establecida para agosto dejando de percibir Q</w:t>
      </w:r>
      <w:r w:rsidR="009B4EBA">
        <w:rPr>
          <w:rFonts w:ascii="Times New Roman" w:hAnsi="Times New Roman" w:cs="Times New Roman"/>
          <w:lang w:val="es-MX"/>
        </w:rPr>
        <w:t xml:space="preserve"> </w:t>
      </w:r>
      <w:r>
        <w:rPr>
          <w:rFonts w:ascii="Times New Roman" w:hAnsi="Times New Roman" w:cs="Times New Roman"/>
          <w:lang w:val="es-MX"/>
        </w:rPr>
        <w:t>81.8 millones, de manera acumulada el ISR genera una brecha positiva de Q</w:t>
      </w:r>
      <w:r w:rsidR="009B4EBA">
        <w:rPr>
          <w:rFonts w:ascii="Times New Roman" w:hAnsi="Times New Roman" w:cs="Times New Roman"/>
          <w:lang w:val="es-MX"/>
        </w:rPr>
        <w:t xml:space="preserve"> </w:t>
      </w:r>
      <w:r>
        <w:rPr>
          <w:rFonts w:ascii="Times New Roman" w:hAnsi="Times New Roman" w:cs="Times New Roman"/>
          <w:lang w:val="es-MX"/>
        </w:rPr>
        <w:t xml:space="preserve">478.4 millones esto en gran medida generado por recaudación extraordinaria </w:t>
      </w:r>
      <w:r w:rsidRPr="00BD4604">
        <w:rPr>
          <w:rFonts w:ascii="Times New Roman" w:hAnsi="Times New Roman" w:cs="Times New Roman"/>
          <w:i/>
          <w:lang w:val="es-MX"/>
        </w:rPr>
        <w:t>(Adeudos y AG82-2017).</w:t>
      </w:r>
      <w:r>
        <w:rPr>
          <w:rFonts w:ascii="Times New Roman" w:hAnsi="Times New Roman" w:cs="Times New Roman"/>
          <w:lang w:val="es-MX"/>
        </w:rPr>
        <w:t xml:space="preserve"> </w:t>
      </w:r>
    </w:p>
    <w:p w:rsidR="00677E6C" w:rsidRDefault="00677E6C" w:rsidP="00677E6C">
      <w:pPr>
        <w:spacing w:after="0" w:line="240" w:lineRule="auto"/>
        <w:jc w:val="both"/>
        <w:rPr>
          <w:rFonts w:ascii="Times New Roman" w:hAnsi="Times New Roman" w:cs="Times New Roman"/>
          <w:lang w:val="es-MX"/>
        </w:rPr>
      </w:pPr>
    </w:p>
    <w:p w:rsidR="00677E6C" w:rsidRPr="00D47E32" w:rsidRDefault="00677E6C" w:rsidP="00677E6C">
      <w:pPr>
        <w:spacing w:after="0" w:line="240" w:lineRule="auto"/>
        <w:jc w:val="center"/>
        <w:rPr>
          <w:rFonts w:ascii="Times New Roman" w:hAnsi="Times New Roman" w:cs="Times New Roman"/>
          <w:b/>
          <w:lang w:val="es-MX"/>
        </w:rPr>
      </w:pPr>
      <w:r>
        <w:rPr>
          <w:rFonts w:ascii="Times New Roman" w:hAnsi="Times New Roman" w:cs="Times New Roman"/>
          <w:b/>
          <w:lang w:val="es-MX"/>
        </w:rPr>
        <w:t>Impuesto sobre la renta</w:t>
      </w:r>
    </w:p>
    <w:p w:rsidR="00677E6C" w:rsidRPr="00677E6C" w:rsidRDefault="00677E6C" w:rsidP="00677E6C">
      <w:pPr>
        <w:spacing w:after="0" w:line="240" w:lineRule="auto"/>
        <w:jc w:val="center"/>
        <w:rPr>
          <w:rFonts w:ascii="Times New Roman" w:hAnsi="Times New Roman" w:cs="Times New Roman"/>
          <w:sz w:val="18"/>
          <w:lang w:val="es-MX"/>
        </w:rPr>
      </w:pPr>
      <w:r w:rsidRPr="00677E6C">
        <w:rPr>
          <w:rFonts w:ascii="Times New Roman" w:hAnsi="Times New Roman" w:cs="Times New Roman"/>
          <w:sz w:val="18"/>
          <w:lang w:val="es-MX"/>
        </w:rPr>
        <w:t>Variación interanual Acumulada</w:t>
      </w:r>
    </w:p>
    <w:p w:rsidR="00677E6C" w:rsidRDefault="00677E6C" w:rsidP="00677E6C">
      <w:pPr>
        <w:spacing w:after="0" w:line="240" w:lineRule="auto"/>
        <w:jc w:val="both"/>
        <w:rPr>
          <w:rFonts w:ascii="Times New Roman" w:hAnsi="Times New Roman" w:cs="Times New Roman"/>
          <w:b/>
          <w:sz w:val="14"/>
          <w:lang w:val="es-MX"/>
        </w:rPr>
      </w:pPr>
      <w:r>
        <w:rPr>
          <w:rFonts w:ascii="Times New Roman" w:hAnsi="Times New Roman" w:cs="Times New Roman"/>
          <w:b/>
          <w:noProof/>
          <w:sz w:val="14"/>
          <w:lang w:val="es-ES" w:eastAsia="es-ES"/>
        </w:rPr>
        <w:drawing>
          <wp:inline distT="0" distB="0" distL="0" distR="0" wp14:anchorId="63A1ADB7" wp14:editId="4C922025">
            <wp:extent cx="2752725" cy="1847850"/>
            <wp:effectExtent l="0" t="0" r="0" b="0"/>
            <wp:docPr id="4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7E6C" w:rsidRPr="00677E6C" w:rsidRDefault="00677E6C" w:rsidP="00677E6C">
      <w:pPr>
        <w:spacing w:after="0" w:line="240" w:lineRule="auto"/>
        <w:jc w:val="both"/>
        <w:rPr>
          <w:rFonts w:ascii="Times New Roman" w:hAnsi="Times New Roman" w:cs="Times New Roman"/>
          <w:lang w:val="es-MX"/>
        </w:rPr>
      </w:pPr>
      <w:r w:rsidRPr="00677E6C">
        <w:rPr>
          <w:rFonts w:ascii="Times New Roman" w:hAnsi="Times New Roman" w:cs="Times New Roman"/>
          <w:sz w:val="16"/>
          <w:lang w:val="es-MX"/>
        </w:rPr>
        <w:t>Fuente: Dirección de Análisis y Política Fiscal</w:t>
      </w:r>
    </w:p>
    <w:p w:rsidR="00677E6C" w:rsidRPr="00644B94" w:rsidRDefault="00677E6C" w:rsidP="00677E6C">
      <w:pPr>
        <w:spacing w:after="0" w:line="240" w:lineRule="auto"/>
        <w:jc w:val="both"/>
        <w:rPr>
          <w:rFonts w:ascii="Times New Roman" w:hAnsi="Times New Roman" w:cs="Times New Roman"/>
          <w:lang w:val="es-MX"/>
        </w:rPr>
      </w:pPr>
    </w:p>
    <w:p w:rsidR="00677E6C" w:rsidRDefault="00677E6C" w:rsidP="00677E6C">
      <w:pPr>
        <w:spacing w:after="0" w:line="240" w:lineRule="auto"/>
        <w:jc w:val="both"/>
        <w:rPr>
          <w:rFonts w:ascii="Times New Roman" w:hAnsi="Times New Roman" w:cs="Times New Roman"/>
          <w:b/>
          <w:lang w:val="es-MX"/>
        </w:rPr>
      </w:pPr>
      <w:r w:rsidRPr="00F3141C">
        <w:rPr>
          <w:rFonts w:ascii="Times New Roman" w:hAnsi="Times New Roman" w:cs="Times New Roman"/>
          <w:b/>
          <w:lang w:val="es-MX"/>
        </w:rPr>
        <w:t>El resto de los impuestos</w:t>
      </w:r>
    </w:p>
    <w:p w:rsidR="00677E6C" w:rsidRPr="00644B94" w:rsidRDefault="00677E6C" w:rsidP="00677E6C">
      <w:pPr>
        <w:spacing w:after="0" w:line="240" w:lineRule="auto"/>
        <w:jc w:val="both"/>
        <w:rPr>
          <w:rFonts w:ascii="Times New Roman" w:hAnsi="Times New Roman" w:cs="Times New Roman"/>
          <w:b/>
          <w:lang w:val="es-MX"/>
        </w:rPr>
      </w:pP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lang w:val="es-MX"/>
        </w:rPr>
        <w:t>De manera mensual el patrimonio, el ISO, l</w:t>
      </w:r>
      <w:r w:rsidRPr="00254080">
        <w:rPr>
          <w:rFonts w:ascii="Times New Roman" w:hAnsi="Times New Roman" w:cs="Times New Roman"/>
          <w:lang w:val="es-MX"/>
        </w:rPr>
        <w:t xml:space="preserve">os derechos arancelarios a la importación, derivados del petróleo, el de </w:t>
      </w:r>
      <w:r>
        <w:rPr>
          <w:rFonts w:ascii="Times New Roman" w:hAnsi="Times New Roman" w:cs="Times New Roman"/>
          <w:lang w:val="es-MX"/>
        </w:rPr>
        <w:t xml:space="preserve">vehículos, </w:t>
      </w:r>
      <w:r w:rsidRPr="00254080">
        <w:rPr>
          <w:rFonts w:ascii="Times New Roman" w:hAnsi="Times New Roman" w:cs="Times New Roman"/>
          <w:lang w:val="es-MX"/>
        </w:rPr>
        <w:t>IPRIMA</w:t>
      </w:r>
      <w:r>
        <w:rPr>
          <w:rFonts w:ascii="Times New Roman" w:hAnsi="Times New Roman" w:cs="Times New Roman"/>
          <w:lang w:val="es-MX"/>
        </w:rPr>
        <w:t xml:space="preserve">, </w:t>
      </w:r>
      <w:r w:rsidRPr="00254080">
        <w:rPr>
          <w:rFonts w:ascii="Times New Roman" w:hAnsi="Times New Roman" w:cs="Times New Roman"/>
          <w:lang w:val="es-MX"/>
        </w:rPr>
        <w:t xml:space="preserve">bebidas, </w:t>
      </w:r>
      <w:r>
        <w:rPr>
          <w:rFonts w:ascii="Times New Roman" w:hAnsi="Times New Roman" w:cs="Times New Roman"/>
          <w:lang w:val="es-MX"/>
        </w:rPr>
        <w:t xml:space="preserve">y tabacos </w:t>
      </w:r>
      <w:r w:rsidRPr="00254080">
        <w:rPr>
          <w:rFonts w:ascii="Times New Roman" w:hAnsi="Times New Roman" w:cs="Times New Roman"/>
          <w:lang w:val="es-MX"/>
        </w:rPr>
        <w:t>en conjunto dejaron de percibir Q</w:t>
      </w:r>
      <w:r w:rsidR="009B4EBA">
        <w:rPr>
          <w:rFonts w:ascii="Times New Roman" w:hAnsi="Times New Roman" w:cs="Times New Roman"/>
          <w:lang w:val="es-MX"/>
        </w:rPr>
        <w:t xml:space="preserve"> </w:t>
      </w:r>
      <w:r>
        <w:rPr>
          <w:rFonts w:ascii="Times New Roman" w:hAnsi="Times New Roman" w:cs="Times New Roman"/>
          <w:lang w:val="es-MX"/>
        </w:rPr>
        <w:t xml:space="preserve">160.1 </w:t>
      </w:r>
      <w:r w:rsidRPr="00254080">
        <w:rPr>
          <w:rFonts w:ascii="Times New Roman" w:hAnsi="Times New Roman" w:cs="Times New Roman"/>
          <w:lang w:val="es-MX"/>
        </w:rPr>
        <w:t>millones de lo presupuestado.  Los únicos impuestos que superar</w:t>
      </w:r>
      <w:r>
        <w:rPr>
          <w:rFonts w:ascii="Times New Roman" w:hAnsi="Times New Roman" w:cs="Times New Roman"/>
          <w:lang w:val="es-MX"/>
        </w:rPr>
        <w:t>an</w:t>
      </w:r>
      <w:r w:rsidRPr="00254080">
        <w:rPr>
          <w:rFonts w:ascii="Times New Roman" w:hAnsi="Times New Roman" w:cs="Times New Roman"/>
          <w:lang w:val="es-MX"/>
        </w:rPr>
        <w:t xml:space="preserve"> la meta establecida </w:t>
      </w:r>
      <w:r>
        <w:rPr>
          <w:rFonts w:ascii="Times New Roman" w:hAnsi="Times New Roman" w:cs="Times New Roman"/>
          <w:lang w:val="es-MX"/>
        </w:rPr>
        <w:t xml:space="preserve">son </w:t>
      </w:r>
      <w:r w:rsidRPr="00254080">
        <w:rPr>
          <w:rFonts w:ascii="Times New Roman" w:hAnsi="Times New Roman" w:cs="Times New Roman"/>
          <w:lang w:val="es-MX"/>
        </w:rPr>
        <w:t xml:space="preserve">el impuesto a </w:t>
      </w:r>
      <w:r>
        <w:rPr>
          <w:rFonts w:ascii="Times New Roman" w:hAnsi="Times New Roman" w:cs="Times New Roman"/>
          <w:lang w:val="es-MX"/>
        </w:rPr>
        <w:t>timbres</w:t>
      </w:r>
      <w:r w:rsidRPr="00254080">
        <w:rPr>
          <w:rFonts w:ascii="Times New Roman" w:hAnsi="Times New Roman" w:cs="Times New Roman"/>
          <w:lang w:val="es-MX"/>
        </w:rPr>
        <w:t xml:space="preserve"> </w:t>
      </w:r>
      <w:r>
        <w:rPr>
          <w:rFonts w:ascii="Times New Roman" w:hAnsi="Times New Roman" w:cs="Times New Roman"/>
          <w:lang w:val="es-MX"/>
        </w:rPr>
        <w:t>y de cemento.</w:t>
      </w:r>
    </w:p>
    <w:p w:rsidR="00677E6C" w:rsidRPr="00644B94" w:rsidRDefault="00677E6C" w:rsidP="00677E6C">
      <w:pPr>
        <w:spacing w:after="0" w:line="240" w:lineRule="auto"/>
        <w:jc w:val="both"/>
        <w:rPr>
          <w:rFonts w:ascii="Times New Roman" w:hAnsi="Times New Roman" w:cs="Times New Roman"/>
          <w:lang w:val="es-MX"/>
        </w:rPr>
      </w:pP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lang w:val="es-MX"/>
        </w:rPr>
        <w:t>De manera acumulada los impuestos que continúan con desempeño negativo respecto a la meta son el ISO, IVA de importaciones, los derechos arancelarios, los derivados del petróleo, el de circulación de vehículos el IPRIMA el de bebidas y el de tabaco en conjunto estos impuestos generan una brecha negativa de Q</w:t>
      </w:r>
      <w:r w:rsidR="009B4EBA">
        <w:rPr>
          <w:rFonts w:ascii="Times New Roman" w:hAnsi="Times New Roman" w:cs="Times New Roman"/>
          <w:lang w:val="es-MX"/>
        </w:rPr>
        <w:t xml:space="preserve"> </w:t>
      </w:r>
      <w:r>
        <w:rPr>
          <w:rFonts w:ascii="Times New Roman" w:hAnsi="Times New Roman" w:cs="Times New Roman"/>
          <w:lang w:val="es-MX"/>
        </w:rPr>
        <w:t xml:space="preserve">1,202.7 millones, de no ser el </w:t>
      </w:r>
      <w:r>
        <w:rPr>
          <w:rFonts w:ascii="Times New Roman" w:hAnsi="Times New Roman" w:cs="Times New Roman"/>
          <w:lang w:val="es-MX"/>
        </w:rPr>
        <w:lastRenderedPageBreak/>
        <w:t xml:space="preserve">esfuerzo positivo en recaudación de ISR, IVA doméstico y cemento no se lograría cerrar la brecha negativa que a la fecha se ubica en </w:t>
      </w:r>
      <w:r w:rsidR="009B4EBA">
        <w:rPr>
          <w:rFonts w:ascii="Times New Roman" w:hAnsi="Times New Roman" w:cs="Times New Roman"/>
          <w:lang w:val="es-MX"/>
        </w:rPr>
        <w:t xml:space="preserve">            </w:t>
      </w:r>
      <w:r>
        <w:rPr>
          <w:rFonts w:ascii="Times New Roman" w:hAnsi="Times New Roman" w:cs="Times New Roman"/>
          <w:lang w:val="es-MX"/>
        </w:rPr>
        <w:t>Q</w:t>
      </w:r>
      <w:r w:rsidR="009B4EBA">
        <w:rPr>
          <w:rFonts w:ascii="Times New Roman" w:hAnsi="Times New Roman" w:cs="Times New Roman"/>
          <w:lang w:val="es-MX"/>
        </w:rPr>
        <w:t xml:space="preserve"> </w:t>
      </w:r>
      <w:r>
        <w:rPr>
          <w:rFonts w:ascii="Times New Roman" w:hAnsi="Times New Roman" w:cs="Times New Roman"/>
          <w:lang w:val="es-MX"/>
        </w:rPr>
        <w:t>631.1 millones.</w:t>
      </w:r>
    </w:p>
    <w:p w:rsidR="00677E6C" w:rsidRDefault="00677E6C" w:rsidP="00677E6C">
      <w:pPr>
        <w:spacing w:after="0" w:line="240" w:lineRule="auto"/>
        <w:jc w:val="both"/>
        <w:rPr>
          <w:rFonts w:ascii="Times New Roman" w:hAnsi="Times New Roman" w:cs="Times New Roman"/>
          <w:lang w:val="es-MX"/>
        </w:rPr>
      </w:pP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lang w:val="es-MX"/>
        </w:rPr>
        <w:t xml:space="preserve">De los impuestos no administrados por SAT solo el de regalías supera la meta mensual por </w:t>
      </w:r>
      <w:r w:rsidR="009B4EBA">
        <w:rPr>
          <w:rFonts w:ascii="Times New Roman" w:hAnsi="Times New Roman" w:cs="Times New Roman"/>
          <w:lang w:val="es-MX"/>
        </w:rPr>
        <w:t xml:space="preserve">    </w:t>
      </w:r>
      <w:r>
        <w:rPr>
          <w:rFonts w:ascii="Times New Roman" w:hAnsi="Times New Roman" w:cs="Times New Roman"/>
          <w:lang w:val="es-MX"/>
        </w:rPr>
        <w:t>Q</w:t>
      </w:r>
      <w:r w:rsidR="009B4EBA">
        <w:rPr>
          <w:rFonts w:ascii="Times New Roman" w:hAnsi="Times New Roman" w:cs="Times New Roman"/>
          <w:lang w:val="es-MX"/>
        </w:rPr>
        <w:t xml:space="preserve"> </w:t>
      </w:r>
      <w:r>
        <w:rPr>
          <w:rFonts w:ascii="Times New Roman" w:hAnsi="Times New Roman" w:cs="Times New Roman"/>
          <w:lang w:val="es-MX"/>
        </w:rPr>
        <w:t>5.5 millones y el de salidas del país tiene una brecha negativa Acumulada de Q</w:t>
      </w:r>
      <w:r w:rsidR="009B4EBA">
        <w:rPr>
          <w:rFonts w:ascii="Times New Roman" w:hAnsi="Times New Roman" w:cs="Times New Roman"/>
          <w:lang w:val="es-MX"/>
        </w:rPr>
        <w:t xml:space="preserve"> </w:t>
      </w:r>
      <w:r>
        <w:rPr>
          <w:rFonts w:ascii="Times New Roman" w:hAnsi="Times New Roman" w:cs="Times New Roman"/>
          <w:lang w:val="es-MX"/>
        </w:rPr>
        <w:t>34.3 millones.</w:t>
      </w:r>
    </w:p>
    <w:p w:rsidR="00677E6C" w:rsidRDefault="00677E6C" w:rsidP="00677E6C">
      <w:pPr>
        <w:spacing w:after="0" w:line="240" w:lineRule="auto"/>
        <w:jc w:val="both"/>
        <w:rPr>
          <w:rFonts w:ascii="Times New Roman" w:hAnsi="Times New Roman" w:cs="Times New Roman"/>
          <w:lang w:val="es-MX"/>
        </w:rPr>
      </w:pPr>
    </w:p>
    <w:p w:rsidR="00677E6C" w:rsidRPr="00FF4E1B" w:rsidRDefault="00677E6C" w:rsidP="00677E6C">
      <w:pPr>
        <w:spacing w:after="0" w:line="240" w:lineRule="auto"/>
        <w:jc w:val="center"/>
        <w:rPr>
          <w:rFonts w:ascii="Times New Roman" w:hAnsi="Times New Roman" w:cs="Times New Roman"/>
          <w:b/>
          <w:lang w:val="es-MX"/>
        </w:rPr>
      </w:pPr>
      <w:r w:rsidRPr="00FF4E1B">
        <w:rPr>
          <w:rFonts w:ascii="Times New Roman" w:hAnsi="Times New Roman" w:cs="Times New Roman"/>
          <w:b/>
          <w:lang w:val="es-MX"/>
        </w:rPr>
        <w:t>Recaudación tributaria</w:t>
      </w:r>
    </w:p>
    <w:p w:rsidR="00677E6C" w:rsidRPr="00677E6C" w:rsidRDefault="00677E6C" w:rsidP="00677E6C">
      <w:pPr>
        <w:spacing w:after="0" w:line="240" w:lineRule="auto"/>
        <w:jc w:val="center"/>
        <w:rPr>
          <w:rFonts w:ascii="Times New Roman" w:hAnsi="Times New Roman" w:cs="Times New Roman"/>
          <w:sz w:val="18"/>
          <w:lang w:val="es-MX"/>
        </w:rPr>
      </w:pPr>
      <w:r w:rsidRPr="00677E6C">
        <w:rPr>
          <w:rFonts w:ascii="Times New Roman" w:hAnsi="Times New Roman" w:cs="Times New Roman"/>
          <w:sz w:val="18"/>
          <w:lang w:val="es-MX"/>
        </w:rPr>
        <w:t>Millones de quetzales</w:t>
      </w:r>
    </w:p>
    <w:p w:rsidR="00677E6C" w:rsidRDefault="00677E6C" w:rsidP="00677E6C">
      <w:pPr>
        <w:spacing w:after="0" w:line="240" w:lineRule="auto"/>
        <w:jc w:val="both"/>
        <w:rPr>
          <w:rFonts w:ascii="Times New Roman" w:hAnsi="Times New Roman" w:cs="Times New Roman"/>
          <w:lang w:val="es-MX"/>
        </w:rPr>
      </w:pPr>
      <w:r>
        <w:rPr>
          <w:rFonts w:ascii="Times New Roman" w:hAnsi="Times New Roman" w:cs="Times New Roman"/>
          <w:noProof/>
          <w:lang w:val="es-ES" w:eastAsia="es-ES"/>
        </w:rPr>
        <w:drawing>
          <wp:inline distT="0" distB="0" distL="0" distR="0" wp14:anchorId="1CE7FD0A" wp14:editId="0AE33B0F">
            <wp:extent cx="2800350" cy="3457575"/>
            <wp:effectExtent l="0" t="0" r="0" b="0"/>
            <wp:docPr id="4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7E6C" w:rsidRPr="00644B94" w:rsidRDefault="00677E6C" w:rsidP="00677E6C">
      <w:pPr>
        <w:spacing w:after="0" w:line="240" w:lineRule="auto"/>
        <w:jc w:val="both"/>
        <w:rPr>
          <w:rFonts w:ascii="Times New Roman" w:hAnsi="Times New Roman" w:cs="Times New Roman"/>
          <w:sz w:val="24"/>
          <w:lang w:val="es-MX"/>
        </w:rPr>
      </w:pPr>
      <w:r w:rsidRPr="00677E6C">
        <w:rPr>
          <w:rFonts w:ascii="Times New Roman" w:hAnsi="Times New Roman" w:cs="Times New Roman"/>
          <w:sz w:val="16"/>
          <w:lang w:val="es-MX"/>
        </w:rPr>
        <w:t>Fuente: Dirección de Análisis y Política Fiscal</w:t>
      </w:r>
    </w:p>
    <w:p w:rsidR="00BA3920" w:rsidRPr="000D0C01" w:rsidRDefault="00BA3920" w:rsidP="00BA3920">
      <w:pPr>
        <w:spacing w:after="0" w:line="240" w:lineRule="auto"/>
        <w:jc w:val="both"/>
        <w:rPr>
          <w:rFonts w:ascii="Times New Roman" w:hAnsi="Times New Roman" w:cs="Times New Roman"/>
          <w:color w:val="FF0000"/>
          <w:sz w:val="24"/>
          <w:lang w:val="es-MX"/>
        </w:rPr>
      </w:pPr>
    </w:p>
    <w:p w:rsidR="00EB1910" w:rsidRPr="000D0C01" w:rsidRDefault="00EB1910" w:rsidP="00EB1910">
      <w:pPr>
        <w:pStyle w:val="NoSpacing"/>
        <w:jc w:val="both"/>
        <w:rPr>
          <w:rFonts w:ascii="Times New Roman" w:hAnsi="Times New Roman" w:cs="Times New Roman"/>
          <w:color w:val="FF0000"/>
          <w:lang w:val="es-MX"/>
        </w:rPr>
        <w:sectPr w:rsidR="00EB1910" w:rsidRPr="000D0C01" w:rsidSect="00374D44">
          <w:headerReference w:type="default" r:id="rId17"/>
          <w:footerReference w:type="default" r:id="rId18"/>
          <w:type w:val="continuous"/>
          <w:pgSz w:w="12240" w:h="15840" w:code="1"/>
          <w:pgMar w:top="1418" w:right="1418" w:bottom="1418" w:left="1701" w:header="709" w:footer="709" w:gutter="0"/>
          <w:cols w:num="2" w:space="708"/>
          <w:docGrid w:linePitch="360"/>
        </w:sectPr>
      </w:pPr>
    </w:p>
    <w:p w:rsidR="00674EAE" w:rsidRPr="000D0C01" w:rsidRDefault="00674EAE" w:rsidP="00674EAE">
      <w:pPr>
        <w:pStyle w:val="NoSpacing"/>
        <w:jc w:val="both"/>
        <w:rPr>
          <w:rFonts w:ascii="Times New Roman" w:hAnsi="Times New Roman" w:cs="Times New Roman"/>
          <w:color w:val="FF0000"/>
          <w:sz w:val="18"/>
          <w:szCs w:val="18"/>
          <w:lang w:val="es-MX"/>
        </w:rPr>
        <w:sectPr w:rsidR="00674EAE" w:rsidRPr="000D0C01" w:rsidSect="005A03A9">
          <w:type w:val="continuous"/>
          <w:pgSz w:w="12240" w:h="15840"/>
          <w:pgMar w:top="1417" w:right="1701" w:bottom="1417" w:left="1701" w:header="708" w:footer="708" w:gutter="0"/>
          <w:cols w:num="2" w:space="708"/>
          <w:docGrid w:linePitch="360"/>
        </w:sectPr>
      </w:pPr>
    </w:p>
    <w:p w:rsidR="00FA3B81" w:rsidRPr="00F94281" w:rsidRDefault="00AF68D3"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F94281" w:rsidSect="00FA3B81">
          <w:headerReference w:type="default" r:id="rId19"/>
          <w:footerReference w:type="default" r:id="rId20"/>
          <w:type w:val="continuous"/>
          <w:pgSz w:w="12240" w:h="15840" w:code="1"/>
          <w:pgMar w:top="1418" w:right="1418" w:bottom="1418" w:left="1418" w:header="709" w:footer="709" w:gutter="0"/>
          <w:cols w:space="708"/>
          <w:docGrid w:linePitch="360"/>
        </w:sectPr>
      </w:pPr>
      <w:r w:rsidRPr="00F94281">
        <w:rPr>
          <w:rFonts w:ascii="Times New Roman" w:hAnsi="Times New Roman" w:cs="Times New Roman"/>
          <w:b/>
          <w:lang w:val="es-MX"/>
        </w:rPr>
        <w:lastRenderedPageBreak/>
        <w:t>E</w:t>
      </w:r>
      <w:r w:rsidR="00483632" w:rsidRPr="00F94281">
        <w:rPr>
          <w:rFonts w:ascii="Times New Roman" w:hAnsi="Times New Roman" w:cs="Times New Roman"/>
          <w:b/>
          <w:lang w:val="es-MX"/>
        </w:rPr>
        <w:t>jecución de</w:t>
      </w:r>
      <w:r w:rsidR="00FE6FD3" w:rsidRPr="00F94281">
        <w:rPr>
          <w:rFonts w:ascii="Times New Roman" w:hAnsi="Times New Roman" w:cs="Times New Roman"/>
          <w:b/>
          <w:lang w:val="es-MX"/>
        </w:rPr>
        <w:t xml:space="preserve"> gasto </w:t>
      </w:r>
      <w:r w:rsidR="00F94281" w:rsidRPr="00F94281">
        <w:rPr>
          <w:rFonts w:ascii="Times New Roman" w:hAnsi="Times New Roman" w:cs="Times New Roman"/>
          <w:b/>
          <w:lang w:val="es-MX"/>
        </w:rPr>
        <w:t>se desacelera</w:t>
      </w:r>
    </w:p>
    <w:p w:rsidR="00FA3B81" w:rsidRPr="00644B94" w:rsidRDefault="00FA3B81" w:rsidP="00FA3B81">
      <w:pPr>
        <w:pStyle w:val="NoSpacing"/>
        <w:rPr>
          <w:rFonts w:ascii="Times New Roman" w:hAnsi="Times New Roman" w:cs="Times New Roman"/>
          <w:b/>
          <w:color w:val="FF0000"/>
          <w:lang w:val="es-MX"/>
        </w:rPr>
      </w:pPr>
    </w:p>
    <w:p w:rsidR="00FA3B81" w:rsidRPr="00644B94" w:rsidRDefault="00FA3B81" w:rsidP="00FA3B81">
      <w:pPr>
        <w:pStyle w:val="NoSpacing"/>
        <w:jc w:val="center"/>
        <w:rPr>
          <w:rFonts w:ascii="Times New Roman" w:hAnsi="Times New Roman" w:cs="Times New Roman"/>
          <w:b/>
          <w:color w:val="FF0000"/>
          <w:sz w:val="24"/>
          <w:lang w:val="es-MX"/>
        </w:rPr>
        <w:sectPr w:rsidR="00FA3B81" w:rsidRPr="00644B94" w:rsidSect="004E358C">
          <w:type w:val="continuous"/>
          <w:pgSz w:w="12240" w:h="15840"/>
          <w:pgMar w:top="1417" w:right="1701" w:bottom="1417" w:left="1701" w:header="708" w:footer="708" w:gutter="0"/>
          <w:cols w:space="708"/>
          <w:docGrid w:linePitch="360"/>
        </w:sectPr>
      </w:pPr>
    </w:p>
    <w:p w:rsidR="00F94281" w:rsidRDefault="00F94281" w:rsidP="00F94281">
      <w:pPr>
        <w:pStyle w:val="NoSpacing"/>
        <w:jc w:val="both"/>
        <w:rPr>
          <w:rFonts w:ascii="Times New Roman" w:hAnsi="Times New Roman" w:cs="Times New Roman"/>
          <w:lang w:val="es-MX"/>
        </w:rPr>
      </w:pPr>
      <w:r>
        <w:rPr>
          <w:rFonts w:ascii="Times New Roman" w:hAnsi="Times New Roman" w:cs="Times New Roman"/>
          <w:lang w:val="es-MX"/>
        </w:rPr>
        <w:lastRenderedPageBreak/>
        <w:t>Al 31 de julio de 2017, el nivel de ejecución de gasto público se situó en Q</w:t>
      </w:r>
      <w:r w:rsidR="009B4EBA">
        <w:rPr>
          <w:rFonts w:ascii="Times New Roman" w:hAnsi="Times New Roman" w:cs="Times New Roman"/>
          <w:lang w:val="es-MX"/>
        </w:rPr>
        <w:t xml:space="preserve"> </w:t>
      </w:r>
      <w:r>
        <w:rPr>
          <w:rFonts w:ascii="Times New Roman" w:hAnsi="Times New Roman" w:cs="Times New Roman"/>
          <w:lang w:val="es-MX"/>
        </w:rPr>
        <w:t>35,456.8 millones (no incluye amortizaciones de deuda pública)</w:t>
      </w:r>
      <w:r w:rsidRPr="00F92177">
        <w:rPr>
          <w:rFonts w:ascii="Times New Roman" w:hAnsi="Times New Roman" w:cs="Times New Roman"/>
          <w:lang w:val="es-MX"/>
        </w:rPr>
        <w:t xml:space="preserve">, </w:t>
      </w:r>
      <w:r>
        <w:rPr>
          <w:rFonts w:ascii="Times New Roman" w:hAnsi="Times New Roman" w:cs="Times New Roman"/>
          <w:lang w:val="es-MX"/>
        </w:rPr>
        <w:t>el cual muestra</w:t>
      </w:r>
      <w:r w:rsidRPr="00F92177">
        <w:rPr>
          <w:rFonts w:ascii="Times New Roman" w:hAnsi="Times New Roman" w:cs="Times New Roman"/>
          <w:lang w:val="es-MX"/>
        </w:rPr>
        <w:t xml:space="preserve"> un crecimiento interanual </w:t>
      </w:r>
      <w:r>
        <w:rPr>
          <w:rFonts w:ascii="Times New Roman" w:hAnsi="Times New Roman" w:cs="Times New Roman"/>
          <w:lang w:val="es-MX"/>
        </w:rPr>
        <w:t>del 5.7</w:t>
      </w:r>
      <w:r w:rsidRPr="00F92177">
        <w:rPr>
          <w:rFonts w:ascii="Times New Roman" w:hAnsi="Times New Roman" w:cs="Times New Roman"/>
          <w:lang w:val="es-MX"/>
        </w:rPr>
        <w:t>%</w:t>
      </w:r>
      <w:r>
        <w:rPr>
          <w:rFonts w:ascii="Times New Roman" w:hAnsi="Times New Roman" w:cs="Times New Roman"/>
          <w:lang w:val="es-MX"/>
        </w:rPr>
        <w:t>,</w:t>
      </w:r>
      <w:r w:rsidRPr="00F92177">
        <w:rPr>
          <w:rFonts w:ascii="Times New Roman" w:hAnsi="Times New Roman" w:cs="Times New Roman"/>
          <w:lang w:val="es-MX"/>
        </w:rPr>
        <w:t xml:space="preserve"> respecto </w:t>
      </w:r>
      <w:r>
        <w:rPr>
          <w:rFonts w:ascii="Times New Roman" w:hAnsi="Times New Roman" w:cs="Times New Roman"/>
          <w:lang w:val="es-MX"/>
        </w:rPr>
        <w:t>a julio</w:t>
      </w:r>
      <w:r w:rsidRPr="00F92177">
        <w:rPr>
          <w:rFonts w:ascii="Times New Roman" w:hAnsi="Times New Roman" w:cs="Times New Roman"/>
          <w:lang w:val="es-MX"/>
        </w:rPr>
        <w:t xml:space="preserve"> </w:t>
      </w:r>
      <w:r>
        <w:rPr>
          <w:rFonts w:ascii="Times New Roman" w:hAnsi="Times New Roman" w:cs="Times New Roman"/>
          <w:lang w:val="es-MX"/>
        </w:rPr>
        <w:t>de</w:t>
      </w:r>
      <w:r w:rsidRPr="00F92177">
        <w:rPr>
          <w:rFonts w:ascii="Times New Roman" w:hAnsi="Times New Roman" w:cs="Times New Roman"/>
          <w:lang w:val="es-MX"/>
        </w:rPr>
        <w:t xml:space="preserve"> 201</w:t>
      </w:r>
      <w:r>
        <w:rPr>
          <w:rFonts w:ascii="Times New Roman" w:hAnsi="Times New Roman" w:cs="Times New Roman"/>
          <w:lang w:val="es-MX"/>
        </w:rPr>
        <w:t xml:space="preserve">6, la cual a esta misma fecha esta variación era negativa en 5.1%.   </w:t>
      </w:r>
    </w:p>
    <w:p w:rsidR="00644B94" w:rsidRDefault="00F94281" w:rsidP="009C3938">
      <w:pPr>
        <w:pStyle w:val="NoSpacing"/>
        <w:jc w:val="both"/>
        <w:rPr>
          <w:rFonts w:ascii="Times New Roman" w:hAnsi="Times New Roman" w:cs="Times New Roman"/>
          <w:lang w:val="es-MX"/>
        </w:rPr>
      </w:pPr>
      <w:r>
        <w:rPr>
          <w:rFonts w:ascii="Times New Roman" w:hAnsi="Times New Roman" w:cs="Times New Roman"/>
          <w:lang w:val="es-MX"/>
        </w:rPr>
        <w:lastRenderedPageBreak/>
        <w:t>Es importante destacar que nuevamente la ejecución de gasto se desacelera, a pesar del aumento en las cuotas financieras de este cuatrimestre y que se cuenta con los recursos suficientes para atender las necesidades y requerimientos de las instituciones.</w:t>
      </w:r>
    </w:p>
    <w:p w:rsidR="009B4EBA" w:rsidRPr="000D0C01" w:rsidRDefault="009B4EBA" w:rsidP="009C3938">
      <w:pPr>
        <w:pStyle w:val="NoSpacing"/>
        <w:jc w:val="both"/>
        <w:rPr>
          <w:rFonts w:ascii="Times New Roman" w:hAnsi="Times New Roman" w:cs="Times New Roman"/>
          <w:color w:val="FF0000"/>
          <w:lang w:val="es-MX"/>
        </w:rPr>
      </w:pPr>
    </w:p>
    <w:p w:rsidR="009C3938" w:rsidRPr="00F94281" w:rsidRDefault="009C3938" w:rsidP="009C3938">
      <w:pPr>
        <w:pStyle w:val="NoSpacing"/>
        <w:jc w:val="center"/>
        <w:rPr>
          <w:rFonts w:ascii="Times New Roman" w:hAnsi="Times New Roman" w:cs="Times New Roman"/>
          <w:b/>
          <w:lang w:val="es-MX"/>
        </w:rPr>
      </w:pPr>
      <w:r w:rsidRPr="00F94281">
        <w:rPr>
          <w:rFonts w:ascii="Times New Roman" w:hAnsi="Times New Roman" w:cs="Times New Roman"/>
          <w:b/>
          <w:lang w:val="es-MX"/>
        </w:rPr>
        <w:lastRenderedPageBreak/>
        <w:t>Ritmo de Ejecución del Gasto</w:t>
      </w:r>
    </w:p>
    <w:p w:rsidR="009C3938" w:rsidRPr="00F94281" w:rsidRDefault="009C3938" w:rsidP="009C3938">
      <w:pPr>
        <w:pStyle w:val="NoSpacing"/>
        <w:jc w:val="center"/>
        <w:rPr>
          <w:rFonts w:ascii="Times New Roman" w:hAnsi="Times New Roman" w:cs="Times New Roman"/>
          <w:sz w:val="18"/>
          <w:lang w:val="es-MX"/>
        </w:rPr>
      </w:pPr>
      <w:r w:rsidRPr="00F94281">
        <w:rPr>
          <w:rFonts w:ascii="Times New Roman" w:hAnsi="Times New Roman" w:cs="Times New Roman"/>
          <w:sz w:val="18"/>
          <w:lang w:val="es-MX"/>
        </w:rPr>
        <w:t>Variación Interanual Acumulada</w:t>
      </w:r>
    </w:p>
    <w:p w:rsidR="009C3938" w:rsidRPr="000D0C01" w:rsidRDefault="00F94281" w:rsidP="009C3938">
      <w:pPr>
        <w:pStyle w:val="NoSpacing"/>
        <w:jc w:val="both"/>
        <w:rPr>
          <w:rFonts w:ascii="Times New Roman" w:hAnsi="Times New Roman" w:cs="Times New Roman"/>
          <w:color w:val="FF0000"/>
          <w:lang w:val="es-MX"/>
        </w:rPr>
      </w:pPr>
      <w:r>
        <w:rPr>
          <w:rFonts w:ascii="Times New Roman" w:hAnsi="Times New Roman" w:cs="Times New Roman"/>
          <w:noProof/>
          <w:lang w:val="es-ES" w:eastAsia="es-ES"/>
        </w:rPr>
        <w:drawing>
          <wp:inline distT="0" distB="0" distL="0" distR="0" wp14:anchorId="027EADB2" wp14:editId="50DA3FA8">
            <wp:extent cx="2812695" cy="22288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5224" cy="2246703"/>
                    </a:xfrm>
                    <a:prstGeom prst="rect">
                      <a:avLst/>
                    </a:prstGeom>
                    <a:noFill/>
                  </pic:spPr>
                </pic:pic>
              </a:graphicData>
            </a:graphic>
          </wp:inline>
        </w:drawing>
      </w:r>
    </w:p>
    <w:p w:rsidR="009C3938" w:rsidRPr="00F94281" w:rsidRDefault="009C3938" w:rsidP="009C3938">
      <w:pPr>
        <w:pStyle w:val="NoSpacing"/>
        <w:jc w:val="both"/>
        <w:rPr>
          <w:rFonts w:ascii="Times New Roman" w:hAnsi="Times New Roman" w:cs="Times New Roman"/>
          <w:sz w:val="16"/>
        </w:rPr>
      </w:pPr>
      <w:r w:rsidRPr="00F94281">
        <w:rPr>
          <w:rFonts w:ascii="Times New Roman" w:hAnsi="Times New Roman" w:cs="Times New Roman"/>
          <w:sz w:val="16"/>
        </w:rPr>
        <w:t>Fuente: Dirección de Análisis y Política fiscal</w:t>
      </w:r>
    </w:p>
    <w:p w:rsidR="009C3938" w:rsidRPr="000D0C01" w:rsidRDefault="009C3938" w:rsidP="009C3938">
      <w:pPr>
        <w:pStyle w:val="NoSpacing"/>
        <w:jc w:val="both"/>
        <w:rPr>
          <w:rFonts w:ascii="Times New Roman" w:hAnsi="Times New Roman" w:cs="Times New Roman"/>
          <w:color w:val="FF0000"/>
        </w:rPr>
      </w:pPr>
    </w:p>
    <w:p w:rsidR="00160633" w:rsidRDefault="00160633" w:rsidP="00160633">
      <w:pPr>
        <w:pStyle w:val="NoSpacing"/>
        <w:jc w:val="both"/>
        <w:rPr>
          <w:rFonts w:ascii="Times New Roman" w:hAnsi="Times New Roman" w:cs="Times New Roman"/>
          <w:lang w:val="es-MX"/>
        </w:rPr>
      </w:pPr>
      <w:r>
        <w:rPr>
          <w:rFonts w:ascii="Times New Roman" w:hAnsi="Times New Roman" w:cs="Times New Roman"/>
          <w:lang w:val="es-MX"/>
        </w:rPr>
        <w:t>Los problemas con la ejecución en los rubros de bienes y servicios e inversión real directa siguen asociados a las dificultades de las instituciones en la adquisición y contratación de insumos y en la construcción y mantenimiento de la obra vial.</w:t>
      </w:r>
    </w:p>
    <w:p w:rsidR="00160633" w:rsidRDefault="00160633" w:rsidP="00160633">
      <w:pPr>
        <w:pStyle w:val="NoSpacing"/>
        <w:jc w:val="both"/>
        <w:rPr>
          <w:rFonts w:ascii="Times New Roman" w:hAnsi="Times New Roman" w:cs="Times New Roman"/>
          <w:lang w:val="es-MX"/>
        </w:rPr>
      </w:pPr>
    </w:p>
    <w:p w:rsidR="00160633" w:rsidRDefault="00160633" w:rsidP="00160633">
      <w:pPr>
        <w:pStyle w:val="NoSpacing"/>
        <w:jc w:val="both"/>
        <w:rPr>
          <w:rFonts w:ascii="Times New Roman" w:hAnsi="Times New Roman" w:cs="Times New Roman"/>
          <w:lang w:val="es-MX"/>
        </w:rPr>
      </w:pPr>
      <w:r>
        <w:rPr>
          <w:rFonts w:ascii="Times New Roman" w:hAnsi="Times New Roman" w:cs="Times New Roman"/>
          <w:lang w:val="es-MX"/>
        </w:rPr>
        <w:t xml:space="preserve">En efecto, en el rubro de bienes y servicios a penas se ha ejecutado el 27.5% del presupuesto y en la inversión real directa el 10.4% del total presupuestado.  Eso evidencia el problema entre la programación y lo realmente ejecutado, lo cual de alguna manera está asociado a los problemas institucionales para llevar a cabo las licitaciones y adjudicaciones de bienes y servicios, así como de obra pública.    </w:t>
      </w:r>
    </w:p>
    <w:p w:rsidR="00160633" w:rsidRDefault="00160633" w:rsidP="00160633">
      <w:pPr>
        <w:pStyle w:val="NoSpacing"/>
        <w:jc w:val="both"/>
        <w:rPr>
          <w:rFonts w:ascii="Times New Roman" w:hAnsi="Times New Roman" w:cs="Times New Roman"/>
          <w:lang w:val="es-MX"/>
        </w:rPr>
      </w:pPr>
    </w:p>
    <w:p w:rsidR="00160633" w:rsidRDefault="00160633" w:rsidP="00160633">
      <w:pPr>
        <w:pStyle w:val="NoSpacing"/>
        <w:jc w:val="both"/>
        <w:rPr>
          <w:rFonts w:ascii="Times New Roman" w:hAnsi="Times New Roman" w:cs="Times New Roman"/>
          <w:lang w:val="es-MX"/>
        </w:rPr>
      </w:pPr>
      <w:r>
        <w:rPr>
          <w:rFonts w:ascii="Times New Roman" w:hAnsi="Times New Roman" w:cs="Times New Roman"/>
          <w:lang w:val="es-MX"/>
        </w:rPr>
        <w:t>Las transferencias corrientes siguen siendo los principales impulsadores de la ejecución, a la fecha muestra una tasa de crecimiento interanual de 16.2%, encabezadas principalmente por las transferencias institucionales y por aporte constitucional.</w:t>
      </w:r>
    </w:p>
    <w:p w:rsidR="00160633" w:rsidRDefault="00160633" w:rsidP="00160633">
      <w:pPr>
        <w:pStyle w:val="NoSpacing"/>
        <w:jc w:val="both"/>
        <w:rPr>
          <w:rFonts w:ascii="Times New Roman" w:hAnsi="Times New Roman" w:cs="Times New Roman"/>
          <w:lang w:val="es-MX"/>
        </w:rPr>
      </w:pPr>
    </w:p>
    <w:p w:rsidR="00160633" w:rsidRDefault="00160633" w:rsidP="00160633">
      <w:pPr>
        <w:pStyle w:val="NoSpacing"/>
        <w:jc w:val="both"/>
        <w:rPr>
          <w:rFonts w:ascii="Times New Roman" w:hAnsi="Times New Roman" w:cs="Times New Roman"/>
          <w:lang w:val="es-MX"/>
        </w:rPr>
      </w:pPr>
      <w:r>
        <w:rPr>
          <w:rFonts w:ascii="Times New Roman" w:hAnsi="Times New Roman" w:cs="Times New Roman"/>
          <w:lang w:val="es-MX"/>
        </w:rPr>
        <w:t>En lo que respecta gasto social realizado en los sectores de educación, salud y vivienda se ubica al cierre de julio de 2017 en Q</w:t>
      </w:r>
      <w:r>
        <w:rPr>
          <w:rFonts w:ascii="Times New Roman" w:hAnsi="Times New Roman" w:cs="Times New Roman"/>
          <w:lang w:val="es-MX"/>
        </w:rPr>
        <w:t xml:space="preserve"> </w:t>
      </w:r>
      <w:r>
        <w:rPr>
          <w:rFonts w:ascii="Times New Roman" w:hAnsi="Times New Roman" w:cs="Times New Roman"/>
          <w:lang w:val="es-MX"/>
        </w:rPr>
        <w:t xml:space="preserve">13,697.2 millones, que representa un grado de ejecución </w:t>
      </w:r>
      <w:r>
        <w:rPr>
          <w:rFonts w:ascii="Times New Roman" w:hAnsi="Times New Roman" w:cs="Times New Roman"/>
          <w:lang w:val="es-MX"/>
        </w:rPr>
        <w:lastRenderedPageBreak/>
        <w:t>presupuestaria de 46.5%, este nivel, como se observa está por debajo de la ejecución institucional (48.0%) debido a que el sector salud y asistencia social sigue mostrando a la fecha una ejecución bastante moderada, no así los otros sectores que muestran porcentajes de ejecución por arriba del 50%.</w:t>
      </w:r>
    </w:p>
    <w:p w:rsidR="00160633" w:rsidRDefault="00160633" w:rsidP="00160633">
      <w:pPr>
        <w:pStyle w:val="NoSpacing"/>
        <w:jc w:val="both"/>
        <w:rPr>
          <w:rFonts w:ascii="Times New Roman" w:hAnsi="Times New Roman" w:cs="Times New Roman"/>
          <w:lang w:val="es-MX"/>
        </w:rPr>
      </w:pPr>
    </w:p>
    <w:p w:rsidR="00160633" w:rsidRDefault="00160633" w:rsidP="00160633">
      <w:pPr>
        <w:pStyle w:val="NoSpacing"/>
        <w:jc w:val="both"/>
        <w:rPr>
          <w:rFonts w:ascii="Times New Roman" w:hAnsi="Times New Roman" w:cs="Times New Roman"/>
          <w:lang w:val="es-MX"/>
        </w:rPr>
      </w:pPr>
      <w:r>
        <w:rPr>
          <w:rFonts w:ascii="Times New Roman" w:hAnsi="Times New Roman" w:cs="Times New Roman"/>
          <w:lang w:val="es-MX"/>
        </w:rPr>
        <w:t xml:space="preserve">Al observar el gasto de los Acuerdos de Paz (gasto social más gasto en seguridad ciudadana y entidades de justicia) el gasto aumenta a </w:t>
      </w:r>
      <w:r>
        <w:rPr>
          <w:rFonts w:ascii="Times New Roman" w:hAnsi="Times New Roman" w:cs="Times New Roman"/>
          <w:lang w:val="es-MX"/>
        </w:rPr>
        <w:t xml:space="preserve">           </w:t>
      </w:r>
      <w:r>
        <w:rPr>
          <w:rFonts w:ascii="Times New Roman" w:hAnsi="Times New Roman" w:cs="Times New Roman"/>
          <w:lang w:val="es-MX"/>
        </w:rPr>
        <w:t>Q</w:t>
      </w:r>
      <w:r>
        <w:rPr>
          <w:rFonts w:ascii="Times New Roman" w:hAnsi="Times New Roman" w:cs="Times New Roman"/>
          <w:lang w:val="es-MX"/>
        </w:rPr>
        <w:t xml:space="preserve"> </w:t>
      </w:r>
      <w:r>
        <w:rPr>
          <w:rFonts w:ascii="Times New Roman" w:hAnsi="Times New Roman" w:cs="Times New Roman"/>
          <w:lang w:val="es-MX"/>
        </w:rPr>
        <w:t xml:space="preserve">18,523.8 millones, con un grado de ejecución de 47.1%, lo que resalta es el aporte a las entidades como el Ministerio Público, Organismo Judicial y la Corte de Constitucionalidad que tienen altos grados de ejecución, lo cual evidencia el cumplimiento oportuno en el pago de dichos aportes.  Por su parte, </w:t>
      </w:r>
      <w:r>
        <w:rPr>
          <w:rFonts w:ascii="Times New Roman" w:hAnsi="Times New Roman" w:cs="Times New Roman"/>
          <w:lang w:val="es-MX"/>
        </w:rPr>
        <w:t>el sector de</w:t>
      </w:r>
      <w:r>
        <w:rPr>
          <w:rFonts w:ascii="Times New Roman" w:hAnsi="Times New Roman" w:cs="Times New Roman"/>
          <w:lang w:val="es-MX"/>
        </w:rPr>
        <w:t xml:space="preserve"> seguridad interna muestra un menor desempeño en el uso de su asignación presupuestaria ya que tiene un grado de ejecución de 40.7%.</w:t>
      </w:r>
    </w:p>
    <w:p w:rsidR="00644B94" w:rsidRDefault="00160633" w:rsidP="00160633">
      <w:pPr>
        <w:pStyle w:val="NoSpacing"/>
        <w:jc w:val="both"/>
        <w:rPr>
          <w:rFonts w:ascii="Times New Roman" w:hAnsi="Times New Roman" w:cs="Times New Roman"/>
          <w:lang w:val="es-MX"/>
        </w:rPr>
      </w:pPr>
      <w:r>
        <w:rPr>
          <w:rFonts w:ascii="Times New Roman" w:hAnsi="Times New Roman" w:cs="Times New Roman"/>
          <w:lang w:val="es-MX"/>
        </w:rPr>
        <w:t xml:space="preserve"> </w:t>
      </w:r>
    </w:p>
    <w:p w:rsidR="00160633" w:rsidRPr="005531F6" w:rsidRDefault="00160633" w:rsidP="00160633">
      <w:pPr>
        <w:pStyle w:val="NoSpacing"/>
        <w:jc w:val="center"/>
        <w:rPr>
          <w:rFonts w:ascii="Times New Roman" w:hAnsi="Times New Roman" w:cs="Times New Roman"/>
          <w:b/>
          <w:lang w:val="es-MX"/>
        </w:rPr>
      </w:pPr>
      <w:r w:rsidRPr="005531F6">
        <w:rPr>
          <w:rFonts w:ascii="Times New Roman" w:hAnsi="Times New Roman" w:cs="Times New Roman"/>
          <w:b/>
          <w:lang w:val="es-MX"/>
        </w:rPr>
        <w:t>Gasto de los Acuerdos de Paz</w:t>
      </w:r>
    </w:p>
    <w:p w:rsidR="00160633" w:rsidRPr="005531F6" w:rsidRDefault="00160633" w:rsidP="00160633">
      <w:pPr>
        <w:pStyle w:val="NoSpacing"/>
        <w:jc w:val="center"/>
        <w:rPr>
          <w:rFonts w:ascii="Times New Roman" w:hAnsi="Times New Roman" w:cs="Times New Roman"/>
          <w:b/>
          <w:sz w:val="20"/>
          <w:lang w:val="es-MX"/>
        </w:rPr>
      </w:pPr>
      <w:r w:rsidRPr="005531F6">
        <w:rPr>
          <w:rFonts w:ascii="Times New Roman" w:hAnsi="Times New Roman" w:cs="Times New Roman"/>
          <w:b/>
          <w:sz w:val="20"/>
          <w:lang w:val="es-MX"/>
        </w:rPr>
        <w:t>Presupuesto y Ejecución 2017</w:t>
      </w:r>
    </w:p>
    <w:p w:rsidR="00160633" w:rsidRPr="00644B94" w:rsidRDefault="00160633" w:rsidP="00160633">
      <w:pPr>
        <w:pStyle w:val="NoSpacing"/>
        <w:jc w:val="center"/>
        <w:rPr>
          <w:rFonts w:ascii="Times New Roman" w:hAnsi="Times New Roman" w:cs="Times New Roman"/>
          <w:sz w:val="18"/>
          <w:lang w:val="es-MX"/>
        </w:rPr>
      </w:pPr>
      <w:r w:rsidRPr="00644B94">
        <w:rPr>
          <w:rFonts w:ascii="Times New Roman" w:hAnsi="Times New Roman" w:cs="Times New Roman"/>
          <w:sz w:val="18"/>
          <w:lang w:val="es-MX"/>
        </w:rPr>
        <w:t>-Millones de quetzales-</w:t>
      </w:r>
    </w:p>
    <w:p w:rsidR="00160633" w:rsidRDefault="00160633" w:rsidP="00160633">
      <w:pPr>
        <w:pStyle w:val="NoSpacing"/>
        <w:jc w:val="both"/>
        <w:rPr>
          <w:rFonts w:ascii="Times New Roman" w:hAnsi="Times New Roman" w:cs="Times New Roman"/>
          <w:sz w:val="16"/>
        </w:rPr>
      </w:pPr>
      <w:r w:rsidRPr="00152367">
        <w:rPr>
          <w:noProof/>
          <w:lang w:val="es-ES" w:eastAsia="es-ES"/>
        </w:rPr>
        <w:drawing>
          <wp:inline distT="0" distB="0" distL="0" distR="0" wp14:anchorId="69B08BF9" wp14:editId="34F6C7D3">
            <wp:extent cx="2892573" cy="169545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264" cy="1700544"/>
                    </a:xfrm>
                    <a:prstGeom prst="rect">
                      <a:avLst/>
                    </a:prstGeom>
                    <a:noFill/>
                    <a:ln>
                      <a:noFill/>
                    </a:ln>
                  </pic:spPr>
                </pic:pic>
              </a:graphicData>
            </a:graphic>
          </wp:inline>
        </w:drawing>
      </w:r>
      <w:r>
        <w:rPr>
          <w:rFonts w:ascii="Times New Roman" w:hAnsi="Times New Roman" w:cs="Times New Roman"/>
          <w:lang w:val="es-MX"/>
        </w:rPr>
        <w:t xml:space="preserve"> </w:t>
      </w:r>
      <w:r>
        <w:rPr>
          <w:rFonts w:ascii="Times New Roman" w:hAnsi="Times New Roman" w:cs="Times New Roman"/>
          <w:sz w:val="16"/>
        </w:rPr>
        <w:t xml:space="preserve">Fuente: </w:t>
      </w:r>
      <w:r w:rsidRPr="006F1F3C">
        <w:rPr>
          <w:rFonts w:ascii="Times New Roman" w:hAnsi="Times New Roman" w:cs="Times New Roman"/>
          <w:sz w:val="16"/>
        </w:rPr>
        <w:t xml:space="preserve">Dirección de Análisis </w:t>
      </w:r>
      <w:r>
        <w:rPr>
          <w:rFonts w:ascii="Times New Roman" w:hAnsi="Times New Roman" w:cs="Times New Roman"/>
          <w:sz w:val="16"/>
        </w:rPr>
        <w:t>y Política fiscal</w:t>
      </w:r>
    </w:p>
    <w:p w:rsidR="00644B94" w:rsidRPr="00644B94" w:rsidRDefault="00644B94" w:rsidP="00160633">
      <w:pPr>
        <w:pStyle w:val="NoSpacing"/>
        <w:jc w:val="both"/>
        <w:rPr>
          <w:noProof/>
          <w:lang w:eastAsia="es-GT"/>
        </w:rPr>
      </w:pPr>
    </w:p>
    <w:p w:rsidR="00160633" w:rsidRPr="000D0C01" w:rsidRDefault="00160633" w:rsidP="00160633">
      <w:pPr>
        <w:pStyle w:val="NoSpacing"/>
        <w:jc w:val="both"/>
        <w:rPr>
          <w:rFonts w:ascii="Times New Roman" w:hAnsi="Times New Roman" w:cs="Times New Roman"/>
          <w:noProof/>
          <w:color w:val="FF0000"/>
          <w:lang w:eastAsia="es-GT"/>
        </w:rPr>
      </w:pPr>
      <w:r>
        <w:rPr>
          <w:rFonts w:ascii="Times New Roman" w:hAnsi="Times New Roman" w:cs="Times New Roman"/>
          <w:lang w:val="es-MX"/>
        </w:rPr>
        <w:t>No obstante, al comportamiento observado en la ejecución a nivel global, se espera que esta en los próximos meses se recupere no solo por su comportamiento estacional sino también por un repunte que podría darse en algunas instituciones de gobierno.</w:t>
      </w:r>
    </w:p>
    <w:p w:rsidR="00804E1C" w:rsidRPr="000D0C01" w:rsidRDefault="00804E1C" w:rsidP="007C0C8C">
      <w:pPr>
        <w:pStyle w:val="NoSpacing"/>
        <w:jc w:val="both"/>
        <w:rPr>
          <w:rFonts w:ascii="Times New Roman" w:hAnsi="Times New Roman" w:cs="Times New Roman"/>
          <w:color w:val="FF0000"/>
          <w:lang w:val="es-MX"/>
        </w:rPr>
        <w:sectPr w:rsidR="00804E1C" w:rsidRPr="000D0C01" w:rsidSect="00374D44">
          <w:headerReference w:type="default" r:id="rId23"/>
          <w:footerReference w:type="default" r:id="rId24"/>
          <w:type w:val="continuous"/>
          <w:pgSz w:w="12240" w:h="15840" w:code="1"/>
          <w:pgMar w:top="1418" w:right="1418" w:bottom="1418" w:left="1701" w:header="709" w:footer="709" w:gutter="0"/>
          <w:cols w:num="2" w:space="708"/>
          <w:docGrid w:linePitch="360"/>
        </w:sectPr>
      </w:pPr>
    </w:p>
    <w:p w:rsidR="00644B94" w:rsidRPr="00644B94" w:rsidRDefault="00644B94" w:rsidP="009C3938">
      <w:pPr>
        <w:pStyle w:val="NoSpacing"/>
        <w:jc w:val="both"/>
        <w:rPr>
          <w:rFonts w:ascii="Times New Roman" w:hAnsi="Times New Roman" w:cs="Times New Roman"/>
          <w:color w:val="FF0000"/>
          <w:sz w:val="18"/>
        </w:rPr>
        <w:sectPr w:rsidR="00644B94" w:rsidRPr="00644B94" w:rsidSect="009C3938">
          <w:type w:val="continuous"/>
          <w:pgSz w:w="12240" w:h="15840" w:code="1"/>
          <w:pgMar w:top="1418" w:right="1418" w:bottom="1418" w:left="1701" w:header="709" w:footer="709" w:gutter="0"/>
          <w:cols w:num="2" w:space="708"/>
          <w:docGrid w:linePitch="360"/>
        </w:sectPr>
      </w:pPr>
    </w:p>
    <w:p w:rsidR="009C3938" w:rsidRPr="00644B94" w:rsidRDefault="009C3938" w:rsidP="009C3938">
      <w:pPr>
        <w:pStyle w:val="NoSpacing"/>
        <w:jc w:val="both"/>
        <w:rPr>
          <w:rFonts w:ascii="Times New Roman" w:hAnsi="Times New Roman" w:cs="Times New Roman"/>
          <w:color w:val="FF0000"/>
          <w:sz w:val="6"/>
        </w:rPr>
      </w:pPr>
    </w:p>
    <w:p w:rsidR="009C3938" w:rsidRPr="00160633" w:rsidRDefault="00160633" w:rsidP="009C3938">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9C3938" w:rsidRPr="00160633" w:rsidSect="00FA3B81">
          <w:type w:val="continuous"/>
          <w:pgSz w:w="12240" w:h="15840" w:code="1"/>
          <w:pgMar w:top="1418" w:right="1418" w:bottom="1418" w:left="1418" w:header="709" w:footer="709" w:gutter="0"/>
          <w:cols w:space="708"/>
          <w:docGrid w:linePitch="360"/>
        </w:sectPr>
      </w:pPr>
      <w:r w:rsidRPr="00160633">
        <w:rPr>
          <w:rFonts w:ascii="Times New Roman" w:hAnsi="Times New Roman" w:cs="Times New Roman"/>
          <w:b/>
          <w:lang w:val="es-MX"/>
        </w:rPr>
        <w:lastRenderedPageBreak/>
        <w:t>Se mantiene  un buen ritmo en la colocación de Bonos del Tesoro</w:t>
      </w:r>
    </w:p>
    <w:p w:rsidR="009C3938" w:rsidRPr="00644B94" w:rsidRDefault="009C3938" w:rsidP="009C3938">
      <w:pPr>
        <w:pStyle w:val="NoSpacing"/>
        <w:rPr>
          <w:rFonts w:ascii="Times New Roman" w:hAnsi="Times New Roman" w:cs="Times New Roman"/>
          <w:b/>
          <w:color w:val="FF0000"/>
          <w:lang w:val="es-MX"/>
        </w:rPr>
      </w:pPr>
    </w:p>
    <w:p w:rsidR="009C3938" w:rsidRPr="000D0C01" w:rsidRDefault="009C3938" w:rsidP="009C3938">
      <w:pPr>
        <w:pStyle w:val="NoSpacing"/>
        <w:rPr>
          <w:rFonts w:ascii="Times New Roman" w:hAnsi="Times New Roman" w:cs="Times New Roman"/>
          <w:b/>
          <w:color w:val="FF0000"/>
          <w:lang w:val="es-MX"/>
        </w:rPr>
        <w:sectPr w:rsidR="009C3938" w:rsidRPr="000D0C01" w:rsidSect="004E358C">
          <w:type w:val="continuous"/>
          <w:pgSz w:w="12240" w:h="15840"/>
          <w:pgMar w:top="1417" w:right="1701" w:bottom="1417" w:left="1701" w:header="708" w:footer="708" w:gutter="0"/>
          <w:cols w:space="708"/>
          <w:docGrid w:linePitch="360"/>
        </w:sectPr>
      </w:pPr>
    </w:p>
    <w:p w:rsidR="00160633" w:rsidRDefault="00160633" w:rsidP="00160633">
      <w:pPr>
        <w:pStyle w:val="NoSpacing"/>
        <w:jc w:val="both"/>
        <w:rPr>
          <w:rFonts w:ascii="Times New Roman" w:hAnsi="Times New Roman" w:cs="Times New Roman"/>
        </w:rPr>
      </w:pPr>
      <w:r>
        <w:rPr>
          <w:rFonts w:ascii="Times New Roman" w:hAnsi="Times New Roman" w:cs="Times New Roman"/>
        </w:rPr>
        <w:lastRenderedPageBreak/>
        <w:t xml:space="preserve">En cuanto a los recursos por endeudamiento que se han captado a julio de 2017, es importante señalar que, en concepto de préstamos externos, el financiamiento neto sigue siendo negativo en Q1,621.0 millones, debido a que únicamente se han recibido desembolsos por Q87.7 millones, de un total presupuestado de Q2,625.8 millones, mientras que los pagos por amortizaciones de capital realizados ascienden a Q1,708.7 millones. </w:t>
      </w:r>
    </w:p>
    <w:p w:rsidR="00160633" w:rsidRDefault="00160633" w:rsidP="00160633">
      <w:pPr>
        <w:pStyle w:val="NoSpacing"/>
        <w:jc w:val="both"/>
        <w:rPr>
          <w:rFonts w:ascii="Times New Roman" w:hAnsi="Times New Roman" w:cs="Times New Roman"/>
        </w:rPr>
      </w:pPr>
    </w:p>
    <w:p w:rsidR="00160633" w:rsidRDefault="00160633" w:rsidP="00160633">
      <w:pPr>
        <w:pStyle w:val="NoSpacing"/>
        <w:jc w:val="both"/>
        <w:rPr>
          <w:rFonts w:ascii="Times New Roman" w:hAnsi="Times New Roman" w:cs="Times New Roman"/>
        </w:rPr>
      </w:pPr>
      <w:r>
        <w:rPr>
          <w:rFonts w:ascii="Times New Roman" w:hAnsi="Times New Roman" w:cs="Times New Roman"/>
        </w:rPr>
        <w:t>En lo que respecta a la emisión y colocación de Bonos del Tesoro, de los eventos realizados a la fecha en el mercado nacional e internacional, se ha obtenido una demanda acumulada de Q38,269.4 millones y se adjudicaron un total de Q9,737.8 millones (incluye la colocación de un Eurobono por US$500 millones), dichas colocaciones se han adjudicado a una tasa favorable (7.1% promedio ponderado) y a un plazo promedio de 14 años.</w:t>
      </w:r>
    </w:p>
    <w:p w:rsidR="00160633" w:rsidRDefault="00160633" w:rsidP="00160633">
      <w:pPr>
        <w:pStyle w:val="NoSpacing"/>
        <w:jc w:val="both"/>
        <w:rPr>
          <w:rFonts w:ascii="Times New Roman" w:hAnsi="Times New Roman" w:cs="Times New Roman"/>
        </w:rPr>
      </w:pPr>
    </w:p>
    <w:p w:rsidR="00160633" w:rsidRDefault="00160633" w:rsidP="00160633">
      <w:pPr>
        <w:pStyle w:val="NoSpacing"/>
        <w:jc w:val="both"/>
        <w:rPr>
          <w:rFonts w:ascii="Times New Roman" w:hAnsi="Times New Roman" w:cs="Times New Roman"/>
        </w:rPr>
      </w:pPr>
      <w:r>
        <w:rPr>
          <w:rFonts w:ascii="Times New Roman" w:hAnsi="Times New Roman" w:cs="Times New Roman"/>
        </w:rPr>
        <w:t>Derivado de lo anterior, queda pendiente de colocar en lo que resta del año, Q3,412.5 millones, conforme lo establece el cupo autorizado por el Congreso de la República.</w:t>
      </w:r>
    </w:p>
    <w:p w:rsidR="00160633" w:rsidRDefault="00160633" w:rsidP="00160633">
      <w:pPr>
        <w:pStyle w:val="NoSpacing"/>
        <w:jc w:val="both"/>
        <w:rPr>
          <w:rFonts w:ascii="Times New Roman" w:hAnsi="Times New Roman" w:cs="Times New Roman"/>
        </w:rPr>
      </w:pPr>
    </w:p>
    <w:p w:rsidR="00160633" w:rsidRPr="002D4740" w:rsidRDefault="00160633" w:rsidP="00160633">
      <w:pPr>
        <w:pStyle w:val="NoSpacing"/>
        <w:jc w:val="center"/>
        <w:rPr>
          <w:rFonts w:ascii="Times New Roman" w:hAnsi="Times New Roman" w:cs="Times New Roman"/>
          <w:b/>
        </w:rPr>
      </w:pPr>
      <w:r>
        <w:rPr>
          <w:rFonts w:ascii="Times New Roman" w:hAnsi="Times New Roman" w:cs="Times New Roman"/>
        </w:rPr>
        <w:t xml:space="preserve">  </w:t>
      </w:r>
      <w:r w:rsidRPr="002D4740">
        <w:rPr>
          <w:rFonts w:ascii="Times New Roman" w:hAnsi="Times New Roman" w:cs="Times New Roman"/>
          <w:b/>
        </w:rPr>
        <w:t>Colocación de Bonos del Tesoro</w:t>
      </w:r>
    </w:p>
    <w:p w:rsidR="00160633" w:rsidRPr="002D4740" w:rsidRDefault="00160633" w:rsidP="00160633">
      <w:pPr>
        <w:pStyle w:val="NoSpacing"/>
        <w:jc w:val="center"/>
        <w:rPr>
          <w:rFonts w:ascii="Times New Roman" w:hAnsi="Times New Roman" w:cs="Times New Roman"/>
          <w:sz w:val="18"/>
        </w:rPr>
      </w:pPr>
      <w:r w:rsidRPr="002D4740">
        <w:rPr>
          <w:rFonts w:ascii="Times New Roman" w:hAnsi="Times New Roman" w:cs="Times New Roman"/>
          <w:sz w:val="18"/>
        </w:rPr>
        <w:t>Al 3</w:t>
      </w:r>
      <w:r>
        <w:rPr>
          <w:rFonts w:ascii="Times New Roman" w:hAnsi="Times New Roman" w:cs="Times New Roman"/>
          <w:sz w:val="18"/>
        </w:rPr>
        <w:t>1</w:t>
      </w:r>
      <w:r w:rsidRPr="002D4740">
        <w:rPr>
          <w:rFonts w:ascii="Times New Roman" w:hAnsi="Times New Roman" w:cs="Times New Roman"/>
          <w:sz w:val="18"/>
        </w:rPr>
        <w:t xml:space="preserve"> de </w:t>
      </w:r>
      <w:r>
        <w:rPr>
          <w:rFonts w:ascii="Times New Roman" w:hAnsi="Times New Roman" w:cs="Times New Roman"/>
          <w:sz w:val="18"/>
        </w:rPr>
        <w:t>julio</w:t>
      </w:r>
      <w:r w:rsidRPr="002D4740">
        <w:rPr>
          <w:rFonts w:ascii="Times New Roman" w:hAnsi="Times New Roman" w:cs="Times New Roman"/>
          <w:sz w:val="18"/>
        </w:rPr>
        <w:t xml:space="preserve"> de 2017</w:t>
      </w:r>
    </w:p>
    <w:p w:rsidR="00160633" w:rsidRPr="002D4740" w:rsidRDefault="00160633" w:rsidP="00160633">
      <w:pPr>
        <w:pStyle w:val="NoSpacing"/>
        <w:jc w:val="center"/>
        <w:rPr>
          <w:rFonts w:ascii="Times New Roman" w:hAnsi="Times New Roman" w:cs="Times New Roman"/>
          <w:sz w:val="18"/>
        </w:rPr>
      </w:pPr>
      <w:r w:rsidRPr="002D4740">
        <w:rPr>
          <w:rFonts w:ascii="Times New Roman" w:hAnsi="Times New Roman" w:cs="Times New Roman"/>
          <w:sz w:val="18"/>
        </w:rPr>
        <w:t>Millones de quetzales y porcentajes</w:t>
      </w:r>
    </w:p>
    <w:p w:rsidR="00160633" w:rsidRDefault="00160633" w:rsidP="00160633">
      <w:pPr>
        <w:pStyle w:val="NoSpacing"/>
        <w:rPr>
          <w:rFonts w:ascii="Times New Roman" w:hAnsi="Times New Roman" w:cs="Times New Roman"/>
        </w:rPr>
      </w:pPr>
      <w:r>
        <w:rPr>
          <w:rFonts w:ascii="Times New Roman" w:hAnsi="Times New Roman" w:cs="Times New Roman"/>
          <w:noProof/>
          <w:lang w:val="es-ES" w:eastAsia="es-ES"/>
        </w:rPr>
        <w:drawing>
          <wp:inline distT="0" distB="0" distL="0" distR="0" wp14:anchorId="39BA7202" wp14:editId="40B476CA">
            <wp:extent cx="2940065" cy="1724025"/>
            <wp:effectExtent l="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6948" cy="1728061"/>
                    </a:xfrm>
                    <a:prstGeom prst="rect">
                      <a:avLst/>
                    </a:prstGeom>
                    <a:noFill/>
                  </pic:spPr>
                </pic:pic>
              </a:graphicData>
            </a:graphic>
          </wp:inline>
        </w:drawing>
      </w:r>
    </w:p>
    <w:p w:rsidR="00160633" w:rsidRDefault="00160633" w:rsidP="00160633">
      <w:pPr>
        <w:pStyle w:val="NoSpacing"/>
        <w:jc w:val="both"/>
        <w:rPr>
          <w:rFonts w:ascii="Times New Roman" w:hAnsi="Times New Roman" w:cs="Times New Roman"/>
        </w:rPr>
      </w:pPr>
      <w:r>
        <w:rPr>
          <w:rFonts w:ascii="Times New Roman" w:hAnsi="Times New Roman" w:cs="Times New Roman"/>
          <w:sz w:val="16"/>
        </w:rPr>
        <w:t xml:space="preserve">Fuente: </w:t>
      </w:r>
      <w:r w:rsidRPr="006F1F3C">
        <w:rPr>
          <w:rFonts w:ascii="Times New Roman" w:hAnsi="Times New Roman" w:cs="Times New Roman"/>
          <w:sz w:val="16"/>
        </w:rPr>
        <w:t xml:space="preserve">Dirección de Análisis </w:t>
      </w:r>
      <w:r>
        <w:rPr>
          <w:rFonts w:ascii="Times New Roman" w:hAnsi="Times New Roman" w:cs="Times New Roman"/>
          <w:sz w:val="16"/>
        </w:rPr>
        <w:t>y Política fiscal</w:t>
      </w:r>
    </w:p>
    <w:p w:rsidR="00FA5DE4" w:rsidRPr="000D0C01" w:rsidRDefault="00FA5DE4" w:rsidP="00FA5DE4">
      <w:pPr>
        <w:pStyle w:val="NoSpacing"/>
        <w:jc w:val="both"/>
        <w:rPr>
          <w:rFonts w:ascii="Times New Roman" w:hAnsi="Times New Roman" w:cs="Times New Roman"/>
          <w:color w:val="FF0000"/>
        </w:rPr>
        <w:sectPr w:rsidR="00FA5DE4" w:rsidRPr="000D0C01" w:rsidSect="004E358C">
          <w:type w:val="continuous"/>
          <w:pgSz w:w="12240" w:h="15840"/>
          <w:pgMar w:top="1417" w:right="1701" w:bottom="1417" w:left="1701" w:header="708" w:footer="708" w:gutter="0"/>
          <w:cols w:num="2" w:space="708"/>
          <w:docGrid w:linePitch="360"/>
        </w:sectPr>
      </w:pPr>
    </w:p>
    <w:p w:rsidR="00F76491" w:rsidRPr="00644B94" w:rsidRDefault="00F76491" w:rsidP="00D4202F">
      <w:pPr>
        <w:spacing w:after="0"/>
        <w:rPr>
          <w:rFonts w:ascii="Times New Roman" w:hAnsi="Times New Roman" w:cs="Times New Roman"/>
          <w:color w:val="FF0000"/>
          <w:sz w:val="18"/>
          <w:lang w:val="es-MX"/>
        </w:rPr>
        <w:sectPr w:rsidR="00F76491" w:rsidRPr="00644B94" w:rsidSect="004E358C">
          <w:type w:val="continuous"/>
          <w:pgSz w:w="12240" w:h="15840"/>
          <w:pgMar w:top="1417" w:right="1701" w:bottom="1417" w:left="1701" w:header="708" w:footer="708" w:gutter="0"/>
          <w:cols w:num="2" w:space="708"/>
          <w:docGrid w:linePitch="360"/>
        </w:sectPr>
      </w:pPr>
      <w:bookmarkStart w:id="0" w:name="_GoBack"/>
      <w:bookmarkEnd w:id="0"/>
    </w:p>
    <w:p w:rsidR="00494D1D" w:rsidRPr="00D4765C" w:rsidRDefault="0042387A" w:rsidP="0042387A">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D4765C" w:rsidSect="00FA3B81">
          <w:headerReference w:type="default" r:id="rId26"/>
          <w:footerReference w:type="default" r:id="rId27"/>
          <w:type w:val="continuous"/>
          <w:pgSz w:w="12240" w:h="15840" w:code="1"/>
          <w:pgMar w:top="1418" w:right="1418" w:bottom="1418" w:left="1418" w:header="709" w:footer="709" w:gutter="0"/>
          <w:cols w:space="708"/>
          <w:docGrid w:linePitch="360"/>
        </w:sectPr>
      </w:pPr>
      <w:r w:rsidRPr="00D4765C">
        <w:rPr>
          <w:rFonts w:ascii="Times New Roman" w:hAnsi="Times New Roman" w:cs="Times New Roman"/>
          <w:b/>
          <w:lang w:val="es-MX"/>
        </w:rPr>
        <w:lastRenderedPageBreak/>
        <w:t>Ambientes macroeconómicos (externo e interno)</w:t>
      </w:r>
    </w:p>
    <w:p w:rsidR="00494D1D" w:rsidRPr="00D4765C" w:rsidRDefault="00494D1D" w:rsidP="00494D1D">
      <w:pPr>
        <w:pStyle w:val="NoSpacing"/>
        <w:rPr>
          <w:rFonts w:ascii="Times New Roman" w:hAnsi="Times New Roman" w:cs="Times New Roman"/>
          <w:b/>
          <w:sz w:val="18"/>
          <w:lang w:val="es-MX"/>
        </w:rPr>
      </w:pPr>
    </w:p>
    <w:p w:rsidR="00494D1D" w:rsidRPr="00D4765C" w:rsidRDefault="00494D1D" w:rsidP="00494D1D">
      <w:pPr>
        <w:pStyle w:val="NoSpacing"/>
        <w:rPr>
          <w:rFonts w:ascii="Times New Roman" w:hAnsi="Times New Roman" w:cs="Times New Roman"/>
          <w:b/>
          <w:lang w:val="es-MX"/>
        </w:rPr>
        <w:sectPr w:rsidR="00494D1D" w:rsidRPr="00D4765C" w:rsidSect="004E358C">
          <w:type w:val="continuous"/>
          <w:pgSz w:w="12240" w:h="15840"/>
          <w:pgMar w:top="1417" w:right="1701" w:bottom="1417" w:left="1701" w:header="708" w:footer="708" w:gutter="0"/>
          <w:cols w:space="708"/>
          <w:docGrid w:linePitch="360"/>
        </w:sectPr>
      </w:pPr>
    </w:p>
    <w:p w:rsidR="007B26CD" w:rsidRPr="00D4765C" w:rsidRDefault="007B26CD" w:rsidP="007B26CD">
      <w:pPr>
        <w:pStyle w:val="NoSpacing"/>
        <w:jc w:val="both"/>
        <w:rPr>
          <w:rFonts w:ascii="Times New Roman" w:hAnsi="Times New Roman" w:cs="Times New Roman"/>
          <w:lang w:val="es-MX"/>
        </w:rPr>
      </w:pPr>
      <w:r w:rsidRPr="00D4765C">
        <w:rPr>
          <w:rFonts w:ascii="Times New Roman" w:hAnsi="Times New Roman" w:cs="Times New Roman"/>
          <w:lang w:val="es-MX"/>
        </w:rPr>
        <w:lastRenderedPageBreak/>
        <w:t xml:space="preserve">La economía estadounidense se aceleró </w:t>
      </w:r>
      <w:r w:rsidR="00DB4551" w:rsidRPr="00D4765C">
        <w:rPr>
          <w:rFonts w:ascii="Times New Roman" w:hAnsi="Times New Roman" w:cs="Times New Roman"/>
          <w:lang w:val="es-MX"/>
        </w:rPr>
        <w:t xml:space="preserve">significativamente </w:t>
      </w:r>
      <w:r w:rsidRPr="00D4765C">
        <w:rPr>
          <w:rFonts w:ascii="Times New Roman" w:hAnsi="Times New Roman" w:cs="Times New Roman"/>
          <w:lang w:val="es-MX"/>
        </w:rPr>
        <w:t>en el segundo trimestre</w:t>
      </w:r>
      <w:r w:rsidR="00DB4551" w:rsidRPr="00D4765C">
        <w:rPr>
          <w:rFonts w:ascii="Times New Roman" w:hAnsi="Times New Roman" w:cs="Times New Roman"/>
          <w:lang w:val="es-MX"/>
        </w:rPr>
        <w:t xml:space="preserve"> del presente año, lo hizo a</w:t>
      </w:r>
      <w:r w:rsidRPr="00D4765C">
        <w:rPr>
          <w:rFonts w:ascii="Times New Roman" w:hAnsi="Times New Roman" w:cs="Times New Roman"/>
          <w:lang w:val="es-MX"/>
        </w:rPr>
        <w:t xml:space="preserve"> una tasa anual de 2.6%, mayor al crecimiento de 1.2% del primer trimestre que desató las al</w:t>
      </w:r>
      <w:r w:rsidR="00DB4551" w:rsidRPr="00D4765C">
        <w:rPr>
          <w:rFonts w:ascii="Times New Roman" w:hAnsi="Times New Roman" w:cs="Times New Roman"/>
          <w:lang w:val="es-MX"/>
        </w:rPr>
        <w:t>ertas</w:t>
      </w:r>
      <w:r w:rsidRPr="00D4765C">
        <w:rPr>
          <w:rFonts w:ascii="Times New Roman" w:hAnsi="Times New Roman" w:cs="Times New Roman"/>
          <w:lang w:val="es-MX"/>
        </w:rPr>
        <w:t xml:space="preserve"> ante los aparentes síntomas de estancamiento de la primera economía mundial. Dicho </w:t>
      </w:r>
      <w:r w:rsidR="00DB4551" w:rsidRPr="00D4765C">
        <w:rPr>
          <w:rFonts w:ascii="Times New Roman" w:hAnsi="Times New Roman" w:cs="Times New Roman"/>
          <w:lang w:val="es-MX"/>
        </w:rPr>
        <w:t xml:space="preserve">resultado </w:t>
      </w:r>
      <w:r w:rsidRPr="00D4765C">
        <w:rPr>
          <w:rFonts w:ascii="Times New Roman" w:hAnsi="Times New Roman" w:cs="Times New Roman"/>
          <w:lang w:val="es-MX"/>
        </w:rPr>
        <w:t>estuvo impulsado por la revisión al alza del gasto de los consumidores, que supone dos tercios de la actividad económica</w:t>
      </w:r>
      <w:r w:rsidR="00DB4551" w:rsidRPr="00D4765C">
        <w:rPr>
          <w:rFonts w:ascii="Times New Roman" w:hAnsi="Times New Roman" w:cs="Times New Roman"/>
          <w:lang w:val="es-MX"/>
        </w:rPr>
        <w:t xml:space="preserve"> total, pasando de 2.8% a 1.1% en </w:t>
      </w:r>
      <w:r w:rsidRPr="00D4765C">
        <w:rPr>
          <w:rFonts w:ascii="Times New Roman" w:hAnsi="Times New Roman" w:cs="Times New Roman"/>
          <w:lang w:val="es-MX"/>
        </w:rPr>
        <w:t xml:space="preserve">el primer trimestre.  Las exportaciones por su parte, mostraron un crecimiento de 4.1%, menor que en el primer trimestre cuando aumentaron al 7%, de acuerdo al Departamento de Comercio.  </w:t>
      </w:r>
    </w:p>
    <w:p w:rsidR="00B57CED" w:rsidRPr="00D4765C" w:rsidRDefault="00B57CED" w:rsidP="00B57CED">
      <w:pPr>
        <w:pStyle w:val="NoSpacing"/>
        <w:jc w:val="both"/>
        <w:rPr>
          <w:rFonts w:ascii="Times New Roman" w:hAnsi="Times New Roman" w:cs="Times New Roman"/>
          <w:lang w:val="es-MX"/>
        </w:rPr>
      </w:pPr>
    </w:p>
    <w:p w:rsidR="00A706A2" w:rsidRPr="00D4765C" w:rsidRDefault="00A706A2" w:rsidP="00B57CED">
      <w:pPr>
        <w:pStyle w:val="NoSpacing"/>
        <w:jc w:val="both"/>
        <w:rPr>
          <w:rFonts w:ascii="Times New Roman" w:hAnsi="Times New Roman" w:cs="Times New Roman"/>
        </w:rPr>
      </w:pPr>
      <w:r w:rsidRPr="00D4765C">
        <w:rPr>
          <w:rFonts w:ascii="Times New Roman" w:hAnsi="Times New Roman" w:cs="Times New Roman"/>
        </w:rPr>
        <w:t>De acuerdo al informe</w:t>
      </w:r>
      <w:r w:rsidR="00E45C4B" w:rsidRPr="00D4765C">
        <w:rPr>
          <w:rFonts w:ascii="Times New Roman" w:hAnsi="Times New Roman" w:cs="Times New Roman"/>
        </w:rPr>
        <w:t xml:space="preserve"> mensual </w:t>
      </w:r>
      <w:r w:rsidR="0032198D" w:rsidRPr="00D4765C">
        <w:rPr>
          <w:rFonts w:ascii="Times New Roman" w:hAnsi="Times New Roman" w:cs="Times New Roman"/>
        </w:rPr>
        <w:t xml:space="preserve">publicado por </w:t>
      </w:r>
      <w:r w:rsidRPr="00D4765C">
        <w:rPr>
          <w:rFonts w:ascii="Times New Roman" w:hAnsi="Times New Roman" w:cs="Times New Roman"/>
        </w:rPr>
        <w:t xml:space="preserve">el Departamento de Trabajo de Estados Unidos, </w:t>
      </w:r>
      <w:r w:rsidR="0032198D" w:rsidRPr="00D4765C">
        <w:rPr>
          <w:rFonts w:ascii="Times New Roman" w:hAnsi="Times New Roman" w:cs="Times New Roman"/>
        </w:rPr>
        <w:t xml:space="preserve">el </w:t>
      </w:r>
      <w:r w:rsidR="0032198D" w:rsidRPr="00D4765C">
        <w:rPr>
          <w:rFonts w:ascii="Times New Roman" w:hAnsi="Times New Roman" w:cs="Times New Roman"/>
        </w:rPr>
        <w:lastRenderedPageBreak/>
        <w:t>país sumó 209,000 puestos de trabajo en julio y redujo la tasa de desempleo por 0.1% con respecto a junio hasta ubicarse en 4.3</w:t>
      </w:r>
      <w:r w:rsidRPr="00D4765C">
        <w:rPr>
          <w:rFonts w:ascii="Times New Roman" w:hAnsi="Times New Roman" w:cs="Times New Roman"/>
        </w:rPr>
        <w:t>%</w:t>
      </w:r>
      <w:r w:rsidR="0032198D" w:rsidRPr="00D4765C">
        <w:rPr>
          <w:rFonts w:ascii="Times New Roman" w:hAnsi="Times New Roman" w:cs="Times New Roman"/>
        </w:rPr>
        <w:t xml:space="preserve">; </w:t>
      </w:r>
      <w:r w:rsidR="00A875EE" w:rsidRPr="00D4765C">
        <w:rPr>
          <w:rFonts w:ascii="Times New Roman" w:hAnsi="Times New Roman" w:cs="Times New Roman"/>
        </w:rPr>
        <w:t>entre los sectores que más contribuyeron a la expansión de la fuerza laboral se destacaron el de alimento y bebidas generando 53,000, el de profesional y de negocios con 49,000 y el sanitario con 39,000. La minería, por su parte, sumó 1,000 trabajadores a la industria. El ingreso promedio por hora para todos los empleados subió nueve centavos a US$ 26.36; a lo largo del año, el ingreso promedio por hora ha subido 65 centavos, o 2.5%.</w:t>
      </w:r>
    </w:p>
    <w:p w:rsidR="00E45C4B" w:rsidRPr="00D4765C" w:rsidRDefault="00E45C4B" w:rsidP="00B57CED">
      <w:pPr>
        <w:pStyle w:val="NoSpacing"/>
        <w:jc w:val="both"/>
        <w:rPr>
          <w:rFonts w:ascii="Times New Roman" w:hAnsi="Times New Roman" w:cs="Times New Roman"/>
        </w:rPr>
      </w:pPr>
    </w:p>
    <w:p w:rsidR="00EB62F2" w:rsidRPr="00D4765C" w:rsidRDefault="00A706A2" w:rsidP="00EB62F2">
      <w:pPr>
        <w:pStyle w:val="NoSpacing"/>
        <w:jc w:val="both"/>
        <w:rPr>
          <w:rFonts w:ascii="Times New Roman" w:hAnsi="Times New Roman" w:cs="Times New Roman"/>
          <w:lang w:val="es-MX"/>
        </w:rPr>
      </w:pPr>
      <w:r w:rsidRPr="00D4765C">
        <w:rPr>
          <w:rFonts w:ascii="Times New Roman" w:hAnsi="Times New Roman" w:cs="Times New Roman"/>
        </w:rPr>
        <w:t>En la zona euro</w:t>
      </w:r>
      <w:r w:rsidR="00EB62F2" w:rsidRPr="00D4765C">
        <w:rPr>
          <w:rFonts w:ascii="Times New Roman" w:hAnsi="Times New Roman" w:cs="Times New Roman"/>
        </w:rPr>
        <w:t>,</w:t>
      </w:r>
      <w:r w:rsidRPr="00D4765C">
        <w:rPr>
          <w:rFonts w:ascii="Times New Roman" w:hAnsi="Times New Roman" w:cs="Times New Roman"/>
        </w:rPr>
        <w:t xml:space="preserve"> </w:t>
      </w:r>
      <w:r w:rsidR="00EB62F2" w:rsidRPr="00D4765C">
        <w:rPr>
          <w:rFonts w:ascii="Times New Roman" w:hAnsi="Times New Roman" w:cs="Times New Roman"/>
          <w:lang w:val="es-MX"/>
        </w:rPr>
        <w:t xml:space="preserve">el BCE decidió mantener sin cambios sus principales tasas de interés así como su programa masivo de compra de deuda, los tipos siguen en el 0%, la tasa que penaliza </w:t>
      </w:r>
      <w:r w:rsidR="00EB62F2" w:rsidRPr="00D4765C">
        <w:rPr>
          <w:rFonts w:ascii="Times New Roman" w:hAnsi="Times New Roman" w:cs="Times New Roman"/>
          <w:lang w:val="es-MX"/>
        </w:rPr>
        <w:lastRenderedPageBreak/>
        <w:t>los depósitos que los bancos guardan en la caja fuerte del BCE sigue invariable en el -0.4% y el programa de compras mantiene un ritmo de 60,000 millones de euros al mes hasta diciembre</w:t>
      </w:r>
      <w:r w:rsidR="001F4F78" w:rsidRPr="00D4765C">
        <w:rPr>
          <w:rFonts w:ascii="Times New Roman" w:hAnsi="Times New Roman" w:cs="Times New Roman"/>
          <w:lang w:val="es-MX"/>
        </w:rPr>
        <w:t xml:space="preserve">. El banco </w:t>
      </w:r>
      <w:r w:rsidR="00EB62F2" w:rsidRPr="00D4765C">
        <w:rPr>
          <w:rFonts w:ascii="Times New Roman" w:hAnsi="Times New Roman" w:cs="Times New Roman"/>
          <w:lang w:val="es-MX"/>
        </w:rPr>
        <w:t xml:space="preserve">indicó que incluso </w:t>
      </w:r>
      <w:r w:rsidR="00DB4551" w:rsidRPr="00D4765C">
        <w:rPr>
          <w:rFonts w:ascii="Times New Roman" w:hAnsi="Times New Roman" w:cs="Times New Roman"/>
          <w:lang w:val="es-MX"/>
        </w:rPr>
        <w:t>mantiene</w:t>
      </w:r>
      <w:r w:rsidR="00EB62F2" w:rsidRPr="00D4765C">
        <w:rPr>
          <w:rFonts w:ascii="Times New Roman" w:hAnsi="Times New Roman" w:cs="Times New Roman"/>
          <w:lang w:val="es-MX"/>
        </w:rPr>
        <w:t xml:space="preserve"> </w:t>
      </w:r>
      <w:r w:rsidR="00DB4551" w:rsidRPr="00D4765C">
        <w:rPr>
          <w:rFonts w:ascii="Times New Roman" w:hAnsi="Times New Roman" w:cs="Times New Roman"/>
          <w:lang w:val="es-MX"/>
        </w:rPr>
        <w:t>vigente</w:t>
      </w:r>
      <w:r w:rsidR="00EB62F2" w:rsidRPr="00D4765C">
        <w:rPr>
          <w:rFonts w:ascii="Times New Roman" w:hAnsi="Times New Roman" w:cs="Times New Roman"/>
          <w:lang w:val="es-MX"/>
        </w:rPr>
        <w:t xml:space="preserve"> la posibilidad de compra de más activos si llegara a empeorar el panoram</w:t>
      </w:r>
      <w:r w:rsidR="0092473F" w:rsidRPr="00D4765C">
        <w:rPr>
          <w:rFonts w:ascii="Times New Roman" w:hAnsi="Times New Roman" w:cs="Times New Roman"/>
          <w:lang w:val="es-MX"/>
        </w:rPr>
        <w:t>a económico de la zona</w:t>
      </w:r>
      <w:r w:rsidR="001F4F78" w:rsidRPr="00D4765C">
        <w:rPr>
          <w:rFonts w:ascii="Times New Roman" w:hAnsi="Times New Roman" w:cs="Times New Roman"/>
          <w:lang w:val="es-MX"/>
        </w:rPr>
        <w:t xml:space="preserve">, </w:t>
      </w:r>
      <w:r w:rsidR="00EB62F2" w:rsidRPr="00D4765C">
        <w:rPr>
          <w:rFonts w:ascii="Times New Roman" w:hAnsi="Times New Roman" w:cs="Times New Roman"/>
          <w:lang w:val="es-MX"/>
        </w:rPr>
        <w:t>argument</w:t>
      </w:r>
      <w:r w:rsidR="001F4F78" w:rsidRPr="00D4765C">
        <w:rPr>
          <w:rFonts w:ascii="Times New Roman" w:hAnsi="Times New Roman" w:cs="Times New Roman"/>
          <w:lang w:val="es-MX"/>
        </w:rPr>
        <w:t>ando también</w:t>
      </w:r>
      <w:r w:rsidR="00EB62F2" w:rsidRPr="00D4765C">
        <w:rPr>
          <w:rFonts w:ascii="Times New Roman" w:hAnsi="Times New Roman" w:cs="Times New Roman"/>
          <w:lang w:val="es-MX"/>
        </w:rPr>
        <w:t xml:space="preserve"> que es necesario mantener el rumbo de la compra de deuda para llevar la inflación a cifras cercanas a la meta de 2%. </w:t>
      </w:r>
    </w:p>
    <w:p w:rsidR="00A706A2" w:rsidRPr="00D4765C" w:rsidRDefault="00A706A2" w:rsidP="00A706A2">
      <w:pPr>
        <w:pStyle w:val="NoSpacing"/>
        <w:jc w:val="both"/>
        <w:rPr>
          <w:rFonts w:ascii="Times New Roman" w:hAnsi="Times New Roman" w:cs="Times New Roman"/>
        </w:rPr>
      </w:pPr>
    </w:p>
    <w:p w:rsidR="007B26CD" w:rsidRPr="00D4765C" w:rsidRDefault="0032198D" w:rsidP="007B26CD">
      <w:pPr>
        <w:pStyle w:val="NoSpacing"/>
        <w:jc w:val="both"/>
        <w:rPr>
          <w:rFonts w:ascii="Times New Roman" w:hAnsi="Times New Roman" w:cs="Times New Roman"/>
          <w:lang w:val="es-MX"/>
        </w:rPr>
      </w:pPr>
      <w:r w:rsidRPr="00D4765C">
        <w:rPr>
          <w:rFonts w:ascii="Times New Roman" w:hAnsi="Times New Roman" w:cs="Times New Roman"/>
        </w:rPr>
        <w:t>E</w:t>
      </w:r>
      <w:r w:rsidR="007B26CD" w:rsidRPr="00D4765C">
        <w:rPr>
          <w:rFonts w:ascii="Times New Roman" w:hAnsi="Times New Roman" w:cs="Times New Roman"/>
          <w:lang w:val="es-MX"/>
        </w:rPr>
        <w:t>l Índice compuesto final de actividad total se ubicó en 56.3 puntos, inferior al de mayo cuando se ubicó en  56.8 puntos</w:t>
      </w:r>
      <w:r w:rsidR="00725F93" w:rsidRPr="00D4765C">
        <w:rPr>
          <w:rFonts w:ascii="Times New Roman" w:hAnsi="Times New Roman" w:cs="Times New Roman"/>
          <w:lang w:val="es-MX"/>
        </w:rPr>
        <w:t xml:space="preserve">; el PMI de actividad comercial del sector servicios fue de 55.4 puntos y el promedio para el segundo trimestre en su conjunto fue de 56.6 puntos, atribuido </w:t>
      </w:r>
      <w:r w:rsidR="00452A5A" w:rsidRPr="00D4765C">
        <w:rPr>
          <w:rFonts w:ascii="Times New Roman" w:hAnsi="Times New Roman" w:cs="Times New Roman"/>
          <w:lang w:val="es-MX"/>
        </w:rPr>
        <w:t>principalmente</w:t>
      </w:r>
      <w:r w:rsidR="00725F93" w:rsidRPr="00D4765C">
        <w:rPr>
          <w:rFonts w:ascii="Times New Roman" w:hAnsi="Times New Roman" w:cs="Times New Roman"/>
          <w:lang w:val="es-MX"/>
        </w:rPr>
        <w:t xml:space="preserve"> al sector manufacturero en donde la producción continúa en aumento</w:t>
      </w:r>
      <w:r w:rsidR="00452A5A" w:rsidRPr="00D4765C">
        <w:rPr>
          <w:rFonts w:ascii="Times New Roman" w:hAnsi="Times New Roman" w:cs="Times New Roman"/>
          <w:lang w:val="es-MX"/>
        </w:rPr>
        <w:t>, según los datos publicados por IHS Markit</w:t>
      </w:r>
      <w:r w:rsidR="007B26CD" w:rsidRPr="00D4765C">
        <w:rPr>
          <w:rFonts w:ascii="Times New Roman" w:hAnsi="Times New Roman" w:cs="Times New Roman"/>
          <w:lang w:val="es-MX"/>
        </w:rPr>
        <w:t xml:space="preserve">.  </w:t>
      </w:r>
    </w:p>
    <w:p w:rsidR="007B26CD" w:rsidRPr="00D4765C" w:rsidRDefault="007B26CD" w:rsidP="00A706A2">
      <w:pPr>
        <w:pStyle w:val="NoSpacing"/>
        <w:jc w:val="both"/>
        <w:rPr>
          <w:rFonts w:ascii="Times New Roman" w:hAnsi="Times New Roman" w:cs="Times New Roman"/>
          <w:lang w:val="es-MX"/>
        </w:rPr>
      </w:pPr>
    </w:p>
    <w:p w:rsidR="005B0E84" w:rsidRPr="00D4765C" w:rsidRDefault="00E45C4B" w:rsidP="00171909">
      <w:pPr>
        <w:pStyle w:val="NoSpacing"/>
        <w:jc w:val="both"/>
        <w:rPr>
          <w:rFonts w:ascii="Times New Roman" w:hAnsi="Times New Roman" w:cs="Times New Roman"/>
        </w:rPr>
      </w:pPr>
      <w:r w:rsidRPr="00D4765C">
        <w:rPr>
          <w:rFonts w:ascii="Times New Roman" w:hAnsi="Times New Roman" w:cs="Times New Roman"/>
        </w:rPr>
        <w:t>E</w:t>
      </w:r>
      <w:r w:rsidR="00171909" w:rsidRPr="00D4765C">
        <w:rPr>
          <w:rFonts w:ascii="Times New Roman" w:hAnsi="Times New Roman" w:cs="Times New Roman"/>
        </w:rPr>
        <w:t>n América Latina y el Caribe, e</w:t>
      </w:r>
      <w:r w:rsidRPr="00D4765C">
        <w:rPr>
          <w:rFonts w:ascii="Times New Roman" w:hAnsi="Times New Roman" w:cs="Times New Roman"/>
        </w:rPr>
        <w:t xml:space="preserve">l </w:t>
      </w:r>
      <w:r w:rsidR="00452A5A" w:rsidRPr="00D4765C">
        <w:rPr>
          <w:rFonts w:ascii="Times New Roman" w:hAnsi="Times New Roman" w:cs="Times New Roman"/>
        </w:rPr>
        <w:t>informe anual de la CEPAL correspondiente al presente año indica que los países</w:t>
      </w:r>
      <w:r w:rsidR="00171909" w:rsidRPr="00D4765C">
        <w:rPr>
          <w:rFonts w:ascii="Times New Roman" w:hAnsi="Times New Roman" w:cs="Times New Roman"/>
        </w:rPr>
        <w:t xml:space="preserve"> de la región</w:t>
      </w:r>
      <w:r w:rsidR="00452A5A" w:rsidRPr="00D4765C">
        <w:rPr>
          <w:rFonts w:ascii="Times New Roman" w:hAnsi="Times New Roman" w:cs="Times New Roman"/>
        </w:rPr>
        <w:t xml:space="preserve"> crecerán 1.1% en 2017 luego de dos años consecutivos de contracción, </w:t>
      </w:r>
      <w:r w:rsidR="00171909" w:rsidRPr="00D4765C">
        <w:rPr>
          <w:rFonts w:ascii="Times New Roman" w:hAnsi="Times New Roman" w:cs="Times New Roman"/>
        </w:rPr>
        <w:t>atribuido</w:t>
      </w:r>
      <w:r w:rsidR="00DB4551" w:rsidRPr="00D4765C">
        <w:rPr>
          <w:rFonts w:ascii="Times New Roman" w:hAnsi="Times New Roman" w:cs="Times New Roman"/>
        </w:rPr>
        <w:t xml:space="preserve"> a la mejora de las</w:t>
      </w:r>
      <w:r w:rsidR="00452A5A" w:rsidRPr="00D4765C">
        <w:rPr>
          <w:rFonts w:ascii="Times New Roman" w:hAnsi="Times New Roman" w:cs="Times New Roman"/>
        </w:rPr>
        <w:t xml:space="preserve"> expectativas económicas internacionales y a un </w:t>
      </w:r>
      <w:r w:rsidR="00171909" w:rsidRPr="00D4765C">
        <w:rPr>
          <w:rFonts w:ascii="Times New Roman" w:hAnsi="Times New Roman" w:cs="Times New Roman"/>
        </w:rPr>
        <w:t>acrecentamiento</w:t>
      </w:r>
      <w:r w:rsidR="00452A5A" w:rsidRPr="00D4765C">
        <w:rPr>
          <w:rFonts w:ascii="Times New Roman" w:hAnsi="Times New Roman" w:cs="Times New Roman"/>
        </w:rPr>
        <w:t xml:space="preserve"> en los precios de las materias primas que exporta la región.  S</w:t>
      </w:r>
      <w:r w:rsidR="00171909" w:rsidRPr="00D4765C">
        <w:rPr>
          <w:rFonts w:ascii="Times New Roman" w:hAnsi="Times New Roman" w:cs="Times New Roman"/>
        </w:rPr>
        <w:t>egún el</w:t>
      </w:r>
      <w:r w:rsidR="00452A5A" w:rsidRPr="00D4765C">
        <w:rPr>
          <w:rFonts w:ascii="Times New Roman" w:hAnsi="Times New Roman" w:cs="Times New Roman"/>
        </w:rPr>
        <w:t xml:space="preserve"> </w:t>
      </w:r>
      <w:r w:rsidR="00171909" w:rsidRPr="00D4765C">
        <w:rPr>
          <w:rFonts w:ascii="Times New Roman" w:hAnsi="Times New Roman" w:cs="Times New Roman"/>
        </w:rPr>
        <w:t>informe</w:t>
      </w:r>
      <w:r w:rsidR="00452A5A" w:rsidRPr="00D4765C">
        <w:rPr>
          <w:rFonts w:ascii="Times New Roman" w:hAnsi="Times New Roman" w:cs="Times New Roman"/>
        </w:rPr>
        <w:t xml:space="preserve">, </w:t>
      </w:r>
      <w:r w:rsidR="00171909" w:rsidRPr="00D4765C">
        <w:rPr>
          <w:rFonts w:ascii="Times New Roman" w:hAnsi="Times New Roman" w:cs="Times New Roman"/>
        </w:rPr>
        <w:t>a pesar de</w:t>
      </w:r>
      <w:r w:rsidR="00452A5A" w:rsidRPr="00D4765C">
        <w:rPr>
          <w:rFonts w:ascii="Times New Roman" w:hAnsi="Times New Roman" w:cs="Times New Roman"/>
        </w:rPr>
        <w:t xml:space="preserve"> los riesgos geopolíticos actuales</w:t>
      </w:r>
      <w:r w:rsidR="00171909" w:rsidRPr="00D4765C">
        <w:rPr>
          <w:rFonts w:ascii="Times New Roman" w:hAnsi="Times New Roman" w:cs="Times New Roman"/>
        </w:rPr>
        <w:t xml:space="preserve"> y de la continua incertidumbre sobre cuáles van a ser las reformas en las que va a incurrir Estados Unidos en materia fiscal y comercial</w:t>
      </w:r>
      <w:r w:rsidR="00452A5A" w:rsidRPr="00D4765C">
        <w:rPr>
          <w:rFonts w:ascii="Times New Roman" w:hAnsi="Times New Roman" w:cs="Times New Roman"/>
        </w:rPr>
        <w:t>, el contexto externo ofrece una serie de oportunidades para impulsar el avance económico en la región.</w:t>
      </w:r>
      <w:r w:rsidR="00171909" w:rsidRPr="00D4765C">
        <w:rPr>
          <w:rFonts w:ascii="Times New Roman" w:hAnsi="Times New Roman" w:cs="Times New Roman"/>
        </w:rPr>
        <w:t xml:space="preserve"> </w:t>
      </w:r>
      <w:r w:rsidR="00DB4551" w:rsidRPr="00D4765C">
        <w:rPr>
          <w:rFonts w:ascii="Times New Roman" w:hAnsi="Times New Roman" w:cs="Times New Roman"/>
        </w:rPr>
        <w:t xml:space="preserve"> </w:t>
      </w:r>
    </w:p>
    <w:p w:rsidR="006F7575" w:rsidRPr="00D4765C" w:rsidRDefault="006F7575" w:rsidP="00CF5AB1">
      <w:pPr>
        <w:pStyle w:val="NoSpacing"/>
        <w:jc w:val="both"/>
        <w:rPr>
          <w:rFonts w:ascii="Times New Roman" w:hAnsi="Times New Roman" w:cs="Times New Roman"/>
          <w:lang w:val="es-MX"/>
        </w:rPr>
      </w:pPr>
    </w:p>
    <w:p w:rsidR="00B95BBF" w:rsidRPr="00D4765C" w:rsidRDefault="00B95BBF" w:rsidP="00B95BBF">
      <w:pPr>
        <w:spacing w:after="0" w:line="240" w:lineRule="auto"/>
        <w:jc w:val="both"/>
        <w:rPr>
          <w:rFonts w:ascii="Times New Roman" w:hAnsi="Times New Roman" w:cs="Times New Roman"/>
          <w:lang w:val="es-MX"/>
        </w:rPr>
      </w:pPr>
      <w:r w:rsidRPr="00D4765C">
        <w:rPr>
          <w:rFonts w:ascii="Times New Roman" w:hAnsi="Times New Roman" w:cs="Times New Roman"/>
          <w:lang w:val="es-MX"/>
        </w:rPr>
        <w:lastRenderedPageBreak/>
        <w:t>El entorno interno, la percepción sobre la situación económica actual y el ambiente para los negocios</w:t>
      </w:r>
      <w:r w:rsidR="0092473F" w:rsidRPr="00D4765C">
        <w:rPr>
          <w:rFonts w:ascii="Times New Roman" w:hAnsi="Times New Roman" w:cs="Times New Roman"/>
          <w:lang w:val="es-MX"/>
        </w:rPr>
        <w:t xml:space="preserve"> disminuyó</w:t>
      </w:r>
      <w:r w:rsidR="00CE13DA" w:rsidRPr="00D4765C">
        <w:rPr>
          <w:rFonts w:ascii="Times New Roman" w:hAnsi="Times New Roman" w:cs="Times New Roman"/>
          <w:lang w:val="es-MX"/>
        </w:rPr>
        <w:t xml:space="preserve"> en 6.66% con respecto al registrado en junio</w:t>
      </w:r>
      <w:r w:rsidRPr="00D4765C">
        <w:rPr>
          <w:rFonts w:ascii="Times New Roman" w:hAnsi="Times New Roman" w:cs="Times New Roman"/>
          <w:lang w:val="es-MX"/>
        </w:rPr>
        <w:t xml:space="preserve">, el nivel del Índice de Confianza de la Actividad Económica se situó </w:t>
      </w:r>
      <w:r w:rsidR="00CE13DA" w:rsidRPr="00D4765C">
        <w:rPr>
          <w:rFonts w:ascii="Times New Roman" w:hAnsi="Times New Roman" w:cs="Times New Roman"/>
          <w:lang w:val="es-MX"/>
        </w:rPr>
        <w:t>en 46.67 puntos, abajo de</w:t>
      </w:r>
      <w:r w:rsidR="00924E88" w:rsidRPr="00D4765C">
        <w:rPr>
          <w:rFonts w:ascii="Times New Roman" w:hAnsi="Times New Roman" w:cs="Times New Roman"/>
          <w:lang w:val="es-MX"/>
        </w:rPr>
        <w:t xml:space="preserve"> la línea que divide la zona </w:t>
      </w:r>
      <w:r w:rsidR="00CE13DA" w:rsidRPr="00D4765C">
        <w:rPr>
          <w:rFonts w:ascii="Times New Roman" w:hAnsi="Times New Roman" w:cs="Times New Roman"/>
          <w:lang w:val="es-MX"/>
        </w:rPr>
        <w:t xml:space="preserve">de expansión con la contracción.  </w:t>
      </w:r>
      <w:r w:rsidR="00DB4551" w:rsidRPr="00D4765C">
        <w:rPr>
          <w:rFonts w:ascii="Times New Roman" w:hAnsi="Times New Roman" w:cs="Times New Roman"/>
          <w:lang w:val="es-MX"/>
        </w:rPr>
        <w:t>En l</w:t>
      </w:r>
      <w:r w:rsidR="00715C88" w:rsidRPr="00D4765C">
        <w:rPr>
          <w:rFonts w:ascii="Times New Roman" w:hAnsi="Times New Roman" w:cs="Times New Roman"/>
          <w:lang w:val="es-MX"/>
        </w:rPr>
        <w:t xml:space="preserve">a encuesta de expectativas económicas </w:t>
      </w:r>
      <w:r w:rsidR="009D72CF" w:rsidRPr="00D4765C">
        <w:rPr>
          <w:rFonts w:ascii="Times New Roman" w:hAnsi="Times New Roman" w:cs="Times New Roman"/>
          <w:lang w:val="es-MX"/>
        </w:rPr>
        <w:t xml:space="preserve">se refleja que el panel de analistas privados espera </w:t>
      </w:r>
      <w:r w:rsidR="00715C88" w:rsidRPr="00D4765C">
        <w:rPr>
          <w:rFonts w:ascii="Times New Roman" w:hAnsi="Times New Roman" w:cs="Times New Roman"/>
          <w:lang w:val="es-MX"/>
        </w:rPr>
        <w:t xml:space="preserve"> un ritmo inflacionario de 4.33% para julio, 4.32% para agosto y 4.36% para septiembre del presente año.  Con respecto al PIB Real, </w:t>
      </w:r>
      <w:r w:rsidR="009D72CF" w:rsidRPr="00D4765C">
        <w:rPr>
          <w:rFonts w:ascii="Times New Roman" w:hAnsi="Times New Roman" w:cs="Times New Roman"/>
          <w:lang w:val="es-MX"/>
        </w:rPr>
        <w:t>el panel pronostica</w:t>
      </w:r>
      <w:r w:rsidR="00715C88" w:rsidRPr="00D4765C">
        <w:rPr>
          <w:rFonts w:ascii="Times New Roman" w:hAnsi="Times New Roman" w:cs="Times New Roman"/>
          <w:lang w:val="es-MX"/>
        </w:rPr>
        <w:t xml:space="preserve"> un crecimiento de 3.2% en 2017 y de 3.4% en 2018.</w:t>
      </w:r>
      <w:r w:rsidR="00924E88" w:rsidRPr="00D4765C">
        <w:rPr>
          <w:rFonts w:ascii="Times New Roman" w:hAnsi="Times New Roman" w:cs="Times New Roman"/>
          <w:lang w:val="es-MX"/>
        </w:rPr>
        <w:t xml:space="preserve"> </w:t>
      </w:r>
    </w:p>
    <w:p w:rsidR="00B95BBF" w:rsidRPr="00D4765C" w:rsidRDefault="00B95BBF" w:rsidP="00B95BBF">
      <w:pPr>
        <w:spacing w:after="0" w:line="240" w:lineRule="auto"/>
        <w:jc w:val="both"/>
        <w:rPr>
          <w:rFonts w:ascii="Times New Roman" w:hAnsi="Times New Roman" w:cs="Times New Roman"/>
          <w:lang w:val="es-MX"/>
        </w:rPr>
      </w:pPr>
    </w:p>
    <w:p w:rsidR="007B26CD" w:rsidRPr="00D4765C" w:rsidRDefault="007B26CD" w:rsidP="007B26CD">
      <w:pPr>
        <w:pStyle w:val="NoSpacing"/>
        <w:jc w:val="both"/>
        <w:rPr>
          <w:rFonts w:ascii="Times New Roman" w:hAnsi="Times New Roman" w:cs="Times New Roman"/>
          <w:lang w:val="es-MX"/>
        </w:rPr>
      </w:pPr>
      <w:r w:rsidRPr="00D4765C">
        <w:rPr>
          <w:rFonts w:ascii="Times New Roman" w:hAnsi="Times New Roman" w:cs="Times New Roman"/>
          <w:lang w:val="es-MX"/>
        </w:rPr>
        <w:t xml:space="preserve">La agencia calificadora de riesgo </w:t>
      </w:r>
      <w:proofErr w:type="spellStart"/>
      <w:r w:rsidRPr="00D4765C">
        <w:rPr>
          <w:rFonts w:ascii="Times New Roman" w:hAnsi="Times New Roman" w:cs="Times New Roman"/>
          <w:lang w:val="es-MX"/>
        </w:rPr>
        <w:t>Moody´s</w:t>
      </w:r>
      <w:proofErr w:type="spellEnd"/>
      <w:r w:rsidRPr="00D4765C">
        <w:rPr>
          <w:rFonts w:ascii="Times New Roman" w:hAnsi="Times New Roman" w:cs="Times New Roman"/>
          <w:lang w:val="es-MX"/>
        </w:rPr>
        <w:t xml:space="preserve"> Investor </w:t>
      </w:r>
      <w:proofErr w:type="spellStart"/>
      <w:r w:rsidRPr="00D4765C">
        <w:rPr>
          <w:rFonts w:ascii="Times New Roman" w:hAnsi="Times New Roman" w:cs="Times New Roman"/>
        </w:rPr>
        <w:t>Services</w:t>
      </w:r>
      <w:proofErr w:type="spellEnd"/>
      <w:r w:rsidRPr="00D4765C">
        <w:rPr>
          <w:rFonts w:ascii="Times New Roman" w:hAnsi="Times New Roman" w:cs="Times New Roman"/>
          <w:lang w:val="es-MX"/>
        </w:rPr>
        <w:t xml:space="preserve"> mantuvo la calificación de riesgo crediticio en “Ba1 con perspectiva estable” para Guatemala; de acuerdo a su informe anual publicado esta semana, dicha calificación es resultado de un crecimiento económico estable, de bajos déficit fiscales y de la robustez de la economía ante la crisis política de 2015.  </w:t>
      </w:r>
      <w:r w:rsidR="00725F93" w:rsidRPr="00D4765C">
        <w:rPr>
          <w:rFonts w:ascii="Times New Roman" w:hAnsi="Times New Roman" w:cs="Times New Roman"/>
          <w:lang w:val="es-MX"/>
        </w:rPr>
        <w:t>L</w:t>
      </w:r>
      <w:r w:rsidRPr="00D4765C">
        <w:rPr>
          <w:rFonts w:ascii="Times New Roman" w:hAnsi="Times New Roman" w:cs="Times New Roman"/>
          <w:lang w:val="es-MX"/>
        </w:rPr>
        <w:t xml:space="preserve">a agencia indicó que la calificación podría ser revisada al alza si se incrementaran sustancialmente los ingresos tributarios, si se producen cambios que mejoren significativamente el crecimiento económico y el PIB per cápita y si se observa un fortalecimiento institucional; </w:t>
      </w:r>
      <w:r w:rsidR="00725F93" w:rsidRPr="00D4765C">
        <w:rPr>
          <w:rFonts w:ascii="Times New Roman" w:hAnsi="Times New Roman" w:cs="Times New Roman"/>
          <w:lang w:val="es-MX"/>
        </w:rPr>
        <w:t>o revisada</w:t>
      </w:r>
      <w:r w:rsidRPr="00D4765C">
        <w:rPr>
          <w:rFonts w:ascii="Times New Roman" w:hAnsi="Times New Roman" w:cs="Times New Roman"/>
          <w:lang w:val="es-MX"/>
        </w:rPr>
        <w:t xml:space="preserve"> a la baja si se erosiona el compromiso de las autoridades con una gestión fiscal conservadora, si se observa un deterioro económico que conduzca a coeficientes de deuda persistentemente elevados, si se reducen los indicadores de desarrollo (económico y humano) o si se producen amenazas a la estabilidad política del país.</w:t>
      </w:r>
    </w:p>
    <w:p w:rsidR="008277A9" w:rsidRPr="000D0C01" w:rsidRDefault="008277A9" w:rsidP="00B95BBF">
      <w:pPr>
        <w:spacing w:after="0" w:line="240" w:lineRule="auto"/>
        <w:jc w:val="both"/>
        <w:rPr>
          <w:rFonts w:ascii="Times New Roman" w:hAnsi="Times New Roman" w:cs="Times New Roman"/>
          <w:color w:val="FF0000"/>
          <w:lang w:val="es-MX"/>
        </w:rPr>
      </w:pPr>
    </w:p>
    <w:p w:rsidR="00343A5D" w:rsidRPr="000D0C01" w:rsidRDefault="00343A5D" w:rsidP="0042387A">
      <w:pPr>
        <w:spacing w:after="0" w:line="240" w:lineRule="auto"/>
        <w:rPr>
          <w:rFonts w:ascii="Times New Roman" w:hAnsi="Times New Roman" w:cs="Times New Roman"/>
          <w:color w:val="FF0000"/>
          <w:lang w:val="es-MX"/>
        </w:rPr>
        <w:sectPr w:rsidR="00343A5D" w:rsidRPr="000D0C01" w:rsidSect="00374D44">
          <w:type w:val="continuous"/>
          <w:pgSz w:w="12240" w:h="15840" w:code="1"/>
          <w:pgMar w:top="1418" w:right="1418" w:bottom="1418" w:left="1701" w:header="709" w:footer="709" w:gutter="0"/>
          <w:cols w:num="2" w:space="708"/>
          <w:docGrid w:linePitch="360"/>
        </w:sectPr>
      </w:pPr>
    </w:p>
    <w:p w:rsidR="00374D44" w:rsidRPr="000D0C01" w:rsidRDefault="00374D44" w:rsidP="000D016D">
      <w:pPr>
        <w:spacing w:after="0" w:line="240" w:lineRule="auto"/>
        <w:rPr>
          <w:rFonts w:ascii="Times New Roman" w:hAnsi="Times New Roman" w:cs="Times New Roman"/>
          <w:noProof/>
          <w:color w:val="FF0000"/>
          <w:sz w:val="16"/>
          <w:lang w:eastAsia="es-GT"/>
        </w:rPr>
      </w:pPr>
    </w:p>
    <w:p w:rsidR="00374D44" w:rsidRDefault="00374D44" w:rsidP="000D016D">
      <w:pPr>
        <w:spacing w:after="0" w:line="240" w:lineRule="auto"/>
        <w:rPr>
          <w:rFonts w:ascii="Times New Roman" w:hAnsi="Times New Roman" w:cs="Times New Roman"/>
          <w:noProof/>
          <w:color w:val="FF0000"/>
          <w:sz w:val="16"/>
          <w:lang w:eastAsia="es-GT"/>
        </w:rPr>
      </w:pPr>
    </w:p>
    <w:p w:rsidR="00677E6C" w:rsidRDefault="00677E6C" w:rsidP="000D016D">
      <w:pPr>
        <w:spacing w:after="0" w:line="240" w:lineRule="auto"/>
        <w:rPr>
          <w:rFonts w:ascii="Times New Roman" w:hAnsi="Times New Roman" w:cs="Times New Roman"/>
          <w:noProof/>
          <w:color w:val="FF0000"/>
          <w:sz w:val="16"/>
          <w:lang w:eastAsia="es-GT"/>
        </w:rPr>
      </w:pPr>
    </w:p>
    <w:p w:rsidR="00677E6C" w:rsidRDefault="00677E6C" w:rsidP="000D016D">
      <w:pPr>
        <w:spacing w:after="0" w:line="240" w:lineRule="auto"/>
        <w:rPr>
          <w:rFonts w:ascii="Times New Roman" w:hAnsi="Times New Roman" w:cs="Times New Roman"/>
          <w:noProof/>
          <w:color w:val="FF0000"/>
          <w:sz w:val="16"/>
          <w:lang w:eastAsia="es-GT"/>
        </w:rPr>
      </w:pPr>
    </w:p>
    <w:p w:rsidR="00677E6C" w:rsidRDefault="00677E6C" w:rsidP="000D016D">
      <w:pPr>
        <w:spacing w:after="0" w:line="240" w:lineRule="auto"/>
        <w:rPr>
          <w:rFonts w:ascii="Times New Roman" w:hAnsi="Times New Roman" w:cs="Times New Roman"/>
          <w:noProof/>
          <w:color w:val="FF0000"/>
          <w:sz w:val="16"/>
          <w:lang w:eastAsia="es-GT"/>
        </w:rPr>
      </w:pPr>
    </w:p>
    <w:p w:rsidR="00677E6C" w:rsidRDefault="00677E6C" w:rsidP="000D016D">
      <w:pPr>
        <w:spacing w:after="0" w:line="240" w:lineRule="auto"/>
        <w:rPr>
          <w:rFonts w:ascii="Times New Roman" w:hAnsi="Times New Roman" w:cs="Times New Roman"/>
          <w:noProof/>
          <w:color w:val="FF0000"/>
          <w:sz w:val="16"/>
          <w:lang w:eastAsia="es-GT"/>
        </w:rPr>
      </w:pPr>
    </w:p>
    <w:p w:rsidR="00677E6C" w:rsidRDefault="00677E6C" w:rsidP="000D016D">
      <w:pPr>
        <w:spacing w:after="0" w:line="240" w:lineRule="auto"/>
        <w:rPr>
          <w:rFonts w:ascii="Times New Roman" w:hAnsi="Times New Roman" w:cs="Times New Roman"/>
          <w:noProof/>
          <w:color w:val="FF0000"/>
          <w:sz w:val="16"/>
          <w:lang w:eastAsia="es-GT"/>
        </w:rPr>
      </w:pPr>
    </w:p>
    <w:p w:rsidR="00677E6C" w:rsidRDefault="00677E6C" w:rsidP="000D016D">
      <w:pPr>
        <w:spacing w:after="0" w:line="240" w:lineRule="auto"/>
        <w:rPr>
          <w:rFonts w:ascii="Times New Roman" w:hAnsi="Times New Roman" w:cs="Times New Roman"/>
          <w:noProof/>
          <w:color w:val="FF0000"/>
          <w:sz w:val="16"/>
          <w:lang w:eastAsia="es-GT"/>
        </w:rPr>
      </w:pPr>
    </w:p>
    <w:p w:rsidR="00677E6C" w:rsidRDefault="00677E6C" w:rsidP="000D016D">
      <w:pPr>
        <w:spacing w:after="0" w:line="240" w:lineRule="auto"/>
        <w:rPr>
          <w:rFonts w:ascii="Times New Roman" w:hAnsi="Times New Roman" w:cs="Times New Roman"/>
          <w:noProof/>
          <w:color w:val="FF0000"/>
          <w:sz w:val="16"/>
          <w:lang w:eastAsia="es-GT"/>
        </w:rPr>
      </w:pPr>
    </w:p>
    <w:p w:rsidR="00644B94" w:rsidRPr="000D0C01" w:rsidRDefault="00644B94" w:rsidP="000D016D">
      <w:pPr>
        <w:spacing w:after="0" w:line="240" w:lineRule="auto"/>
        <w:rPr>
          <w:rFonts w:ascii="Times New Roman" w:hAnsi="Times New Roman" w:cs="Times New Roman"/>
          <w:noProof/>
          <w:color w:val="FF0000"/>
          <w:sz w:val="16"/>
          <w:lang w:eastAsia="es-GT"/>
        </w:rPr>
      </w:pPr>
    </w:p>
    <w:p w:rsidR="00343A5D" w:rsidRPr="00D4765C" w:rsidRDefault="00343A5D" w:rsidP="00343A5D">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343A5D" w:rsidRPr="00D4765C" w:rsidSect="00FA3B81">
          <w:headerReference w:type="default" r:id="rId28"/>
          <w:footerReference w:type="default" r:id="rId29"/>
          <w:type w:val="continuous"/>
          <w:pgSz w:w="12240" w:h="15840" w:code="1"/>
          <w:pgMar w:top="1418" w:right="1418" w:bottom="1418" w:left="1418" w:header="709" w:footer="709" w:gutter="0"/>
          <w:cols w:space="708"/>
          <w:docGrid w:linePitch="360"/>
        </w:sectPr>
      </w:pPr>
      <w:r w:rsidRPr="00D4765C">
        <w:rPr>
          <w:rFonts w:ascii="Times New Roman" w:hAnsi="Times New Roman" w:cs="Times New Roman"/>
          <w:b/>
          <w:lang w:val="es-MX"/>
        </w:rPr>
        <w:t>Anexo</w:t>
      </w:r>
    </w:p>
    <w:p w:rsidR="00343A5D" w:rsidRPr="000D0C01" w:rsidRDefault="00343A5D" w:rsidP="00416D41">
      <w:pPr>
        <w:spacing w:after="0" w:line="240" w:lineRule="auto"/>
        <w:jc w:val="center"/>
        <w:rPr>
          <w:rFonts w:ascii="Times New Roman" w:hAnsi="Times New Roman" w:cs="Times New Roman"/>
          <w:noProof/>
          <w:color w:val="FF0000"/>
          <w:lang w:eastAsia="es-GT"/>
        </w:rPr>
      </w:pPr>
    </w:p>
    <w:p w:rsidR="00374D44" w:rsidRPr="000D0C01" w:rsidRDefault="00374D44" w:rsidP="00416D41">
      <w:pPr>
        <w:spacing w:after="0" w:line="240" w:lineRule="auto"/>
        <w:jc w:val="center"/>
        <w:rPr>
          <w:rFonts w:ascii="Times New Roman" w:hAnsi="Times New Roman" w:cs="Times New Roman"/>
          <w:noProof/>
          <w:color w:val="FF0000"/>
          <w:lang w:eastAsia="es-GT"/>
        </w:rPr>
      </w:pPr>
    </w:p>
    <w:p w:rsidR="00416D41" w:rsidRPr="000D0C01" w:rsidRDefault="00D4765C" w:rsidP="00416D41">
      <w:pPr>
        <w:spacing w:after="0" w:line="240" w:lineRule="auto"/>
        <w:jc w:val="center"/>
        <w:rPr>
          <w:rFonts w:ascii="Times New Roman" w:hAnsi="Times New Roman" w:cs="Times New Roman"/>
          <w:color w:val="FF0000"/>
          <w:lang w:val="es-MX"/>
        </w:rPr>
      </w:pPr>
      <w:r w:rsidRPr="003D4FEB">
        <w:rPr>
          <w:noProof/>
          <w:lang w:val="es-ES" w:eastAsia="es-ES"/>
        </w:rPr>
        <w:drawing>
          <wp:inline distT="0" distB="0" distL="0" distR="0" wp14:anchorId="0E283D2A" wp14:editId="38BF3FF0">
            <wp:extent cx="6050689" cy="5210175"/>
            <wp:effectExtent l="0" t="0" r="7620" b="0"/>
            <wp:docPr id="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66325" cy="5223639"/>
                    </a:xfrm>
                    <a:prstGeom prst="rect">
                      <a:avLst/>
                    </a:prstGeom>
                    <a:noFill/>
                    <a:ln>
                      <a:noFill/>
                    </a:ln>
                  </pic:spPr>
                </pic:pic>
              </a:graphicData>
            </a:graphic>
          </wp:inline>
        </w:drawing>
      </w:r>
    </w:p>
    <w:sectPr w:rsidR="00416D41" w:rsidRPr="000D0C01" w:rsidSect="00416D41">
      <w:headerReference w:type="default" r:id="rId31"/>
      <w:footerReference w:type="default" r:id="rId32"/>
      <w:type w:val="continuous"/>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7A1" w:rsidRDefault="00ED27A1" w:rsidP="007D4651">
      <w:pPr>
        <w:spacing w:after="0" w:line="240" w:lineRule="auto"/>
      </w:pPr>
      <w:r>
        <w:separator/>
      </w:r>
    </w:p>
  </w:endnote>
  <w:endnote w:type="continuationSeparator" w:id="0">
    <w:p w:rsidR="00ED27A1" w:rsidRDefault="00ED27A1"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89789790"/>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63360" behindDoc="0" locked="0" layoutInCell="1" allowOverlap="1" wp14:anchorId="4DF388BB" wp14:editId="12D153C4">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7A24C4"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9041A" w:rsidRPr="0009041A">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9405431"/>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67456" behindDoc="0" locked="0" layoutInCell="1" allowOverlap="1" wp14:anchorId="484EA057" wp14:editId="0B6A034C">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EEC3E5"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F342FF" w:rsidRPr="00F342FF">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040502408"/>
      <w:docPartObj>
        <w:docPartGallery w:val="Page Numbers (Bottom of Page)"/>
        <w:docPartUnique/>
      </w:docPartObj>
    </w:sdtPr>
    <w:sdtEndPr/>
    <w:sdtContent>
      <w:p w:rsidR="00EB1910" w:rsidRDefault="00EB1910">
        <w:pPr>
          <w:pStyle w:val="Footer"/>
          <w:jc w:val="right"/>
          <w:rPr>
            <w:lang w:val="es-ES"/>
          </w:rPr>
        </w:pPr>
      </w:p>
      <w:p w:rsidR="00EB1910" w:rsidRDefault="00EB1910" w:rsidP="007D4651">
        <w:pPr>
          <w:pStyle w:val="Footer"/>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08416" behindDoc="0" locked="0" layoutInCell="1" allowOverlap="1" wp14:anchorId="6FFECFFF" wp14:editId="1D7E596F">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F3173"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B1910" w:rsidRDefault="00EB1910">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9041A" w:rsidRPr="0009041A">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EB1910" w:rsidRDefault="00EB1910" w:rsidP="007D4651">
    <w:pPr>
      <w:pStyle w:val="Footer"/>
      <w:tabs>
        <w:tab w:val="clear" w:pos="4419"/>
        <w:tab w:val="clear" w:pos="8838"/>
        <w:tab w:val="left" w:pos="5777"/>
      </w:tabs>
    </w:pPr>
  </w:p>
  <w:p w:rsidR="00EB1910" w:rsidRDefault="00EB191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03057022"/>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1552" behindDoc="0" locked="0" layoutInCell="1" allowOverlap="1" wp14:anchorId="18C4988A" wp14:editId="491CAC6A">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CFAF7D"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44B94" w:rsidRPr="00644B94">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056910818"/>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5648" behindDoc="0" locked="0" layoutInCell="1" allowOverlap="1" wp14:anchorId="0DF053F2" wp14:editId="57D12F53">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82BB1"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9041A" w:rsidRPr="0009041A">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650588095"/>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79744" behindDoc="0" locked="0" layoutInCell="1" allowOverlap="1" wp14:anchorId="32859871" wp14:editId="4A35E2EB">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287D1D"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9041A" w:rsidRPr="0009041A">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43603254"/>
      <w:docPartObj>
        <w:docPartGallery w:val="Page Numbers (Bottom of Page)"/>
        <w:docPartUnique/>
      </w:docPartObj>
    </w:sdtPr>
    <w:sdtEndPr/>
    <w:sdtContent>
      <w:p w:rsidR="00AF68D3" w:rsidRDefault="00AF68D3">
        <w:pPr>
          <w:pStyle w:val="Footer"/>
          <w:jc w:val="right"/>
          <w:rPr>
            <w:lang w:val="es-ES"/>
          </w:rPr>
        </w:pPr>
      </w:p>
      <w:p w:rsidR="00AF68D3" w:rsidRDefault="00AF68D3" w:rsidP="00AF4290">
        <w:pPr>
          <w:pStyle w:val="Footer"/>
          <w:tabs>
            <w:tab w:val="left" w:pos="2694"/>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704320" behindDoc="0" locked="0" layoutInCell="1" allowOverlap="1" wp14:anchorId="1931AD82" wp14:editId="21DA20BB">
                  <wp:simplePos x="0" y="0"/>
                  <wp:positionH relativeFrom="column">
                    <wp:posOffset>1776669</wp:posOffset>
                  </wp:positionH>
                  <wp:positionV relativeFrom="paragraph">
                    <wp:posOffset>70516</wp:posOffset>
                  </wp:positionV>
                  <wp:extent cx="5155565" cy="45719"/>
                  <wp:effectExtent l="38100" t="38100" r="64135" b="88265"/>
                  <wp:wrapNone/>
                  <wp:docPr id="24"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D9350" id="24 Rectángulo" o:spid="_x0000_s1026" style="position:absolute;margin-left:139.9pt;margin-top:5.55pt;width:405.95pt;height:3.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fvPgMAAKcHAAAOAAAAZHJzL2Uyb0RvYy54bWysVdlO3DAUfa/Uf7D8XrIwYRmRQSMQVSUK&#10;iKHi+Y7jTKI6tmt7Fvo3/Zb+WK/tTBjoCKGqL8m1fe7icxefnW86QVbc2FbJkmYHKSVcMlW1clHS&#10;bw9Xn04osQ5kBUJJXtInbun55OOHs7Ue81w1SlTcEDQi7XitS9o4p8dJYlnDO7AHSnOJh7UyHThc&#10;mkVSGVij9U4keZoeJWtlKm0U49bi7mU8pJNgv645c7d1bbkjoqQYmwtfE75z/00mZzBeGNBNy/ow&#10;4B+i6KCV6HQwdQkOyNK0f5nqWmaUVbU7YKpLVF23jIc74G2y9NVtZg1oHu6C5Fg90GT/n1l2s7oz&#10;pK1Kmo8okdBhjvIRuUfifv+Si6VQnqK1tmNEzvSd6VcWRX/fTW06/8ebkE2g9WmglW8cYbhZZEVR&#10;HBWUMDwbFcfZqbeZPCtrY91nrjrihZIadB7IhNW1dRG6hfQcV1etEEG2CIkC0QqJOcyLNA/aoYb4&#10;hTBkBZh9YIxLl/WuF3ZX6Tg/TdN9SvNFtCWW3VdVRUMIRXAMa/AR7vPSaD7yOO9mQEUD3mhUf6mw&#10;F/xW2EWIZI+Ht5Qyr/ROV5ijxZZg0UoCvquxjSwDwbFmBjYNDBkR0gcklc9QvGXc4aEb+2yppeNm&#10;1lRrMhdLcw9oq0hPMCxStb4EDk8wTL/AVs2PY8QExAJnjBOUGOUeW9eE/vABeY++QoZkzwWw72Eb&#10;hG4g8u7zsU1cjw5pG4IJq504E1/3sdKD5J4E966EvOc1Ng3W9pulFjLTQMWj/5iufYUTDHp0jaQN&#10;trN9xfMytT3eq8a4B+V3ZHjQCJ6VdINy10pl9nkXQwPVEY+U7VDjxbmqnnCkYIpiqWh21WJqrsG6&#10;OzA4XDGv+GC4W/zUQq1LqnqJkkaZn/v2PR5nHp5SssZhXVL7YwmGUyK+SGz602w0QrMuLHDC5Lgw&#10;uyfz3RO57C4UToQMC1mzIHq8E1uxNqp7xHdl6r3iEUiGvkvKnNkuLlx8RPBlYnw6DTCc6BrctZxp&#10;5o17Vn2ZPWweweh+tjkcijdqO9hh/GrERazXlGq6dKpuw/x75rXnG1+DUKz9y+Wfm911QD2/r5M/&#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PVGH7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9041A" w:rsidRPr="0009041A">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87236705"/>
      <w:docPartObj>
        <w:docPartGallery w:val="Page Numbers (Bottom of Page)"/>
        <w:docPartUnique/>
      </w:docPartObj>
    </w:sdtPr>
    <w:sdtEndPr/>
    <w:sdtContent>
      <w:p w:rsidR="00AF68D3" w:rsidRDefault="00AF68D3">
        <w:pPr>
          <w:pStyle w:val="Footer"/>
          <w:jc w:val="right"/>
          <w:rPr>
            <w:lang w:val="es-ES"/>
          </w:rPr>
        </w:pPr>
      </w:p>
      <w:p w:rsidR="00AF68D3" w:rsidRDefault="00AF68D3" w:rsidP="007D4651">
        <w:pPr>
          <w:pStyle w:val="Footer"/>
          <w:tabs>
            <w:tab w:val="left" w:pos="6489"/>
          </w:tabs>
          <w:rPr>
            <w:lang w:val="es-ES"/>
          </w:rPr>
        </w:pPr>
        <w:r>
          <w:rPr>
            <w:rFonts w:ascii="Times New Roman" w:hAnsi="Times New Roman" w:cs="Times New Roman"/>
            <w:noProof/>
            <w:lang w:val="es-ES" w:eastAsia="es-ES"/>
          </w:rPr>
          <mc:AlternateContent>
            <mc:Choice Requires="wps">
              <w:drawing>
                <wp:anchor distT="0" distB="0" distL="114300" distR="114300" simplePos="0" relativeHeight="251683840" behindDoc="0" locked="0" layoutInCell="1" allowOverlap="1" wp14:anchorId="1A67760D" wp14:editId="0E289044">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42AD9"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Footer"/>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44B94" w:rsidRPr="00644B94">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Footer"/>
      <w:tabs>
        <w:tab w:val="clear" w:pos="4419"/>
        <w:tab w:val="clear" w:pos="8838"/>
        <w:tab w:val="left" w:pos="5777"/>
      </w:tabs>
    </w:pPr>
  </w:p>
  <w:p w:rsidR="00AF68D3" w:rsidRDefault="00AF68D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7A1" w:rsidRDefault="00ED27A1" w:rsidP="007D4651">
      <w:pPr>
        <w:spacing w:after="0" w:line="240" w:lineRule="auto"/>
      </w:pPr>
      <w:r>
        <w:separator/>
      </w:r>
    </w:p>
  </w:footnote>
  <w:footnote w:type="continuationSeparator" w:id="0">
    <w:p w:rsidR="00ED27A1" w:rsidRDefault="00ED27A1"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Header"/>
      <w:jc w:val="right"/>
      <w:rPr>
        <w:rFonts w:ascii="Times New Roman" w:hAnsi="Times New Roman" w:cs="Times New Roman"/>
        <w:b/>
        <w:color w:val="1F497D" w:themeColor="text2"/>
        <w:sz w:val="24"/>
        <w:lang w:val="es-MX"/>
      </w:rPr>
    </w:pPr>
    <w:r w:rsidRPr="008B1B52">
      <w:rPr>
        <w:noProof/>
        <w:lang w:val="es-ES" w:eastAsia="es-ES"/>
      </w:rPr>
      <w:drawing>
        <wp:anchor distT="0" distB="0" distL="114300" distR="114300" simplePos="0" relativeHeight="251716608" behindDoc="1" locked="0" layoutInCell="1" allowOverlap="1" wp14:anchorId="0C1D5FBE" wp14:editId="5DEEBB30">
          <wp:simplePos x="0" y="0"/>
          <wp:positionH relativeFrom="column">
            <wp:posOffset>-86360</wp:posOffset>
          </wp:positionH>
          <wp:positionV relativeFrom="paragraph">
            <wp:posOffset>-165718</wp:posOffset>
          </wp:positionV>
          <wp:extent cx="1697990" cy="914400"/>
          <wp:effectExtent l="0" t="0" r="0" b="0"/>
          <wp:wrapNone/>
          <wp:docPr id="14" name="Imagen 14"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AF4290" w:rsidP="00BD3A7C">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w:t>
    </w:r>
    <w:r w:rsidR="00376FE9">
      <w:rPr>
        <w:rFonts w:ascii="Times New Roman" w:hAnsi="Times New Roman" w:cs="Times New Roman"/>
        <w:color w:val="1F497D" w:themeColor="text2"/>
        <w:lang w:val="es-MX"/>
      </w:rPr>
      <w:t>io</w:t>
    </w:r>
    <w:r w:rsidR="00AF68D3">
      <w:rPr>
        <w:rFonts w:ascii="Times New Roman" w:hAnsi="Times New Roman" w:cs="Times New Roman"/>
        <w:color w:val="1F497D" w:themeColor="text2"/>
        <w:lang w:val="es-MX"/>
      </w:rPr>
      <w:t xml:space="preserve"> 2017</w:t>
    </w:r>
  </w:p>
  <w:p w:rsidR="00AF68D3" w:rsidRDefault="00AF4290" w:rsidP="007D4651">
    <w:pPr>
      <w:pStyle w:val="Header"/>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14560" behindDoc="0" locked="0" layoutInCell="1" allowOverlap="1" wp14:anchorId="2A8FFF00" wp14:editId="71365F51">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167E5"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9F164F" w:rsidRDefault="00AF68D3" w:rsidP="00E16925">
    <w:pPr>
      <w:pStyle w:val="Header"/>
      <w:rPr>
        <w:rFonts w:ascii="Times New Roman" w:hAnsi="Times New Roman" w:cs="Times New Roman"/>
        <w:b/>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Header"/>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BD3A7C">
    <w:pPr>
      <w:pStyle w:val="Header"/>
      <w:jc w:val="right"/>
      <w:rPr>
        <w:rFonts w:ascii="Times New Roman" w:hAnsi="Times New Roman" w:cs="Times New Roman"/>
        <w:b/>
        <w:color w:val="1F497D" w:themeColor="text2"/>
        <w:sz w:val="24"/>
        <w:lang w:val="es-MX"/>
      </w:rPr>
    </w:pPr>
    <w:r w:rsidRPr="008B1B52">
      <w:rPr>
        <w:noProof/>
        <w:lang w:val="es-ES" w:eastAsia="es-ES"/>
      </w:rPr>
      <w:drawing>
        <wp:anchor distT="0" distB="0" distL="114300" distR="114300" simplePos="0" relativeHeight="251689984" behindDoc="1" locked="0" layoutInCell="1" allowOverlap="1" wp14:anchorId="038733EA" wp14:editId="74DF43D7">
          <wp:simplePos x="0" y="0"/>
          <wp:positionH relativeFrom="column">
            <wp:posOffset>-434119</wp:posOffset>
          </wp:positionH>
          <wp:positionV relativeFrom="paragraph">
            <wp:posOffset>-5080</wp:posOffset>
          </wp:positionV>
          <wp:extent cx="1365775" cy="735496"/>
          <wp:effectExtent l="0" t="0" r="6350" b="7620"/>
          <wp:wrapNone/>
          <wp:docPr id="13" name="Imagen 13"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775" cy="73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AF68D3" w:rsidRDefault="00BC2768" w:rsidP="00BD3A7C">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Mayo</w:t>
    </w:r>
    <w:r w:rsidR="00AF68D3">
      <w:rPr>
        <w:rFonts w:ascii="Times New Roman" w:hAnsi="Times New Roman" w:cs="Times New Roman"/>
        <w:color w:val="1F497D" w:themeColor="text2"/>
        <w:lang w:val="es-MX"/>
      </w:rPr>
      <w:t xml:space="preserve"> 2017</w:t>
    </w:r>
  </w:p>
  <w:p w:rsidR="00AF68D3" w:rsidRDefault="00AF68D3" w:rsidP="007D4651">
    <w:pPr>
      <w:pStyle w:val="Header"/>
      <w:jc w:val="right"/>
      <w:rPr>
        <w:rFonts w:ascii="Times New Roman" w:hAnsi="Times New Roman" w:cs="Times New Roman"/>
        <w:lang w:val="es-MX"/>
      </w:rPr>
    </w:pPr>
    <w:r>
      <w:rPr>
        <w:rFonts w:ascii="Times New Roman" w:hAnsi="Times New Roman" w:cs="Times New Roman"/>
        <w:noProof/>
        <w:color w:val="1F497D" w:themeColor="text2"/>
        <w:lang w:val="es-ES" w:eastAsia="es-ES"/>
      </w:rPr>
      <mc:AlternateContent>
        <mc:Choice Requires="wps">
          <w:drawing>
            <wp:anchor distT="0" distB="0" distL="114300" distR="114300" simplePos="0" relativeHeight="251696128" behindDoc="0" locked="0" layoutInCell="1" allowOverlap="1" wp14:anchorId="343A72E9" wp14:editId="41572C63">
              <wp:simplePos x="0" y="0"/>
              <wp:positionH relativeFrom="column">
                <wp:posOffset>1065751</wp:posOffset>
              </wp:positionH>
              <wp:positionV relativeFrom="paragraph">
                <wp:posOffset>26670</wp:posOffset>
              </wp:positionV>
              <wp:extent cx="5634990" cy="45085"/>
              <wp:effectExtent l="38100" t="38100" r="60960" b="88265"/>
              <wp:wrapNone/>
              <wp:docPr id="19" name="19 Rectángulo redondeado"/>
              <wp:cNvGraphicFramePr/>
              <a:graphic xmlns:a="http://schemas.openxmlformats.org/drawingml/2006/main">
                <a:graphicData uri="http://schemas.microsoft.com/office/word/2010/wordprocessingShape">
                  <wps:wsp>
                    <wps:cNvSpPr/>
                    <wps:spPr>
                      <a:xfrm flipV="1">
                        <a:off x="0" y="0"/>
                        <a:ext cx="5634990" cy="45085"/>
                      </a:xfrm>
                      <a:prstGeom prst="roundRect">
                        <a:avLst/>
                      </a:prstGeom>
                      <a:gradFill flip="none" rotWithShape="1">
                        <a:gsLst>
                          <a:gs pos="0">
                            <a:schemeClr val="accent1">
                              <a:tint val="66000"/>
                              <a:satMod val="160000"/>
                            </a:schemeClr>
                          </a:gs>
                          <a:gs pos="81000">
                            <a:srgbClr val="D2DDF1"/>
                          </a:gs>
                          <a:gs pos="14000">
                            <a:schemeClr val="accent1"/>
                          </a:gs>
                          <a:gs pos="67000">
                            <a:schemeClr val="accent1">
                              <a:tint val="44500"/>
                              <a:satMod val="160000"/>
                            </a:schemeClr>
                          </a:gs>
                          <a:gs pos="90000">
                            <a:srgbClr val="DAE3F3">
                              <a:alpha val="57000"/>
                            </a:srgbClr>
                          </a:gs>
                          <a:gs pos="98000">
                            <a:schemeClr val="accent3">
                              <a:lumMod val="60000"/>
                              <a:lumOff val="40000"/>
                            </a:schemeClr>
                          </a:gs>
                        </a:gsLst>
                        <a:lin ang="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0ECE66" id="19 Rectángulo redondeado" o:spid="_x0000_s1026" style="position:absolute;margin-left:83.9pt;margin-top:2.1pt;width:443.7pt;height:3.5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bpAMAAJgIAAAOAAAAZHJzL2Uyb0RvYy54bWysVttuGzcQfQ/QfyD4Xq9WlhRL8DoQrCoI&#10;4CSGncTPFJerJcolWZJryf2bfkt/rDPkilYcJQHavix4mTmcOXPbyzf7TpFH4bw0uqLl2YgSobmp&#10;pd5W9POn9a8XlPjAdM2U0aKiT8LTN1e/vLrc2YUYm9aoWjgCINovdraibQh2URSet6Jj/sxYoeGy&#10;Ma5jAbZuW9SO7QC9U8V4NJoVO+Nq6wwX3sPpKl3Sq4jfNIKHj03jRSCqomBbiF8Xvxv8FleXbLF1&#10;zLaSD2awf2FFx6SGRzPUigVGeie/geokd8abJpxx0xWmaSQX0Qfwphy98Oa+ZVZEX4AcbzNN/v+D&#10;5R8ebx2RNcRuTolmHcSonJM7IO7vv/S2V4Y4URtdC1YbZGtn/QKU7u2tG3Yeluj6vnEdaZS0XwAi&#10;kgHukX3k+ilzLfaBcDiczs4n8zmEhMPdZDq6mCJ6kWAQzjof3grTEVxU1Jle12hWRGaPNz4k+YPc&#10;wH69lkpFMyqqIeUocSY8yNBGMg+WbT3oRw1PrAE+RxE2pp24Vo48MkgYxrnQIfkSpA7pdDYbjYbE&#10;8Sy8N3U6LvE4noMTGSi6tPXHT12UKIcn3m03+bHVeLValwMJX2uUk6yBdfGtgYmJr5Vmr3+ihBY8&#10;ezWBGPwXr+bw2imvlr+dr89TzJRtWeJqGm1LVg8knCBqfpEhT7mdUFXf5RDkCLAFHEPhp9eQve8H&#10;BqKVs0FJTRh2LshLz5kSWBcYEmRKCUy/gWrHYqLhjdL41QYTL92mExHbz5Bnpg/C3bf1jmxU7+4Y&#10;AEPOg1mklpje55gVuIHeNEZ2cMfUFppqUC9zOPGMiZ+zZ6MY//0lzceOD9KR5mxM3B3ZWWB1p3qO&#10;q/CkRHLxTjTQJaBuxz8rFN+yWgxhjm4MYT6EML6pNAAicgOkZexUabl2EsihCBPMII+qye6s/MMK&#10;TspZI75sdMjKndTGnfJMQfkPLyd5MP+IGlxuTP0EPRTaTMoby9cSQnPDfLhlDqYJRBImZPgIn0aZ&#10;XUXNsKKkNe7PU+coD00ebinZwXSqqP+jZw66mXqnoV3Ny8kEYEPcTKavx7Bxxzeb4xvdd9cG+lkJ&#10;WW15XKJ8UIdl40z3AIN0ia/CFdMc3q4oD+6wuQ5pasIo5mK5jGIwwiwLN/re8kNjxTT7tH9gzg59&#10;O0DD/2AOk4wtXnTuJIvx0GbZB9PIWGHPvA58w/iLiTOMapyvx/so9fxDcfUPAAAA//8DAFBLAwQU&#10;AAYACAAAACEALsrNhuAAAAAJAQAADwAAAGRycy9kb3ducmV2LnhtbEyPzW7CMBCE75X6DtZW6q04&#10;QIEqxEGlFeqBA+VHIG4mXpKIeJ3GBsLbdzm1txnNavabZNLaSlyw8aUjBd1OBAIpc6akXMFmPXt5&#10;A+GDJqMrR6jghh4m6eNDomPjrrTEyyrkgkvIx1pBEUIdS+mzAq32HVcjcXZ0jdWBbZNL0+grl9tK&#10;9qJoKK0uiT8UusaPArPT6mwV7MLsczs9fi1/2vV8871fjKZ9M1fq+al9H4MI2Ia/Y7jjMzqkzHRw&#10;ZzJeVOyHI0YPCl57IO55NBiwOrDq9kGmify/IP0FAAD//wMAUEsBAi0AFAAGAAgAAAAhALaDOJL+&#10;AAAA4QEAABMAAAAAAAAAAAAAAAAAAAAAAFtDb250ZW50X1R5cGVzXS54bWxQSwECLQAUAAYACAAA&#10;ACEAOP0h/9YAAACUAQAACwAAAAAAAAAAAAAAAAAvAQAAX3JlbHMvLnJlbHNQSwECLQAUAAYACAAA&#10;ACEAj2q/26QDAACYCAAADgAAAAAAAAAAAAAAAAAuAgAAZHJzL2Uyb0RvYy54bWxQSwECLQAUAAYA&#10;CAAAACEALsrNhuAAAAAJAQAADwAAAAAAAAAAAAAAAAD+BQAAZHJzL2Rvd25yZXYueG1sUEsFBgAA&#10;AAAEAAQA8wAAAAsHAAAAAA==&#10;" fillcolor="#8aabd3 [2132]" stroked="f" strokeweight="2pt">
              <v:fill color2="#c2d69b [1942]" rotate="t" angle="90" colors="0 #9ab5e4;9175f #4f81bd;43909f #c2d1ed;53084f #d2ddf1;58982f #dae3f3;64225f #c3d69b" focus="100%" type="gradient"/>
              <v:shadow on="t" color="black" opacity="26214f" origin="-.5,-.5" offset=".74836mm,.74836mm"/>
            </v:roundrect>
          </w:pict>
        </mc:Fallback>
      </mc:AlternateContent>
    </w:r>
  </w:p>
  <w:p w:rsidR="00AF68D3" w:rsidRDefault="00AF68D3" w:rsidP="00E16925">
    <w:pPr>
      <w:pStyle w:val="Header"/>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Header"/>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10" w:rsidRPr="007D4651" w:rsidRDefault="00EB1910" w:rsidP="007D4651">
    <w:pPr>
      <w:pStyle w:val="Header"/>
      <w:jc w:val="right"/>
      <w:rPr>
        <w:rFonts w:ascii="Times New Roman" w:hAnsi="Times New Roman" w:cs="Times New Roman"/>
        <w:b/>
        <w:color w:val="1F497D" w:themeColor="text2"/>
        <w:sz w:val="24"/>
        <w:lang w:val="es-MX"/>
      </w:rPr>
    </w:pPr>
    <w:r w:rsidRPr="008B1B52">
      <w:rPr>
        <w:noProof/>
        <w:lang w:val="es-ES" w:eastAsia="es-ES"/>
      </w:rPr>
      <w:drawing>
        <wp:anchor distT="0" distB="0" distL="114300" distR="114300" simplePos="0" relativeHeight="251707392" behindDoc="1" locked="0" layoutInCell="1" allowOverlap="1" wp14:anchorId="7D0D3E57" wp14:editId="001D979B">
          <wp:simplePos x="0" y="0"/>
          <wp:positionH relativeFrom="column">
            <wp:posOffset>-89849</wp:posOffset>
          </wp:positionH>
          <wp:positionV relativeFrom="paragraph">
            <wp:posOffset>-163027</wp:posOffset>
          </wp:positionV>
          <wp:extent cx="1697990" cy="914400"/>
          <wp:effectExtent l="0" t="0" r="0" b="0"/>
          <wp:wrapNone/>
          <wp:docPr id="33" name="Imagen 33"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B1910" w:rsidRPr="007D4651" w:rsidRDefault="00AF4290" w:rsidP="007D4651">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w:t>
    </w:r>
    <w:r w:rsidR="00376FE9">
      <w:rPr>
        <w:rFonts w:ascii="Times New Roman" w:hAnsi="Times New Roman" w:cs="Times New Roman"/>
        <w:color w:val="1F497D" w:themeColor="text2"/>
        <w:lang w:val="es-MX"/>
      </w:rPr>
      <w:t>io</w:t>
    </w:r>
    <w:r w:rsidR="00EB1910">
      <w:rPr>
        <w:rFonts w:ascii="Times New Roman" w:hAnsi="Times New Roman" w:cs="Times New Roman"/>
        <w:color w:val="1F497D" w:themeColor="text2"/>
        <w:lang w:val="es-MX"/>
      </w:rPr>
      <w:t xml:space="preserve"> 2017</w:t>
    </w:r>
  </w:p>
  <w:p w:rsidR="00EB1910" w:rsidRDefault="00EB1910" w:rsidP="007D4651">
    <w:pPr>
      <w:pStyle w:val="Header"/>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06368" behindDoc="0" locked="0" layoutInCell="1" allowOverlap="1" wp14:anchorId="0A4DBC80" wp14:editId="63452DE7">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75556F"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B1910" w:rsidRDefault="00EB1910" w:rsidP="00E16925">
    <w:pPr>
      <w:pStyle w:val="Header"/>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B1910" w:rsidRPr="00E16925" w:rsidRDefault="00EB1910" w:rsidP="00E16925">
    <w:pPr>
      <w:pStyle w:val="Header"/>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Header"/>
      <w:jc w:val="right"/>
      <w:rPr>
        <w:rFonts w:ascii="Times New Roman" w:hAnsi="Times New Roman" w:cs="Times New Roman"/>
        <w:b/>
        <w:color w:val="1F497D" w:themeColor="text2"/>
        <w:sz w:val="24"/>
        <w:lang w:val="es-MX"/>
      </w:rPr>
    </w:pPr>
    <w:r w:rsidRPr="008B1B52">
      <w:rPr>
        <w:noProof/>
        <w:lang w:val="es-ES" w:eastAsia="es-ES"/>
      </w:rPr>
      <w:drawing>
        <wp:anchor distT="0" distB="0" distL="114300" distR="114300" simplePos="0" relativeHeight="251718656" behindDoc="1" locked="0" layoutInCell="1" allowOverlap="1" wp14:anchorId="1339AB1A" wp14:editId="2665CBA1">
          <wp:simplePos x="0" y="0"/>
          <wp:positionH relativeFrom="column">
            <wp:posOffset>-58403</wp:posOffset>
          </wp:positionH>
          <wp:positionV relativeFrom="paragraph">
            <wp:posOffset>-162560</wp:posOffset>
          </wp:positionV>
          <wp:extent cx="1697990" cy="914400"/>
          <wp:effectExtent l="0" t="0" r="0" b="0"/>
          <wp:wrapNone/>
          <wp:docPr id="17" name="Imagen 1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AF4290" w:rsidP="00BD3A7C">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w:t>
    </w:r>
    <w:r w:rsidR="00483632">
      <w:rPr>
        <w:rFonts w:ascii="Times New Roman" w:hAnsi="Times New Roman" w:cs="Times New Roman"/>
        <w:color w:val="1F497D" w:themeColor="text2"/>
        <w:lang w:val="es-MX"/>
      </w:rPr>
      <w:t>io</w:t>
    </w:r>
    <w:r w:rsidR="00AF68D3">
      <w:rPr>
        <w:rFonts w:ascii="Times New Roman" w:hAnsi="Times New Roman" w:cs="Times New Roman"/>
        <w:color w:val="1F497D" w:themeColor="text2"/>
        <w:lang w:val="es-MX"/>
      </w:rPr>
      <w:t xml:space="preserve"> 2017</w:t>
    </w:r>
  </w:p>
  <w:p w:rsidR="00AF68D3" w:rsidRDefault="00AF4290" w:rsidP="007D4651">
    <w:pPr>
      <w:pStyle w:val="Header"/>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12512" behindDoc="0" locked="0" layoutInCell="1" allowOverlap="1" wp14:anchorId="2A41A865" wp14:editId="33E5FA6B">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DD3A07"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Header"/>
      <w:rPr>
        <w:rFonts w:ascii="Times New Roman" w:hAnsi="Times New Roman" w:cs="Times New Roman"/>
        <w:lang w:val="es-MX"/>
      </w:rPr>
    </w:pPr>
    <w:r>
      <w:rPr>
        <w:rFonts w:ascii="Times New Roman" w:hAnsi="Times New Roman" w:cs="Times New Roman"/>
        <w:lang w:val="es-MX"/>
      </w:rPr>
      <w:t xml:space="preserve">                                           </w:t>
    </w:r>
    <w:r w:rsidR="00AF4290">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Header"/>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Header"/>
      <w:jc w:val="right"/>
      <w:rPr>
        <w:rFonts w:ascii="Times New Roman" w:hAnsi="Times New Roman" w:cs="Times New Roman"/>
        <w:b/>
        <w:color w:val="1F497D" w:themeColor="text2"/>
        <w:sz w:val="24"/>
        <w:lang w:val="es-MX"/>
      </w:rPr>
    </w:pPr>
    <w:r w:rsidRPr="008B1B52">
      <w:rPr>
        <w:noProof/>
        <w:lang w:val="es-ES" w:eastAsia="es-ES"/>
      </w:rPr>
      <w:drawing>
        <wp:anchor distT="0" distB="0" distL="114300" distR="114300" simplePos="0" relativeHeight="251674624" behindDoc="1" locked="0" layoutInCell="1" allowOverlap="1" wp14:anchorId="6C0F46E1" wp14:editId="211F26EB">
          <wp:simplePos x="0" y="0"/>
          <wp:positionH relativeFrom="column">
            <wp:posOffset>-89849</wp:posOffset>
          </wp:positionH>
          <wp:positionV relativeFrom="paragraph">
            <wp:posOffset>-163027</wp:posOffset>
          </wp:positionV>
          <wp:extent cx="1697990" cy="914400"/>
          <wp:effectExtent l="0" t="0" r="0" b="0"/>
          <wp:wrapNone/>
          <wp:docPr id="52" name="Imagen 42"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AF68D3" w:rsidRPr="007D4651" w:rsidRDefault="00AF4290" w:rsidP="007D4651">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w:t>
    </w:r>
    <w:r w:rsidR="00376FE9">
      <w:rPr>
        <w:rFonts w:ascii="Times New Roman" w:hAnsi="Times New Roman" w:cs="Times New Roman"/>
        <w:color w:val="1F497D" w:themeColor="text2"/>
        <w:lang w:val="es-MX"/>
      </w:rPr>
      <w:t>io</w:t>
    </w:r>
    <w:r w:rsidR="00AF68D3">
      <w:rPr>
        <w:rFonts w:ascii="Times New Roman" w:hAnsi="Times New Roman" w:cs="Times New Roman"/>
        <w:color w:val="1F497D" w:themeColor="text2"/>
        <w:lang w:val="es-MX"/>
      </w:rPr>
      <w:t xml:space="preserve"> 2017</w:t>
    </w:r>
  </w:p>
  <w:p w:rsidR="00AF68D3" w:rsidRDefault="00AF68D3" w:rsidP="007D4651">
    <w:pPr>
      <w:pStyle w:val="Header"/>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673600" behindDoc="0" locked="0" layoutInCell="1" allowOverlap="1" wp14:anchorId="4324BE8B" wp14:editId="73AEA4AC">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B69F0B"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Header"/>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Header"/>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4290" w:rsidP="00BD3A7C">
    <w:pPr>
      <w:pStyle w:val="Header"/>
      <w:jc w:val="right"/>
      <w:rPr>
        <w:rFonts w:ascii="Times New Roman" w:hAnsi="Times New Roman" w:cs="Times New Roman"/>
        <w:b/>
        <w:color w:val="1F497D" w:themeColor="text2"/>
        <w:sz w:val="24"/>
        <w:lang w:val="es-MX"/>
      </w:rPr>
    </w:pPr>
    <w:r w:rsidRPr="008B1B52">
      <w:rPr>
        <w:noProof/>
        <w:lang w:val="es-ES" w:eastAsia="es-ES"/>
      </w:rPr>
      <w:drawing>
        <wp:anchor distT="0" distB="0" distL="114300" distR="114300" simplePos="0" relativeHeight="251720704" behindDoc="1" locked="0" layoutInCell="1" allowOverlap="1" wp14:anchorId="0F1156C7" wp14:editId="273AB8AE">
          <wp:simplePos x="0" y="0"/>
          <wp:positionH relativeFrom="column">
            <wp:posOffset>-93997</wp:posOffset>
          </wp:positionH>
          <wp:positionV relativeFrom="paragraph">
            <wp:posOffset>-177800</wp:posOffset>
          </wp:positionV>
          <wp:extent cx="1697990" cy="914400"/>
          <wp:effectExtent l="0" t="0" r="0" b="0"/>
          <wp:wrapNone/>
          <wp:docPr id="27" name="Imagen 2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AF68D3" w:rsidRDefault="00AF4290" w:rsidP="00BD3A7C">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w:t>
    </w:r>
    <w:r w:rsidR="00376FE9">
      <w:rPr>
        <w:rFonts w:ascii="Times New Roman" w:hAnsi="Times New Roman" w:cs="Times New Roman"/>
        <w:color w:val="1F497D" w:themeColor="text2"/>
        <w:lang w:val="es-MX"/>
      </w:rPr>
      <w:t>io</w:t>
    </w:r>
    <w:r w:rsidR="00AF68D3">
      <w:rPr>
        <w:rFonts w:ascii="Times New Roman" w:hAnsi="Times New Roman" w:cs="Times New Roman"/>
        <w:color w:val="1F497D" w:themeColor="text2"/>
        <w:lang w:val="es-MX"/>
      </w:rPr>
      <w:t xml:space="preserve"> 2017</w:t>
    </w:r>
  </w:p>
  <w:p w:rsidR="00AF68D3" w:rsidRPr="004A73AA" w:rsidRDefault="00AF4290" w:rsidP="007D4651">
    <w:pPr>
      <w:pStyle w:val="Header"/>
      <w:jc w:val="right"/>
      <w:rPr>
        <w:rFonts w:ascii="Times New Roman" w:hAnsi="Times New Roman" w:cs="Times New Roman"/>
        <w:color w:val="1F497D" w:themeColor="text2"/>
        <w:lang w:val="es-MX"/>
      </w:rPr>
    </w:pPr>
    <w:r>
      <w:rPr>
        <w:rFonts w:ascii="Times New Roman" w:hAnsi="Times New Roman" w:cs="Times New Roman"/>
        <w:noProof/>
        <w:lang w:val="es-ES" w:eastAsia="es-ES"/>
      </w:rPr>
      <mc:AlternateContent>
        <mc:Choice Requires="wps">
          <w:drawing>
            <wp:anchor distT="0" distB="0" distL="114300" distR="114300" simplePos="0" relativeHeight="251710464" behindDoc="0" locked="0" layoutInCell="1" allowOverlap="1" wp14:anchorId="12CBC162" wp14:editId="2DC67BBC">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CC505"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4A73AA" w:rsidRDefault="00AF68D3" w:rsidP="00E16925">
    <w:pPr>
      <w:pStyle w:val="Header"/>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00AF4290">
      <w:rPr>
        <w:rFonts w:ascii="Times New Roman" w:hAnsi="Times New Roman" w:cs="Times New Roman"/>
        <w:color w:val="1F497D" w:themeColor="text2"/>
        <w:lang w:val="es-MX"/>
      </w:rPr>
      <w:t xml:space="preserve">      </w:t>
    </w:r>
    <w:r w:rsidR="00AF4290" w:rsidRPr="009F164F">
      <w:rPr>
        <w:rFonts w:ascii="Times New Roman" w:hAnsi="Times New Roman" w:cs="Times New Roman"/>
        <w:b/>
        <w:color w:val="4F81BD" w:themeColor="accent1"/>
        <w:lang w:val="es-MX"/>
      </w:rPr>
      <w:t>Dirección de Análisis y Política Fiscal</w:t>
    </w:r>
  </w:p>
  <w:p w:rsidR="00AF68D3" w:rsidRPr="007452E2" w:rsidRDefault="00AF68D3" w:rsidP="00E16925">
    <w:pPr>
      <w:pStyle w:val="Header"/>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Header"/>
      <w:jc w:val="right"/>
      <w:rPr>
        <w:rFonts w:ascii="Times New Roman" w:hAnsi="Times New Roman" w:cs="Times New Roman"/>
        <w:b/>
        <w:color w:val="1F497D" w:themeColor="text2"/>
        <w:sz w:val="24"/>
        <w:lang w:val="es-MX"/>
      </w:rPr>
    </w:pPr>
    <w:r w:rsidRPr="008B1B52">
      <w:rPr>
        <w:noProof/>
        <w:lang w:val="es-ES" w:eastAsia="es-ES"/>
      </w:rPr>
      <w:drawing>
        <wp:anchor distT="0" distB="0" distL="114300" distR="114300" simplePos="0" relativeHeight="251703296" behindDoc="1" locked="0" layoutInCell="1" allowOverlap="1" wp14:anchorId="104F303C" wp14:editId="48FA1FA0">
          <wp:simplePos x="0" y="0"/>
          <wp:positionH relativeFrom="column">
            <wp:posOffset>-89849</wp:posOffset>
          </wp:positionH>
          <wp:positionV relativeFrom="paragraph">
            <wp:posOffset>-163027</wp:posOffset>
          </wp:positionV>
          <wp:extent cx="1697990" cy="914400"/>
          <wp:effectExtent l="0" t="0" r="0" b="0"/>
          <wp:wrapNone/>
          <wp:docPr id="25" name="Imagen 25"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AF68D3" w:rsidRPr="007D4651" w:rsidRDefault="00AF4290" w:rsidP="007D4651">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Jul</w:t>
    </w:r>
    <w:r w:rsidR="00376FE9">
      <w:rPr>
        <w:rFonts w:ascii="Times New Roman" w:hAnsi="Times New Roman" w:cs="Times New Roman"/>
        <w:color w:val="1F497D" w:themeColor="text2"/>
        <w:lang w:val="es-MX"/>
      </w:rPr>
      <w:t>io</w:t>
    </w:r>
    <w:r w:rsidR="00AF68D3">
      <w:rPr>
        <w:rFonts w:ascii="Times New Roman" w:hAnsi="Times New Roman" w:cs="Times New Roman"/>
        <w:color w:val="1F497D" w:themeColor="text2"/>
        <w:lang w:val="es-MX"/>
      </w:rPr>
      <w:t xml:space="preserve"> 2017</w:t>
    </w:r>
  </w:p>
  <w:p w:rsidR="00AF68D3" w:rsidRDefault="00AF68D3" w:rsidP="007D4651">
    <w:pPr>
      <w:pStyle w:val="Header"/>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702272" behindDoc="0" locked="0" layoutInCell="1" allowOverlap="1" wp14:anchorId="3E9C0EF2" wp14:editId="03F6413F">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99B649" id="20 Rectángulo" o:spid="_x0000_s1026" style="position:absolute;margin-left:134.7pt;margin-top:2.3pt;width:406pt;height:3.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Header"/>
      <w:rPr>
        <w:rFonts w:ascii="Times New Roman" w:hAnsi="Times New Roman" w:cs="Times New Roman"/>
        <w:lang w:val="es-MX"/>
      </w:rPr>
    </w:pPr>
    <w:r>
      <w:rPr>
        <w:rFonts w:ascii="Times New Roman" w:hAnsi="Times New Roman" w:cs="Times New Roman"/>
        <w:lang w:val="es-MX"/>
      </w:rPr>
      <w:tab/>
    </w:r>
    <w:r w:rsidR="00AF4290">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Header"/>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AF68D3" w:rsidP="007D4651">
    <w:pPr>
      <w:pStyle w:val="Header"/>
      <w:jc w:val="right"/>
      <w:rPr>
        <w:rFonts w:ascii="Times New Roman" w:hAnsi="Times New Roman" w:cs="Times New Roman"/>
        <w:b/>
        <w:color w:val="1F497D" w:themeColor="text2"/>
        <w:sz w:val="24"/>
        <w:lang w:val="es-MX"/>
      </w:rPr>
    </w:pPr>
    <w:r w:rsidRPr="008B1B52">
      <w:rPr>
        <w:noProof/>
        <w:lang w:val="es-ES" w:eastAsia="es-ES"/>
      </w:rPr>
      <w:drawing>
        <wp:anchor distT="0" distB="0" distL="114300" distR="114300" simplePos="0" relativeHeight="251682816" behindDoc="1" locked="0" layoutInCell="1" allowOverlap="1" wp14:anchorId="342B07A8" wp14:editId="71D18A4D">
          <wp:simplePos x="0" y="0"/>
          <wp:positionH relativeFrom="column">
            <wp:posOffset>-89849</wp:posOffset>
          </wp:positionH>
          <wp:positionV relativeFrom="paragraph">
            <wp:posOffset>-163027</wp:posOffset>
          </wp:positionV>
          <wp:extent cx="1697990" cy="914400"/>
          <wp:effectExtent l="0" t="0" r="0" b="0"/>
          <wp:wrapNone/>
          <wp:docPr id="47" name="Imagen 4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AF68D3" w:rsidRPr="007D4651" w:rsidRDefault="008F4BCE" w:rsidP="007D4651">
    <w:pPr>
      <w:pStyle w:val="Header"/>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Junio 2017</w:t>
    </w:r>
  </w:p>
  <w:p w:rsidR="00AF68D3" w:rsidRDefault="00AF68D3" w:rsidP="007D4651">
    <w:pPr>
      <w:pStyle w:val="Header"/>
      <w:jc w:val="right"/>
      <w:rPr>
        <w:rFonts w:ascii="Times New Roman" w:hAnsi="Times New Roman" w:cs="Times New Roman"/>
        <w:lang w:val="es-MX"/>
      </w:rPr>
    </w:pPr>
    <w:r>
      <w:rPr>
        <w:rFonts w:ascii="Times New Roman" w:hAnsi="Times New Roman" w:cs="Times New Roman"/>
        <w:noProof/>
        <w:lang w:val="es-ES" w:eastAsia="es-ES"/>
      </w:rPr>
      <mc:AlternateContent>
        <mc:Choice Requires="wps">
          <w:drawing>
            <wp:anchor distT="0" distB="0" distL="114300" distR="114300" simplePos="0" relativeHeight="251681792" behindDoc="0" locked="0" layoutInCell="1" allowOverlap="1" wp14:anchorId="5B05AF1B" wp14:editId="041B7ECC">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A151F"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Header"/>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Header"/>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0"/>
  </w:num>
  <w:num w:numId="5">
    <w:abstractNumId w:val="8"/>
  </w:num>
  <w:num w:numId="6">
    <w:abstractNumId w:val="10"/>
  </w:num>
  <w:num w:numId="7">
    <w:abstractNumId w:val="9"/>
  </w:num>
  <w:num w:numId="8">
    <w:abstractNumId w:val="1"/>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6489"/>
    <w:rsid w:val="00013C63"/>
    <w:rsid w:val="00022E98"/>
    <w:rsid w:val="000378CF"/>
    <w:rsid w:val="00053517"/>
    <w:rsid w:val="000723B2"/>
    <w:rsid w:val="00072EEB"/>
    <w:rsid w:val="00076AD2"/>
    <w:rsid w:val="0008348D"/>
    <w:rsid w:val="00087ADE"/>
    <w:rsid w:val="0009041A"/>
    <w:rsid w:val="000C1547"/>
    <w:rsid w:val="000D016D"/>
    <w:rsid w:val="000D0C01"/>
    <w:rsid w:val="000D2FA4"/>
    <w:rsid w:val="00102939"/>
    <w:rsid w:val="00111B77"/>
    <w:rsid w:val="001178B6"/>
    <w:rsid w:val="001259BA"/>
    <w:rsid w:val="00133DBA"/>
    <w:rsid w:val="00136D08"/>
    <w:rsid w:val="00152798"/>
    <w:rsid w:val="00157402"/>
    <w:rsid w:val="00160633"/>
    <w:rsid w:val="00160EAC"/>
    <w:rsid w:val="00171909"/>
    <w:rsid w:val="00185253"/>
    <w:rsid w:val="001A3185"/>
    <w:rsid w:val="001C2FF5"/>
    <w:rsid w:val="001C3649"/>
    <w:rsid w:val="001D46C3"/>
    <w:rsid w:val="001D5A5B"/>
    <w:rsid w:val="001E0E10"/>
    <w:rsid w:val="001F4F78"/>
    <w:rsid w:val="001F5240"/>
    <w:rsid w:val="001F7141"/>
    <w:rsid w:val="00200FB1"/>
    <w:rsid w:val="00202594"/>
    <w:rsid w:val="002101C9"/>
    <w:rsid w:val="00213C92"/>
    <w:rsid w:val="002335EE"/>
    <w:rsid w:val="00240D86"/>
    <w:rsid w:val="00242202"/>
    <w:rsid w:val="00244AAA"/>
    <w:rsid w:val="002512EC"/>
    <w:rsid w:val="00262E76"/>
    <w:rsid w:val="00264C3A"/>
    <w:rsid w:val="002672D5"/>
    <w:rsid w:val="00270CAB"/>
    <w:rsid w:val="00276250"/>
    <w:rsid w:val="00276A28"/>
    <w:rsid w:val="00281439"/>
    <w:rsid w:val="00281FB7"/>
    <w:rsid w:val="0029321A"/>
    <w:rsid w:val="00296D57"/>
    <w:rsid w:val="002B7644"/>
    <w:rsid w:val="002C482A"/>
    <w:rsid w:val="002D54E6"/>
    <w:rsid w:val="002E3F4C"/>
    <w:rsid w:val="002F2A42"/>
    <w:rsid w:val="00302D40"/>
    <w:rsid w:val="0032198D"/>
    <w:rsid w:val="00334324"/>
    <w:rsid w:val="00343A5D"/>
    <w:rsid w:val="00345216"/>
    <w:rsid w:val="0034700C"/>
    <w:rsid w:val="0035279B"/>
    <w:rsid w:val="003531E5"/>
    <w:rsid w:val="003551C3"/>
    <w:rsid w:val="00364DD6"/>
    <w:rsid w:val="00367E12"/>
    <w:rsid w:val="00374D44"/>
    <w:rsid w:val="00376802"/>
    <w:rsid w:val="00376FE9"/>
    <w:rsid w:val="0038008D"/>
    <w:rsid w:val="00381A4F"/>
    <w:rsid w:val="00385BA8"/>
    <w:rsid w:val="00393E59"/>
    <w:rsid w:val="003968DB"/>
    <w:rsid w:val="003A3726"/>
    <w:rsid w:val="003B13B4"/>
    <w:rsid w:val="003B1A93"/>
    <w:rsid w:val="003C7085"/>
    <w:rsid w:val="003D05CE"/>
    <w:rsid w:val="003D38A7"/>
    <w:rsid w:val="003D60E4"/>
    <w:rsid w:val="003F0660"/>
    <w:rsid w:val="003F4609"/>
    <w:rsid w:val="0040361C"/>
    <w:rsid w:val="00413FBE"/>
    <w:rsid w:val="00416D41"/>
    <w:rsid w:val="0042387A"/>
    <w:rsid w:val="00443336"/>
    <w:rsid w:val="00443621"/>
    <w:rsid w:val="00447F4F"/>
    <w:rsid w:val="00450531"/>
    <w:rsid w:val="00452A5A"/>
    <w:rsid w:val="004575BA"/>
    <w:rsid w:val="004606FD"/>
    <w:rsid w:val="00464DB9"/>
    <w:rsid w:val="004650C5"/>
    <w:rsid w:val="00474EC2"/>
    <w:rsid w:val="00483632"/>
    <w:rsid w:val="0048385B"/>
    <w:rsid w:val="00494BC6"/>
    <w:rsid w:val="00494D1D"/>
    <w:rsid w:val="00495F43"/>
    <w:rsid w:val="004A6705"/>
    <w:rsid w:val="004A73AA"/>
    <w:rsid w:val="004B336D"/>
    <w:rsid w:val="004B4B9F"/>
    <w:rsid w:val="004B5B0F"/>
    <w:rsid w:val="004C208F"/>
    <w:rsid w:val="004C3B4E"/>
    <w:rsid w:val="004D1F76"/>
    <w:rsid w:val="004D7482"/>
    <w:rsid w:val="004E358C"/>
    <w:rsid w:val="004E4FDE"/>
    <w:rsid w:val="004F4F4D"/>
    <w:rsid w:val="004F72F9"/>
    <w:rsid w:val="005004C9"/>
    <w:rsid w:val="005016F6"/>
    <w:rsid w:val="005077A5"/>
    <w:rsid w:val="005364DE"/>
    <w:rsid w:val="005428C6"/>
    <w:rsid w:val="00544E9A"/>
    <w:rsid w:val="00546650"/>
    <w:rsid w:val="00573AB0"/>
    <w:rsid w:val="005879A5"/>
    <w:rsid w:val="0059421A"/>
    <w:rsid w:val="005948F0"/>
    <w:rsid w:val="005979EB"/>
    <w:rsid w:val="005A03A9"/>
    <w:rsid w:val="005A1EFC"/>
    <w:rsid w:val="005A6ACE"/>
    <w:rsid w:val="005B0E84"/>
    <w:rsid w:val="005B1B53"/>
    <w:rsid w:val="005B6D05"/>
    <w:rsid w:val="005D2336"/>
    <w:rsid w:val="005E7E89"/>
    <w:rsid w:val="0060094A"/>
    <w:rsid w:val="00606D70"/>
    <w:rsid w:val="00610F84"/>
    <w:rsid w:val="00623EC9"/>
    <w:rsid w:val="00625AA5"/>
    <w:rsid w:val="00632EE6"/>
    <w:rsid w:val="00640B12"/>
    <w:rsid w:val="00643FB6"/>
    <w:rsid w:val="00644B94"/>
    <w:rsid w:val="00651522"/>
    <w:rsid w:val="006525C5"/>
    <w:rsid w:val="006553D6"/>
    <w:rsid w:val="00660888"/>
    <w:rsid w:val="006630B2"/>
    <w:rsid w:val="00665BB7"/>
    <w:rsid w:val="006668D4"/>
    <w:rsid w:val="0066791B"/>
    <w:rsid w:val="00670F33"/>
    <w:rsid w:val="00674EAE"/>
    <w:rsid w:val="00677E6C"/>
    <w:rsid w:val="00685C3A"/>
    <w:rsid w:val="006A1473"/>
    <w:rsid w:val="006B0D82"/>
    <w:rsid w:val="006D1857"/>
    <w:rsid w:val="006D7B6E"/>
    <w:rsid w:val="006D7BB6"/>
    <w:rsid w:val="006E1D11"/>
    <w:rsid w:val="006E27A5"/>
    <w:rsid w:val="006F157C"/>
    <w:rsid w:val="006F20A4"/>
    <w:rsid w:val="006F3FF3"/>
    <w:rsid w:val="006F7575"/>
    <w:rsid w:val="00715C88"/>
    <w:rsid w:val="00715D8F"/>
    <w:rsid w:val="00725F93"/>
    <w:rsid w:val="00741591"/>
    <w:rsid w:val="00741F6B"/>
    <w:rsid w:val="007452E2"/>
    <w:rsid w:val="00747C79"/>
    <w:rsid w:val="00754057"/>
    <w:rsid w:val="0076667B"/>
    <w:rsid w:val="00784AF8"/>
    <w:rsid w:val="007859CD"/>
    <w:rsid w:val="007A6523"/>
    <w:rsid w:val="007A7814"/>
    <w:rsid w:val="007B26CD"/>
    <w:rsid w:val="007B3D0C"/>
    <w:rsid w:val="007C0C8C"/>
    <w:rsid w:val="007C4E46"/>
    <w:rsid w:val="007D0566"/>
    <w:rsid w:val="007D38A9"/>
    <w:rsid w:val="007D4651"/>
    <w:rsid w:val="007D7CFE"/>
    <w:rsid w:val="007E314A"/>
    <w:rsid w:val="007F6F57"/>
    <w:rsid w:val="008010A6"/>
    <w:rsid w:val="00804E1C"/>
    <w:rsid w:val="00810A4C"/>
    <w:rsid w:val="00813E3C"/>
    <w:rsid w:val="0081609E"/>
    <w:rsid w:val="008277A9"/>
    <w:rsid w:val="00842FFE"/>
    <w:rsid w:val="008501C7"/>
    <w:rsid w:val="00851B4B"/>
    <w:rsid w:val="00861640"/>
    <w:rsid w:val="008718E5"/>
    <w:rsid w:val="008844B1"/>
    <w:rsid w:val="00891B11"/>
    <w:rsid w:val="00892181"/>
    <w:rsid w:val="00892DE1"/>
    <w:rsid w:val="008A2427"/>
    <w:rsid w:val="008E5C4F"/>
    <w:rsid w:val="008E7869"/>
    <w:rsid w:val="008F312E"/>
    <w:rsid w:val="008F4BCE"/>
    <w:rsid w:val="008F5DBB"/>
    <w:rsid w:val="00910163"/>
    <w:rsid w:val="00916532"/>
    <w:rsid w:val="0092473F"/>
    <w:rsid w:val="00924E88"/>
    <w:rsid w:val="00942163"/>
    <w:rsid w:val="00950874"/>
    <w:rsid w:val="00964466"/>
    <w:rsid w:val="00965F44"/>
    <w:rsid w:val="00972FCF"/>
    <w:rsid w:val="00981FB0"/>
    <w:rsid w:val="0099341E"/>
    <w:rsid w:val="00993857"/>
    <w:rsid w:val="00997A06"/>
    <w:rsid w:val="009A12F9"/>
    <w:rsid w:val="009A3187"/>
    <w:rsid w:val="009A47FE"/>
    <w:rsid w:val="009A5380"/>
    <w:rsid w:val="009B4EBA"/>
    <w:rsid w:val="009B7148"/>
    <w:rsid w:val="009C0583"/>
    <w:rsid w:val="009C0B93"/>
    <w:rsid w:val="009C361A"/>
    <w:rsid w:val="009C3938"/>
    <w:rsid w:val="009C4027"/>
    <w:rsid w:val="009D0D94"/>
    <w:rsid w:val="009D25F9"/>
    <w:rsid w:val="009D2C22"/>
    <w:rsid w:val="009D72CF"/>
    <w:rsid w:val="009F164F"/>
    <w:rsid w:val="009F1C62"/>
    <w:rsid w:val="009F628A"/>
    <w:rsid w:val="00A25906"/>
    <w:rsid w:val="00A26C76"/>
    <w:rsid w:val="00A305E5"/>
    <w:rsid w:val="00A32AA1"/>
    <w:rsid w:val="00A64AE4"/>
    <w:rsid w:val="00A706A2"/>
    <w:rsid w:val="00A7383F"/>
    <w:rsid w:val="00A74F16"/>
    <w:rsid w:val="00A775C6"/>
    <w:rsid w:val="00A875EE"/>
    <w:rsid w:val="00A900E8"/>
    <w:rsid w:val="00A92D6E"/>
    <w:rsid w:val="00A970F8"/>
    <w:rsid w:val="00AA11B9"/>
    <w:rsid w:val="00AA54A5"/>
    <w:rsid w:val="00AA6C6B"/>
    <w:rsid w:val="00AA7DB0"/>
    <w:rsid w:val="00AC7961"/>
    <w:rsid w:val="00AE2039"/>
    <w:rsid w:val="00AE50A8"/>
    <w:rsid w:val="00AF4290"/>
    <w:rsid w:val="00AF68D3"/>
    <w:rsid w:val="00AF7ACE"/>
    <w:rsid w:val="00B05AC1"/>
    <w:rsid w:val="00B136D6"/>
    <w:rsid w:val="00B21010"/>
    <w:rsid w:val="00B26014"/>
    <w:rsid w:val="00B2709E"/>
    <w:rsid w:val="00B5079C"/>
    <w:rsid w:val="00B57AAB"/>
    <w:rsid w:val="00B57CED"/>
    <w:rsid w:val="00B667BC"/>
    <w:rsid w:val="00B84995"/>
    <w:rsid w:val="00B86812"/>
    <w:rsid w:val="00B9286A"/>
    <w:rsid w:val="00B95BBF"/>
    <w:rsid w:val="00BA3920"/>
    <w:rsid w:val="00BC2768"/>
    <w:rsid w:val="00BC4F9E"/>
    <w:rsid w:val="00BC7539"/>
    <w:rsid w:val="00BC79C1"/>
    <w:rsid w:val="00BD3A7C"/>
    <w:rsid w:val="00BF2610"/>
    <w:rsid w:val="00C074EF"/>
    <w:rsid w:val="00C15AC4"/>
    <w:rsid w:val="00C33674"/>
    <w:rsid w:val="00C41470"/>
    <w:rsid w:val="00C646C4"/>
    <w:rsid w:val="00C76463"/>
    <w:rsid w:val="00C85696"/>
    <w:rsid w:val="00C91204"/>
    <w:rsid w:val="00C935C2"/>
    <w:rsid w:val="00CA57D4"/>
    <w:rsid w:val="00CA6173"/>
    <w:rsid w:val="00CA65FF"/>
    <w:rsid w:val="00CB0938"/>
    <w:rsid w:val="00CC3420"/>
    <w:rsid w:val="00CC547C"/>
    <w:rsid w:val="00CC60FF"/>
    <w:rsid w:val="00CD7760"/>
    <w:rsid w:val="00CE13DA"/>
    <w:rsid w:val="00CF0F94"/>
    <w:rsid w:val="00CF2D98"/>
    <w:rsid w:val="00CF5AB1"/>
    <w:rsid w:val="00CF73B4"/>
    <w:rsid w:val="00D01738"/>
    <w:rsid w:val="00D1383A"/>
    <w:rsid w:val="00D24DA4"/>
    <w:rsid w:val="00D26F28"/>
    <w:rsid w:val="00D30D15"/>
    <w:rsid w:val="00D32839"/>
    <w:rsid w:val="00D33EE3"/>
    <w:rsid w:val="00D40769"/>
    <w:rsid w:val="00D4202F"/>
    <w:rsid w:val="00D43052"/>
    <w:rsid w:val="00D466D2"/>
    <w:rsid w:val="00D4765C"/>
    <w:rsid w:val="00D50ABF"/>
    <w:rsid w:val="00D532B4"/>
    <w:rsid w:val="00D616E2"/>
    <w:rsid w:val="00D63CFC"/>
    <w:rsid w:val="00D66D34"/>
    <w:rsid w:val="00D716E4"/>
    <w:rsid w:val="00D73D1A"/>
    <w:rsid w:val="00D75C74"/>
    <w:rsid w:val="00D858E5"/>
    <w:rsid w:val="00DA53C7"/>
    <w:rsid w:val="00DA5809"/>
    <w:rsid w:val="00DA7B48"/>
    <w:rsid w:val="00DB4551"/>
    <w:rsid w:val="00DC44CF"/>
    <w:rsid w:val="00DC6DE1"/>
    <w:rsid w:val="00DD01C5"/>
    <w:rsid w:val="00DD23C0"/>
    <w:rsid w:val="00DD4AB3"/>
    <w:rsid w:val="00DD4D5D"/>
    <w:rsid w:val="00DF3C7A"/>
    <w:rsid w:val="00DF71A8"/>
    <w:rsid w:val="00E02A24"/>
    <w:rsid w:val="00E16925"/>
    <w:rsid w:val="00E3382E"/>
    <w:rsid w:val="00E3492D"/>
    <w:rsid w:val="00E42E28"/>
    <w:rsid w:val="00E43BF3"/>
    <w:rsid w:val="00E45C4B"/>
    <w:rsid w:val="00E47525"/>
    <w:rsid w:val="00E47F91"/>
    <w:rsid w:val="00E5126C"/>
    <w:rsid w:val="00E545F1"/>
    <w:rsid w:val="00E63798"/>
    <w:rsid w:val="00E7442E"/>
    <w:rsid w:val="00E82188"/>
    <w:rsid w:val="00E825A1"/>
    <w:rsid w:val="00E85293"/>
    <w:rsid w:val="00E94F03"/>
    <w:rsid w:val="00EA37FC"/>
    <w:rsid w:val="00EB0687"/>
    <w:rsid w:val="00EB0FC5"/>
    <w:rsid w:val="00EB1910"/>
    <w:rsid w:val="00EB317F"/>
    <w:rsid w:val="00EB62F2"/>
    <w:rsid w:val="00ED27A1"/>
    <w:rsid w:val="00ED2C29"/>
    <w:rsid w:val="00ED7253"/>
    <w:rsid w:val="00EE02F0"/>
    <w:rsid w:val="00EE72DB"/>
    <w:rsid w:val="00EF56F9"/>
    <w:rsid w:val="00F10A29"/>
    <w:rsid w:val="00F10ACE"/>
    <w:rsid w:val="00F16658"/>
    <w:rsid w:val="00F20D0D"/>
    <w:rsid w:val="00F229CE"/>
    <w:rsid w:val="00F341FB"/>
    <w:rsid w:val="00F342FF"/>
    <w:rsid w:val="00F644EA"/>
    <w:rsid w:val="00F75C84"/>
    <w:rsid w:val="00F762E5"/>
    <w:rsid w:val="00F76491"/>
    <w:rsid w:val="00F94281"/>
    <w:rsid w:val="00FA3B81"/>
    <w:rsid w:val="00FA5DE4"/>
    <w:rsid w:val="00FA5E7B"/>
    <w:rsid w:val="00FB2C2F"/>
    <w:rsid w:val="00FC3884"/>
    <w:rsid w:val="00FD61B9"/>
    <w:rsid w:val="00FE56B8"/>
    <w:rsid w:val="00FE65DB"/>
    <w:rsid w:val="00FE6FD3"/>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27EEE"/>
  <w15:docId w15:val="{FB7D6DAD-948A-4C2D-BAF2-8E900478A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651"/>
    <w:pPr>
      <w:tabs>
        <w:tab w:val="center" w:pos="4419"/>
        <w:tab w:val="right" w:pos="8838"/>
      </w:tabs>
      <w:spacing w:after="0" w:line="240" w:lineRule="auto"/>
    </w:pPr>
  </w:style>
  <w:style w:type="character" w:customStyle="1" w:styleId="HeaderChar">
    <w:name w:val="Header Char"/>
    <w:basedOn w:val="DefaultParagraphFont"/>
    <w:link w:val="Header"/>
    <w:uiPriority w:val="99"/>
    <w:rsid w:val="007D4651"/>
  </w:style>
  <w:style w:type="paragraph" w:styleId="Footer">
    <w:name w:val="footer"/>
    <w:basedOn w:val="Normal"/>
    <w:link w:val="FooterChar"/>
    <w:uiPriority w:val="99"/>
    <w:unhideWhenUsed/>
    <w:rsid w:val="007D4651"/>
    <w:pPr>
      <w:tabs>
        <w:tab w:val="center" w:pos="4419"/>
        <w:tab w:val="right" w:pos="8838"/>
      </w:tabs>
      <w:spacing w:after="0" w:line="240" w:lineRule="auto"/>
    </w:pPr>
  </w:style>
  <w:style w:type="character" w:customStyle="1" w:styleId="FooterChar">
    <w:name w:val="Footer Char"/>
    <w:basedOn w:val="DefaultParagraphFont"/>
    <w:link w:val="Footer"/>
    <w:uiPriority w:val="99"/>
    <w:rsid w:val="007D4651"/>
  </w:style>
  <w:style w:type="paragraph" w:styleId="NoSpacing">
    <w:name w:val="No Spacing"/>
    <w:link w:val="NoSpacingChar"/>
    <w:uiPriority w:val="1"/>
    <w:qFormat/>
    <w:rsid w:val="007D4651"/>
    <w:pPr>
      <w:spacing w:after="0" w:line="240" w:lineRule="auto"/>
    </w:pPr>
  </w:style>
  <w:style w:type="character" w:customStyle="1" w:styleId="NoSpacingChar">
    <w:name w:val="No Spacing Char"/>
    <w:basedOn w:val="DefaultParagraphFont"/>
    <w:link w:val="NoSpacing"/>
    <w:uiPriority w:val="1"/>
    <w:locked/>
    <w:rsid w:val="007D4651"/>
  </w:style>
  <w:style w:type="paragraph" w:styleId="FootnoteText">
    <w:name w:val="footnote text"/>
    <w:aliases w:val="Texto nota pie Car Car Car Car Car Car,Texto nota pie Car Car Car Car Car Car Car,Texto nota pie Car Car Car Car Car Car Ca"/>
    <w:basedOn w:val="Normal"/>
    <w:link w:val="FootnoteTextChar"/>
    <w:uiPriority w:val="99"/>
    <w:unhideWhenUsed/>
    <w:rsid w:val="00FA3B81"/>
    <w:pPr>
      <w:spacing w:after="0" w:line="240" w:lineRule="auto"/>
    </w:pPr>
    <w:rPr>
      <w:sz w:val="20"/>
      <w:szCs w:val="20"/>
    </w:rPr>
  </w:style>
  <w:style w:type="character" w:customStyle="1" w:styleId="FootnoteTextChar">
    <w:name w:val="Footnote Text Char"/>
    <w:aliases w:val="Texto nota pie Car Car Car Car Car Car Char,Texto nota pie Car Car Car Car Car Car Car Char,Texto nota pie Car Car Car Car Car Car Ca Char"/>
    <w:basedOn w:val="DefaultParagraphFont"/>
    <w:link w:val="FootnoteText"/>
    <w:uiPriority w:val="99"/>
    <w:rsid w:val="00FA3B81"/>
    <w:rPr>
      <w:sz w:val="20"/>
      <w:szCs w:val="20"/>
    </w:rPr>
  </w:style>
  <w:style w:type="character" w:styleId="FootnoteReference">
    <w:name w:val="footnote reference"/>
    <w:basedOn w:val="DefaultParagraphFont"/>
    <w:uiPriority w:val="99"/>
    <w:semiHidden/>
    <w:unhideWhenUsed/>
    <w:rsid w:val="00FA3B81"/>
    <w:rPr>
      <w:vertAlign w:val="superscript"/>
    </w:rPr>
  </w:style>
  <w:style w:type="table" w:styleId="TableGrid">
    <w:name w:val="Table Grid"/>
    <w:basedOn w:val="Table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F4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2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2.emf"/><Relationship Id="rId19" Type="http://schemas.openxmlformats.org/officeDocument/2006/relationships/header" Target="header4.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4.emf"/><Relationship Id="rId27" Type="http://schemas.openxmlformats.org/officeDocument/2006/relationships/footer" Target="footer6.xml"/><Relationship Id="rId30"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manualLayout>
          <c:layoutTarget val="inner"/>
          <c:xMode val="edge"/>
          <c:yMode val="edge"/>
          <c:x val="0.14463336345251926"/>
          <c:y val="8.1491563554555682E-2"/>
          <c:w val="0.76077277225592699"/>
          <c:h val="0.82869891263592055"/>
        </c:manualLayout>
      </c:layout>
      <c:radarChart>
        <c:radarStyle val="filled"/>
        <c:varyColors val="0"/>
        <c:ser>
          <c:idx val="0"/>
          <c:order val="0"/>
          <c:tx>
            <c:strRef>
              <c:f>Hoja1!$B$1</c:f>
              <c:strCache>
                <c:ptCount val="1"/>
                <c:pt idx="0">
                  <c:v>Obs</c:v>
                </c:pt>
              </c:strCache>
            </c:strRef>
          </c:tx>
          <c:spPr>
            <a:ln w="19050">
              <a:solidFill>
                <a:schemeClr val="tx1"/>
              </a:solidFill>
              <a:prstDash val="sysDash"/>
            </a:ln>
          </c:spPr>
          <c:dLbls>
            <c:dLbl>
              <c:idx val="0"/>
              <c:layout>
                <c:manualLayout>
                  <c:x val="0.1169842949959124"/>
                  <c:y val="6.14210723659543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3D-40B1-B281-00C4135C5222}"/>
                </c:ext>
              </c:extLst>
            </c:dLbl>
            <c:dLbl>
              <c:idx val="1"/>
              <c:layout>
                <c:manualLayout>
                  <c:x val="0.15737704918032788"/>
                  <c:y val="-2.9123359580052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3D-40B1-B281-00C4135C5222}"/>
                </c:ext>
              </c:extLst>
            </c:dLbl>
            <c:dLbl>
              <c:idx val="2"/>
              <c:layout>
                <c:manualLayout>
                  <c:x val="2.9520295202952029E-2"/>
                  <c:y val="6.4412238325281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3D-40B1-B281-00C4135C5222}"/>
                </c:ext>
              </c:extLst>
            </c:dLbl>
            <c:dLbl>
              <c:idx val="3"/>
              <c:layout>
                <c:manualLayout>
                  <c:x val="-8.2559958693687874E-2"/>
                  <c:y val="9.52380952380952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3D-40B1-B281-00C4135C5222}"/>
                </c:ext>
              </c:extLst>
            </c:dLbl>
            <c:dLbl>
              <c:idx val="4"/>
              <c:layout>
                <c:manualLayout>
                  <c:x val="-0.17599242717611119"/>
                  <c:y val="0.153508061492313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3D-40B1-B281-00C4135C5222}"/>
                </c:ext>
              </c:extLst>
            </c:dLbl>
            <c:dLbl>
              <c:idx val="5"/>
              <c:layout>
                <c:manualLayout>
                  <c:x val="-8.7963856976894281E-2"/>
                  <c:y val="-3.8647169103862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3D-40B1-B281-00C4135C5222}"/>
                </c:ext>
              </c:extLst>
            </c:dLbl>
            <c:dLbl>
              <c:idx val="6"/>
              <c:layout>
                <c:manualLayout>
                  <c:x val="-2.6229508196721311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3D-40B1-B281-00C4135C5222}"/>
                </c:ext>
              </c:extLst>
            </c:dLbl>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Ene</c:v>
                </c:pt>
                <c:pt idx="1">
                  <c:v>Feb</c:v>
                </c:pt>
                <c:pt idx="2">
                  <c:v>Mar</c:v>
                </c:pt>
                <c:pt idx="3">
                  <c:v>Abr</c:v>
                </c:pt>
                <c:pt idx="4">
                  <c:v>May</c:v>
                </c:pt>
                <c:pt idx="5">
                  <c:v>Jun</c:v>
                </c:pt>
                <c:pt idx="6">
                  <c:v>Jul</c:v>
                </c:pt>
              </c:strCache>
            </c:strRef>
          </c:cat>
          <c:val>
            <c:numRef>
              <c:f>Hoja1!$B$2:$B$8</c:f>
              <c:numCache>
                <c:formatCode>_(* #,##0.0_);_(* \(#,##0.0\);_(* "-"??_);_(@_)</c:formatCode>
                <c:ptCount val="7"/>
                <c:pt idx="0">
                  <c:v>5263.6985960700003</c:v>
                </c:pt>
                <c:pt idx="1">
                  <c:v>3619.0174597299997</c:v>
                </c:pt>
                <c:pt idx="2">
                  <c:v>4894.5504783299984</c:v>
                </c:pt>
                <c:pt idx="3">
                  <c:v>5742.6185616599987</c:v>
                </c:pt>
                <c:pt idx="4">
                  <c:v>3936.2514973800003</c:v>
                </c:pt>
                <c:pt idx="5">
                  <c:v>4629.6755531199988</c:v>
                </c:pt>
                <c:pt idx="6" formatCode="#,##0.0">
                  <c:v>6251.9</c:v>
                </c:pt>
              </c:numCache>
            </c:numRef>
          </c:val>
          <c:extLst>
            <c:ext xmlns:c16="http://schemas.microsoft.com/office/drawing/2014/chart" uri="{C3380CC4-5D6E-409C-BE32-E72D297353CC}">
              <c16:uniqueId val="{00000007-F53D-40B1-B281-00C4135C5222}"/>
            </c:ext>
          </c:extLst>
        </c:ser>
        <c:ser>
          <c:idx val="1"/>
          <c:order val="1"/>
          <c:tx>
            <c:strRef>
              <c:f>Hoja1!$C$1</c:f>
              <c:strCache>
                <c:ptCount val="1"/>
                <c:pt idx="0">
                  <c:v>Meta</c:v>
                </c:pt>
              </c:strCache>
            </c:strRef>
          </c:tx>
          <c:spPr>
            <a:ln w="15875">
              <a:solidFill>
                <a:srgbClr val="FF0000"/>
              </a:solidFill>
              <a:prstDash val="solid"/>
            </a:ln>
          </c:spPr>
          <c:dLbls>
            <c:dLbl>
              <c:idx val="0"/>
              <c:layout>
                <c:manualLayout>
                  <c:x val="0.11479024138376145"/>
                  <c:y val="-2.6340082489688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3D-40B1-B281-00C4135C5222}"/>
                </c:ext>
              </c:extLst>
            </c:dLbl>
            <c:dLbl>
              <c:idx val="1"/>
              <c:layout>
                <c:manualLayout>
                  <c:x val="0.14974708489307689"/>
                  <c:y val="-0.14987401574803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3D-40B1-B281-00C4135C5222}"/>
                </c:ext>
              </c:extLst>
            </c:dLbl>
            <c:dLbl>
              <c:idx val="2"/>
              <c:layout>
                <c:manualLayout>
                  <c:x val="2.9520244395680049E-2"/>
                  <c:y val="-5.3485189351331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53D-40B1-B281-00C4135C5222}"/>
                </c:ext>
              </c:extLst>
            </c:dLbl>
            <c:dLbl>
              <c:idx val="3"/>
              <c:layout>
                <c:manualLayout>
                  <c:x val="0.148133729185491"/>
                  <c:y val="-1.9047619047619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3D-40B1-B281-00C4135C5222}"/>
                </c:ext>
              </c:extLst>
            </c:dLbl>
            <c:dLbl>
              <c:idx val="4"/>
              <c:layout>
                <c:manualLayout>
                  <c:x val="2.7858697990620063E-2"/>
                  <c:y val="0.144789651293588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53D-40B1-B281-00C4135C5222}"/>
                </c:ext>
              </c:extLst>
            </c:dLbl>
            <c:dLbl>
              <c:idx val="5"/>
              <c:layout>
                <c:manualLayout>
                  <c:x val="-7.1058560302912951E-2"/>
                  <c:y val="0.101104236970378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53D-40B1-B281-00C4135C5222}"/>
                </c:ext>
              </c:extLst>
            </c:dLbl>
            <c:dLbl>
              <c:idx val="6"/>
              <c:layout>
                <c:manualLayout>
                  <c:x val="1.7486338797814208E-2"/>
                  <c:y val="-2.8571428571428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53D-40B1-B281-00C4135C5222}"/>
                </c:ext>
              </c:extLst>
            </c:dLbl>
            <c:spPr>
              <a:noFill/>
              <a:ln>
                <a:noFill/>
              </a:ln>
              <a:effectLst/>
            </c:spPr>
            <c:txPr>
              <a:bodyPr/>
              <a:lstStyle/>
              <a:p>
                <a:pPr>
                  <a:defRPr b="1">
                    <a:solidFill>
                      <a:srgbClr val="FF0000"/>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Ene</c:v>
                </c:pt>
                <c:pt idx="1">
                  <c:v>Feb</c:v>
                </c:pt>
                <c:pt idx="2">
                  <c:v>Mar</c:v>
                </c:pt>
                <c:pt idx="3">
                  <c:v>Abr</c:v>
                </c:pt>
                <c:pt idx="4">
                  <c:v>May</c:v>
                </c:pt>
                <c:pt idx="5">
                  <c:v>Jun</c:v>
                </c:pt>
                <c:pt idx="6">
                  <c:v>Jul</c:v>
                </c:pt>
              </c:strCache>
            </c:strRef>
          </c:cat>
          <c:val>
            <c:numRef>
              <c:f>Hoja1!$C$2:$C$8</c:f>
              <c:numCache>
                <c:formatCode>_(* #,##0.0_);_(* \(#,##0.0\);_(* "-"??_);_(@_)</c:formatCode>
                <c:ptCount val="7"/>
                <c:pt idx="0">
                  <c:v>5627.4079276378061</c:v>
                </c:pt>
                <c:pt idx="1">
                  <c:v>3792.9570322124555</c:v>
                </c:pt>
                <c:pt idx="2">
                  <c:v>5023.2423792012787</c:v>
                </c:pt>
                <c:pt idx="3">
                  <c:v>5710.1174957668418</c:v>
                </c:pt>
                <c:pt idx="4">
                  <c:v>4071.0732233766971</c:v>
                </c:pt>
                <c:pt idx="5">
                  <c:v>4193.5379882839652</c:v>
                </c:pt>
                <c:pt idx="6" formatCode="#,##0.0">
                  <c:v>6563.8</c:v>
                </c:pt>
              </c:numCache>
            </c:numRef>
          </c:val>
          <c:extLst>
            <c:ext xmlns:c16="http://schemas.microsoft.com/office/drawing/2014/chart" uri="{C3380CC4-5D6E-409C-BE32-E72D297353CC}">
              <c16:uniqueId val="{0000000F-F53D-40B1-B281-00C4135C5222}"/>
            </c:ext>
          </c:extLst>
        </c:ser>
        <c:dLbls>
          <c:showLegendKey val="0"/>
          <c:showVal val="0"/>
          <c:showCatName val="0"/>
          <c:showSerName val="0"/>
          <c:showPercent val="0"/>
          <c:showBubbleSize val="0"/>
        </c:dLbls>
        <c:axId val="191588224"/>
        <c:axId val="191589760"/>
      </c:radarChart>
      <c:catAx>
        <c:axId val="191588224"/>
        <c:scaling>
          <c:orientation val="minMax"/>
        </c:scaling>
        <c:delete val="0"/>
        <c:axPos val="b"/>
        <c:majorGridlines/>
        <c:numFmt formatCode="General" sourceLinked="1"/>
        <c:majorTickMark val="out"/>
        <c:minorTickMark val="none"/>
        <c:tickLblPos val="nextTo"/>
        <c:txPr>
          <a:bodyPr/>
          <a:lstStyle/>
          <a:p>
            <a:pPr>
              <a:defRPr b="1"/>
            </a:pPr>
            <a:endParaRPr lang="es-ES"/>
          </a:p>
        </c:txPr>
        <c:crossAx val="191589760"/>
        <c:crosses val="autoZero"/>
        <c:auto val="1"/>
        <c:lblAlgn val="ctr"/>
        <c:lblOffset val="100"/>
        <c:noMultiLvlLbl val="0"/>
      </c:catAx>
      <c:valAx>
        <c:axId val="191589760"/>
        <c:scaling>
          <c:orientation val="minMax"/>
        </c:scaling>
        <c:delete val="0"/>
        <c:axPos val="l"/>
        <c:numFmt formatCode="#,##0" sourceLinked="0"/>
        <c:majorTickMark val="out"/>
        <c:minorTickMark val="none"/>
        <c:tickLblPos val="nextTo"/>
        <c:txPr>
          <a:bodyPr/>
          <a:lstStyle/>
          <a:p>
            <a:pPr>
              <a:defRPr sz="600" b="1"/>
            </a:pPr>
            <a:endParaRPr lang="es-ES"/>
          </a:p>
        </c:txPr>
        <c:crossAx val="191588224"/>
        <c:crosses val="autoZero"/>
        <c:crossBetween val="between"/>
      </c:valAx>
      <c:spPr>
        <a:noFill/>
        <a:ln w="25400">
          <a:noFill/>
        </a:ln>
      </c:spPr>
    </c:plotArea>
    <c:legend>
      <c:legendPos val="b"/>
      <c:layout>
        <c:manualLayout>
          <c:xMode val="edge"/>
          <c:yMode val="edge"/>
          <c:x val="0.71435326139788091"/>
          <c:y val="0.92478018372703397"/>
          <c:w val="0.24919581773589777"/>
          <c:h val="7.0339332583427075E-2"/>
        </c:manualLayout>
      </c:layout>
      <c:overlay val="0"/>
      <c:txPr>
        <a:bodyPr/>
        <a:lstStyle/>
        <a:p>
          <a:pPr>
            <a:defRPr b="1"/>
          </a:pPr>
          <a:endParaRPr lang="es-ES"/>
        </a:p>
      </c:txPr>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manualLayout>
          <c:layoutTarget val="inner"/>
          <c:xMode val="edge"/>
          <c:yMode val="edge"/>
          <c:x val="0.10278144762106078"/>
          <c:y val="5.6791090302901324E-2"/>
          <c:w val="0.89721855237893922"/>
          <c:h val="0.83275306802865856"/>
        </c:manualLayout>
      </c:layout>
      <c:lineChart>
        <c:grouping val="standard"/>
        <c:varyColors val="0"/>
        <c:ser>
          <c:idx val="0"/>
          <c:order val="0"/>
          <c:tx>
            <c:strRef>
              <c:f>Hoja1!$B$1</c:f>
              <c:strCache>
                <c:ptCount val="1"/>
                <c:pt idx="0">
                  <c:v>2017/2016</c:v>
                </c:pt>
              </c:strCache>
            </c:strRef>
          </c:tx>
          <c:spPr>
            <a:ln w="19050">
              <a:solidFill>
                <a:srgbClr val="FF0000"/>
              </a:solidFill>
            </a:ln>
          </c:spPr>
          <c:marker>
            <c:symbol val="circle"/>
            <c:size val="5"/>
            <c:spPr>
              <a:solidFill>
                <a:srgbClr val="FF0000"/>
              </a:solidFill>
            </c:spPr>
          </c:marker>
          <c:dLbls>
            <c:spPr>
              <a:noFill/>
              <a:ln>
                <a:noFill/>
              </a:ln>
              <a:effectLst/>
            </c:spPr>
            <c:txPr>
              <a:bodyPr rot="0" vert="horz"/>
              <a:lstStyle/>
              <a:p>
                <a:pPr>
                  <a:defRPr b="1">
                    <a:solidFill>
                      <a:srgbClr val="FF0000"/>
                    </a:solidFill>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Ene</c:v>
                </c:pt>
                <c:pt idx="1">
                  <c:v>Feb</c:v>
                </c:pt>
                <c:pt idx="2">
                  <c:v>Mar</c:v>
                </c:pt>
                <c:pt idx="3">
                  <c:v>Abr</c:v>
                </c:pt>
                <c:pt idx="4">
                  <c:v>May</c:v>
                </c:pt>
                <c:pt idx="5">
                  <c:v>Jun</c:v>
                </c:pt>
                <c:pt idx="6">
                  <c:v>Jul</c:v>
                </c:pt>
              </c:strCache>
            </c:strRef>
          </c:cat>
          <c:val>
            <c:numRef>
              <c:f>Hoja1!$B$2:$B$8</c:f>
              <c:numCache>
                <c:formatCode>0.0%</c:formatCode>
                <c:ptCount val="7"/>
                <c:pt idx="0">
                  <c:v>8.7106089305437395E-2</c:v>
                </c:pt>
                <c:pt idx="1">
                  <c:v>7.8763477966087292E-2</c:v>
                </c:pt>
                <c:pt idx="2">
                  <c:v>9.6681641236973093E-2</c:v>
                </c:pt>
                <c:pt idx="3">
                  <c:v>6.8944163353312993E-2</c:v>
                </c:pt>
                <c:pt idx="4">
                  <c:v>5.2999999999999999E-2</c:v>
                </c:pt>
                <c:pt idx="5">
                  <c:v>7.4063323999205455E-2</c:v>
                </c:pt>
                <c:pt idx="6">
                  <c:v>7.0999999999999994E-2</c:v>
                </c:pt>
              </c:numCache>
            </c:numRef>
          </c:val>
          <c:smooth val="0"/>
          <c:extLst>
            <c:ext xmlns:c16="http://schemas.microsoft.com/office/drawing/2014/chart" uri="{C3380CC4-5D6E-409C-BE32-E72D297353CC}">
              <c16:uniqueId val="{00000000-9BB8-4331-AE6E-83F8EE8C77EB}"/>
            </c:ext>
          </c:extLst>
        </c:ser>
        <c:ser>
          <c:idx val="1"/>
          <c:order val="1"/>
          <c:tx>
            <c:strRef>
              <c:f>Hoja1!$C$1</c:f>
              <c:strCache>
                <c:ptCount val="1"/>
                <c:pt idx="0">
                  <c:v>2016/2015</c:v>
                </c:pt>
              </c:strCache>
            </c:strRef>
          </c:tx>
          <c:spPr>
            <a:ln w="19050">
              <a:solidFill>
                <a:schemeClr val="tx2"/>
              </a:solidFill>
              <a:prstDash val="sysDash"/>
            </a:ln>
          </c:spPr>
          <c:marker>
            <c:spPr>
              <a:solidFill>
                <a:srgbClr val="002060"/>
              </a:solidFill>
            </c:spPr>
          </c:marker>
          <c:dLbls>
            <c:dLbl>
              <c:idx val="4"/>
              <c:layout>
                <c:manualLayout>
                  <c:x val="-4.5728564372257897E-2"/>
                  <c:y val="7.0411728836925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B8-4331-AE6E-83F8EE8C77EB}"/>
                </c:ext>
              </c:extLst>
            </c:dLbl>
            <c:spPr>
              <a:noFill/>
              <a:ln>
                <a:noFill/>
              </a:ln>
              <a:effectLst/>
            </c:spPr>
            <c:txPr>
              <a:bodyPr/>
              <a:lstStyle/>
              <a:p>
                <a:pPr>
                  <a:defRPr b="1">
                    <a:solidFill>
                      <a:sysClr val="windowText" lastClr="000000"/>
                    </a:solidFill>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Ene</c:v>
                </c:pt>
                <c:pt idx="1">
                  <c:v>Feb</c:v>
                </c:pt>
                <c:pt idx="2">
                  <c:v>Mar</c:v>
                </c:pt>
                <c:pt idx="3">
                  <c:v>Abr</c:v>
                </c:pt>
                <c:pt idx="4">
                  <c:v>May</c:v>
                </c:pt>
                <c:pt idx="5">
                  <c:v>Jun</c:v>
                </c:pt>
                <c:pt idx="6">
                  <c:v>Jul</c:v>
                </c:pt>
              </c:strCache>
            </c:strRef>
          </c:cat>
          <c:val>
            <c:numRef>
              <c:f>Hoja1!$C$2:$C$8</c:f>
              <c:numCache>
                <c:formatCode>0.0%</c:formatCode>
                <c:ptCount val="7"/>
                <c:pt idx="0">
                  <c:v>-2.3375490882261318E-2</c:v>
                </c:pt>
                <c:pt idx="1">
                  <c:v>4.3206148558598834E-3</c:v>
                </c:pt>
                <c:pt idx="2">
                  <c:v>-1.0267216186412131E-2</c:v>
                </c:pt>
                <c:pt idx="3">
                  <c:v>1.9355073413711565E-3</c:v>
                </c:pt>
                <c:pt idx="4">
                  <c:v>2.8000000000000001E-2</c:v>
                </c:pt>
                <c:pt idx="5">
                  <c:v>3.0148336255222841E-2</c:v>
                </c:pt>
                <c:pt idx="6">
                  <c:v>2.1000000000000001E-2</c:v>
                </c:pt>
              </c:numCache>
            </c:numRef>
          </c:val>
          <c:smooth val="0"/>
          <c:extLst>
            <c:ext xmlns:c16="http://schemas.microsoft.com/office/drawing/2014/chart" uri="{C3380CC4-5D6E-409C-BE32-E72D297353CC}">
              <c16:uniqueId val="{00000002-9BB8-4331-AE6E-83F8EE8C77EB}"/>
            </c:ext>
          </c:extLst>
        </c:ser>
        <c:dLbls>
          <c:showLegendKey val="0"/>
          <c:showVal val="0"/>
          <c:showCatName val="0"/>
          <c:showSerName val="0"/>
          <c:showPercent val="0"/>
          <c:showBubbleSize val="0"/>
        </c:dLbls>
        <c:marker val="1"/>
        <c:smooth val="0"/>
        <c:axId val="132080384"/>
        <c:axId val="132081920"/>
      </c:lineChart>
      <c:catAx>
        <c:axId val="132080384"/>
        <c:scaling>
          <c:orientation val="minMax"/>
        </c:scaling>
        <c:delete val="0"/>
        <c:axPos val="b"/>
        <c:numFmt formatCode="General" sourceLinked="1"/>
        <c:majorTickMark val="out"/>
        <c:minorTickMark val="none"/>
        <c:tickLblPos val="low"/>
        <c:crossAx val="132081920"/>
        <c:crosses val="autoZero"/>
        <c:auto val="1"/>
        <c:lblAlgn val="ctr"/>
        <c:lblOffset val="100"/>
        <c:noMultiLvlLbl val="0"/>
      </c:catAx>
      <c:valAx>
        <c:axId val="132081920"/>
        <c:scaling>
          <c:orientation val="minMax"/>
        </c:scaling>
        <c:delete val="0"/>
        <c:axPos val="l"/>
        <c:numFmt formatCode="0%" sourceLinked="0"/>
        <c:majorTickMark val="out"/>
        <c:minorTickMark val="none"/>
        <c:tickLblPos val="nextTo"/>
        <c:crossAx val="132080384"/>
        <c:crosses val="autoZero"/>
        <c:crossBetween val="between"/>
      </c:valAx>
      <c:spPr>
        <a:noFill/>
        <a:ln w="25400">
          <a:noFill/>
        </a:ln>
      </c:spPr>
    </c:plotArea>
    <c:legend>
      <c:legendPos val="b"/>
      <c:layout>
        <c:manualLayout>
          <c:xMode val="edge"/>
          <c:yMode val="edge"/>
          <c:x val="0.24333672313101085"/>
          <c:y val="0.78240585095402404"/>
          <c:w val="0.75666327686898915"/>
          <c:h val="8.792416572928384E-2"/>
        </c:manualLayout>
      </c:layout>
      <c:overlay val="0"/>
      <c:txPr>
        <a:bodyPr/>
        <a:lstStyle/>
        <a:p>
          <a:pPr>
            <a:defRPr b="1"/>
          </a:pPr>
          <a:endParaRPr lang="es-ES"/>
        </a:p>
      </c:txPr>
    </c:legend>
    <c:plotVisOnly val="1"/>
    <c:dispBlanksAs val="gap"/>
    <c:showDLblsOverMax val="0"/>
  </c:chart>
  <c:spPr>
    <a:ln>
      <a:noFill/>
    </a:ln>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manualLayout>
          <c:layoutTarget val="inner"/>
          <c:xMode val="edge"/>
          <c:yMode val="edge"/>
          <c:x val="0.12942983603064376"/>
          <c:y val="5.6791090302901324E-2"/>
          <c:w val="0.85088996716738818"/>
          <c:h val="0.82710351883980615"/>
        </c:manualLayout>
      </c:layout>
      <c:lineChart>
        <c:grouping val="standard"/>
        <c:varyColors val="0"/>
        <c:ser>
          <c:idx val="0"/>
          <c:order val="0"/>
          <c:tx>
            <c:strRef>
              <c:f>Hoja1!$B$1</c:f>
              <c:strCache>
                <c:ptCount val="1"/>
                <c:pt idx="0">
                  <c:v>2017/2016</c:v>
                </c:pt>
              </c:strCache>
            </c:strRef>
          </c:tx>
          <c:spPr>
            <a:ln w="19050">
              <a:solidFill>
                <a:srgbClr val="FF0000"/>
              </a:solidFill>
            </a:ln>
          </c:spPr>
          <c:marker>
            <c:symbol val="circle"/>
            <c:size val="5"/>
            <c:spPr>
              <a:solidFill>
                <a:srgbClr val="FF0000"/>
              </a:solidFill>
            </c:spPr>
          </c:marker>
          <c:dLbls>
            <c:dLbl>
              <c:idx val="4"/>
              <c:layout>
                <c:manualLayout>
                  <c:x val="-6.5408761174225921E-2"/>
                  <c:y val="6.8444325815205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86-43B1-A049-55C85EFBAE0A}"/>
                </c:ext>
              </c:extLst>
            </c:dLbl>
            <c:dLbl>
              <c:idx val="5"/>
              <c:layout>
                <c:manualLayout>
                  <c:x val="-2.0269053084231632E-3"/>
                  <c:y val="-2.0338983050847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86-43B1-A049-55C85EFBAE0A}"/>
                </c:ext>
              </c:extLst>
            </c:dLbl>
            <c:dLbl>
              <c:idx val="6"/>
              <c:layout>
                <c:manualLayout>
                  <c:x val="-1.7371260326776495E-3"/>
                  <c:y val="6.440677966101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86-43B1-A049-55C85EFBAE0A}"/>
                </c:ext>
              </c:extLst>
            </c:dLbl>
            <c:spPr>
              <a:noFill/>
              <a:ln>
                <a:noFill/>
              </a:ln>
              <a:effectLst/>
            </c:spPr>
            <c:txPr>
              <a:bodyPr rot="0" vert="horz"/>
              <a:lstStyle/>
              <a:p>
                <a:pPr>
                  <a:defRPr b="1">
                    <a:solidFill>
                      <a:srgbClr val="FF0000"/>
                    </a:solidFill>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Ene</c:v>
                </c:pt>
                <c:pt idx="1">
                  <c:v>Feb</c:v>
                </c:pt>
                <c:pt idx="2">
                  <c:v>Mar</c:v>
                </c:pt>
                <c:pt idx="3">
                  <c:v>Abr</c:v>
                </c:pt>
                <c:pt idx="4">
                  <c:v>May</c:v>
                </c:pt>
                <c:pt idx="5">
                  <c:v>Jun</c:v>
                </c:pt>
                <c:pt idx="6">
                  <c:v>Jul</c:v>
                </c:pt>
              </c:strCache>
            </c:strRef>
          </c:cat>
          <c:val>
            <c:numRef>
              <c:f>Hoja1!$B$2:$B$8</c:f>
              <c:numCache>
                <c:formatCode>0.0%</c:formatCode>
                <c:ptCount val="7"/>
                <c:pt idx="0">
                  <c:v>0.14711342893697199</c:v>
                </c:pt>
                <c:pt idx="1">
                  <c:v>0.15353301655355001</c:v>
                </c:pt>
                <c:pt idx="2">
                  <c:v>0.1588626652779721</c:v>
                </c:pt>
                <c:pt idx="3">
                  <c:v>0.19687396453161088</c:v>
                </c:pt>
                <c:pt idx="4">
                  <c:v>6.6000000000000003E-2</c:v>
                </c:pt>
                <c:pt idx="5">
                  <c:v>9.4560771521028597E-2</c:v>
                </c:pt>
                <c:pt idx="6">
                  <c:v>4.5999999999999999E-2</c:v>
                </c:pt>
              </c:numCache>
            </c:numRef>
          </c:val>
          <c:smooth val="0"/>
          <c:extLst>
            <c:ext xmlns:c16="http://schemas.microsoft.com/office/drawing/2014/chart" uri="{C3380CC4-5D6E-409C-BE32-E72D297353CC}">
              <c16:uniqueId val="{00000003-0E86-43B1-A049-55C85EFBAE0A}"/>
            </c:ext>
          </c:extLst>
        </c:ser>
        <c:ser>
          <c:idx val="1"/>
          <c:order val="1"/>
          <c:tx>
            <c:strRef>
              <c:f>Hoja1!$C$1</c:f>
              <c:strCache>
                <c:ptCount val="1"/>
                <c:pt idx="0">
                  <c:v>2016/2015</c:v>
                </c:pt>
              </c:strCache>
            </c:strRef>
          </c:tx>
          <c:spPr>
            <a:ln w="19050">
              <a:solidFill>
                <a:schemeClr val="tx2"/>
              </a:solidFill>
              <a:prstDash val="sysDash"/>
            </a:ln>
          </c:spPr>
          <c:marker>
            <c:spPr>
              <a:solidFill>
                <a:srgbClr val="002060"/>
              </a:solidFill>
            </c:spPr>
          </c:marker>
          <c:dLbls>
            <c:spPr>
              <a:noFill/>
              <a:ln>
                <a:noFill/>
              </a:ln>
              <a:effectLst/>
            </c:spPr>
            <c:txPr>
              <a:bodyPr/>
              <a:lstStyle/>
              <a:p>
                <a:pPr>
                  <a:defRPr b="1">
                    <a:solidFill>
                      <a:sysClr val="windowText" lastClr="000000"/>
                    </a:solidFill>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Hoja1!$A$2:$A$8</c:f>
              <c:strCache>
                <c:ptCount val="7"/>
                <c:pt idx="0">
                  <c:v>Ene</c:v>
                </c:pt>
                <c:pt idx="1">
                  <c:v>Feb</c:v>
                </c:pt>
                <c:pt idx="2">
                  <c:v>Mar</c:v>
                </c:pt>
                <c:pt idx="3">
                  <c:v>Abr</c:v>
                </c:pt>
                <c:pt idx="4">
                  <c:v>May</c:v>
                </c:pt>
                <c:pt idx="5">
                  <c:v>Jun</c:v>
                </c:pt>
                <c:pt idx="6">
                  <c:v>Jul</c:v>
                </c:pt>
              </c:strCache>
            </c:strRef>
          </c:cat>
          <c:val>
            <c:numRef>
              <c:f>Hoja1!$C$2:$C$8</c:f>
              <c:numCache>
                <c:formatCode>0.0%</c:formatCode>
                <c:ptCount val="7"/>
                <c:pt idx="0">
                  <c:v>2.597414359755601E-2</c:v>
                </c:pt>
                <c:pt idx="1">
                  <c:v>-4.4987491310084504E-2</c:v>
                </c:pt>
                <c:pt idx="2">
                  <c:v>1.8696642978055511E-3</c:v>
                </c:pt>
                <c:pt idx="3">
                  <c:v>1.2480307838625304E-2</c:v>
                </c:pt>
                <c:pt idx="4">
                  <c:v>0.11899999999999999</c:v>
                </c:pt>
                <c:pt idx="5">
                  <c:v>0.13155045891703909</c:v>
                </c:pt>
                <c:pt idx="6">
                  <c:v>0.17599999999999999</c:v>
                </c:pt>
              </c:numCache>
            </c:numRef>
          </c:val>
          <c:smooth val="0"/>
          <c:extLst>
            <c:ext xmlns:c16="http://schemas.microsoft.com/office/drawing/2014/chart" uri="{C3380CC4-5D6E-409C-BE32-E72D297353CC}">
              <c16:uniqueId val="{00000004-0E86-43B1-A049-55C85EFBAE0A}"/>
            </c:ext>
          </c:extLst>
        </c:ser>
        <c:dLbls>
          <c:showLegendKey val="0"/>
          <c:showVal val="0"/>
          <c:showCatName val="0"/>
          <c:showSerName val="0"/>
          <c:showPercent val="0"/>
          <c:showBubbleSize val="0"/>
        </c:dLbls>
        <c:marker val="1"/>
        <c:smooth val="0"/>
        <c:axId val="132668800"/>
        <c:axId val="132670592"/>
      </c:lineChart>
      <c:catAx>
        <c:axId val="132668800"/>
        <c:scaling>
          <c:orientation val="minMax"/>
        </c:scaling>
        <c:delete val="0"/>
        <c:axPos val="b"/>
        <c:numFmt formatCode="General" sourceLinked="1"/>
        <c:majorTickMark val="out"/>
        <c:minorTickMark val="none"/>
        <c:tickLblPos val="low"/>
        <c:crossAx val="132670592"/>
        <c:crosses val="autoZero"/>
        <c:auto val="1"/>
        <c:lblAlgn val="ctr"/>
        <c:lblOffset val="100"/>
        <c:noMultiLvlLbl val="0"/>
      </c:catAx>
      <c:valAx>
        <c:axId val="132670592"/>
        <c:scaling>
          <c:orientation val="minMax"/>
        </c:scaling>
        <c:delete val="0"/>
        <c:axPos val="l"/>
        <c:numFmt formatCode="0%" sourceLinked="0"/>
        <c:majorTickMark val="out"/>
        <c:minorTickMark val="none"/>
        <c:tickLblPos val="nextTo"/>
        <c:crossAx val="132668800"/>
        <c:crosses val="autoZero"/>
        <c:crossBetween val="between"/>
      </c:valAx>
      <c:spPr>
        <a:noFill/>
        <a:ln w="25400">
          <a:noFill/>
        </a:ln>
      </c:spPr>
    </c:plotArea>
    <c:legend>
      <c:legendPos val="b"/>
      <c:layout>
        <c:manualLayout>
          <c:xMode val="edge"/>
          <c:yMode val="edge"/>
          <c:x val="0.24333672313101085"/>
          <c:y val="0.78240585095402404"/>
          <c:w val="0.75666327686898915"/>
          <c:h val="0.11064614114246955"/>
        </c:manualLayout>
      </c:layout>
      <c:overlay val="0"/>
      <c:txPr>
        <a:bodyPr/>
        <a:lstStyle/>
        <a:p>
          <a:pPr>
            <a:defRPr b="1"/>
          </a:pPr>
          <a:endParaRPr lang="es-ES"/>
        </a:p>
      </c:txPr>
    </c:legend>
    <c:plotVisOnly val="1"/>
    <c:dispBlanksAs val="gap"/>
    <c:showDLblsOverMax val="0"/>
  </c:chart>
  <c:spPr>
    <a:ln>
      <a:noFill/>
    </a:ln>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79261520881318"/>
          <c:y val="2.5225225225225224E-2"/>
          <c:w val="0.74718017390683311"/>
          <c:h val="0.88030694439057178"/>
        </c:manualLayout>
      </c:layout>
      <c:barChart>
        <c:barDir val="bar"/>
        <c:grouping val="clustered"/>
        <c:varyColors val="0"/>
        <c:ser>
          <c:idx val="0"/>
          <c:order val="0"/>
          <c:tx>
            <c:strRef>
              <c:f>Hoja1!$B$1</c:f>
              <c:strCache>
                <c:ptCount val="1"/>
                <c:pt idx="0">
                  <c:v>2017-2016</c:v>
                </c:pt>
              </c:strCache>
            </c:strRef>
          </c:tx>
          <c:invertIfNegative val="0"/>
          <c:dLbls>
            <c:spPr>
              <a:noFill/>
              <a:ln>
                <a:noFill/>
              </a:ln>
              <a:effectLst/>
            </c:spPr>
            <c:txPr>
              <a:bodyPr/>
              <a:lstStyle/>
              <a:p>
                <a:pPr>
                  <a:defRPr sz="600" b="1">
                    <a:solidFill>
                      <a:srgbClr val="0070C0"/>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Hoja1!$A$2:$A$19</c:f>
              <c:strCache>
                <c:ptCount val="18"/>
                <c:pt idx="0">
                  <c:v>IVA imp</c:v>
                </c:pt>
                <c:pt idx="1">
                  <c:v>ISO</c:v>
                </c:pt>
                <c:pt idx="2">
                  <c:v>Petróleo</c:v>
                </c:pt>
                <c:pt idx="3">
                  <c:v>DAI</c:v>
                </c:pt>
                <c:pt idx="4">
                  <c:v>Vehículos</c:v>
                </c:pt>
                <c:pt idx="5">
                  <c:v>IPRIMA</c:v>
                </c:pt>
                <c:pt idx="6">
                  <c:v>Bebidas</c:v>
                </c:pt>
                <c:pt idx="7">
                  <c:v>Salidas</c:v>
                </c:pt>
                <c:pt idx="8">
                  <c:v>Tabacos</c:v>
                </c:pt>
                <c:pt idx="9">
                  <c:v>Otros</c:v>
                </c:pt>
                <c:pt idx="10">
                  <c:v>IEMA</c:v>
                </c:pt>
                <c:pt idx="11">
                  <c:v>Cemento</c:v>
                </c:pt>
                <c:pt idx="12">
                  <c:v>Propiedad</c:v>
                </c:pt>
                <c:pt idx="13">
                  <c:v>IVA dom</c:v>
                </c:pt>
                <c:pt idx="14">
                  <c:v>IETAAP</c:v>
                </c:pt>
                <c:pt idx="15">
                  <c:v>Timbres</c:v>
                </c:pt>
                <c:pt idx="16">
                  <c:v>Regalías</c:v>
                </c:pt>
                <c:pt idx="17">
                  <c:v>ISR</c:v>
                </c:pt>
              </c:strCache>
            </c:strRef>
          </c:cat>
          <c:val>
            <c:numRef>
              <c:f>Hoja1!$B$2:$B$19</c:f>
              <c:numCache>
                <c:formatCode>#,##0.0</c:formatCode>
                <c:ptCount val="18"/>
                <c:pt idx="0">
                  <c:v>343.10007478999978</c:v>
                </c:pt>
                <c:pt idx="1">
                  <c:v>193.67145704999984</c:v>
                </c:pt>
                <c:pt idx="2">
                  <c:v>29.736064290000058</c:v>
                </c:pt>
                <c:pt idx="3">
                  <c:v>64.188056860000188</c:v>
                </c:pt>
                <c:pt idx="4">
                  <c:v>46.092037180000034</c:v>
                </c:pt>
                <c:pt idx="5">
                  <c:v>-27.422032450000017</c:v>
                </c:pt>
                <c:pt idx="6">
                  <c:v>3.1143358699999339</c:v>
                </c:pt>
                <c:pt idx="7">
                  <c:v>13.431306799999987</c:v>
                </c:pt>
                <c:pt idx="8">
                  <c:v>-3.2886279900000375</c:v>
                </c:pt>
                <c:pt idx="9">
                  <c:v>0.37392154000000088</c:v>
                </c:pt>
                <c:pt idx="10">
                  <c:v>4.4383799100000001</c:v>
                </c:pt>
                <c:pt idx="11">
                  <c:v>-1.7337829999999883</c:v>
                </c:pt>
                <c:pt idx="12">
                  <c:v>7.8151922500000008</c:v>
                </c:pt>
                <c:pt idx="13">
                  <c:v>642.82810831000006</c:v>
                </c:pt>
                <c:pt idx="14">
                  <c:v>21.558517930000001</c:v>
                </c:pt>
                <c:pt idx="15">
                  <c:v>97.916654510000001</c:v>
                </c:pt>
                <c:pt idx="16">
                  <c:v>80.730461770000005</c:v>
                </c:pt>
                <c:pt idx="17">
                  <c:v>464.67762700999992</c:v>
                </c:pt>
              </c:numCache>
            </c:numRef>
          </c:val>
          <c:extLst>
            <c:ext xmlns:c16="http://schemas.microsoft.com/office/drawing/2014/chart" uri="{C3380CC4-5D6E-409C-BE32-E72D297353CC}">
              <c16:uniqueId val="{00000000-85D5-43DC-8814-6A30A021E947}"/>
            </c:ext>
          </c:extLst>
        </c:ser>
        <c:ser>
          <c:idx val="1"/>
          <c:order val="1"/>
          <c:tx>
            <c:strRef>
              <c:f>Hoja1!$C$1</c:f>
              <c:strCache>
                <c:ptCount val="1"/>
                <c:pt idx="0">
                  <c:v>2017-Pres</c:v>
                </c:pt>
              </c:strCache>
            </c:strRef>
          </c:tx>
          <c:invertIfNegative val="0"/>
          <c:dLbls>
            <c:spPr>
              <a:noFill/>
              <a:ln>
                <a:noFill/>
              </a:ln>
              <a:effectLst/>
            </c:spPr>
            <c:txPr>
              <a:bodyPr/>
              <a:lstStyle/>
              <a:p>
                <a:pPr>
                  <a:defRPr sz="600" b="1">
                    <a:solidFill>
                      <a:srgbClr val="C00000"/>
                    </a:solidFill>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Hoja1!$A$2:$A$19</c:f>
              <c:strCache>
                <c:ptCount val="18"/>
                <c:pt idx="0">
                  <c:v>IVA imp</c:v>
                </c:pt>
                <c:pt idx="1">
                  <c:v>ISO</c:v>
                </c:pt>
                <c:pt idx="2">
                  <c:v>Petróleo</c:v>
                </c:pt>
                <c:pt idx="3">
                  <c:v>DAI</c:v>
                </c:pt>
                <c:pt idx="4">
                  <c:v>Vehículos</c:v>
                </c:pt>
                <c:pt idx="5">
                  <c:v>IPRIMA</c:v>
                </c:pt>
                <c:pt idx="6">
                  <c:v>Bebidas</c:v>
                </c:pt>
                <c:pt idx="7">
                  <c:v>Salidas</c:v>
                </c:pt>
                <c:pt idx="8">
                  <c:v>Tabacos</c:v>
                </c:pt>
                <c:pt idx="9">
                  <c:v>Otros</c:v>
                </c:pt>
                <c:pt idx="10">
                  <c:v>IEMA</c:v>
                </c:pt>
                <c:pt idx="11">
                  <c:v>Cemento</c:v>
                </c:pt>
                <c:pt idx="12">
                  <c:v>Propiedad</c:v>
                </c:pt>
                <c:pt idx="13">
                  <c:v>IVA dom</c:v>
                </c:pt>
                <c:pt idx="14">
                  <c:v>IETAAP</c:v>
                </c:pt>
                <c:pt idx="15">
                  <c:v>Timbres</c:v>
                </c:pt>
                <c:pt idx="16">
                  <c:v>Regalías</c:v>
                </c:pt>
                <c:pt idx="17">
                  <c:v>ISR</c:v>
                </c:pt>
              </c:strCache>
            </c:strRef>
          </c:cat>
          <c:val>
            <c:numRef>
              <c:f>Hoja1!$C$2:$C$19</c:f>
              <c:numCache>
                <c:formatCode>#,##0.0</c:formatCode>
                <c:ptCount val="18"/>
                <c:pt idx="0">
                  <c:v>-421.59267478000038</c:v>
                </c:pt>
                <c:pt idx="1">
                  <c:v>-316.87113371000032</c:v>
                </c:pt>
                <c:pt idx="2">
                  <c:v>-153.2268508799998</c:v>
                </c:pt>
                <c:pt idx="3">
                  <c:v>-112.04938534999974</c:v>
                </c:pt>
                <c:pt idx="4">
                  <c:v>-75.072078020000049</c:v>
                </c:pt>
                <c:pt idx="5">
                  <c:v>-63.617158640000014</c:v>
                </c:pt>
                <c:pt idx="6">
                  <c:v>-38.278174900000124</c:v>
                </c:pt>
                <c:pt idx="7">
                  <c:v>-34.270284951871361</c:v>
                </c:pt>
                <c:pt idx="8">
                  <c:v>-21.995450890000029</c:v>
                </c:pt>
                <c:pt idx="9">
                  <c:v>0.48019761000000072</c:v>
                </c:pt>
                <c:pt idx="10">
                  <c:v>5.3851422600000003</c:v>
                </c:pt>
                <c:pt idx="11">
                  <c:v>6.5735990199999961</c:v>
                </c:pt>
                <c:pt idx="12">
                  <c:v>6.9633556600000013</c:v>
                </c:pt>
                <c:pt idx="13">
                  <c:v>6.9691318900004262</c:v>
                </c:pt>
                <c:pt idx="14">
                  <c:v>22.343478480000002</c:v>
                </c:pt>
                <c:pt idx="15">
                  <c:v>30.051180509999995</c:v>
                </c:pt>
                <c:pt idx="16">
                  <c:v>48.730929611415917</c:v>
                </c:pt>
                <c:pt idx="17">
                  <c:v>478.36191012000018</c:v>
                </c:pt>
              </c:numCache>
            </c:numRef>
          </c:val>
          <c:extLst>
            <c:ext xmlns:c16="http://schemas.microsoft.com/office/drawing/2014/chart" uri="{C3380CC4-5D6E-409C-BE32-E72D297353CC}">
              <c16:uniqueId val="{00000001-85D5-43DC-8814-6A30A021E947}"/>
            </c:ext>
          </c:extLst>
        </c:ser>
        <c:dLbls>
          <c:showLegendKey val="0"/>
          <c:showVal val="0"/>
          <c:showCatName val="0"/>
          <c:showSerName val="0"/>
          <c:showPercent val="0"/>
          <c:showBubbleSize val="0"/>
        </c:dLbls>
        <c:gapWidth val="25"/>
        <c:axId val="132733568"/>
        <c:axId val="133042560"/>
      </c:barChart>
      <c:catAx>
        <c:axId val="132733568"/>
        <c:scaling>
          <c:orientation val="minMax"/>
        </c:scaling>
        <c:delete val="0"/>
        <c:axPos val="l"/>
        <c:majorGridlines>
          <c:spPr>
            <a:ln w="6350">
              <a:solidFill>
                <a:schemeClr val="tx2">
                  <a:lumMod val="20000"/>
                  <a:lumOff val="80000"/>
                </a:schemeClr>
              </a:solidFill>
              <a:prstDash val="sysDash"/>
            </a:ln>
          </c:spPr>
        </c:majorGridlines>
        <c:numFmt formatCode="General" sourceLinked="0"/>
        <c:majorTickMark val="out"/>
        <c:minorTickMark val="none"/>
        <c:tickLblPos val="low"/>
        <c:txPr>
          <a:bodyPr/>
          <a:lstStyle/>
          <a:p>
            <a:pPr>
              <a:defRPr b="1"/>
            </a:pPr>
            <a:endParaRPr lang="es-ES"/>
          </a:p>
        </c:txPr>
        <c:crossAx val="133042560"/>
        <c:crosses val="autoZero"/>
        <c:auto val="1"/>
        <c:lblAlgn val="ctr"/>
        <c:lblOffset val="100"/>
        <c:noMultiLvlLbl val="0"/>
      </c:catAx>
      <c:valAx>
        <c:axId val="133042560"/>
        <c:scaling>
          <c:orientation val="minMax"/>
        </c:scaling>
        <c:delete val="0"/>
        <c:axPos val="b"/>
        <c:majorGridlines>
          <c:spPr>
            <a:ln w="6350">
              <a:solidFill>
                <a:schemeClr val="tx2">
                  <a:lumMod val="20000"/>
                  <a:lumOff val="80000"/>
                </a:schemeClr>
              </a:solidFill>
              <a:prstDash val="sysDash"/>
            </a:ln>
          </c:spPr>
        </c:majorGridlines>
        <c:numFmt formatCode="#,##0" sourceLinked="0"/>
        <c:majorTickMark val="out"/>
        <c:minorTickMark val="none"/>
        <c:tickLblPos val="nextTo"/>
        <c:txPr>
          <a:bodyPr/>
          <a:lstStyle/>
          <a:p>
            <a:pPr>
              <a:defRPr b="1"/>
            </a:pPr>
            <a:endParaRPr lang="es-ES"/>
          </a:p>
        </c:txPr>
        <c:crossAx val="132733568"/>
        <c:crosses val="autoZero"/>
        <c:crossBetween val="between"/>
      </c:valAx>
      <c:spPr>
        <a:ln>
          <a:noFill/>
        </a:ln>
      </c:spPr>
    </c:plotArea>
    <c:legend>
      <c:legendPos val="b"/>
      <c:layout>
        <c:manualLayout>
          <c:xMode val="edge"/>
          <c:yMode val="edge"/>
          <c:x val="0.27039977145713928"/>
          <c:y val="0.95149011545970552"/>
          <c:w val="0.45920009998750155"/>
          <c:h val="4.8509884540294534E-2"/>
        </c:manualLayout>
      </c:layout>
      <c:overlay val="0"/>
      <c:txPr>
        <a:bodyPr/>
        <a:lstStyle/>
        <a:p>
          <a:pPr>
            <a:defRPr b="1"/>
          </a:pPr>
          <a:endParaRPr lang="es-ES"/>
        </a:p>
      </c:txPr>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6A370-F587-4E75-A51C-4393749B7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2169</Words>
  <Characters>11930</Characters>
  <Application>Microsoft Office Word</Application>
  <DocSecurity>0</DocSecurity>
  <Lines>99</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8</cp:revision>
  <dcterms:created xsi:type="dcterms:W3CDTF">2017-09-01T16:49:00Z</dcterms:created>
  <dcterms:modified xsi:type="dcterms:W3CDTF">2017-09-01T17:24:00Z</dcterms:modified>
</cp:coreProperties>
</file>