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9742A8" w:rsidRDefault="009742A8"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9742A8" w:rsidSect="00754057">
          <w:headerReference w:type="default" r:id="rId8"/>
          <w:footerReference w:type="default" r:id="rId9"/>
          <w:pgSz w:w="12240" w:h="15840" w:code="1"/>
          <w:pgMar w:top="1418" w:right="1418" w:bottom="1418" w:left="1418" w:header="709" w:footer="709" w:gutter="0"/>
          <w:cols w:space="708"/>
          <w:docGrid w:linePitch="360"/>
        </w:sectPr>
      </w:pPr>
      <w:r w:rsidRPr="009742A8">
        <w:rPr>
          <w:rFonts w:ascii="Times New Roman" w:hAnsi="Times New Roman" w:cs="Times New Roman"/>
          <w:b/>
          <w:lang w:val="es-MX"/>
        </w:rPr>
        <w:t>Segundo cuatrimestre cierra con un bajo nivel de déficit fiscal</w:t>
      </w:r>
      <w:r w:rsidR="00443336" w:rsidRPr="009742A8">
        <w:rPr>
          <w:rFonts w:ascii="Times New Roman" w:hAnsi="Times New Roman" w:cs="Times New Roman"/>
          <w:b/>
          <w:lang w:val="es-MX"/>
        </w:rPr>
        <w:t xml:space="preserve"> </w:t>
      </w:r>
    </w:p>
    <w:p w:rsidR="007D4651" w:rsidRPr="009742A8" w:rsidRDefault="007D4651" w:rsidP="007D4651">
      <w:pPr>
        <w:pStyle w:val="NoSpacing"/>
        <w:rPr>
          <w:rFonts w:ascii="Times New Roman" w:hAnsi="Times New Roman" w:cs="Times New Roman"/>
          <w:b/>
          <w:color w:val="FF0000"/>
          <w:sz w:val="6"/>
          <w:lang w:val="es-MX"/>
        </w:rPr>
      </w:pPr>
    </w:p>
    <w:p w:rsidR="007D4651" w:rsidRPr="009742A8" w:rsidRDefault="007D4651" w:rsidP="007D4651">
      <w:pPr>
        <w:pStyle w:val="NoSpacing"/>
        <w:jc w:val="center"/>
        <w:rPr>
          <w:rFonts w:ascii="Times New Roman" w:hAnsi="Times New Roman" w:cs="Times New Roman"/>
          <w:b/>
          <w:color w:val="FF0000"/>
          <w:sz w:val="16"/>
          <w:lang w:val="es-MX"/>
        </w:rPr>
      </w:pPr>
    </w:p>
    <w:p w:rsidR="009C4027" w:rsidRPr="009742A8" w:rsidRDefault="009C4027" w:rsidP="007D4651">
      <w:pPr>
        <w:pStyle w:val="NoSpacing"/>
        <w:jc w:val="center"/>
        <w:rPr>
          <w:rFonts w:ascii="Times New Roman" w:hAnsi="Times New Roman" w:cs="Times New Roman"/>
          <w:b/>
          <w:color w:val="FF0000"/>
          <w:lang w:val="es-MX"/>
        </w:rPr>
        <w:sectPr w:rsidR="009C4027" w:rsidRPr="009742A8" w:rsidSect="004E358C">
          <w:type w:val="continuous"/>
          <w:pgSz w:w="12240" w:h="15840"/>
          <w:pgMar w:top="1417" w:right="1701" w:bottom="1417" w:left="1701" w:header="708" w:footer="708" w:gutter="0"/>
          <w:cols w:space="708"/>
          <w:docGrid w:linePitch="360"/>
        </w:sectPr>
      </w:pPr>
    </w:p>
    <w:p w:rsidR="007E6F28" w:rsidRPr="009742A8" w:rsidRDefault="009742A8" w:rsidP="007E6F28">
      <w:pPr>
        <w:pStyle w:val="NoSpacing"/>
        <w:jc w:val="both"/>
        <w:rPr>
          <w:rFonts w:ascii="Times New Roman" w:hAnsi="Times New Roman" w:cs="Times New Roman"/>
          <w:color w:val="FF0000"/>
          <w:lang w:val="es-MX"/>
        </w:rPr>
      </w:pPr>
      <w:r>
        <w:rPr>
          <w:rFonts w:ascii="Times New Roman" w:hAnsi="Times New Roman" w:cs="Times New Roman"/>
          <w:lang w:val="es-MX"/>
        </w:rPr>
        <w:lastRenderedPageBreak/>
        <w:t xml:space="preserve">Al 31 de agosto se observa un resultado fiscal negativo de Q359.3 millones, correspondiente al 0.1% del PIB. El bajo nivel de déficit es resultado principalmente de una desaceleración de la ejecución del gasto, mientras que los ingresos fiscales muestran un crecimiento moderado.  Es importante indicar que el grado de cumplimiento de la cuota financiera, que es el cupo máximo que tienen </w:t>
      </w:r>
      <w:r>
        <w:rPr>
          <w:rFonts w:ascii="Times New Roman" w:hAnsi="Times New Roman" w:cs="Times New Roman"/>
          <w:lang w:val="es-MX"/>
        </w:rPr>
        <w:lastRenderedPageBreak/>
        <w:t>las entidades para gastar en el cuatrimestre, se situó en 92.8%, mostrando con ello debilidades por parte de las instituciones para planificar y programar, lo cual incide en el resultado fiscal y los alcances en el cumplimiento de los objetivos estratégicos de las instituciones.</w:t>
      </w:r>
    </w:p>
    <w:p w:rsidR="007D4651" w:rsidRPr="009742A8" w:rsidRDefault="007D4651" w:rsidP="007D4651">
      <w:pPr>
        <w:pStyle w:val="NoSpacing"/>
        <w:jc w:val="both"/>
        <w:rPr>
          <w:rFonts w:ascii="Times New Roman" w:hAnsi="Times New Roman" w:cs="Times New Roman"/>
          <w:color w:val="FF0000"/>
          <w:lang w:val="es-MX"/>
        </w:rPr>
      </w:pPr>
    </w:p>
    <w:p w:rsidR="007D4651" w:rsidRPr="009742A8" w:rsidRDefault="007D4651" w:rsidP="007D4651">
      <w:pPr>
        <w:pStyle w:val="NoSpacing"/>
        <w:jc w:val="center"/>
        <w:rPr>
          <w:rFonts w:ascii="Times New Roman" w:hAnsi="Times New Roman" w:cs="Times New Roman"/>
          <w:b/>
          <w:color w:val="FF0000"/>
          <w:lang w:val="es-MX"/>
        </w:rPr>
        <w:sectPr w:rsidR="007D4651" w:rsidRPr="009742A8" w:rsidSect="004E358C">
          <w:type w:val="continuous"/>
          <w:pgSz w:w="12240" w:h="15840"/>
          <w:pgMar w:top="1417" w:right="1701" w:bottom="1417" w:left="1701" w:header="708" w:footer="708" w:gutter="0"/>
          <w:cols w:num="2" w:space="708"/>
          <w:docGrid w:linePitch="360"/>
        </w:sectPr>
      </w:pPr>
    </w:p>
    <w:p w:rsidR="007D4651" w:rsidRPr="009742A8" w:rsidRDefault="007D4651" w:rsidP="00B9286A">
      <w:pPr>
        <w:pStyle w:val="NoSpacing"/>
        <w:rPr>
          <w:rFonts w:ascii="Times New Roman" w:hAnsi="Times New Roman" w:cs="Times New Roman"/>
          <w:b/>
          <w:color w:val="FF0000"/>
          <w:sz w:val="16"/>
          <w:lang w:val="es-MX"/>
        </w:rPr>
      </w:pPr>
    </w:p>
    <w:p w:rsidR="009C4027" w:rsidRPr="009742A8" w:rsidRDefault="009C4027" w:rsidP="007D4651">
      <w:pPr>
        <w:pStyle w:val="NoSpacing"/>
        <w:jc w:val="center"/>
        <w:rPr>
          <w:rFonts w:ascii="Times New Roman" w:hAnsi="Times New Roman" w:cs="Times New Roman"/>
          <w:b/>
          <w:color w:val="FF0000"/>
          <w:lang w:val="es-MX"/>
        </w:rPr>
      </w:pPr>
    </w:p>
    <w:p w:rsidR="009C4027" w:rsidRPr="009742A8" w:rsidRDefault="009C4027" w:rsidP="007D4651">
      <w:pPr>
        <w:pStyle w:val="NoSpacing"/>
        <w:jc w:val="center"/>
        <w:rPr>
          <w:rFonts w:ascii="Times New Roman" w:hAnsi="Times New Roman" w:cs="Times New Roman"/>
          <w:b/>
          <w:color w:val="FF0000"/>
          <w:lang w:val="es-MX"/>
        </w:rPr>
        <w:sectPr w:rsidR="009C4027" w:rsidRPr="009742A8" w:rsidSect="007D4651">
          <w:type w:val="continuous"/>
          <w:pgSz w:w="12240" w:h="15840" w:code="1"/>
          <w:pgMar w:top="1418" w:right="1418" w:bottom="1418" w:left="1418" w:header="709" w:footer="709" w:gutter="0"/>
          <w:cols w:num="2" w:space="708"/>
          <w:docGrid w:linePitch="360"/>
        </w:sectPr>
      </w:pPr>
    </w:p>
    <w:p w:rsidR="00950874" w:rsidRPr="009742A8" w:rsidRDefault="00950874" w:rsidP="00950874">
      <w:pPr>
        <w:pStyle w:val="NoSpacing"/>
        <w:jc w:val="center"/>
        <w:rPr>
          <w:rFonts w:ascii="Times New Roman" w:hAnsi="Times New Roman" w:cs="Times New Roman"/>
          <w:b/>
          <w:lang w:val="es-MX"/>
        </w:rPr>
      </w:pPr>
      <w:r w:rsidRPr="009742A8">
        <w:rPr>
          <w:rFonts w:ascii="Times New Roman" w:hAnsi="Times New Roman" w:cs="Times New Roman"/>
          <w:b/>
          <w:lang w:val="es-MX"/>
        </w:rPr>
        <w:lastRenderedPageBreak/>
        <w:t>Resultado Presupuestario</w:t>
      </w:r>
      <w:r w:rsidR="00F27024" w:rsidRPr="009742A8">
        <w:rPr>
          <w:rFonts w:ascii="Times New Roman" w:hAnsi="Times New Roman" w:cs="Times New Roman"/>
          <w:b/>
          <w:lang w:val="es-MX"/>
        </w:rPr>
        <w:tab/>
      </w:r>
    </w:p>
    <w:p w:rsidR="00AF68D3" w:rsidRPr="009742A8" w:rsidRDefault="00950874" w:rsidP="00443336">
      <w:pPr>
        <w:pStyle w:val="NoSpacing"/>
        <w:jc w:val="center"/>
        <w:rPr>
          <w:rFonts w:ascii="Times New Roman" w:hAnsi="Times New Roman" w:cs="Times New Roman"/>
          <w:sz w:val="18"/>
          <w:lang w:val="es-MX"/>
        </w:rPr>
      </w:pPr>
      <w:r w:rsidRPr="009742A8">
        <w:rPr>
          <w:rFonts w:ascii="Times New Roman" w:hAnsi="Times New Roman" w:cs="Times New Roman"/>
          <w:sz w:val="18"/>
          <w:lang w:val="es-MX"/>
        </w:rPr>
        <w:t>Millones de quetzales</w:t>
      </w:r>
    </w:p>
    <w:p w:rsidR="007D4651" w:rsidRPr="009742A8" w:rsidRDefault="007E6F28" w:rsidP="007D4651">
      <w:pPr>
        <w:pStyle w:val="NoSpacing"/>
        <w:jc w:val="center"/>
        <w:rPr>
          <w:rFonts w:ascii="Times New Roman" w:hAnsi="Times New Roman" w:cs="Times New Roman"/>
          <w:lang w:val="es-MX"/>
        </w:rPr>
      </w:pPr>
      <w:r w:rsidRPr="009742A8">
        <w:rPr>
          <w:rFonts w:ascii="Times New Roman" w:hAnsi="Times New Roman" w:cs="Times New Roman"/>
          <w:noProof/>
          <w:lang w:val="es-ES" w:eastAsia="es-ES"/>
        </w:rPr>
        <w:drawing>
          <wp:inline distT="0" distB="0" distL="0" distR="0" wp14:anchorId="6379BACC" wp14:editId="50000477">
            <wp:extent cx="4495108" cy="30670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5799" cy="3101637"/>
                    </a:xfrm>
                    <a:prstGeom prst="rect">
                      <a:avLst/>
                    </a:prstGeom>
                    <a:noFill/>
                  </pic:spPr>
                </pic:pic>
              </a:graphicData>
            </a:graphic>
          </wp:inline>
        </w:drawing>
      </w:r>
    </w:p>
    <w:p w:rsidR="00DF71A8" w:rsidRPr="009742A8" w:rsidRDefault="00AF68D3" w:rsidP="00AF68D3">
      <w:pPr>
        <w:pStyle w:val="NoSpacing"/>
        <w:jc w:val="both"/>
        <w:rPr>
          <w:rFonts w:ascii="Times New Roman" w:hAnsi="Times New Roman" w:cs="Times New Roman"/>
          <w:sz w:val="16"/>
        </w:rPr>
      </w:pPr>
      <w:r w:rsidRPr="009742A8">
        <w:rPr>
          <w:rFonts w:ascii="Times New Roman" w:hAnsi="Times New Roman" w:cs="Times New Roman"/>
          <w:sz w:val="16"/>
        </w:rPr>
        <w:t xml:space="preserve">                      </w:t>
      </w:r>
      <w:r w:rsidR="00F27024" w:rsidRPr="009742A8">
        <w:rPr>
          <w:rFonts w:ascii="Times New Roman" w:hAnsi="Times New Roman" w:cs="Times New Roman"/>
          <w:sz w:val="16"/>
        </w:rPr>
        <w:tab/>
      </w:r>
      <w:r w:rsidR="00F27024" w:rsidRPr="009742A8">
        <w:rPr>
          <w:rFonts w:ascii="Times New Roman" w:hAnsi="Times New Roman" w:cs="Times New Roman"/>
          <w:sz w:val="16"/>
        </w:rPr>
        <w:tab/>
      </w:r>
      <w:r w:rsidR="007D4651" w:rsidRPr="009742A8">
        <w:rPr>
          <w:rFonts w:ascii="Times New Roman" w:hAnsi="Times New Roman" w:cs="Times New Roman"/>
          <w:sz w:val="16"/>
        </w:rPr>
        <w:t>Fuente: Dirección de Análisis y Política fiscal</w:t>
      </w:r>
    </w:p>
    <w:p w:rsidR="009C4027" w:rsidRPr="009742A8" w:rsidRDefault="009C4027" w:rsidP="007D4651">
      <w:pPr>
        <w:spacing w:after="0" w:line="240" w:lineRule="auto"/>
        <w:rPr>
          <w:rFonts w:ascii="Times New Roman" w:hAnsi="Times New Roman" w:cs="Times New Roman"/>
          <w:color w:val="FF0000"/>
          <w:lang w:val="es-MX"/>
        </w:rPr>
      </w:pPr>
    </w:p>
    <w:p w:rsidR="009C4027" w:rsidRPr="009742A8" w:rsidRDefault="009C4027" w:rsidP="007D4651">
      <w:pPr>
        <w:spacing w:after="0" w:line="240" w:lineRule="auto"/>
        <w:rPr>
          <w:rFonts w:ascii="Times New Roman" w:hAnsi="Times New Roman" w:cs="Times New Roman"/>
          <w:color w:val="FF0000"/>
          <w:lang w:val="es-MX"/>
        </w:rPr>
        <w:sectPr w:rsidR="009C4027" w:rsidRPr="009742A8" w:rsidSect="007D4651">
          <w:type w:val="continuous"/>
          <w:pgSz w:w="12240" w:h="15840" w:code="1"/>
          <w:pgMar w:top="1418" w:right="1418" w:bottom="1418" w:left="1418" w:header="709" w:footer="709" w:gutter="0"/>
          <w:cols w:space="708"/>
          <w:docGrid w:linePitch="360"/>
        </w:sectPr>
      </w:pPr>
    </w:p>
    <w:p w:rsidR="00E16925" w:rsidRPr="005D5925" w:rsidRDefault="00986297" w:rsidP="00270CA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5D5925"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5D5925">
        <w:rPr>
          <w:rFonts w:ascii="Times New Roman" w:hAnsi="Times New Roman" w:cs="Times New Roman"/>
          <w:b/>
          <w:lang w:val="es-MX"/>
        </w:rPr>
        <w:lastRenderedPageBreak/>
        <w:t xml:space="preserve">La  brecha fiscal se amplió </w:t>
      </w:r>
    </w:p>
    <w:p w:rsidR="00E16925" w:rsidRPr="009742A8" w:rsidRDefault="00E16925" w:rsidP="00E16925">
      <w:pPr>
        <w:pStyle w:val="NoSpacing"/>
        <w:rPr>
          <w:rFonts w:ascii="Times New Roman" w:hAnsi="Times New Roman" w:cs="Times New Roman"/>
          <w:b/>
          <w:color w:val="FF0000"/>
          <w:sz w:val="8"/>
          <w:lang w:val="es-MX"/>
        </w:rPr>
      </w:pPr>
    </w:p>
    <w:p w:rsidR="00E16925" w:rsidRPr="009742A8" w:rsidRDefault="00E16925" w:rsidP="00E16925">
      <w:pPr>
        <w:pStyle w:val="NoSpacing"/>
        <w:jc w:val="center"/>
        <w:rPr>
          <w:rFonts w:ascii="Times New Roman" w:hAnsi="Times New Roman" w:cs="Times New Roman"/>
          <w:b/>
          <w:color w:val="FF0000"/>
          <w:lang w:val="es-MX"/>
        </w:rPr>
      </w:pPr>
    </w:p>
    <w:p w:rsidR="00343A5D" w:rsidRPr="009742A8" w:rsidRDefault="00343A5D" w:rsidP="00E16925">
      <w:pPr>
        <w:pStyle w:val="NoSpacing"/>
        <w:jc w:val="center"/>
        <w:rPr>
          <w:rFonts w:ascii="Times New Roman" w:hAnsi="Times New Roman" w:cs="Times New Roman"/>
          <w:b/>
          <w:color w:val="FF0000"/>
          <w:sz w:val="28"/>
          <w:lang w:val="es-MX"/>
        </w:rPr>
        <w:sectPr w:rsidR="00343A5D" w:rsidRPr="009742A8" w:rsidSect="004E358C">
          <w:type w:val="continuous"/>
          <w:pgSz w:w="12240" w:h="15840"/>
          <w:pgMar w:top="1417" w:right="1701" w:bottom="1417" w:left="1701" w:header="708" w:footer="708" w:gutter="0"/>
          <w:cols w:space="708"/>
          <w:docGrid w:linePitch="360"/>
        </w:sectPr>
      </w:pPr>
    </w:p>
    <w:p w:rsidR="005D5925" w:rsidRDefault="005D5925" w:rsidP="005D5925">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 xml:space="preserve">Cifras preliminares de recaudación de agosto dan cuenta del desempeño positivo en ISR, IPRIMA y timbres que en conjunto sobrepasaron la meta del mes por Q105.7 millones, el IVA total presenta un desempeño negativo dejando de recaudar Q120.3 millones, este resultado mensual nuevamente amplía la brecha fiscal negativa acumulada a agosto </w:t>
      </w:r>
      <w:r>
        <w:rPr>
          <w:rFonts w:ascii="Times New Roman" w:hAnsi="Times New Roman" w:cs="Times New Roman"/>
          <w:lang w:val="es-MX"/>
        </w:rPr>
        <w:lastRenderedPageBreak/>
        <w:t>ubicándola de nuevo en el orden de los Q762.3 millones, esto incluyendo la recaudación extraordinaria del Acuerdo Gubernativo 82-2017.</w:t>
      </w:r>
    </w:p>
    <w:p w:rsidR="005D5925" w:rsidRDefault="005D5925" w:rsidP="005D5925">
      <w:pPr>
        <w:spacing w:after="0" w:line="240" w:lineRule="auto"/>
        <w:jc w:val="both"/>
        <w:rPr>
          <w:rFonts w:ascii="Times New Roman" w:hAnsi="Times New Roman" w:cs="Times New Roman"/>
          <w:color w:val="FF0000"/>
          <w:lang w:val="es-MX"/>
        </w:rPr>
      </w:pPr>
      <w:r w:rsidRPr="000A0A4F">
        <w:rPr>
          <w:rFonts w:ascii="Times New Roman" w:hAnsi="Times New Roman" w:cs="Times New Roman"/>
          <w:color w:val="FF0000"/>
          <w:lang w:val="es-MX"/>
        </w:rPr>
        <w:t xml:space="preserve"> </w:t>
      </w:r>
    </w:p>
    <w:p w:rsidR="005D5925" w:rsidRDefault="005D5925" w:rsidP="005D5925">
      <w:pPr>
        <w:spacing w:after="0" w:line="240" w:lineRule="auto"/>
        <w:jc w:val="both"/>
        <w:rPr>
          <w:rFonts w:ascii="Times New Roman" w:hAnsi="Times New Roman" w:cs="Times New Roman"/>
          <w:color w:val="FF0000"/>
          <w:lang w:val="es-MX"/>
        </w:rPr>
      </w:pPr>
    </w:p>
    <w:p w:rsidR="005D5925" w:rsidRDefault="005D5925" w:rsidP="005D5925">
      <w:pPr>
        <w:spacing w:after="0" w:line="240" w:lineRule="auto"/>
        <w:jc w:val="both"/>
        <w:rPr>
          <w:rFonts w:ascii="Times New Roman" w:hAnsi="Times New Roman" w:cs="Times New Roman"/>
          <w:color w:val="FF0000"/>
          <w:lang w:val="es-MX"/>
        </w:rPr>
      </w:pPr>
    </w:p>
    <w:p w:rsidR="005D5925" w:rsidRDefault="005D5925" w:rsidP="005D5925">
      <w:pPr>
        <w:spacing w:after="0" w:line="240" w:lineRule="auto"/>
        <w:jc w:val="both"/>
        <w:rPr>
          <w:rFonts w:ascii="Times New Roman" w:hAnsi="Times New Roman" w:cs="Times New Roman"/>
          <w:color w:val="FF0000"/>
          <w:lang w:val="es-MX"/>
        </w:rPr>
      </w:pPr>
    </w:p>
    <w:p w:rsidR="005D5925" w:rsidRPr="0064258A" w:rsidRDefault="005D5925" w:rsidP="005D5925">
      <w:pPr>
        <w:spacing w:after="0" w:line="240" w:lineRule="auto"/>
        <w:jc w:val="center"/>
        <w:rPr>
          <w:rFonts w:ascii="Times New Roman" w:hAnsi="Times New Roman" w:cs="Times New Roman"/>
          <w:b/>
          <w:lang w:val="es-MX"/>
        </w:rPr>
      </w:pPr>
      <w:r w:rsidRPr="0064258A">
        <w:rPr>
          <w:rFonts w:ascii="Times New Roman" w:hAnsi="Times New Roman" w:cs="Times New Roman"/>
          <w:b/>
          <w:lang w:val="es-MX"/>
        </w:rPr>
        <w:lastRenderedPageBreak/>
        <w:t>Recaudación Tributaria</w:t>
      </w:r>
    </w:p>
    <w:p w:rsidR="005D5925" w:rsidRPr="0064258A" w:rsidRDefault="005D5925" w:rsidP="005D5925">
      <w:pPr>
        <w:spacing w:after="0" w:line="240" w:lineRule="auto"/>
        <w:jc w:val="center"/>
        <w:rPr>
          <w:rFonts w:ascii="Times New Roman" w:hAnsi="Times New Roman" w:cs="Times New Roman"/>
          <w:sz w:val="18"/>
          <w:lang w:val="es-MX"/>
        </w:rPr>
      </w:pPr>
      <w:r w:rsidRPr="0064258A">
        <w:rPr>
          <w:rFonts w:ascii="Times New Roman" w:hAnsi="Times New Roman" w:cs="Times New Roman"/>
          <w:sz w:val="18"/>
          <w:lang w:val="es-MX"/>
        </w:rPr>
        <w:t>Millones de quetzales</w:t>
      </w:r>
    </w:p>
    <w:p w:rsidR="005D5925" w:rsidRPr="0064258A" w:rsidRDefault="005D5925" w:rsidP="005D5925">
      <w:pPr>
        <w:spacing w:after="0" w:line="240" w:lineRule="auto"/>
        <w:jc w:val="center"/>
        <w:rPr>
          <w:rFonts w:ascii="Times New Roman" w:hAnsi="Times New Roman" w:cs="Times New Roman"/>
          <w:b/>
          <w:sz w:val="14"/>
          <w:lang w:val="es-MX"/>
        </w:rPr>
      </w:pPr>
      <w:r w:rsidRPr="0064258A">
        <w:rPr>
          <w:rFonts w:ascii="Times New Roman" w:hAnsi="Times New Roman" w:cs="Times New Roman"/>
          <w:b/>
          <w:noProof/>
          <w:sz w:val="14"/>
          <w:lang w:val="es-ES" w:eastAsia="es-ES"/>
        </w:rPr>
        <w:drawing>
          <wp:inline distT="0" distB="0" distL="0" distR="0" wp14:anchorId="4EA66564" wp14:editId="608C891D">
            <wp:extent cx="2628900" cy="2733675"/>
            <wp:effectExtent l="0" t="0" r="0" b="0"/>
            <wp:docPr id="4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5925" w:rsidRPr="0064258A" w:rsidRDefault="005D5925" w:rsidP="005D5925">
      <w:pPr>
        <w:spacing w:after="0" w:line="240" w:lineRule="auto"/>
        <w:jc w:val="both"/>
        <w:rPr>
          <w:rFonts w:ascii="Times New Roman" w:hAnsi="Times New Roman" w:cs="Times New Roman"/>
          <w:sz w:val="24"/>
          <w:lang w:val="es-MX"/>
        </w:rPr>
      </w:pPr>
      <w:r w:rsidRPr="0064258A">
        <w:rPr>
          <w:rFonts w:ascii="Times New Roman" w:hAnsi="Times New Roman" w:cs="Times New Roman"/>
          <w:sz w:val="16"/>
          <w:lang w:val="es-MX"/>
        </w:rPr>
        <w:t>Fuente: Dirección de Análisis y Política Fiscal</w:t>
      </w:r>
    </w:p>
    <w:p w:rsidR="005D5925" w:rsidRPr="000A0A4F" w:rsidRDefault="005D5925" w:rsidP="005D5925">
      <w:pPr>
        <w:spacing w:after="0" w:line="240" w:lineRule="auto"/>
        <w:jc w:val="both"/>
        <w:rPr>
          <w:rFonts w:ascii="Times New Roman" w:hAnsi="Times New Roman" w:cs="Times New Roman"/>
          <w:color w:val="FF0000"/>
          <w:lang w:val="es-MX"/>
        </w:rPr>
      </w:pPr>
    </w:p>
    <w:p w:rsidR="005D5925" w:rsidRDefault="005D5925" w:rsidP="005D5925">
      <w:pPr>
        <w:spacing w:after="0" w:line="240" w:lineRule="auto"/>
        <w:jc w:val="both"/>
        <w:rPr>
          <w:rFonts w:ascii="Times New Roman" w:hAnsi="Times New Roman" w:cs="Times New Roman"/>
          <w:lang w:val="es-MX"/>
        </w:rPr>
      </w:pPr>
      <w:r w:rsidRPr="00322ECC">
        <w:rPr>
          <w:rFonts w:ascii="Times New Roman" w:hAnsi="Times New Roman" w:cs="Times New Roman"/>
          <w:lang w:val="es-MX"/>
        </w:rPr>
        <w:t>De manera interanual la recaudación tributaria acumulada crece en 5.</w:t>
      </w:r>
      <w:r>
        <w:rPr>
          <w:rFonts w:ascii="Times New Roman" w:hAnsi="Times New Roman" w:cs="Times New Roman"/>
          <w:lang w:val="es-MX"/>
        </w:rPr>
        <w:t>2</w:t>
      </w:r>
      <w:r w:rsidRPr="00322ECC">
        <w:rPr>
          <w:rFonts w:ascii="Times New Roman" w:hAnsi="Times New Roman" w:cs="Times New Roman"/>
          <w:lang w:val="es-MX"/>
        </w:rPr>
        <w:t>% (Q 1,</w:t>
      </w:r>
      <w:r>
        <w:rPr>
          <w:rFonts w:ascii="Times New Roman" w:hAnsi="Times New Roman" w:cs="Times New Roman"/>
          <w:lang w:val="es-MX"/>
        </w:rPr>
        <w:t xml:space="preserve">898 </w:t>
      </w:r>
      <w:r w:rsidRPr="00322ECC">
        <w:rPr>
          <w:rFonts w:ascii="Times New Roman" w:hAnsi="Times New Roman" w:cs="Times New Roman"/>
          <w:lang w:val="es-MX"/>
        </w:rPr>
        <w:t xml:space="preserve">millones), </w:t>
      </w:r>
      <w:r>
        <w:rPr>
          <w:rFonts w:ascii="Times New Roman" w:hAnsi="Times New Roman" w:cs="Times New Roman"/>
          <w:lang w:val="es-MX"/>
        </w:rPr>
        <w:t xml:space="preserve">este crecimiento interanual influenciado principalmente por </w:t>
      </w:r>
      <w:r w:rsidRPr="007E6F28">
        <w:rPr>
          <w:rFonts w:ascii="Times New Roman" w:hAnsi="Times New Roman" w:cs="Times New Roman"/>
          <w:lang w:val="es-MX"/>
        </w:rPr>
        <w:t>el IVA doméstico que aumentó 9.</w:t>
      </w:r>
      <w:r>
        <w:rPr>
          <w:rFonts w:ascii="Times New Roman" w:hAnsi="Times New Roman" w:cs="Times New Roman"/>
          <w:lang w:val="es-MX"/>
        </w:rPr>
        <w:t>2</w:t>
      </w:r>
      <w:r w:rsidRPr="007E6F28">
        <w:rPr>
          <w:rFonts w:ascii="Times New Roman" w:hAnsi="Times New Roman" w:cs="Times New Roman"/>
          <w:lang w:val="es-MX"/>
        </w:rPr>
        <w:t xml:space="preserve">%, IVA importaciones con 4.9% e ISR con 2.1%.  </w:t>
      </w:r>
    </w:p>
    <w:p w:rsidR="005D5925" w:rsidRPr="000A0A4F" w:rsidRDefault="005D5925" w:rsidP="005D5925">
      <w:pPr>
        <w:spacing w:after="0" w:line="240" w:lineRule="auto"/>
        <w:jc w:val="both"/>
        <w:rPr>
          <w:rFonts w:ascii="Times New Roman" w:hAnsi="Times New Roman" w:cs="Times New Roman"/>
          <w:color w:val="FF0000"/>
          <w:sz w:val="18"/>
          <w:lang w:val="es-MX"/>
        </w:rPr>
      </w:pPr>
      <w:r w:rsidRPr="000A0A4F">
        <w:rPr>
          <w:rFonts w:ascii="Times New Roman" w:hAnsi="Times New Roman" w:cs="Times New Roman"/>
          <w:color w:val="FF0000"/>
          <w:lang w:val="es-MX"/>
        </w:rPr>
        <w:t xml:space="preserve"> </w:t>
      </w:r>
    </w:p>
    <w:p w:rsidR="005D5925" w:rsidRPr="007E6F28" w:rsidRDefault="005D5925" w:rsidP="005D5925">
      <w:pPr>
        <w:spacing w:after="0" w:line="240" w:lineRule="auto"/>
        <w:jc w:val="both"/>
        <w:rPr>
          <w:rFonts w:ascii="Times New Roman" w:hAnsi="Times New Roman" w:cs="Times New Roman"/>
          <w:b/>
          <w:lang w:val="es-MX"/>
        </w:rPr>
      </w:pPr>
      <w:r w:rsidRPr="007E6F28">
        <w:rPr>
          <w:rFonts w:ascii="Times New Roman" w:hAnsi="Times New Roman" w:cs="Times New Roman"/>
          <w:b/>
          <w:lang w:val="es-MX"/>
        </w:rPr>
        <w:t>Impuesto al valor agregado</w:t>
      </w:r>
    </w:p>
    <w:p w:rsidR="005D5925" w:rsidRPr="000A0A4F" w:rsidRDefault="005D5925" w:rsidP="005D5925">
      <w:pPr>
        <w:spacing w:after="0" w:line="240" w:lineRule="auto"/>
        <w:jc w:val="both"/>
        <w:rPr>
          <w:rFonts w:ascii="Times New Roman" w:hAnsi="Times New Roman" w:cs="Times New Roman"/>
          <w:b/>
          <w:color w:val="FF0000"/>
          <w:sz w:val="14"/>
          <w:lang w:val="es-MX"/>
        </w:rPr>
      </w:pPr>
    </w:p>
    <w:p w:rsidR="005D5925" w:rsidRPr="007E6F28" w:rsidRDefault="005D5925" w:rsidP="005D5925">
      <w:pPr>
        <w:spacing w:after="0" w:line="240" w:lineRule="auto"/>
        <w:jc w:val="both"/>
        <w:rPr>
          <w:rFonts w:ascii="Times New Roman" w:hAnsi="Times New Roman" w:cs="Times New Roman"/>
          <w:lang w:val="es-MX"/>
        </w:rPr>
      </w:pPr>
      <w:r w:rsidRPr="007E6F28">
        <w:rPr>
          <w:rFonts w:ascii="Times New Roman" w:hAnsi="Times New Roman" w:cs="Times New Roman"/>
          <w:lang w:val="es-MX"/>
        </w:rPr>
        <w:t>Por concepto de la recaudación mensual este impuesto dejó de percibir Q 12</w:t>
      </w:r>
      <w:r>
        <w:rPr>
          <w:rFonts w:ascii="Times New Roman" w:hAnsi="Times New Roman" w:cs="Times New Roman"/>
          <w:lang w:val="es-MX"/>
        </w:rPr>
        <w:t xml:space="preserve">0.3 </w:t>
      </w:r>
      <w:r w:rsidRPr="007E6F28">
        <w:rPr>
          <w:rFonts w:ascii="Times New Roman" w:hAnsi="Times New Roman" w:cs="Times New Roman"/>
          <w:lang w:val="es-MX"/>
        </w:rPr>
        <w:t>millones respecto a la meta, esta caída obedece al bajo rendimiento en el IVA doméstico.</w:t>
      </w:r>
    </w:p>
    <w:p w:rsidR="005D5925" w:rsidRPr="000A0A4F" w:rsidRDefault="005D5925" w:rsidP="005D5925">
      <w:pPr>
        <w:spacing w:after="0" w:line="240" w:lineRule="auto"/>
        <w:jc w:val="both"/>
        <w:rPr>
          <w:rFonts w:ascii="Times New Roman" w:hAnsi="Times New Roman" w:cs="Times New Roman"/>
          <w:color w:val="FF0000"/>
          <w:sz w:val="14"/>
          <w:lang w:val="es-MX"/>
        </w:rPr>
      </w:pPr>
    </w:p>
    <w:p w:rsidR="005D5925" w:rsidRPr="00A34635" w:rsidRDefault="005D5925" w:rsidP="005D5925">
      <w:pPr>
        <w:spacing w:after="0" w:line="240" w:lineRule="auto"/>
        <w:jc w:val="both"/>
        <w:rPr>
          <w:rFonts w:ascii="Times New Roman" w:hAnsi="Times New Roman" w:cs="Times New Roman"/>
          <w:color w:val="FF0000"/>
          <w:lang w:val="es-MX"/>
        </w:rPr>
      </w:pPr>
      <w:r>
        <w:rPr>
          <w:rFonts w:ascii="Times New Roman" w:hAnsi="Times New Roman" w:cs="Times New Roman"/>
          <w:lang w:val="es-MX"/>
        </w:rPr>
        <w:t>E</w:t>
      </w:r>
      <w:r w:rsidRPr="00EB335D">
        <w:rPr>
          <w:rFonts w:ascii="Times New Roman" w:hAnsi="Times New Roman" w:cs="Times New Roman"/>
          <w:lang w:val="es-MX"/>
        </w:rPr>
        <w:t xml:space="preserve">l </w:t>
      </w:r>
      <w:r>
        <w:rPr>
          <w:rFonts w:ascii="Times New Roman" w:hAnsi="Times New Roman" w:cs="Times New Roman"/>
          <w:lang w:val="es-MX"/>
        </w:rPr>
        <w:t xml:space="preserve">crecimiento interanual del </w:t>
      </w:r>
      <w:r w:rsidRPr="00EB335D">
        <w:rPr>
          <w:rFonts w:ascii="Times New Roman" w:hAnsi="Times New Roman" w:cs="Times New Roman"/>
          <w:lang w:val="es-MX"/>
        </w:rPr>
        <w:t xml:space="preserve">IVA doméstico acumulado </w:t>
      </w:r>
      <w:r>
        <w:rPr>
          <w:rFonts w:ascii="Times New Roman" w:hAnsi="Times New Roman" w:cs="Times New Roman"/>
          <w:lang w:val="es-MX"/>
        </w:rPr>
        <w:t xml:space="preserve">es </w:t>
      </w:r>
      <w:r w:rsidRPr="00EB335D">
        <w:rPr>
          <w:rFonts w:ascii="Times New Roman" w:hAnsi="Times New Roman" w:cs="Times New Roman"/>
          <w:lang w:val="es-MX"/>
        </w:rPr>
        <w:t>de 9.</w:t>
      </w:r>
      <w:r>
        <w:rPr>
          <w:rFonts w:ascii="Times New Roman" w:hAnsi="Times New Roman" w:cs="Times New Roman"/>
          <w:lang w:val="es-MX"/>
        </w:rPr>
        <w:t>2</w:t>
      </w:r>
      <w:r w:rsidRPr="00EB335D">
        <w:rPr>
          <w:rFonts w:ascii="Times New Roman" w:hAnsi="Times New Roman" w:cs="Times New Roman"/>
          <w:lang w:val="es-MX"/>
        </w:rPr>
        <w:t xml:space="preserve">%, </w:t>
      </w:r>
      <w:r>
        <w:rPr>
          <w:rFonts w:ascii="Times New Roman" w:hAnsi="Times New Roman" w:cs="Times New Roman"/>
          <w:lang w:val="es-MX"/>
        </w:rPr>
        <w:t xml:space="preserve">dicho crecimiento está influenciado principalmente por </w:t>
      </w:r>
      <w:r w:rsidRPr="00EB335D">
        <w:rPr>
          <w:rFonts w:ascii="Times New Roman" w:hAnsi="Times New Roman" w:cs="Times New Roman"/>
          <w:lang w:val="es-MX"/>
        </w:rPr>
        <w:t>el flujo de remesas familiares que de manera acumulada crecen respecto a lo observado e</w:t>
      </w:r>
      <w:r>
        <w:rPr>
          <w:rFonts w:ascii="Times New Roman" w:hAnsi="Times New Roman" w:cs="Times New Roman"/>
          <w:lang w:val="es-MX"/>
        </w:rPr>
        <w:t>l</w:t>
      </w:r>
      <w:r w:rsidRPr="00EB335D">
        <w:rPr>
          <w:rFonts w:ascii="Times New Roman" w:hAnsi="Times New Roman" w:cs="Times New Roman"/>
          <w:lang w:val="es-MX"/>
        </w:rPr>
        <w:t xml:space="preserve"> </w:t>
      </w:r>
      <w:r>
        <w:rPr>
          <w:rFonts w:ascii="Times New Roman" w:hAnsi="Times New Roman" w:cs="Times New Roman"/>
          <w:lang w:val="es-MX"/>
        </w:rPr>
        <w:t xml:space="preserve">año anterior </w:t>
      </w:r>
      <w:r w:rsidRPr="00EB335D">
        <w:rPr>
          <w:rFonts w:ascii="Times New Roman" w:hAnsi="Times New Roman" w:cs="Times New Roman"/>
          <w:lang w:val="es-MX"/>
        </w:rPr>
        <w:t xml:space="preserve"> </w:t>
      </w:r>
      <w:r w:rsidRPr="003179A8">
        <w:rPr>
          <w:rFonts w:ascii="Times New Roman" w:hAnsi="Times New Roman" w:cs="Times New Roman"/>
          <w:i/>
          <w:lang w:val="es-MX"/>
        </w:rPr>
        <w:t>(en agosto las remesas familiares se ubicaron en 16.2% monto superior al observado en 2016 cuando crecían en 15.1%)</w:t>
      </w:r>
      <w:r w:rsidRPr="00EB335D">
        <w:rPr>
          <w:rFonts w:ascii="Times New Roman" w:hAnsi="Times New Roman" w:cs="Times New Roman"/>
          <w:lang w:val="es-MX"/>
        </w:rPr>
        <w:t xml:space="preserve">, </w:t>
      </w:r>
      <w:r>
        <w:rPr>
          <w:rFonts w:ascii="Times New Roman" w:hAnsi="Times New Roman" w:cs="Times New Roman"/>
          <w:lang w:val="es-MX"/>
        </w:rPr>
        <w:t xml:space="preserve">y por el </w:t>
      </w:r>
      <w:r w:rsidRPr="00EB335D">
        <w:rPr>
          <w:rFonts w:ascii="Times New Roman" w:hAnsi="Times New Roman" w:cs="Times New Roman"/>
          <w:lang w:val="es-MX"/>
        </w:rPr>
        <w:t>crecimiento en la economía interna que medida a través de la variación de tendencia ciclo del IMAE la sitúa en junio en un ritmo de 3.1% su</w:t>
      </w:r>
      <w:r w:rsidR="00A34635">
        <w:rPr>
          <w:rFonts w:ascii="Times New Roman" w:hAnsi="Times New Roman" w:cs="Times New Roman"/>
          <w:lang w:val="es-MX"/>
        </w:rPr>
        <w:t>perior al 2.6% del año anterior</w:t>
      </w:r>
    </w:p>
    <w:p w:rsidR="005D5925" w:rsidRPr="00196A44" w:rsidRDefault="005D5925" w:rsidP="005D5925">
      <w:pPr>
        <w:spacing w:after="0" w:line="240" w:lineRule="auto"/>
        <w:jc w:val="center"/>
        <w:rPr>
          <w:rFonts w:ascii="Times New Roman" w:hAnsi="Times New Roman" w:cs="Times New Roman"/>
          <w:b/>
          <w:lang w:val="es-MX"/>
        </w:rPr>
      </w:pPr>
      <w:r w:rsidRPr="00196A44">
        <w:rPr>
          <w:rFonts w:ascii="Times New Roman" w:hAnsi="Times New Roman" w:cs="Times New Roman"/>
          <w:b/>
          <w:lang w:val="es-MX"/>
        </w:rPr>
        <w:lastRenderedPageBreak/>
        <w:t>Impuesto al valor agregado</w:t>
      </w:r>
    </w:p>
    <w:p w:rsidR="005D5925" w:rsidRDefault="005D5925" w:rsidP="005D5925">
      <w:pPr>
        <w:spacing w:after="0" w:line="240" w:lineRule="auto"/>
        <w:jc w:val="center"/>
        <w:rPr>
          <w:rFonts w:ascii="Times New Roman" w:hAnsi="Times New Roman" w:cs="Times New Roman"/>
          <w:sz w:val="18"/>
          <w:lang w:val="es-MX"/>
        </w:rPr>
      </w:pPr>
      <w:r w:rsidRPr="00196A44">
        <w:rPr>
          <w:rFonts w:ascii="Times New Roman" w:hAnsi="Times New Roman" w:cs="Times New Roman"/>
          <w:sz w:val="18"/>
          <w:lang w:val="es-MX"/>
        </w:rPr>
        <w:t>Variación interanual Acumulada</w:t>
      </w:r>
    </w:p>
    <w:p w:rsidR="00A34635" w:rsidRDefault="00A34635" w:rsidP="005D5925">
      <w:pPr>
        <w:spacing w:after="0" w:line="240" w:lineRule="auto"/>
        <w:jc w:val="center"/>
        <w:rPr>
          <w:rFonts w:ascii="Times New Roman" w:hAnsi="Times New Roman" w:cs="Times New Roman"/>
          <w:sz w:val="18"/>
          <w:lang w:val="es-MX"/>
        </w:rPr>
      </w:pPr>
      <w:r>
        <w:rPr>
          <w:noProof/>
          <w:lang w:val="es-ES" w:eastAsia="es-ES"/>
        </w:rPr>
        <w:drawing>
          <wp:anchor distT="0" distB="0" distL="114300" distR="114300" simplePos="0" relativeHeight="251671552" behindDoc="0" locked="0" layoutInCell="1" allowOverlap="1" wp14:anchorId="4923EBB3" wp14:editId="02160D85">
            <wp:simplePos x="0" y="0"/>
            <wp:positionH relativeFrom="margin">
              <wp:align>right</wp:align>
            </wp:positionH>
            <wp:positionV relativeFrom="paragraph">
              <wp:posOffset>11430</wp:posOffset>
            </wp:positionV>
            <wp:extent cx="2670810" cy="1847850"/>
            <wp:effectExtent l="0" t="0" r="0" b="0"/>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A34635" w:rsidRDefault="00A34635" w:rsidP="005D5925">
      <w:pPr>
        <w:spacing w:after="0" w:line="240" w:lineRule="auto"/>
        <w:jc w:val="center"/>
        <w:rPr>
          <w:rFonts w:ascii="Times New Roman" w:hAnsi="Times New Roman" w:cs="Times New Roman"/>
          <w:sz w:val="18"/>
          <w:lang w:val="es-MX"/>
        </w:rPr>
      </w:pPr>
    </w:p>
    <w:p w:rsidR="00A34635" w:rsidRDefault="00A34635" w:rsidP="005D5925">
      <w:pPr>
        <w:spacing w:after="0" w:line="240" w:lineRule="auto"/>
        <w:jc w:val="center"/>
        <w:rPr>
          <w:rFonts w:ascii="Times New Roman" w:hAnsi="Times New Roman" w:cs="Times New Roman"/>
          <w:sz w:val="18"/>
          <w:lang w:val="es-MX"/>
        </w:rPr>
      </w:pPr>
    </w:p>
    <w:p w:rsidR="00A34635" w:rsidRDefault="00A3463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Default="005D5925" w:rsidP="005D5925">
      <w:pPr>
        <w:spacing w:after="0" w:line="240" w:lineRule="auto"/>
        <w:jc w:val="center"/>
        <w:rPr>
          <w:rFonts w:ascii="Times New Roman" w:hAnsi="Times New Roman" w:cs="Times New Roman"/>
          <w:sz w:val="18"/>
          <w:lang w:val="es-MX"/>
        </w:rPr>
      </w:pPr>
    </w:p>
    <w:p w:rsidR="005D5925" w:rsidRPr="00196A44" w:rsidRDefault="005D5925" w:rsidP="005D5925">
      <w:pPr>
        <w:spacing w:after="0" w:line="240" w:lineRule="auto"/>
        <w:jc w:val="center"/>
        <w:rPr>
          <w:rFonts w:ascii="Times New Roman" w:hAnsi="Times New Roman" w:cs="Times New Roman"/>
          <w:sz w:val="18"/>
          <w:lang w:val="es-MX"/>
        </w:rPr>
      </w:pPr>
    </w:p>
    <w:p w:rsidR="005D5925" w:rsidRPr="000A0A4F" w:rsidRDefault="005D5925" w:rsidP="005D5925">
      <w:pPr>
        <w:spacing w:after="0" w:line="240" w:lineRule="auto"/>
        <w:jc w:val="both"/>
        <w:rPr>
          <w:rFonts w:ascii="Times New Roman" w:hAnsi="Times New Roman" w:cs="Times New Roman"/>
          <w:b/>
          <w:color w:val="FF0000"/>
          <w:sz w:val="14"/>
          <w:lang w:val="es-MX"/>
        </w:rPr>
      </w:pPr>
    </w:p>
    <w:p w:rsidR="005D5925" w:rsidRPr="000064C3" w:rsidRDefault="005D5925" w:rsidP="005D5925">
      <w:pPr>
        <w:spacing w:after="0" w:line="240" w:lineRule="auto"/>
        <w:jc w:val="both"/>
        <w:rPr>
          <w:rFonts w:ascii="Times New Roman" w:hAnsi="Times New Roman" w:cs="Times New Roman"/>
          <w:sz w:val="24"/>
          <w:lang w:val="es-MX"/>
        </w:rPr>
      </w:pPr>
      <w:r w:rsidRPr="000064C3">
        <w:rPr>
          <w:rFonts w:ascii="Times New Roman" w:hAnsi="Times New Roman" w:cs="Times New Roman"/>
          <w:sz w:val="16"/>
          <w:lang w:val="es-MX"/>
        </w:rPr>
        <w:t>Fuente: Dirección de Análisis y Política Fiscal</w:t>
      </w:r>
    </w:p>
    <w:p w:rsidR="005D5925" w:rsidRDefault="005D5925" w:rsidP="005D5925">
      <w:pPr>
        <w:spacing w:after="0" w:line="240" w:lineRule="auto"/>
        <w:jc w:val="both"/>
        <w:rPr>
          <w:rFonts w:ascii="Times New Roman" w:hAnsi="Times New Roman" w:cs="Times New Roman"/>
          <w:b/>
          <w:color w:val="FF0000"/>
          <w:lang w:val="es-MX"/>
        </w:rPr>
      </w:pPr>
    </w:p>
    <w:p w:rsidR="005D5925" w:rsidRPr="00E3753A" w:rsidRDefault="005D5925" w:rsidP="005D5925">
      <w:pPr>
        <w:spacing w:after="0" w:line="240" w:lineRule="auto"/>
        <w:jc w:val="both"/>
        <w:rPr>
          <w:rFonts w:ascii="Times New Roman" w:hAnsi="Times New Roman" w:cs="Times New Roman"/>
          <w:b/>
          <w:lang w:val="es-MX"/>
        </w:rPr>
      </w:pPr>
      <w:r w:rsidRPr="00E3753A">
        <w:rPr>
          <w:rFonts w:ascii="Times New Roman" w:hAnsi="Times New Roman" w:cs="Times New Roman"/>
          <w:b/>
          <w:lang w:val="es-MX"/>
        </w:rPr>
        <w:t>El impuesto sobre la renta</w:t>
      </w:r>
    </w:p>
    <w:p w:rsidR="005D5925" w:rsidRPr="00E3753A" w:rsidRDefault="005D5925" w:rsidP="005D5925">
      <w:pPr>
        <w:spacing w:after="0" w:line="240" w:lineRule="auto"/>
        <w:jc w:val="both"/>
        <w:rPr>
          <w:rFonts w:ascii="Times New Roman" w:hAnsi="Times New Roman" w:cs="Times New Roman"/>
          <w:b/>
          <w:sz w:val="20"/>
          <w:lang w:val="es-MX"/>
        </w:rPr>
      </w:pPr>
    </w:p>
    <w:p w:rsidR="005D5925" w:rsidRPr="00E3753A" w:rsidRDefault="005D5925" w:rsidP="005D5925">
      <w:pPr>
        <w:spacing w:after="0" w:line="240" w:lineRule="auto"/>
        <w:jc w:val="both"/>
        <w:rPr>
          <w:rFonts w:ascii="Times New Roman" w:hAnsi="Times New Roman" w:cs="Times New Roman"/>
          <w:lang w:val="es-MX"/>
        </w:rPr>
      </w:pPr>
      <w:r w:rsidRPr="00E3753A">
        <w:rPr>
          <w:rFonts w:ascii="Times New Roman" w:hAnsi="Times New Roman" w:cs="Times New Roman"/>
          <w:lang w:val="es-MX"/>
        </w:rPr>
        <w:t xml:space="preserve">De manera mensual, este impuesto alcanzo la meta establecida, superándola por Q 81.7 millones; es preciso acotar que dicha recaudación incluye </w:t>
      </w:r>
      <w:r>
        <w:rPr>
          <w:rFonts w:ascii="Times New Roman" w:hAnsi="Times New Roman" w:cs="Times New Roman"/>
          <w:lang w:val="es-MX"/>
        </w:rPr>
        <w:t xml:space="preserve">recaudación extraordinaria </w:t>
      </w:r>
      <w:r w:rsidRPr="00E3753A">
        <w:rPr>
          <w:rFonts w:ascii="Times New Roman" w:hAnsi="Times New Roman" w:cs="Times New Roman"/>
          <w:lang w:val="es-MX"/>
        </w:rPr>
        <w:t>producto de la vigencia del Acuerdo Gubernativo 82-2017.</w:t>
      </w:r>
    </w:p>
    <w:p w:rsidR="005D5925" w:rsidRPr="00E3753A" w:rsidRDefault="005D5925" w:rsidP="005D5925">
      <w:pPr>
        <w:spacing w:after="0" w:line="240" w:lineRule="auto"/>
        <w:jc w:val="both"/>
        <w:rPr>
          <w:rFonts w:ascii="Times New Roman" w:hAnsi="Times New Roman" w:cs="Times New Roman"/>
          <w:lang w:val="es-MX"/>
        </w:rPr>
      </w:pPr>
    </w:p>
    <w:p w:rsidR="005D5925" w:rsidRPr="00E3753A" w:rsidRDefault="005D5925" w:rsidP="005D5925">
      <w:pPr>
        <w:spacing w:after="0" w:line="240" w:lineRule="auto"/>
        <w:jc w:val="both"/>
        <w:rPr>
          <w:rFonts w:ascii="Times New Roman" w:hAnsi="Times New Roman" w:cs="Times New Roman"/>
          <w:lang w:val="es-MX"/>
        </w:rPr>
      </w:pPr>
      <w:r w:rsidRPr="00E3753A">
        <w:rPr>
          <w:rFonts w:ascii="Times New Roman" w:hAnsi="Times New Roman" w:cs="Times New Roman"/>
          <w:lang w:val="es-MX"/>
        </w:rPr>
        <w:t>De manera acumulada el ISR genera una brecha positiva de Q 560.1 millones esto en gran medida generado por recaudación extraordinaria (Adeudos y AG 82-2017</w:t>
      </w:r>
      <w:proofErr w:type="gramStart"/>
      <w:r w:rsidRPr="00E3753A">
        <w:rPr>
          <w:rFonts w:ascii="Times New Roman" w:hAnsi="Times New Roman" w:cs="Times New Roman"/>
          <w:lang w:val="es-MX"/>
        </w:rPr>
        <w:t xml:space="preserve">) </w:t>
      </w:r>
      <w:r>
        <w:rPr>
          <w:rFonts w:ascii="Times New Roman" w:hAnsi="Times New Roman" w:cs="Times New Roman"/>
          <w:lang w:val="es-MX"/>
        </w:rPr>
        <w:t>.</w:t>
      </w:r>
      <w:proofErr w:type="gramEnd"/>
    </w:p>
    <w:p w:rsidR="005D5925" w:rsidRPr="000A0A4F" w:rsidRDefault="005D5925" w:rsidP="005D5925">
      <w:pPr>
        <w:spacing w:after="0" w:line="240" w:lineRule="auto"/>
        <w:jc w:val="both"/>
        <w:rPr>
          <w:rFonts w:ascii="Times New Roman" w:hAnsi="Times New Roman" w:cs="Times New Roman"/>
          <w:color w:val="FF0000"/>
          <w:sz w:val="10"/>
          <w:lang w:val="es-MX"/>
        </w:rPr>
      </w:pPr>
    </w:p>
    <w:p w:rsidR="005D5925" w:rsidRPr="000064C3" w:rsidRDefault="005D5925" w:rsidP="005D5925">
      <w:pPr>
        <w:spacing w:after="0" w:line="240" w:lineRule="auto"/>
        <w:jc w:val="center"/>
        <w:rPr>
          <w:rFonts w:ascii="Times New Roman" w:hAnsi="Times New Roman" w:cs="Times New Roman"/>
          <w:b/>
          <w:lang w:val="es-MX"/>
        </w:rPr>
      </w:pPr>
      <w:r w:rsidRPr="000064C3">
        <w:rPr>
          <w:rFonts w:ascii="Times New Roman" w:hAnsi="Times New Roman" w:cs="Times New Roman"/>
          <w:b/>
          <w:lang w:val="es-MX"/>
        </w:rPr>
        <w:t>Impuesto sobre la renta</w:t>
      </w:r>
    </w:p>
    <w:p w:rsidR="005D5925" w:rsidRPr="000064C3" w:rsidRDefault="005D5925" w:rsidP="005D5925">
      <w:pPr>
        <w:spacing w:after="0" w:line="240" w:lineRule="auto"/>
        <w:jc w:val="center"/>
        <w:rPr>
          <w:rFonts w:ascii="Times New Roman" w:hAnsi="Times New Roman" w:cs="Times New Roman"/>
          <w:sz w:val="18"/>
          <w:lang w:val="es-MX"/>
        </w:rPr>
      </w:pPr>
      <w:r w:rsidRPr="000064C3">
        <w:rPr>
          <w:rFonts w:ascii="Times New Roman" w:hAnsi="Times New Roman" w:cs="Times New Roman"/>
          <w:sz w:val="18"/>
          <w:lang w:val="es-MX"/>
        </w:rPr>
        <w:t>Variación interanual Acumulada</w:t>
      </w:r>
    </w:p>
    <w:p w:rsidR="00A34635" w:rsidRDefault="00A34635" w:rsidP="005D5925">
      <w:pPr>
        <w:spacing w:after="0" w:line="240" w:lineRule="auto"/>
        <w:jc w:val="center"/>
        <w:rPr>
          <w:rFonts w:ascii="Times New Roman" w:hAnsi="Times New Roman" w:cs="Times New Roman"/>
          <w:color w:val="FF0000"/>
          <w:sz w:val="18"/>
          <w:lang w:val="es-MX"/>
        </w:rPr>
      </w:pPr>
      <w:r>
        <w:rPr>
          <w:noProof/>
          <w:lang w:val="es-ES" w:eastAsia="es-ES"/>
        </w:rPr>
        <w:drawing>
          <wp:anchor distT="0" distB="0" distL="114300" distR="114300" simplePos="0" relativeHeight="251672576" behindDoc="0" locked="0" layoutInCell="1" allowOverlap="1" wp14:anchorId="1363DFEE" wp14:editId="79926A00">
            <wp:simplePos x="0" y="0"/>
            <wp:positionH relativeFrom="margin">
              <wp:align>right</wp:align>
            </wp:positionH>
            <wp:positionV relativeFrom="paragraph">
              <wp:posOffset>104140</wp:posOffset>
            </wp:positionV>
            <wp:extent cx="2670810" cy="1905000"/>
            <wp:effectExtent l="0" t="0" r="0" b="0"/>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34635" w:rsidRDefault="00A34635" w:rsidP="005D5925">
      <w:pPr>
        <w:spacing w:after="0" w:line="240" w:lineRule="auto"/>
        <w:jc w:val="center"/>
        <w:rPr>
          <w:rFonts w:ascii="Times New Roman" w:hAnsi="Times New Roman" w:cs="Times New Roman"/>
          <w:color w:val="FF0000"/>
          <w:sz w:val="18"/>
          <w:lang w:val="es-MX"/>
        </w:rPr>
      </w:pPr>
    </w:p>
    <w:p w:rsidR="005D5925" w:rsidRDefault="005D5925" w:rsidP="005D5925">
      <w:pPr>
        <w:spacing w:after="0" w:line="240" w:lineRule="auto"/>
        <w:jc w:val="center"/>
        <w:rPr>
          <w:rFonts w:ascii="Times New Roman" w:hAnsi="Times New Roman" w:cs="Times New Roman"/>
          <w:color w:val="FF0000"/>
          <w:sz w:val="18"/>
          <w:lang w:val="es-MX"/>
        </w:rPr>
      </w:pPr>
    </w:p>
    <w:p w:rsidR="005D5925" w:rsidRDefault="005D5925" w:rsidP="005D5925">
      <w:pPr>
        <w:spacing w:after="0" w:line="240" w:lineRule="auto"/>
        <w:jc w:val="center"/>
        <w:rPr>
          <w:rFonts w:ascii="Times New Roman" w:hAnsi="Times New Roman" w:cs="Times New Roman"/>
          <w:color w:val="FF0000"/>
          <w:sz w:val="18"/>
          <w:lang w:val="es-MX"/>
        </w:rPr>
      </w:pPr>
    </w:p>
    <w:p w:rsidR="005D5925" w:rsidRPr="000A0A4F" w:rsidRDefault="005D5925" w:rsidP="005D5925">
      <w:pPr>
        <w:spacing w:after="0" w:line="240" w:lineRule="auto"/>
        <w:jc w:val="center"/>
        <w:rPr>
          <w:rFonts w:ascii="Times New Roman" w:hAnsi="Times New Roman" w:cs="Times New Roman"/>
          <w:color w:val="FF0000"/>
          <w:sz w:val="18"/>
          <w:lang w:val="es-MX"/>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Default="005D5925" w:rsidP="005D5925">
      <w:pPr>
        <w:spacing w:after="0" w:line="240" w:lineRule="auto"/>
        <w:jc w:val="both"/>
        <w:rPr>
          <w:rFonts w:ascii="Times New Roman" w:hAnsi="Times New Roman" w:cs="Times New Roman"/>
          <w:b/>
          <w:noProof/>
          <w:color w:val="FF0000"/>
          <w:sz w:val="14"/>
          <w:lang w:val="es-ES" w:eastAsia="es-ES"/>
        </w:rPr>
      </w:pPr>
    </w:p>
    <w:p w:rsidR="005D5925" w:rsidRPr="000064C3" w:rsidRDefault="005D5925" w:rsidP="005D5925">
      <w:pPr>
        <w:spacing w:after="0" w:line="240" w:lineRule="auto"/>
        <w:jc w:val="both"/>
        <w:rPr>
          <w:rFonts w:ascii="Times New Roman" w:hAnsi="Times New Roman" w:cs="Times New Roman"/>
          <w:sz w:val="24"/>
          <w:lang w:val="es-MX"/>
        </w:rPr>
      </w:pPr>
      <w:r w:rsidRPr="000064C3">
        <w:rPr>
          <w:rFonts w:ascii="Times New Roman" w:hAnsi="Times New Roman" w:cs="Times New Roman"/>
          <w:sz w:val="16"/>
          <w:lang w:val="es-MX"/>
        </w:rPr>
        <w:t>Fuente: Dirección de Análisis y Política Fiscal</w:t>
      </w:r>
    </w:p>
    <w:p w:rsidR="005D5925" w:rsidRDefault="005D5925" w:rsidP="005D5925">
      <w:pPr>
        <w:spacing w:after="0" w:line="240" w:lineRule="auto"/>
        <w:jc w:val="both"/>
        <w:rPr>
          <w:rFonts w:ascii="Times New Roman" w:hAnsi="Times New Roman" w:cs="Times New Roman"/>
          <w:lang w:val="es-MX"/>
        </w:rPr>
      </w:pPr>
    </w:p>
    <w:p w:rsidR="005D5925" w:rsidRDefault="005D5925" w:rsidP="005D5925">
      <w:pPr>
        <w:spacing w:after="0" w:line="240" w:lineRule="auto"/>
        <w:jc w:val="both"/>
        <w:rPr>
          <w:rFonts w:ascii="Times New Roman" w:hAnsi="Times New Roman" w:cs="Times New Roman"/>
          <w:lang w:val="es-MX"/>
        </w:rPr>
      </w:pPr>
      <w:r w:rsidRPr="00AB2522">
        <w:rPr>
          <w:rFonts w:ascii="Times New Roman" w:hAnsi="Times New Roman" w:cs="Times New Roman"/>
          <w:sz w:val="16"/>
          <w:lang w:val="es-MX"/>
        </w:rPr>
        <w:t>Fuente: Dirección de Análisis y Política Fiscal</w:t>
      </w:r>
    </w:p>
    <w:p w:rsidR="005D5925" w:rsidRPr="0023642A" w:rsidRDefault="005D5925" w:rsidP="005D5925">
      <w:pPr>
        <w:spacing w:after="0" w:line="240" w:lineRule="auto"/>
        <w:jc w:val="both"/>
        <w:rPr>
          <w:rFonts w:ascii="Times New Roman" w:hAnsi="Times New Roman" w:cs="Times New Roman"/>
          <w:lang w:val="es-MX"/>
        </w:rPr>
      </w:pPr>
    </w:p>
    <w:p w:rsidR="005D5925" w:rsidRPr="0023642A" w:rsidRDefault="005D5925" w:rsidP="005D5925">
      <w:pPr>
        <w:spacing w:after="0" w:line="240" w:lineRule="auto"/>
        <w:jc w:val="both"/>
        <w:rPr>
          <w:rFonts w:ascii="Times New Roman" w:hAnsi="Times New Roman" w:cs="Times New Roman"/>
          <w:b/>
          <w:lang w:val="es-MX"/>
        </w:rPr>
      </w:pPr>
      <w:r w:rsidRPr="0023642A">
        <w:rPr>
          <w:rFonts w:ascii="Times New Roman" w:hAnsi="Times New Roman" w:cs="Times New Roman"/>
          <w:b/>
          <w:lang w:val="es-MX"/>
        </w:rPr>
        <w:lastRenderedPageBreak/>
        <w:t>El resto de los impuestos</w:t>
      </w:r>
    </w:p>
    <w:p w:rsidR="005D5925" w:rsidRPr="0023642A" w:rsidRDefault="005D5925" w:rsidP="005D5925">
      <w:pPr>
        <w:spacing w:after="0" w:line="240" w:lineRule="auto"/>
        <w:jc w:val="both"/>
        <w:rPr>
          <w:rFonts w:ascii="Times New Roman" w:hAnsi="Times New Roman" w:cs="Times New Roman"/>
          <w:b/>
          <w:lang w:val="es-MX"/>
        </w:rPr>
      </w:pPr>
    </w:p>
    <w:p w:rsidR="005D5925" w:rsidRPr="0023642A" w:rsidRDefault="005D5925" w:rsidP="005D5925">
      <w:pPr>
        <w:spacing w:after="0" w:line="240" w:lineRule="auto"/>
        <w:jc w:val="both"/>
        <w:rPr>
          <w:rFonts w:ascii="Times New Roman" w:hAnsi="Times New Roman" w:cs="Times New Roman"/>
          <w:lang w:val="es-MX"/>
        </w:rPr>
      </w:pPr>
      <w:r w:rsidRPr="0023642A">
        <w:rPr>
          <w:rFonts w:ascii="Times New Roman" w:hAnsi="Times New Roman" w:cs="Times New Roman"/>
          <w:lang w:val="es-MX"/>
        </w:rPr>
        <w:t xml:space="preserve">De manera mensual, los derechos arancelarios a la importación, derivados del petróleo, el de circulación de vehículos, bebidas, tabacos y cemento en conjunto dejaron de percibir Q 57.7 millones </w:t>
      </w:r>
      <w:r>
        <w:rPr>
          <w:rFonts w:ascii="Times New Roman" w:hAnsi="Times New Roman" w:cs="Times New Roman"/>
          <w:lang w:val="es-MX"/>
        </w:rPr>
        <w:t>respecto a la meta</w:t>
      </w:r>
      <w:r w:rsidRPr="0023642A">
        <w:rPr>
          <w:rFonts w:ascii="Times New Roman" w:hAnsi="Times New Roman" w:cs="Times New Roman"/>
          <w:lang w:val="es-MX"/>
        </w:rPr>
        <w:t>. Los únicos impuestos que superan la meta establecida son el impuesto a timbres e IPRIMA.</w:t>
      </w:r>
    </w:p>
    <w:p w:rsidR="005D5925" w:rsidRDefault="005D592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Default="00A34635" w:rsidP="005D5925">
      <w:pPr>
        <w:spacing w:after="0" w:line="240" w:lineRule="auto"/>
        <w:jc w:val="both"/>
        <w:rPr>
          <w:rFonts w:ascii="Times New Roman" w:hAnsi="Times New Roman" w:cs="Times New Roman"/>
          <w:lang w:val="es-MX"/>
        </w:rPr>
      </w:pPr>
    </w:p>
    <w:p w:rsidR="00A34635" w:rsidRPr="00A34635" w:rsidRDefault="00A34635" w:rsidP="005D5925">
      <w:pPr>
        <w:spacing w:after="0" w:line="240" w:lineRule="auto"/>
        <w:jc w:val="both"/>
        <w:rPr>
          <w:rFonts w:ascii="Times New Roman" w:hAnsi="Times New Roman" w:cs="Times New Roman"/>
          <w:lang w:val="es-MX"/>
        </w:rPr>
      </w:pPr>
    </w:p>
    <w:p w:rsidR="00A34635" w:rsidRPr="00A34635" w:rsidRDefault="00A34635" w:rsidP="005D5925">
      <w:pPr>
        <w:spacing w:after="0" w:line="240" w:lineRule="auto"/>
        <w:jc w:val="both"/>
        <w:rPr>
          <w:rFonts w:ascii="Times New Roman" w:hAnsi="Times New Roman" w:cs="Times New Roman"/>
          <w:sz w:val="16"/>
          <w:lang w:val="es-MX"/>
        </w:rPr>
      </w:pPr>
    </w:p>
    <w:p w:rsidR="00A34635" w:rsidRPr="00A34635" w:rsidRDefault="00A34635" w:rsidP="005D5925">
      <w:pPr>
        <w:spacing w:after="0" w:line="240" w:lineRule="auto"/>
        <w:jc w:val="both"/>
        <w:rPr>
          <w:rFonts w:ascii="Times New Roman" w:hAnsi="Times New Roman" w:cs="Times New Roman"/>
          <w:sz w:val="16"/>
          <w:lang w:val="es-MX"/>
        </w:rPr>
      </w:pPr>
    </w:p>
    <w:p w:rsidR="005D5925" w:rsidRPr="00AB2522" w:rsidRDefault="005D5925" w:rsidP="005D5925">
      <w:pPr>
        <w:spacing w:after="0" w:line="240" w:lineRule="auto"/>
        <w:jc w:val="center"/>
        <w:rPr>
          <w:rFonts w:ascii="Times New Roman" w:hAnsi="Times New Roman" w:cs="Times New Roman"/>
          <w:b/>
          <w:lang w:val="es-MX"/>
        </w:rPr>
      </w:pPr>
      <w:r w:rsidRPr="00AB2522">
        <w:rPr>
          <w:rFonts w:ascii="Times New Roman" w:hAnsi="Times New Roman" w:cs="Times New Roman"/>
          <w:b/>
          <w:lang w:val="es-MX"/>
        </w:rPr>
        <w:lastRenderedPageBreak/>
        <w:t>Recaudación tributaria</w:t>
      </w:r>
    </w:p>
    <w:p w:rsidR="005D5925" w:rsidRPr="00AB2522" w:rsidRDefault="005D5925" w:rsidP="005D5925">
      <w:pPr>
        <w:spacing w:after="0" w:line="240" w:lineRule="auto"/>
        <w:jc w:val="center"/>
        <w:rPr>
          <w:rFonts w:ascii="Times New Roman" w:hAnsi="Times New Roman" w:cs="Times New Roman"/>
          <w:lang w:val="es-MX"/>
        </w:rPr>
      </w:pPr>
      <w:r w:rsidRPr="00AB2522">
        <w:rPr>
          <w:rFonts w:ascii="Times New Roman" w:hAnsi="Times New Roman" w:cs="Times New Roman"/>
          <w:sz w:val="18"/>
          <w:lang w:val="es-MX"/>
        </w:rPr>
        <w:t>Millones de quetzales</w:t>
      </w:r>
    </w:p>
    <w:p w:rsidR="005D5925" w:rsidRDefault="005D5925" w:rsidP="005D5925">
      <w:pPr>
        <w:spacing w:after="0" w:line="240" w:lineRule="auto"/>
        <w:jc w:val="both"/>
        <w:rPr>
          <w:rFonts w:ascii="Times New Roman" w:hAnsi="Times New Roman" w:cs="Times New Roman"/>
          <w:noProof/>
          <w:color w:val="FF0000"/>
          <w:lang w:val="es-ES" w:eastAsia="es-ES"/>
        </w:rPr>
      </w:pPr>
      <w:r>
        <w:rPr>
          <w:rFonts w:ascii="Times New Roman" w:hAnsi="Times New Roman" w:cs="Times New Roman"/>
          <w:noProof/>
          <w:color w:val="FF0000"/>
          <w:lang w:val="es-ES" w:eastAsia="es-ES"/>
        </w:rPr>
        <w:drawing>
          <wp:inline distT="0" distB="0" distL="0" distR="0" wp14:anchorId="17557762" wp14:editId="44D1AF76">
            <wp:extent cx="2803525" cy="360045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5925" w:rsidRPr="009742A8" w:rsidRDefault="005D5925" w:rsidP="005D5925">
      <w:pPr>
        <w:spacing w:after="0" w:line="240" w:lineRule="auto"/>
        <w:jc w:val="both"/>
        <w:rPr>
          <w:rFonts w:ascii="Times New Roman" w:hAnsi="Times New Roman" w:cs="Times New Roman"/>
          <w:color w:val="FF0000"/>
          <w:sz w:val="24"/>
          <w:lang w:val="es-MX"/>
        </w:rPr>
      </w:pPr>
      <w:r w:rsidRPr="00AB2522">
        <w:rPr>
          <w:rFonts w:ascii="Times New Roman" w:hAnsi="Times New Roman" w:cs="Times New Roman"/>
          <w:sz w:val="16"/>
          <w:lang w:val="es-MX"/>
        </w:rPr>
        <w:t>Fuente: Dirección de Análisis y Política Fiscal</w:t>
      </w:r>
    </w:p>
    <w:p w:rsidR="00BA3920" w:rsidRPr="00A34635" w:rsidRDefault="00BA3920" w:rsidP="00BA3920">
      <w:pPr>
        <w:spacing w:after="0" w:line="240" w:lineRule="auto"/>
        <w:jc w:val="both"/>
        <w:rPr>
          <w:rFonts w:ascii="Times New Roman" w:hAnsi="Times New Roman" w:cs="Times New Roman"/>
          <w:color w:val="FF0000"/>
          <w:sz w:val="18"/>
          <w:lang w:val="es-MX"/>
        </w:rPr>
      </w:pPr>
    </w:p>
    <w:p w:rsidR="00EB1910" w:rsidRPr="009742A8" w:rsidRDefault="00EB1910" w:rsidP="00EB1910">
      <w:pPr>
        <w:pStyle w:val="NoSpacing"/>
        <w:jc w:val="both"/>
        <w:rPr>
          <w:rFonts w:ascii="Times New Roman" w:hAnsi="Times New Roman" w:cs="Times New Roman"/>
          <w:color w:val="FF0000"/>
          <w:lang w:val="es-MX"/>
        </w:rPr>
        <w:sectPr w:rsidR="00EB1910" w:rsidRPr="009742A8" w:rsidSect="00374D44">
          <w:headerReference w:type="default" r:id="rId17"/>
          <w:footerReference w:type="default" r:id="rId18"/>
          <w:type w:val="continuous"/>
          <w:pgSz w:w="12240" w:h="15840" w:code="1"/>
          <w:pgMar w:top="1418" w:right="1418" w:bottom="1418" w:left="1701" w:header="709" w:footer="709" w:gutter="0"/>
          <w:cols w:num="2" w:space="708"/>
          <w:docGrid w:linePitch="360"/>
        </w:sectPr>
      </w:pPr>
    </w:p>
    <w:p w:rsidR="00674EAE" w:rsidRPr="009742A8" w:rsidRDefault="00674EAE" w:rsidP="00674EAE">
      <w:pPr>
        <w:pStyle w:val="NoSpacing"/>
        <w:jc w:val="both"/>
        <w:rPr>
          <w:rFonts w:ascii="Times New Roman" w:hAnsi="Times New Roman" w:cs="Times New Roman"/>
          <w:color w:val="FF0000"/>
          <w:sz w:val="18"/>
          <w:szCs w:val="18"/>
          <w:lang w:val="es-MX"/>
        </w:rPr>
        <w:sectPr w:rsidR="00674EAE" w:rsidRPr="009742A8" w:rsidSect="005A03A9">
          <w:type w:val="continuous"/>
          <w:pgSz w:w="12240" w:h="15840"/>
          <w:pgMar w:top="1417" w:right="1701" w:bottom="1417" w:left="1701" w:header="708" w:footer="708" w:gutter="0"/>
          <w:cols w:num="2" w:space="708"/>
          <w:docGrid w:linePitch="360"/>
        </w:sectPr>
      </w:pPr>
    </w:p>
    <w:p w:rsidR="00FA3B81" w:rsidRPr="00CA3008" w:rsidRDefault="00F27024"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CA3008" w:rsidSect="00FA3B81">
          <w:headerReference w:type="default" r:id="rId19"/>
          <w:footerReference w:type="default" r:id="rId20"/>
          <w:type w:val="continuous"/>
          <w:pgSz w:w="12240" w:h="15840" w:code="1"/>
          <w:pgMar w:top="1418" w:right="1418" w:bottom="1418" w:left="1418" w:header="709" w:footer="709" w:gutter="0"/>
          <w:cols w:space="708"/>
          <w:docGrid w:linePitch="360"/>
        </w:sectPr>
      </w:pPr>
      <w:r w:rsidRPr="00CA3008">
        <w:rPr>
          <w:rFonts w:ascii="Times New Roman" w:hAnsi="Times New Roman" w:cs="Times New Roman"/>
          <w:b/>
          <w:lang w:val="es-MX"/>
        </w:rPr>
        <w:lastRenderedPageBreak/>
        <w:t>Marcada desaceleración en la ejecución de gasto</w:t>
      </w:r>
    </w:p>
    <w:p w:rsidR="00FA3B81" w:rsidRPr="009742A8" w:rsidRDefault="00FA3B81" w:rsidP="00FA3B81">
      <w:pPr>
        <w:pStyle w:val="NoSpacing"/>
        <w:rPr>
          <w:rFonts w:ascii="Times New Roman" w:hAnsi="Times New Roman" w:cs="Times New Roman"/>
          <w:b/>
          <w:color w:val="FF0000"/>
          <w:sz w:val="18"/>
          <w:lang w:val="es-MX"/>
        </w:rPr>
      </w:pPr>
    </w:p>
    <w:p w:rsidR="00FA3B81" w:rsidRPr="009742A8" w:rsidRDefault="00FA3B81" w:rsidP="00FA3B81">
      <w:pPr>
        <w:pStyle w:val="NoSpacing"/>
        <w:jc w:val="center"/>
        <w:rPr>
          <w:rFonts w:ascii="Times New Roman" w:hAnsi="Times New Roman" w:cs="Times New Roman"/>
          <w:b/>
          <w:color w:val="FF0000"/>
          <w:lang w:val="es-MX"/>
        </w:rPr>
        <w:sectPr w:rsidR="00FA3B81" w:rsidRPr="009742A8" w:rsidSect="004E358C">
          <w:type w:val="continuous"/>
          <w:pgSz w:w="12240" w:h="15840"/>
          <w:pgMar w:top="1417" w:right="1701" w:bottom="1417" w:left="1701" w:header="708" w:footer="708" w:gutter="0"/>
          <w:cols w:space="708"/>
          <w:docGrid w:linePitch="360"/>
        </w:sectPr>
      </w:pP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lastRenderedPageBreak/>
        <w:t>La ejecución en el segundo cuatrimestre de 2017, estuvo marcada por un aumento en la ejecución en el primer mes (mayo) pero posteriormente hubo una marcada desaceleración pasando de un crecimiento interanual acumulado de 9.2% en mayo de 2017 a un 5.2% para el cierre de agosto.   Sin embargo, estos resultados son aun positivos con respecto a lo observado el año anterior en donde a lo largo del primer y segundo cuatrimestre la variación interanual fue negativa, aunque a partir mayo de 2016 esa contracción era cada vez menor.</w:t>
      </w:r>
    </w:p>
    <w:p w:rsidR="00CA3008" w:rsidRDefault="00CA3008" w:rsidP="00CA3008">
      <w:pPr>
        <w:pStyle w:val="NoSpacing"/>
        <w:jc w:val="center"/>
        <w:rPr>
          <w:rFonts w:ascii="Times New Roman" w:hAnsi="Times New Roman" w:cs="Times New Roman"/>
          <w:b/>
          <w:lang w:val="es-MX"/>
        </w:rPr>
      </w:pPr>
    </w:p>
    <w:p w:rsidR="00CA3008" w:rsidRDefault="00CA3008" w:rsidP="00CA3008">
      <w:pPr>
        <w:pStyle w:val="NoSpacing"/>
        <w:jc w:val="center"/>
        <w:rPr>
          <w:rFonts w:ascii="Times New Roman" w:hAnsi="Times New Roman" w:cs="Times New Roman"/>
          <w:b/>
          <w:lang w:val="es-MX"/>
        </w:rPr>
      </w:pPr>
    </w:p>
    <w:p w:rsidR="00A34635" w:rsidRDefault="00A34635" w:rsidP="00CA3008">
      <w:pPr>
        <w:pStyle w:val="NoSpacing"/>
        <w:jc w:val="center"/>
        <w:rPr>
          <w:rFonts w:ascii="Times New Roman" w:hAnsi="Times New Roman" w:cs="Times New Roman"/>
          <w:b/>
          <w:lang w:val="es-MX"/>
        </w:rPr>
      </w:pPr>
    </w:p>
    <w:p w:rsidR="00A34635" w:rsidRDefault="00A34635" w:rsidP="00CA3008">
      <w:pPr>
        <w:pStyle w:val="NoSpacing"/>
        <w:jc w:val="center"/>
        <w:rPr>
          <w:rFonts w:ascii="Times New Roman" w:hAnsi="Times New Roman" w:cs="Times New Roman"/>
          <w:b/>
          <w:lang w:val="es-MX"/>
        </w:rPr>
      </w:pPr>
    </w:p>
    <w:p w:rsidR="00CA3008" w:rsidRPr="009D459C" w:rsidRDefault="00CA3008" w:rsidP="00CA3008">
      <w:pPr>
        <w:pStyle w:val="NoSpacing"/>
        <w:jc w:val="center"/>
        <w:rPr>
          <w:rFonts w:ascii="Times New Roman" w:hAnsi="Times New Roman" w:cs="Times New Roman"/>
          <w:b/>
          <w:lang w:val="es-MX"/>
        </w:rPr>
      </w:pPr>
      <w:r w:rsidRPr="009D459C">
        <w:rPr>
          <w:rFonts w:ascii="Times New Roman" w:hAnsi="Times New Roman" w:cs="Times New Roman"/>
          <w:b/>
          <w:lang w:val="es-MX"/>
        </w:rPr>
        <w:lastRenderedPageBreak/>
        <w:t>Ritmo de Ejecución del Gasto</w:t>
      </w:r>
    </w:p>
    <w:p w:rsidR="00CA3008" w:rsidRPr="009D459C" w:rsidRDefault="00CA3008" w:rsidP="00CA3008">
      <w:pPr>
        <w:pStyle w:val="NoSpacing"/>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r>
        <w:rPr>
          <w:rFonts w:ascii="Times New Roman" w:hAnsi="Times New Roman" w:cs="Times New Roman"/>
          <w:sz w:val="18"/>
          <w:lang w:val="es-MX"/>
        </w:rPr>
        <w:t xml:space="preserve"> Acumulada</w:t>
      </w:r>
    </w:p>
    <w:p w:rsidR="00CA3008" w:rsidRPr="00B044A7" w:rsidRDefault="00CA3008" w:rsidP="00CA3008">
      <w:pPr>
        <w:pStyle w:val="NoSpacing"/>
        <w:jc w:val="both"/>
        <w:rPr>
          <w:rFonts w:ascii="Times New Roman" w:hAnsi="Times New Roman" w:cs="Times New Roman"/>
          <w:lang w:val="es-MX"/>
        </w:rPr>
      </w:pPr>
      <w:r>
        <w:rPr>
          <w:rFonts w:ascii="Times New Roman" w:hAnsi="Times New Roman" w:cs="Times New Roman"/>
          <w:noProof/>
          <w:lang w:val="es-ES" w:eastAsia="es-ES"/>
        </w:rPr>
        <w:drawing>
          <wp:inline distT="0" distB="0" distL="0" distR="0" wp14:anchorId="44BD8DC7" wp14:editId="36F4D5FF">
            <wp:extent cx="2733675" cy="2219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4575" cy="2228174"/>
                    </a:xfrm>
                    <a:prstGeom prst="rect">
                      <a:avLst/>
                    </a:prstGeom>
                    <a:noFill/>
                  </pic:spPr>
                </pic:pic>
              </a:graphicData>
            </a:graphic>
          </wp:inline>
        </w:drawing>
      </w:r>
    </w:p>
    <w:p w:rsidR="00CA3008" w:rsidRDefault="00CA3008" w:rsidP="00CA3008">
      <w:pPr>
        <w:pStyle w:val="NoSpacing"/>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A3008" w:rsidRDefault="00CA3008" w:rsidP="00CA3008">
      <w:pPr>
        <w:pStyle w:val="NoSpacing"/>
        <w:jc w:val="both"/>
        <w:rPr>
          <w:rFonts w:ascii="Times New Roman" w:hAnsi="Times New Roman" w:cs="Times New Roman"/>
        </w:rPr>
      </w:pP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t>Los problemas con la ejecución en los rubros de bienes y servicios e inversión real directa siguen asociados a las dificultades de las instituciones en la adquisición y contratación de insumos y en la construcción y mantenimiento de la obra vial.</w:t>
      </w:r>
    </w:p>
    <w:p w:rsidR="00CA3008" w:rsidRDefault="00CA3008" w:rsidP="00CA3008">
      <w:pPr>
        <w:pStyle w:val="NoSpacing"/>
        <w:jc w:val="both"/>
        <w:rPr>
          <w:rFonts w:ascii="Times New Roman" w:hAnsi="Times New Roman" w:cs="Times New Roman"/>
          <w:lang w:val="es-MX"/>
        </w:rPr>
      </w:pP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t>En efecto, en el rubro de bienes y servicios a penas se ha ejecutado el 35.1% del presupuesto y muestra una reducción interanual de 9.1%, por su parte la inversión real directa está muy por encima de lo ejecutado el año anterior, ya que al 31 de agosto de este año se observa un nivel de Q648.9 millones, y a esta misma fecha del año anterior se había ejecutado Q198.9 millones. Sin embargo, el grado de ejecución presupuestaria es bajo y se ubica en 10.4% del total presupuestado.</w:t>
      </w:r>
    </w:p>
    <w:p w:rsidR="00CA3008" w:rsidRDefault="00CA3008" w:rsidP="00CA3008">
      <w:pPr>
        <w:pStyle w:val="NoSpacing"/>
        <w:jc w:val="both"/>
        <w:rPr>
          <w:rFonts w:ascii="Times New Roman" w:hAnsi="Times New Roman" w:cs="Times New Roman"/>
          <w:lang w:val="es-MX"/>
        </w:rPr>
      </w:pP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t>Por su parte, las transferencias corrientes siguen siendo los principales impulsadores de la ejecución, a la fecha muestra una tasa de crecimiento interanual de 16.2%, encabezadas principalmente por las transferencias institucionales y por aporte constitucional.</w:t>
      </w:r>
    </w:p>
    <w:p w:rsidR="00CA3008" w:rsidRDefault="00CA3008" w:rsidP="00CA3008">
      <w:pPr>
        <w:pStyle w:val="NoSpacing"/>
        <w:jc w:val="both"/>
        <w:rPr>
          <w:rFonts w:ascii="Times New Roman" w:hAnsi="Times New Roman" w:cs="Times New Roman"/>
          <w:lang w:val="es-MX"/>
        </w:rPr>
      </w:pPr>
    </w:p>
    <w:p w:rsidR="00CA3008" w:rsidRDefault="00CA3008" w:rsidP="00CA3008">
      <w:pPr>
        <w:pStyle w:val="NoSpacing"/>
        <w:jc w:val="both"/>
        <w:rPr>
          <w:rFonts w:ascii="Times New Roman" w:hAnsi="Times New Roman" w:cs="Times New Roman"/>
        </w:rPr>
      </w:pPr>
      <w:r>
        <w:rPr>
          <w:rFonts w:ascii="Times New Roman" w:hAnsi="Times New Roman" w:cs="Times New Roman"/>
        </w:rPr>
        <w:t>Es importante señalar, que la autoridad fiscal coadyuvó a que la ejecución fuera mayor, derivado de que se aprobó la mayor parte de las solicitudes de las instituciones, e incluso se aprobaron los techos del cuatrimestre para acelerar la ejecución, ya que las entidades iban a tener una mayor certeza de su disponibilidad financiera.  No obstante, el porcentaje de ejecución de la cuota financiera del cuatrimestre fue más bajo comparado con el observado en el primer cuatrimestre.</w:t>
      </w:r>
    </w:p>
    <w:p w:rsidR="00CA3008" w:rsidRDefault="00CA3008" w:rsidP="005D5925">
      <w:pPr>
        <w:pStyle w:val="NoSpacing"/>
        <w:rPr>
          <w:rFonts w:ascii="Times New Roman" w:hAnsi="Times New Roman" w:cs="Times New Roman"/>
          <w:b/>
          <w:lang w:val="es-MX"/>
        </w:rPr>
      </w:pPr>
    </w:p>
    <w:p w:rsidR="00A34635" w:rsidRDefault="00A34635" w:rsidP="005D5925">
      <w:pPr>
        <w:pStyle w:val="NoSpacing"/>
        <w:rPr>
          <w:rFonts w:ascii="Times New Roman" w:hAnsi="Times New Roman" w:cs="Times New Roman"/>
          <w:b/>
          <w:lang w:val="es-MX"/>
        </w:rPr>
      </w:pPr>
    </w:p>
    <w:p w:rsidR="00A34635" w:rsidRDefault="00A34635" w:rsidP="005D5925">
      <w:pPr>
        <w:pStyle w:val="NoSpacing"/>
        <w:rPr>
          <w:rFonts w:ascii="Times New Roman" w:hAnsi="Times New Roman" w:cs="Times New Roman"/>
          <w:b/>
          <w:lang w:val="es-MX"/>
        </w:rPr>
      </w:pPr>
    </w:p>
    <w:p w:rsidR="00A34635" w:rsidRDefault="00A34635" w:rsidP="005D5925">
      <w:pPr>
        <w:pStyle w:val="NoSpacing"/>
        <w:rPr>
          <w:rFonts w:ascii="Times New Roman" w:hAnsi="Times New Roman" w:cs="Times New Roman"/>
          <w:b/>
          <w:lang w:val="es-MX"/>
        </w:rPr>
      </w:pPr>
    </w:p>
    <w:p w:rsidR="00A34635" w:rsidRDefault="00A34635" w:rsidP="005D5925">
      <w:pPr>
        <w:pStyle w:val="NoSpacing"/>
        <w:rPr>
          <w:rFonts w:ascii="Times New Roman" w:hAnsi="Times New Roman" w:cs="Times New Roman"/>
          <w:b/>
          <w:lang w:val="es-MX"/>
        </w:rPr>
      </w:pPr>
    </w:p>
    <w:p w:rsidR="00A34635" w:rsidRDefault="00A34635" w:rsidP="005D5925">
      <w:pPr>
        <w:pStyle w:val="NoSpacing"/>
        <w:rPr>
          <w:rFonts w:ascii="Times New Roman" w:hAnsi="Times New Roman" w:cs="Times New Roman"/>
          <w:b/>
          <w:lang w:val="es-MX"/>
        </w:rPr>
      </w:pPr>
    </w:p>
    <w:p w:rsidR="00A34635" w:rsidRDefault="00A34635" w:rsidP="005D5925">
      <w:pPr>
        <w:pStyle w:val="NoSpacing"/>
        <w:rPr>
          <w:rFonts w:ascii="Times New Roman" w:hAnsi="Times New Roman" w:cs="Times New Roman"/>
          <w:b/>
          <w:lang w:val="es-MX"/>
        </w:rPr>
      </w:pPr>
    </w:p>
    <w:p w:rsidR="00CA3008" w:rsidRDefault="00CA3008" w:rsidP="00CA3008">
      <w:pPr>
        <w:pStyle w:val="NoSpacing"/>
        <w:jc w:val="center"/>
        <w:rPr>
          <w:rFonts w:ascii="Times New Roman" w:hAnsi="Times New Roman" w:cs="Times New Roman"/>
          <w:b/>
          <w:lang w:val="es-MX"/>
        </w:rPr>
      </w:pPr>
      <w:r>
        <w:rPr>
          <w:rFonts w:ascii="Times New Roman" w:hAnsi="Times New Roman" w:cs="Times New Roman"/>
          <w:b/>
          <w:lang w:val="es-MX"/>
        </w:rPr>
        <w:lastRenderedPageBreak/>
        <w:t>Porcentaje de Ejecución de Cuota Financiera</w:t>
      </w:r>
    </w:p>
    <w:p w:rsidR="00CA3008" w:rsidRPr="00F23B59" w:rsidRDefault="00CA3008" w:rsidP="00CA3008">
      <w:pPr>
        <w:pStyle w:val="NoSpacing"/>
        <w:jc w:val="center"/>
        <w:rPr>
          <w:rFonts w:ascii="Times New Roman" w:hAnsi="Times New Roman" w:cs="Times New Roman"/>
          <w:sz w:val="18"/>
          <w:lang w:val="es-MX"/>
        </w:rPr>
      </w:pPr>
      <w:r>
        <w:rPr>
          <w:rFonts w:ascii="Times New Roman" w:hAnsi="Times New Roman" w:cs="Times New Roman"/>
          <w:sz w:val="18"/>
          <w:lang w:val="es-MX"/>
        </w:rPr>
        <w:t>Primer y Segundo Cuatrimestre</w:t>
      </w:r>
      <w:r w:rsidRPr="00F23B59">
        <w:rPr>
          <w:rFonts w:ascii="Times New Roman" w:hAnsi="Times New Roman" w:cs="Times New Roman"/>
          <w:sz w:val="18"/>
          <w:lang w:val="es-MX"/>
        </w:rPr>
        <w:t xml:space="preserve"> 2017 </w:t>
      </w:r>
    </w:p>
    <w:p w:rsidR="00CA3008" w:rsidRDefault="00CA3008" w:rsidP="00CA3008">
      <w:pPr>
        <w:pStyle w:val="NoSpacing"/>
        <w:jc w:val="both"/>
        <w:rPr>
          <w:rFonts w:ascii="Times New Roman" w:hAnsi="Times New Roman" w:cs="Times New Roman"/>
        </w:rPr>
      </w:pPr>
      <w:r w:rsidRPr="009F00F1">
        <w:rPr>
          <w:noProof/>
          <w:lang w:val="es-ES" w:eastAsia="es-ES"/>
        </w:rPr>
        <w:drawing>
          <wp:inline distT="0" distB="0" distL="0" distR="0" wp14:anchorId="69C27525" wp14:editId="641500A7">
            <wp:extent cx="2752725" cy="1809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1518" cy="1815531"/>
                    </a:xfrm>
                    <a:prstGeom prst="rect">
                      <a:avLst/>
                    </a:prstGeom>
                    <a:noFill/>
                    <a:ln>
                      <a:noFill/>
                    </a:ln>
                  </pic:spPr>
                </pic:pic>
              </a:graphicData>
            </a:graphic>
          </wp:inline>
        </w:drawing>
      </w:r>
    </w:p>
    <w:p w:rsidR="00CA3008" w:rsidRDefault="00CA3008" w:rsidP="00CA3008">
      <w:pPr>
        <w:pStyle w:val="NoSpacing"/>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A3008" w:rsidRDefault="00CA3008" w:rsidP="00CA3008">
      <w:pPr>
        <w:pStyle w:val="NoSpacing"/>
        <w:jc w:val="both"/>
        <w:rPr>
          <w:rFonts w:ascii="Times New Roman" w:hAnsi="Times New Roman" w:cs="Times New Roman"/>
          <w:lang w:val="es-MX"/>
        </w:rPr>
      </w:pP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t xml:space="preserve">Sin </w:t>
      </w:r>
      <w:r w:rsidR="00A34635">
        <w:rPr>
          <w:rFonts w:ascii="Times New Roman" w:hAnsi="Times New Roman" w:cs="Times New Roman"/>
          <w:lang w:val="es-MX"/>
        </w:rPr>
        <w:t>embargo</w:t>
      </w:r>
      <w:r>
        <w:rPr>
          <w:rFonts w:ascii="Times New Roman" w:hAnsi="Times New Roman" w:cs="Times New Roman"/>
          <w:lang w:val="es-MX"/>
        </w:rPr>
        <w:t>, hay entidades que en términos del grado de ejecución de cuota financiera han mejorado su desempeño, con respecto a lo observado en el primer cuatrimestre tal el caso de los ministerios de finanzas, comunicaciones, agricultura, defensa, entre otras.   No obstante, hay otras entidades que su desempeño se redujo como cultura, energía, desarrollo social y educación.</w:t>
      </w:r>
    </w:p>
    <w:p w:rsidR="00CA3008" w:rsidRDefault="00CA3008" w:rsidP="00CA3008">
      <w:pPr>
        <w:pStyle w:val="NoSpacing"/>
        <w:jc w:val="both"/>
        <w:rPr>
          <w:rFonts w:ascii="Times New Roman" w:hAnsi="Times New Roman" w:cs="Times New Roman"/>
          <w:lang w:val="es-MX"/>
        </w:rPr>
      </w:pPr>
    </w:p>
    <w:p w:rsidR="00CA3008" w:rsidRPr="0057306D" w:rsidRDefault="00CA3008" w:rsidP="00CA3008">
      <w:pPr>
        <w:pStyle w:val="NoSpacing"/>
        <w:jc w:val="center"/>
        <w:rPr>
          <w:rFonts w:ascii="Times New Roman" w:hAnsi="Times New Roman" w:cs="Times New Roman"/>
          <w:b/>
          <w:lang w:val="es-MX"/>
        </w:rPr>
      </w:pPr>
      <w:r w:rsidRPr="0057306D">
        <w:rPr>
          <w:rFonts w:ascii="Times New Roman" w:hAnsi="Times New Roman" w:cs="Times New Roman"/>
          <w:b/>
          <w:lang w:val="es-MX"/>
        </w:rPr>
        <w:t>Variación entre el grado de ejecución de la cuota financiera entre el 1er y 2do cuatrimestre</w:t>
      </w:r>
      <w:r>
        <w:rPr>
          <w:rFonts w:ascii="Times New Roman" w:hAnsi="Times New Roman" w:cs="Times New Roman"/>
          <w:b/>
          <w:lang w:val="es-MX"/>
        </w:rPr>
        <w:t xml:space="preserve"> 2017</w:t>
      </w:r>
    </w:p>
    <w:p w:rsidR="00CA3008" w:rsidRPr="0057306D" w:rsidRDefault="00CA3008" w:rsidP="00CA3008">
      <w:pPr>
        <w:pStyle w:val="NoSpacing"/>
        <w:jc w:val="center"/>
        <w:rPr>
          <w:rFonts w:ascii="Times New Roman" w:hAnsi="Times New Roman" w:cs="Times New Roman"/>
          <w:sz w:val="18"/>
          <w:lang w:val="es-MX"/>
        </w:rPr>
      </w:pPr>
      <w:r w:rsidRPr="0057306D">
        <w:rPr>
          <w:rFonts w:ascii="Times New Roman" w:hAnsi="Times New Roman" w:cs="Times New Roman"/>
          <w:sz w:val="18"/>
          <w:lang w:val="es-MX"/>
        </w:rPr>
        <w:t>Porcentajes</w:t>
      </w:r>
    </w:p>
    <w:p w:rsidR="00CA3008" w:rsidRDefault="00CA3008" w:rsidP="00CA3008">
      <w:pPr>
        <w:pStyle w:val="NoSpacing"/>
        <w:jc w:val="both"/>
        <w:rPr>
          <w:rFonts w:ascii="Times New Roman" w:hAnsi="Times New Roman" w:cs="Times New Roman"/>
          <w:lang w:val="es-MX"/>
        </w:rPr>
      </w:pPr>
      <w:r>
        <w:rPr>
          <w:noProof/>
          <w:lang w:val="es-ES" w:eastAsia="es-ES"/>
        </w:rPr>
        <w:drawing>
          <wp:inline distT="0" distB="0" distL="0" distR="0" wp14:anchorId="14C6FC4F" wp14:editId="30CA1CEB">
            <wp:extent cx="2581275" cy="24288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A3008" w:rsidRPr="00A34635" w:rsidRDefault="00CA3008" w:rsidP="00CA3008">
      <w:pPr>
        <w:pStyle w:val="NoSpacing"/>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lastRenderedPageBreak/>
        <w:t>En lo que respecta gasto social realizado en los sectores de educación, salud y vivienda se ubica al cierre de agosto de 2017 en Q15,713.4 millones, que representa un grado de ejecución presupuestaria de 52.9%, este nivel, como se observa está por debajo de la ejecución institucional (55.2%) debido a que el sector salud y asistencia social sigue mostrando a la fecha una baja ejecución, no así los otros sectores que muestran porcentajes de ejecución por arriba del 55%.</w:t>
      </w:r>
    </w:p>
    <w:p w:rsidR="00CA3008" w:rsidRDefault="00CA3008" w:rsidP="00CA3008">
      <w:pPr>
        <w:pStyle w:val="NoSpacing"/>
        <w:jc w:val="both"/>
        <w:rPr>
          <w:rFonts w:ascii="Times New Roman" w:hAnsi="Times New Roman" w:cs="Times New Roman"/>
          <w:lang w:val="es-MX"/>
        </w:rPr>
      </w:pP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t xml:space="preserve">Al observar el gasto de los Acuerdos de Paz (gasto social más gasto en seguridad ciudadana y entidades de justicia) el gasto aumenta a Q21,217.6 millones, con un grado de ejecución de 53.9%, lo que resalta es el aporte a las entidades como el Ministerio Público, Organismo Judicial y la Corte de Constitucionalidad que tienen altos grados de ejecución, lo cual evidencia el cumplimiento oportuno en el pago de dichos aportes.  Por su </w:t>
      </w:r>
      <w:r>
        <w:rPr>
          <w:rFonts w:ascii="Times New Roman" w:hAnsi="Times New Roman" w:cs="Times New Roman"/>
          <w:lang w:val="es-MX"/>
        </w:rPr>
        <w:lastRenderedPageBreak/>
        <w:t>parte, el sector de seguridad interna muestra un menor desempeño en el uso de su asignación presupuestaria ya que tiene un grado de ejecución de 48.2%.</w:t>
      </w:r>
    </w:p>
    <w:p w:rsidR="00CA3008" w:rsidRDefault="00CA3008" w:rsidP="00CA3008">
      <w:pPr>
        <w:pStyle w:val="NoSpacing"/>
        <w:jc w:val="both"/>
        <w:rPr>
          <w:rFonts w:ascii="Times New Roman" w:hAnsi="Times New Roman" w:cs="Times New Roman"/>
          <w:lang w:val="es-MX"/>
        </w:rPr>
      </w:pPr>
      <w:r>
        <w:rPr>
          <w:rFonts w:ascii="Times New Roman" w:hAnsi="Times New Roman" w:cs="Times New Roman"/>
          <w:lang w:val="es-MX"/>
        </w:rPr>
        <w:t xml:space="preserve"> </w:t>
      </w:r>
    </w:p>
    <w:p w:rsidR="00CA3008" w:rsidRPr="005531F6" w:rsidRDefault="00CA3008" w:rsidP="00CA3008">
      <w:pPr>
        <w:pStyle w:val="NoSpacing"/>
        <w:jc w:val="center"/>
        <w:rPr>
          <w:rFonts w:ascii="Times New Roman" w:hAnsi="Times New Roman" w:cs="Times New Roman"/>
          <w:b/>
          <w:lang w:val="es-MX"/>
        </w:rPr>
      </w:pPr>
      <w:r w:rsidRPr="005531F6">
        <w:rPr>
          <w:rFonts w:ascii="Times New Roman" w:hAnsi="Times New Roman" w:cs="Times New Roman"/>
          <w:b/>
          <w:lang w:val="es-MX"/>
        </w:rPr>
        <w:t>Gasto de los Acuerdos de Paz</w:t>
      </w:r>
    </w:p>
    <w:p w:rsidR="00CA3008" w:rsidRPr="005531F6" w:rsidRDefault="00CA3008" w:rsidP="00CA3008">
      <w:pPr>
        <w:pStyle w:val="NoSpacing"/>
        <w:jc w:val="center"/>
        <w:rPr>
          <w:rFonts w:ascii="Times New Roman" w:hAnsi="Times New Roman" w:cs="Times New Roman"/>
          <w:b/>
          <w:sz w:val="20"/>
          <w:lang w:val="es-MX"/>
        </w:rPr>
      </w:pPr>
      <w:r w:rsidRPr="005531F6">
        <w:rPr>
          <w:rFonts w:ascii="Times New Roman" w:hAnsi="Times New Roman" w:cs="Times New Roman"/>
          <w:b/>
          <w:sz w:val="20"/>
          <w:lang w:val="es-MX"/>
        </w:rPr>
        <w:t>Presupuesto y Ejecución 2017</w:t>
      </w:r>
    </w:p>
    <w:p w:rsidR="00CA3008" w:rsidRPr="005531F6" w:rsidRDefault="00CA3008" w:rsidP="00CA3008">
      <w:pPr>
        <w:pStyle w:val="NoSpacing"/>
        <w:jc w:val="center"/>
        <w:rPr>
          <w:rFonts w:ascii="Times New Roman" w:hAnsi="Times New Roman" w:cs="Times New Roman"/>
          <w:b/>
          <w:sz w:val="20"/>
          <w:lang w:val="es-MX"/>
        </w:rPr>
      </w:pPr>
      <w:r w:rsidRPr="005531F6">
        <w:rPr>
          <w:rFonts w:ascii="Times New Roman" w:hAnsi="Times New Roman" w:cs="Times New Roman"/>
          <w:b/>
          <w:sz w:val="20"/>
          <w:lang w:val="es-MX"/>
        </w:rPr>
        <w:t>-Millones de quetzales-</w:t>
      </w:r>
    </w:p>
    <w:p w:rsidR="00CA3008" w:rsidRDefault="00CA3008" w:rsidP="00CA3008">
      <w:pPr>
        <w:pStyle w:val="NoSpacing"/>
        <w:jc w:val="both"/>
        <w:rPr>
          <w:noProof/>
          <w:lang w:eastAsia="es-GT"/>
        </w:rPr>
      </w:pPr>
      <w:r w:rsidRPr="00B35CDC">
        <w:rPr>
          <w:noProof/>
          <w:lang w:val="es-ES" w:eastAsia="es-ES"/>
        </w:rPr>
        <w:drawing>
          <wp:inline distT="0" distB="0" distL="0" distR="0" wp14:anchorId="54C44261" wp14:editId="0833695F">
            <wp:extent cx="2581181" cy="170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7775" cy="1709331"/>
                    </a:xfrm>
                    <a:prstGeom prst="rect">
                      <a:avLst/>
                    </a:prstGeom>
                    <a:noFill/>
                    <a:ln>
                      <a:noFill/>
                    </a:ln>
                  </pic:spPr>
                </pic:pic>
              </a:graphicData>
            </a:graphic>
          </wp:inline>
        </w:drawing>
      </w:r>
    </w:p>
    <w:p w:rsidR="00CA3008" w:rsidRDefault="00CA3008" w:rsidP="00CA3008">
      <w:pPr>
        <w:pStyle w:val="NoSpacing"/>
        <w:jc w:val="both"/>
        <w:rPr>
          <w:rFonts w:ascii="Times New Roman" w:hAnsi="Times New Roman" w:cs="Times New Roman"/>
          <w:sz w:val="16"/>
        </w:rPr>
      </w:pPr>
      <w:r>
        <w:rPr>
          <w:rFonts w:ascii="Times New Roman" w:hAnsi="Times New Roman" w:cs="Times New Roman"/>
          <w:lang w:val="es-MX"/>
        </w:rPr>
        <w:t xml:space="preserve"> </w:t>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F27024" w:rsidRPr="009742A8" w:rsidRDefault="00F27024" w:rsidP="00F27024">
      <w:pPr>
        <w:pStyle w:val="NoSpacing"/>
        <w:jc w:val="both"/>
        <w:rPr>
          <w:rFonts w:ascii="Times New Roman" w:hAnsi="Times New Roman" w:cs="Times New Roman"/>
          <w:color w:val="FF0000"/>
          <w:lang w:val="es-MX"/>
        </w:rPr>
      </w:pPr>
    </w:p>
    <w:p w:rsidR="00483632" w:rsidRPr="009742A8" w:rsidRDefault="009C3938" w:rsidP="00F27024">
      <w:pPr>
        <w:pStyle w:val="NoSpacing"/>
        <w:jc w:val="both"/>
        <w:rPr>
          <w:rFonts w:ascii="Times New Roman" w:hAnsi="Times New Roman" w:cs="Times New Roman"/>
          <w:noProof/>
          <w:color w:val="FF0000"/>
          <w:lang w:eastAsia="es-GT"/>
        </w:rPr>
      </w:pPr>
      <w:r w:rsidRPr="009742A8">
        <w:rPr>
          <w:rFonts w:ascii="Times New Roman" w:hAnsi="Times New Roman" w:cs="Times New Roman"/>
          <w:color w:val="FF0000"/>
          <w:lang w:val="es-MX"/>
        </w:rPr>
        <w:t xml:space="preserve"> </w:t>
      </w:r>
    </w:p>
    <w:p w:rsidR="008277A9" w:rsidRPr="009742A8" w:rsidRDefault="008277A9" w:rsidP="00A775C6">
      <w:pPr>
        <w:pStyle w:val="NoSpacing"/>
        <w:rPr>
          <w:rFonts w:ascii="Times New Roman" w:hAnsi="Times New Roman" w:cs="Times New Roman"/>
          <w:color w:val="FF0000"/>
          <w:sz w:val="18"/>
          <w:szCs w:val="18"/>
          <w:lang w:val="es-MX"/>
        </w:rPr>
      </w:pPr>
    </w:p>
    <w:p w:rsidR="00804E1C" w:rsidRPr="009742A8" w:rsidRDefault="00804E1C" w:rsidP="007C0C8C">
      <w:pPr>
        <w:pStyle w:val="NoSpacing"/>
        <w:jc w:val="both"/>
        <w:rPr>
          <w:rFonts w:ascii="Times New Roman" w:hAnsi="Times New Roman" w:cs="Times New Roman"/>
          <w:color w:val="FF0000"/>
          <w:lang w:val="es-MX"/>
        </w:rPr>
        <w:sectPr w:rsidR="00804E1C" w:rsidRPr="009742A8" w:rsidSect="00374D44">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DD23C0" w:rsidRPr="009742A8" w:rsidRDefault="00DD23C0" w:rsidP="00BC7539">
      <w:pPr>
        <w:pStyle w:val="NoSpacing"/>
        <w:jc w:val="both"/>
        <w:rPr>
          <w:rFonts w:ascii="Times New Roman" w:hAnsi="Times New Roman" w:cs="Times New Roman"/>
          <w:color w:val="FF0000"/>
          <w:sz w:val="18"/>
          <w:lang w:val="es-MX"/>
        </w:rPr>
      </w:pPr>
    </w:p>
    <w:p w:rsidR="00E7442E" w:rsidRPr="005D5925" w:rsidRDefault="009C3938"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7442E" w:rsidRPr="005D5925" w:rsidSect="00FA3B81">
          <w:type w:val="continuous"/>
          <w:pgSz w:w="12240" w:h="15840" w:code="1"/>
          <w:pgMar w:top="1418" w:right="1418" w:bottom="1418" w:left="1418" w:header="709" w:footer="709" w:gutter="0"/>
          <w:cols w:space="708"/>
          <w:docGrid w:linePitch="360"/>
        </w:sectPr>
      </w:pPr>
      <w:r w:rsidRPr="005D5925">
        <w:rPr>
          <w:rFonts w:ascii="Times New Roman" w:hAnsi="Times New Roman" w:cs="Times New Roman"/>
          <w:b/>
          <w:lang w:val="es-MX"/>
        </w:rPr>
        <w:t xml:space="preserve">Se </w:t>
      </w:r>
      <w:r w:rsidR="005D5925" w:rsidRPr="005D5925">
        <w:rPr>
          <w:rFonts w:ascii="Times New Roman" w:hAnsi="Times New Roman" w:cs="Times New Roman"/>
          <w:b/>
          <w:lang w:val="es-MX"/>
        </w:rPr>
        <w:t>ha colocado el 75% de la emisión de bonos autorizada por el Congreso</w:t>
      </w:r>
    </w:p>
    <w:p w:rsidR="00F76491" w:rsidRPr="009742A8" w:rsidRDefault="00F76491" w:rsidP="00F76491">
      <w:pPr>
        <w:pStyle w:val="NoSpacing"/>
        <w:rPr>
          <w:rFonts w:ascii="Times New Roman" w:hAnsi="Times New Roman" w:cs="Times New Roman"/>
          <w:b/>
          <w:color w:val="FF0000"/>
          <w:sz w:val="24"/>
          <w:lang w:val="es-MX"/>
        </w:rPr>
      </w:pPr>
    </w:p>
    <w:p w:rsidR="00F76491" w:rsidRPr="009742A8" w:rsidRDefault="00F76491" w:rsidP="00F76491">
      <w:pPr>
        <w:pStyle w:val="NoSpacing"/>
        <w:rPr>
          <w:rFonts w:ascii="Times New Roman" w:hAnsi="Times New Roman" w:cs="Times New Roman"/>
          <w:b/>
          <w:color w:val="FF0000"/>
          <w:lang w:val="es-MX"/>
        </w:rPr>
        <w:sectPr w:rsidR="00F76491" w:rsidRPr="009742A8" w:rsidSect="004E358C">
          <w:type w:val="continuous"/>
          <w:pgSz w:w="12240" w:h="15840"/>
          <w:pgMar w:top="1417" w:right="1701" w:bottom="1417" w:left="1701" w:header="708" w:footer="708" w:gutter="0"/>
          <w:cols w:space="708"/>
          <w:docGrid w:linePitch="360"/>
        </w:sectPr>
      </w:pPr>
    </w:p>
    <w:p w:rsidR="005D5925" w:rsidRDefault="005D5925" w:rsidP="005D5925">
      <w:pPr>
        <w:pStyle w:val="NoSpacing"/>
        <w:jc w:val="both"/>
        <w:rPr>
          <w:rFonts w:ascii="Times New Roman" w:hAnsi="Times New Roman" w:cs="Times New Roman"/>
        </w:rPr>
      </w:pPr>
      <w:r>
        <w:rPr>
          <w:rFonts w:ascii="Times New Roman" w:hAnsi="Times New Roman" w:cs="Times New Roman"/>
        </w:rPr>
        <w:lastRenderedPageBreak/>
        <w:t xml:space="preserve">En cuanto a los recursos por endeudamiento que se han captado a agosto de 2017, es importante señalar que, en concepto de préstamos externos, el financiamiento neto sigue siendo negativo en Q1,800.9 millones, debido a que únicamente se han recibido desembolsos por Q186.4 millones, de un total presupuestado de Q2,637.7 millones, mientras que los pagos por amortizaciones de capital realizados ascienden a Q1,987.3 millones. </w:t>
      </w:r>
    </w:p>
    <w:p w:rsidR="005D5925" w:rsidRDefault="005D5925" w:rsidP="005D5925">
      <w:pPr>
        <w:pStyle w:val="NoSpacing"/>
        <w:jc w:val="both"/>
        <w:rPr>
          <w:rFonts w:ascii="Times New Roman" w:hAnsi="Times New Roman" w:cs="Times New Roman"/>
        </w:rPr>
      </w:pPr>
    </w:p>
    <w:p w:rsidR="005D5925" w:rsidRDefault="005D5925" w:rsidP="005D5925">
      <w:pPr>
        <w:pStyle w:val="NoSpacing"/>
        <w:jc w:val="both"/>
        <w:rPr>
          <w:rFonts w:ascii="Times New Roman" w:hAnsi="Times New Roman" w:cs="Times New Roman"/>
        </w:rPr>
      </w:pPr>
      <w:r>
        <w:rPr>
          <w:rFonts w:ascii="Times New Roman" w:hAnsi="Times New Roman" w:cs="Times New Roman"/>
        </w:rPr>
        <w:t xml:space="preserve">En lo que respecta a la emisión y colocación de Bonos del Tesoro, de los eventos realizados a la fecha en el mercado nacional e internacional, se han adjudicado un total de Q9,840.2 millones (incluye roll </w:t>
      </w:r>
      <w:proofErr w:type="spellStart"/>
      <w:r>
        <w:rPr>
          <w:rFonts w:ascii="Times New Roman" w:hAnsi="Times New Roman" w:cs="Times New Roman"/>
        </w:rPr>
        <w:t>over</w:t>
      </w:r>
      <w:proofErr w:type="spellEnd"/>
      <w:r>
        <w:rPr>
          <w:rFonts w:ascii="Times New Roman" w:hAnsi="Times New Roman" w:cs="Times New Roman"/>
        </w:rPr>
        <w:t xml:space="preserve"> y la colocación de un Eurobono por US$500 millones), dichas colocaciones se han adjudicado en condiciones financieras favorables. </w:t>
      </w:r>
    </w:p>
    <w:p w:rsidR="005D5925" w:rsidRDefault="005D5925" w:rsidP="005D5925">
      <w:pPr>
        <w:pStyle w:val="NoSpacing"/>
        <w:jc w:val="both"/>
        <w:rPr>
          <w:rFonts w:ascii="Times New Roman" w:hAnsi="Times New Roman" w:cs="Times New Roman"/>
        </w:rPr>
      </w:pPr>
    </w:p>
    <w:p w:rsidR="005D5925" w:rsidRDefault="005D5925" w:rsidP="005D5925">
      <w:pPr>
        <w:pStyle w:val="NoSpacing"/>
        <w:jc w:val="both"/>
        <w:rPr>
          <w:rFonts w:ascii="Times New Roman" w:hAnsi="Times New Roman" w:cs="Times New Roman"/>
        </w:rPr>
      </w:pPr>
      <w:r>
        <w:rPr>
          <w:rFonts w:ascii="Times New Roman" w:hAnsi="Times New Roman" w:cs="Times New Roman"/>
        </w:rPr>
        <w:lastRenderedPageBreak/>
        <w:t>Derivado de lo anterior, queda pendiente de colocar en lo que resta del año, Q3,310.1 millones, conforme lo establece el cupo autorizado por el Congreso de la República.</w:t>
      </w:r>
    </w:p>
    <w:p w:rsidR="005D5925" w:rsidRDefault="005D5925" w:rsidP="005D5925">
      <w:pPr>
        <w:pStyle w:val="NoSpacing"/>
        <w:jc w:val="both"/>
        <w:rPr>
          <w:rFonts w:ascii="Times New Roman" w:hAnsi="Times New Roman" w:cs="Times New Roman"/>
        </w:rPr>
      </w:pPr>
    </w:p>
    <w:p w:rsidR="005D5925" w:rsidRPr="002D4740" w:rsidRDefault="005D5925" w:rsidP="005D5925">
      <w:pPr>
        <w:pStyle w:val="NoSpacing"/>
        <w:jc w:val="center"/>
        <w:rPr>
          <w:rFonts w:ascii="Times New Roman" w:hAnsi="Times New Roman" w:cs="Times New Roman"/>
          <w:b/>
        </w:rPr>
      </w:pPr>
      <w:r>
        <w:rPr>
          <w:rFonts w:ascii="Times New Roman" w:hAnsi="Times New Roman" w:cs="Times New Roman"/>
        </w:rPr>
        <w:t xml:space="preserve">  </w:t>
      </w:r>
      <w:r w:rsidRPr="002D4740">
        <w:rPr>
          <w:rFonts w:ascii="Times New Roman" w:hAnsi="Times New Roman" w:cs="Times New Roman"/>
          <w:b/>
        </w:rPr>
        <w:t>Colocación de Bonos del Tesoro</w:t>
      </w:r>
    </w:p>
    <w:p w:rsidR="005D5925" w:rsidRPr="002D4740" w:rsidRDefault="005D5925" w:rsidP="005D5925">
      <w:pPr>
        <w:pStyle w:val="NoSpacing"/>
        <w:jc w:val="center"/>
        <w:rPr>
          <w:rFonts w:ascii="Times New Roman" w:hAnsi="Times New Roman" w:cs="Times New Roman"/>
          <w:sz w:val="18"/>
        </w:rPr>
      </w:pPr>
      <w:r w:rsidRPr="002D4740">
        <w:rPr>
          <w:rFonts w:ascii="Times New Roman" w:hAnsi="Times New Roman" w:cs="Times New Roman"/>
          <w:sz w:val="18"/>
        </w:rPr>
        <w:t>Al 3</w:t>
      </w:r>
      <w:r>
        <w:rPr>
          <w:rFonts w:ascii="Times New Roman" w:hAnsi="Times New Roman" w:cs="Times New Roman"/>
          <w:sz w:val="18"/>
        </w:rPr>
        <w:t>1</w:t>
      </w:r>
      <w:r w:rsidRPr="002D4740">
        <w:rPr>
          <w:rFonts w:ascii="Times New Roman" w:hAnsi="Times New Roman" w:cs="Times New Roman"/>
          <w:sz w:val="18"/>
        </w:rPr>
        <w:t xml:space="preserve"> de </w:t>
      </w:r>
      <w:r>
        <w:rPr>
          <w:rFonts w:ascii="Times New Roman" w:hAnsi="Times New Roman" w:cs="Times New Roman"/>
          <w:sz w:val="18"/>
        </w:rPr>
        <w:t>agosto</w:t>
      </w:r>
      <w:r w:rsidRPr="002D4740">
        <w:rPr>
          <w:rFonts w:ascii="Times New Roman" w:hAnsi="Times New Roman" w:cs="Times New Roman"/>
          <w:sz w:val="18"/>
        </w:rPr>
        <w:t xml:space="preserve"> de 2017</w:t>
      </w:r>
    </w:p>
    <w:p w:rsidR="005D5925" w:rsidRPr="002D4740" w:rsidRDefault="005D5925" w:rsidP="005D5925">
      <w:pPr>
        <w:pStyle w:val="NoSpacing"/>
        <w:jc w:val="center"/>
        <w:rPr>
          <w:rFonts w:ascii="Times New Roman" w:hAnsi="Times New Roman" w:cs="Times New Roman"/>
          <w:sz w:val="18"/>
        </w:rPr>
      </w:pPr>
      <w:r w:rsidRPr="002D4740">
        <w:rPr>
          <w:rFonts w:ascii="Times New Roman" w:hAnsi="Times New Roman" w:cs="Times New Roman"/>
          <w:sz w:val="18"/>
        </w:rPr>
        <w:t>Millones de quetzales y porcentajes</w:t>
      </w:r>
    </w:p>
    <w:p w:rsidR="005D5925" w:rsidRDefault="005D5925" w:rsidP="005D5925">
      <w:pPr>
        <w:pStyle w:val="NoSpacing"/>
        <w:jc w:val="both"/>
        <w:rPr>
          <w:rFonts w:ascii="Times New Roman" w:hAnsi="Times New Roman" w:cs="Times New Roman"/>
        </w:rPr>
      </w:pPr>
      <w:r>
        <w:rPr>
          <w:rFonts w:ascii="Times New Roman" w:hAnsi="Times New Roman" w:cs="Times New Roman"/>
          <w:noProof/>
          <w:lang w:val="es-ES" w:eastAsia="es-ES"/>
        </w:rPr>
        <w:drawing>
          <wp:inline distT="0" distB="0" distL="0" distR="0" wp14:anchorId="68C0FF4F" wp14:editId="4F0F5DA7">
            <wp:extent cx="2970530" cy="181927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96430" cy="1835137"/>
                    </a:xfrm>
                    <a:prstGeom prst="rect">
                      <a:avLst/>
                    </a:prstGeom>
                    <a:noFill/>
                  </pic:spPr>
                </pic:pic>
              </a:graphicData>
            </a:graphic>
          </wp:inline>
        </w:drawing>
      </w:r>
    </w:p>
    <w:p w:rsidR="009C3938" w:rsidRPr="004036A3" w:rsidRDefault="005D5925" w:rsidP="009C3938">
      <w:pPr>
        <w:pStyle w:val="NoSpacing"/>
        <w:jc w:val="both"/>
        <w:rPr>
          <w:rFonts w:ascii="Times New Roman" w:hAnsi="Times New Roman" w:cs="Times New Roman"/>
        </w:rPr>
        <w:sectPr w:rsidR="009C3938" w:rsidRPr="004036A3" w:rsidSect="009C3938">
          <w:type w:val="continuous"/>
          <w:pgSz w:w="12240" w:h="15840" w:code="1"/>
          <w:pgMar w:top="1418" w:right="1418" w:bottom="1418" w:left="1701" w:header="709" w:footer="709" w:gutter="0"/>
          <w:cols w:num="2" w:space="708"/>
          <w:docGrid w:linePitch="360"/>
        </w:sect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9C3938" w:rsidRPr="004036A3" w:rsidRDefault="009C3938" w:rsidP="009C3938">
      <w:pPr>
        <w:pStyle w:val="NoSpacing"/>
        <w:jc w:val="both"/>
        <w:rPr>
          <w:rFonts w:ascii="Times New Roman" w:hAnsi="Times New Roman" w:cs="Times New Roman"/>
          <w:color w:val="FF0000"/>
          <w:sz w:val="12"/>
        </w:rPr>
      </w:pPr>
    </w:p>
    <w:p w:rsidR="00494D1D" w:rsidRPr="005D5925"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5D5925" w:rsidSect="00FA3B81">
          <w:headerReference w:type="default" r:id="rId28"/>
          <w:footerReference w:type="default" r:id="rId29"/>
          <w:type w:val="continuous"/>
          <w:pgSz w:w="12240" w:h="15840" w:code="1"/>
          <w:pgMar w:top="1418" w:right="1418" w:bottom="1418" w:left="1418" w:header="709" w:footer="709" w:gutter="0"/>
          <w:cols w:space="708"/>
          <w:docGrid w:linePitch="360"/>
        </w:sectPr>
      </w:pPr>
      <w:r w:rsidRPr="005D5925">
        <w:rPr>
          <w:rFonts w:ascii="Times New Roman" w:hAnsi="Times New Roman" w:cs="Times New Roman"/>
          <w:b/>
          <w:lang w:val="es-MX"/>
        </w:rPr>
        <w:lastRenderedPageBreak/>
        <w:t>Ambientes macroeconómicos (externo e interno)</w:t>
      </w:r>
    </w:p>
    <w:p w:rsidR="00494D1D" w:rsidRPr="009742A8" w:rsidRDefault="00494D1D" w:rsidP="00494D1D">
      <w:pPr>
        <w:pStyle w:val="NoSpacing"/>
        <w:rPr>
          <w:rFonts w:ascii="Times New Roman" w:hAnsi="Times New Roman" w:cs="Times New Roman"/>
          <w:b/>
          <w:color w:val="FF0000"/>
          <w:sz w:val="18"/>
          <w:lang w:val="es-MX"/>
        </w:rPr>
      </w:pPr>
    </w:p>
    <w:p w:rsidR="00494D1D" w:rsidRPr="009742A8" w:rsidRDefault="00494D1D" w:rsidP="00494D1D">
      <w:pPr>
        <w:pStyle w:val="NoSpacing"/>
        <w:rPr>
          <w:rFonts w:ascii="Times New Roman" w:hAnsi="Times New Roman" w:cs="Times New Roman"/>
          <w:b/>
          <w:color w:val="FF0000"/>
          <w:lang w:val="es-MX"/>
        </w:rPr>
        <w:sectPr w:rsidR="00494D1D" w:rsidRPr="009742A8" w:rsidSect="004E358C">
          <w:type w:val="continuous"/>
          <w:pgSz w:w="12240" w:h="15840"/>
          <w:pgMar w:top="1417" w:right="1701" w:bottom="1417" w:left="1701" w:header="708" w:footer="708" w:gutter="0"/>
          <w:cols w:space="708"/>
          <w:docGrid w:linePitch="360"/>
        </w:sectPr>
      </w:pPr>
    </w:p>
    <w:p w:rsidR="00C922D7" w:rsidRPr="004036A3" w:rsidRDefault="00C922D7" w:rsidP="005755E9">
      <w:pPr>
        <w:pStyle w:val="NoSpacing"/>
        <w:jc w:val="both"/>
        <w:rPr>
          <w:rFonts w:ascii="Times New Roman" w:hAnsi="Times New Roman" w:cs="Times New Roman"/>
          <w:lang w:val="es-MX"/>
        </w:rPr>
      </w:pPr>
      <w:r w:rsidRPr="004036A3">
        <w:rPr>
          <w:rFonts w:ascii="Times New Roman" w:hAnsi="Times New Roman" w:cs="Times New Roman"/>
          <w:lang w:val="es-MX"/>
        </w:rPr>
        <w:lastRenderedPageBreak/>
        <w:t xml:space="preserve">En el entorno externo, este mes </w:t>
      </w:r>
      <w:r w:rsidR="005755E9" w:rsidRPr="004036A3">
        <w:rPr>
          <w:rFonts w:ascii="Times New Roman" w:hAnsi="Times New Roman" w:cs="Times New Roman"/>
          <w:lang w:val="es-MX"/>
        </w:rPr>
        <w:t xml:space="preserve">el informe llamado Libro Beige de la Fed, mostró que la economía de Estados Unidos crece a un ritmo modesto y moderado. Según el informe elaborado por los doce bancos estatales estadounidenses sobre las condiciones económicas actuales, el gasto de los consumidores aumentó en la mayoría de los distritos, con ganancias registradas en las ventas al por menor y el turismo, aunque los resultados fueron mixtos en las ventas de vehículos; el gasto de capital también aumentó en varios distritos y la actividad manufacturera creció modestamente. </w:t>
      </w:r>
      <w:r w:rsidR="004036A3" w:rsidRPr="004036A3">
        <w:rPr>
          <w:rFonts w:ascii="Times New Roman" w:hAnsi="Times New Roman" w:cs="Times New Roman"/>
          <w:lang w:val="es-MX"/>
        </w:rPr>
        <w:t xml:space="preserve">  </w:t>
      </w:r>
      <w:r w:rsidR="005755E9" w:rsidRPr="004036A3">
        <w:rPr>
          <w:rFonts w:ascii="Times New Roman" w:hAnsi="Times New Roman" w:cs="Times New Roman"/>
          <w:lang w:val="es-MX"/>
        </w:rPr>
        <w:t xml:space="preserve">En lo que concierne al crecimiento del empleo, </w:t>
      </w:r>
      <w:r w:rsidR="004036A3" w:rsidRPr="004036A3">
        <w:rPr>
          <w:rFonts w:ascii="Times New Roman" w:hAnsi="Times New Roman" w:cs="Times New Roman"/>
          <w:lang w:val="es-MX"/>
        </w:rPr>
        <w:t>el informe</w:t>
      </w:r>
      <w:r w:rsidR="005755E9" w:rsidRPr="004036A3">
        <w:rPr>
          <w:rFonts w:ascii="Times New Roman" w:hAnsi="Times New Roman" w:cs="Times New Roman"/>
          <w:lang w:val="es-MX"/>
        </w:rPr>
        <w:t xml:space="preserve"> advierte de una ligera desaceleración y resalta que se </w:t>
      </w:r>
      <w:r w:rsidR="004036A3" w:rsidRPr="004036A3">
        <w:rPr>
          <w:rFonts w:ascii="Times New Roman" w:hAnsi="Times New Roman" w:cs="Times New Roman"/>
          <w:lang w:val="es-MX"/>
        </w:rPr>
        <w:t>existen indicios</w:t>
      </w:r>
      <w:r w:rsidR="005755E9" w:rsidRPr="004036A3">
        <w:rPr>
          <w:rFonts w:ascii="Times New Roman" w:hAnsi="Times New Roman" w:cs="Times New Roman"/>
          <w:lang w:val="es-MX"/>
        </w:rPr>
        <w:t xml:space="preserve"> de escasez de trabajadores en numerosas industrias, especialmente en la fabricación y la construcción.</w:t>
      </w:r>
      <w:r w:rsidR="004036A3" w:rsidRPr="004036A3">
        <w:rPr>
          <w:rFonts w:ascii="Times New Roman" w:hAnsi="Times New Roman" w:cs="Times New Roman"/>
          <w:lang w:val="es-MX"/>
        </w:rPr>
        <w:t xml:space="preserve"> </w:t>
      </w:r>
      <w:r w:rsidR="00762FE3" w:rsidRPr="004036A3">
        <w:rPr>
          <w:rFonts w:ascii="Times New Roman" w:hAnsi="Times New Roman" w:cs="Times New Roman"/>
          <w:lang w:val="es-MX"/>
        </w:rPr>
        <w:t xml:space="preserve"> Muchos de los 12 distritos reportaron que las empresas tenían dificultades para llenar empleos abiertos en todos los niveles de especialidad, pero que esto no se traducía en un amplio impulso a los salarios.</w:t>
      </w:r>
    </w:p>
    <w:p w:rsidR="004A3D32" w:rsidRPr="004036A3" w:rsidRDefault="004A3D32" w:rsidP="00C922D7">
      <w:pPr>
        <w:pStyle w:val="NoSpacing"/>
        <w:jc w:val="both"/>
        <w:rPr>
          <w:rFonts w:ascii="Times New Roman" w:hAnsi="Times New Roman" w:cs="Times New Roman"/>
          <w:lang w:val="es-MX"/>
        </w:rPr>
      </w:pPr>
    </w:p>
    <w:p w:rsidR="00C922D7" w:rsidRPr="004036A3" w:rsidRDefault="00C922D7" w:rsidP="00C922D7">
      <w:pPr>
        <w:pStyle w:val="NoSpacing"/>
        <w:jc w:val="both"/>
        <w:rPr>
          <w:rFonts w:ascii="Times New Roman" w:hAnsi="Times New Roman" w:cs="Times New Roman"/>
          <w:lang w:val="es-MX"/>
        </w:rPr>
      </w:pPr>
      <w:r w:rsidRPr="004036A3">
        <w:rPr>
          <w:rFonts w:ascii="Times New Roman" w:hAnsi="Times New Roman" w:cs="Times New Roman"/>
          <w:lang w:val="es-MX"/>
        </w:rPr>
        <w:t xml:space="preserve">El Departamento de Comercio Estadounidense en su </w:t>
      </w:r>
      <w:r w:rsidR="00C9002C" w:rsidRPr="004036A3">
        <w:rPr>
          <w:rFonts w:ascii="Times New Roman" w:hAnsi="Times New Roman" w:cs="Times New Roman"/>
          <w:lang w:val="es-MX"/>
        </w:rPr>
        <w:t>segunda</w:t>
      </w:r>
      <w:r w:rsidRPr="004036A3">
        <w:rPr>
          <w:rFonts w:ascii="Times New Roman" w:hAnsi="Times New Roman" w:cs="Times New Roman"/>
          <w:lang w:val="es-MX"/>
        </w:rPr>
        <w:t xml:space="preserve"> estimación del PIB correspondiente al </w:t>
      </w:r>
      <w:r w:rsidR="00C9002C" w:rsidRPr="004036A3">
        <w:rPr>
          <w:rFonts w:ascii="Times New Roman" w:hAnsi="Times New Roman" w:cs="Times New Roman"/>
          <w:lang w:val="es-MX"/>
        </w:rPr>
        <w:t>segundo</w:t>
      </w:r>
      <w:r w:rsidRPr="004036A3">
        <w:rPr>
          <w:rFonts w:ascii="Times New Roman" w:hAnsi="Times New Roman" w:cs="Times New Roman"/>
          <w:lang w:val="es-MX"/>
        </w:rPr>
        <w:t xml:space="preserve"> trimestre</w:t>
      </w:r>
      <w:r w:rsidR="00C9002C" w:rsidRPr="004036A3">
        <w:rPr>
          <w:rFonts w:ascii="Times New Roman" w:hAnsi="Times New Roman" w:cs="Times New Roman"/>
          <w:lang w:val="es-MX"/>
        </w:rPr>
        <w:t xml:space="preserve"> de 2017</w:t>
      </w:r>
      <w:r w:rsidRPr="004036A3">
        <w:rPr>
          <w:rFonts w:ascii="Times New Roman" w:hAnsi="Times New Roman" w:cs="Times New Roman"/>
          <w:lang w:val="es-MX"/>
        </w:rPr>
        <w:t>, indicó que se aceleró más de lo previsto</w:t>
      </w:r>
      <w:r w:rsidR="00C9002C" w:rsidRPr="004036A3">
        <w:rPr>
          <w:rFonts w:ascii="Times New Roman" w:hAnsi="Times New Roman" w:cs="Times New Roman"/>
          <w:lang w:val="es-MX"/>
        </w:rPr>
        <w:t>, haciéndolo a su mayor ritmo en más de dos años</w:t>
      </w:r>
      <w:r w:rsidRPr="004036A3">
        <w:rPr>
          <w:rFonts w:ascii="Times New Roman" w:hAnsi="Times New Roman" w:cs="Times New Roman"/>
          <w:lang w:val="es-MX"/>
        </w:rPr>
        <w:t>; la estim</w:t>
      </w:r>
      <w:r w:rsidR="00C9002C" w:rsidRPr="004036A3">
        <w:rPr>
          <w:rFonts w:ascii="Times New Roman" w:hAnsi="Times New Roman" w:cs="Times New Roman"/>
          <w:lang w:val="es-MX"/>
        </w:rPr>
        <w:t>ación indica una tasa anual de 3.0</w:t>
      </w:r>
      <w:r w:rsidRPr="004036A3">
        <w:rPr>
          <w:rFonts w:ascii="Times New Roman" w:hAnsi="Times New Roman" w:cs="Times New Roman"/>
          <w:lang w:val="es-MX"/>
        </w:rPr>
        <w:t>%,</w:t>
      </w:r>
      <w:r w:rsidR="00C9002C" w:rsidRPr="004036A3">
        <w:rPr>
          <w:rFonts w:ascii="Times New Roman" w:hAnsi="Times New Roman" w:cs="Times New Roman"/>
          <w:lang w:val="es-MX"/>
        </w:rPr>
        <w:t xml:space="preserve"> según datos corregidos de variaciones estacionales, contra un aumento de 1.2% en el primer trimestre.</w:t>
      </w:r>
    </w:p>
    <w:p w:rsidR="00986297" w:rsidRPr="004036A3" w:rsidRDefault="00986297" w:rsidP="00C922D7">
      <w:pPr>
        <w:pStyle w:val="NoSpacing"/>
        <w:jc w:val="both"/>
        <w:rPr>
          <w:rFonts w:ascii="Times New Roman" w:hAnsi="Times New Roman" w:cs="Times New Roman"/>
          <w:lang w:val="es-MX"/>
        </w:rPr>
      </w:pPr>
    </w:p>
    <w:p w:rsidR="00C922D7" w:rsidRPr="004036A3" w:rsidRDefault="00C922D7" w:rsidP="00C922D7">
      <w:pPr>
        <w:pStyle w:val="NoSpacing"/>
        <w:jc w:val="center"/>
        <w:rPr>
          <w:rFonts w:ascii="Times New Roman" w:hAnsi="Times New Roman" w:cs="Times New Roman"/>
          <w:b/>
          <w:lang w:val="es-MX"/>
        </w:rPr>
      </w:pPr>
      <w:r w:rsidRPr="004036A3">
        <w:rPr>
          <w:rFonts w:ascii="Times New Roman" w:hAnsi="Times New Roman" w:cs="Times New Roman"/>
          <w:b/>
          <w:lang w:val="es-MX"/>
        </w:rPr>
        <w:t>Producto Interno Bruto estadounidense</w:t>
      </w:r>
    </w:p>
    <w:p w:rsidR="00C922D7" w:rsidRPr="004036A3" w:rsidRDefault="004036A3" w:rsidP="00C922D7">
      <w:pPr>
        <w:pStyle w:val="NoSpacing"/>
        <w:jc w:val="center"/>
        <w:rPr>
          <w:rFonts w:ascii="Times New Roman" w:hAnsi="Times New Roman" w:cs="Times New Roman"/>
          <w:sz w:val="18"/>
          <w:lang w:val="es-MX"/>
        </w:rPr>
      </w:pPr>
      <w:r w:rsidRPr="009742A8">
        <w:rPr>
          <w:noProof/>
          <w:color w:val="FF0000"/>
          <w:lang w:val="es-ES" w:eastAsia="es-ES"/>
        </w:rPr>
        <w:drawing>
          <wp:anchor distT="0" distB="0" distL="114300" distR="114300" simplePos="0" relativeHeight="251659264" behindDoc="0" locked="0" layoutInCell="1" allowOverlap="1" wp14:anchorId="0319C23C" wp14:editId="0E3D1B17">
            <wp:simplePos x="0" y="0"/>
            <wp:positionH relativeFrom="margin">
              <wp:align>left</wp:align>
            </wp:positionH>
            <wp:positionV relativeFrom="paragraph">
              <wp:posOffset>130175</wp:posOffset>
            </wp:positionV>
            <wp:extent cx="2670810" cy="142875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C922D7" w:rsidRPr="004036A3">
        <w:rPr>
          <w:rFonts w:ascii="Times New Roman" w:hAnsi="Times New Roman" w:cs="Times New Roman"/>
          <w:sz w:val="18"/>
          <w:lang w:val="es-MX"/>
        </w:rPr>
        <w:t>Variación interanual</w:t>
      </w:r>
    </w:p>
    <w:p w:rsidR="00C922D7" w:rsidRPr="009742A8" w:rsidRDefault="00C922D7"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C2800" w:rsidRPr="009742A8" w:rsidRDefault="00CC2800" w:rsidP="00C922D7">
      <w:pPr>
        <w:pStyle w:val="NoSpacing"/>
        <w:jc w:val="both"/>
        <w:rPr>
          <w:rFonts w:ascii="Times New Roman" w:hAnsi="Times New Roman" w:cs="Times New Roman"/>
          <w:color w:val="FF0000"/>
          <w:lang w:val="es-MX"/>
        </w:rPr>
      </w:pPr>
    </w:p>
    <w:p w:rsidR="00C922D7" w:rsidRPr="009742A8" w:rsidRDefault="00C922D7" w:rsidP="00C922D7">
      <w:pPr>
        <w:pStyle w:val="NoSpacing"/>
        <w:jc w:val="both"/>
        <w:rPr>
          <w:rFonts w:ascii="Times New Roman" w:hAnsi="Times New Roman" w:cs="Times New Roman"/>
          <w:color w:val="FF0000"/>
          <w:sz w:val="16"/>
          <w:lang w:val="es-MX"/>
        </w:rPr>
      </w:pPr>
      <w:r w:rsidRPr="009742A8">
        <w:rPr>
          <w:rFonts w:ascii="Times New Roman" w:hAnsi="Times New Roman" w:cs="Times New Roman"/>
          <w:color w:val="FF0000"/>
          <w:sz w:val="16"/>
          <w:lang w:val="es-MX"/>
        </w:rPr>
        <w:t>Fuente: Investing.com</w:t>
      </w:r>
    </w:p>
    <w:p w:rsidR="00C922D7" w:rsidRPr="004036A3" w:rsidRDefault="004A3D32" w:rsidP="00C922D7">
      <w:pPr>
        <w:pStyle w:val="NoSpacing"/>
        <w:jc w:val="both"/>
        <w:rPr>
          <w:rFonts w:ascii="Times New Roman" w:hAnsi="Times New Roman" w:cs="Times New Roman"/>
          <w:lang w:val="es-MX"/>
        </w:rPr>
      </w:pPr>
      <w:r w:rsidRPr="004036A3">
        <w:rPr>
          <w:rFonts w:ascii="Times New Roman" w:hAnsi="Times New Roman" w:cs="Times New Roman"/>
          <w:lang w:val="es-MX"/>
        </w:rPr>
        <w:lastRenderedPageBreak/>
        <w:t>El crecimiento del empleo en Estados Unidos se desaceleró más de lo previsto en agosto, la tasa de desempleo subió una décima porcentual, a 4.4%;</w:t>
      </w:r>
      <w:r w:rsidRPr="004036A3">
        <w:t xml:space="preserve"> </w:t>
      </w:r>
      <w:r w:rsidRPr="004036A3">
        <w:rPr>
          <w:rFonts w:ascii="Times New Roman" w:hAnsi="Times New Roman" w:cs="Times New Roman"/>
          <w:lang w:val="es-MX"/>
        </w:rPr>
        <w:t>la moderación del crecimiento del empleo en agosto probablemente refleja una anomalía estacional, así como también una escasez de trabajadores calificados, pues llevó a la expansión de las nóminas debajo del promedio mensual de 176,000. El Departamento del Trabajo afirmó que el huracán ‘Harvey’, que provocó estragos en partes del estado de Texas, no tuvo un efecto discernible en las nóminas debido a que el desastre ocurrió después del período del sondeo para el reporte de empleo de agosto</w:t>
      </w:r>
    </w:p>
    <w:p w:rsidR="004A3D32" w:rsidRPr="004036A3" w:rsidRDefault="004A3D32" w:rsidP="00C922D7">
      <w:pPr>
        <w:pStyle w:val="NoSpacing"/>
        <w:jc w:val="both"/>
        <w:rPr>
          <w:rFonts w:ascii="Times New Roman" w:hAnsi="Times New Roman" w:cs="Times New Roman"/>
          <w:lang w:val="es-MX"/>
        </w:rPr>
      </w:pPr>
    </w:p>
    <w:p w:rsidR="00C922D7" w:rsidRPr="004036A3" w:rsidRDefault="00C922D7" w:rsidP="00C922D7">
      <w:pPr>
        <w:pStyle w:val="NoSpacing"/>
        <w:jc w:val="both"/>
        <w:rPr>
          <w:rFonts w:ascii="Times New Roman" w:hAnsi="Times New Roman" w:cs="Times New Roman"/>
          <w:lang w:val="es-MX"/>
        </w:rPr>
      </w:pPr>
      <w:r w:rsidRPr="004036A3">
        <w:rPr>
          <w:rFonts w:ascii="Times New Roman" w:hAnsi="Times New Roman" w:cs="Times New Roman"/>
          <w:lang w:val="es-MX"/>
        </w:rPr>
        <w:t xml:space="preserve">En la zona euro, los principales indicadores económicos denotan </w:t>
      </w:r>
      <w:r w:rsidR="001735EE" w:rsidRPr="004036A3">
        <w:rPr>
          <w:rFonts w:ascii="Times New Roman" w:hAnsi="Times New Roman" w:cs="Times New Roman"/>
          <w:lang w:val="es-MX"/>
        </w:rPr>
        <w:t>estabilidad</w:t>
      </w:r>
      <w:r w:rsidR="00BD4961" w:rsidRPr="004036A3">
        <w:rPr>
          <w:rFonts w:ascii="Times New Roman" w:hAnsi="Times New Roman" w:cs="Times New Roman"/>
          <w:lang w:val="es-MX"/>
        </w:rPr>
        <w:t>,</w:t>
      </w:r>
      <w:r w:rsidRPr="004036A3">
        <w:rPr>
          <w:rFonts w:ascii="Times New Roman" w:hAnsi="Times New Roman" w:cs="Times New Roman"/>
          <w:lang w:val="es-MX"/>
        </w:rPr>
        <w:t xml:space="preserve"> la confianza de los consumidores mejoró 0.2 </w:t>
      </w:r>
      <w:r w:rsidR="00BD4961" w:rsidRPr="004036A3">
        <w:rPr>
          <w:rFonts w:ascii="Times New Roman" w:hAnsi="Times New Roman" w:cs="Times New Roman"/>
          <w:lang w:val="es-MX"/>
        </w:rPr>
        <w:t>puntos en agosto, situándose en</w:t>
      </w:r>
      <w:r w:rsidRPr="004036A3">
        <w:rPr>
          <w:rFonts w:ascii="Times New Roman" w:hAnsi="Times New Roman" w:cs="Times New Roman"/>
          <w:lang w:val="es-MX"/>
        </w:rPr>
        <w:t xml:space="preserve"> -1.5 puntos desde los -1.7 de</w:t>
      </w:r>
      <w:r w:rsidR="00BD4961" w:rsidRPr="004036A3">
        <w:rPr>
          <w:rFonts w:ascii="Times New Roman" w:hAnsi="Times New Roman" w:cs="Times New Roman"/>
          <w:lang w:val="es-MX"/>
        </w:rPr>
        <w:t xml:space="preserve"> julio</w:t>
      </w:r>
      <w:r w:rsidRPr="004036A3">
        <w:rPr>
          <w:rFonts w:ascii="Times New Roman" w:hAnsi="Times New Roman" w:cs="Times New Roman"/>
          <w:lang w:val="es-MX"/>
        </w:rPr>
        <w:t xml:space="preserve">, según el dato adelantado publicado </w:t>
      </w:r>
      <w:r w:rsidR="001735EE" w:rsidRPr="004036A3">
        <w:rPr>
          <w:rFonts w:ascii="Times New Roman" w:hAnsi="Times New Roman" w:cs="Times New Roman"/>
          <w:lang w:val="es-MX"/>
        </w:rPr>
        <w:t xml:space="preserve">por la Comisión Europea; </w:t>
      </w:r>
      <w:r w:rsidRPr="004036A3">
        <w:rPr>
          <w:rFonts w:ascii="Times New Roman" w:hAnsi="Times New Roman" w:cs="Times New Roman"/>
          <w:lang w:val="es-MX"/>
        </w:rPr>
        <w:t>en el conjunto de la Unión Europea, el indicador adelantado de confianza de los consumidores se ha mantenido estable en -2.3 puntos.  Por su parte, el Índice PMI Compuesto de la actividad total de la zona euro se situó en 55.8, una décima por encima del dato del mes precedente; así, el índice del sector manufacturero avanzó hasta el 57.4 en agosto, frente al 56.5 de julio y el de producción del mismo sector, avanzó hasta el 58.1 frente al 56.5 anterior, influenciado principalmente por aumentos en la producción y en la generación de nuevos pedidos.  En caso contrario, el sector servicios mostró su peor desempeño de los últimos siete meses al retroceder hasta el 54.9 en agosto, desde el 55.4 de julio.</w:t>
      </w:r>
    </w:p>
    <w:p w:rsidR="004A3D32" w:rsidRPr="004036A3" w:rsidRDefault="004A3D32" w:rsidP="00C922D7">
      <w:pPr>
        <w:pStyle w:val="NoSpacing"/>
        <w:jc w:val="both"/>
        <w:rPr>
          <w:rFonts w:ascii="Times New Roman" w:hAnsi="Times New Roman" w:cs="Times New Roman"/>
          <w:lang w:val="es-MX"/>
        </w:rPr>
      </w:pPr>
    </w:p>
    <w:p w:rsidR="004A3D32" w:rsidRPr="004036A3" w:rsidRDefault="004A3D32" w:rsidP="004A3D32">
      <w:pPr>
        <w:pStyle w:val="NoSpacing"/>
        <w:jc w:val="both"/>
        <w:rPr>
          <w:rFonts w:ascii="Times New Roman" w:hAnsi="Times New Roman" w:cs="Times New Roman"/>
          <w:lang w:val="es-MX"/>
        </w:rPr>
      </w:pPr>
      <w:r w:rsidRPr="004036A3">
        <w:rPr>
          <w:rFonts w:ascii="Times New Roman" w:hAnsi="Times New Roman" w:cs="Times New Roman"/>
          <w:lang w:val="es-MX"/>
        </w:rPr>
        <w:t xml:space="preserve">Este mes, SIECA </w:t>
      </w:r>
      <w:r w:rsidR="007B720C" w:rsidRPr="004036A3">
        <w:rPr>
          <w:rFonts w:ascii="Times New Roman" w:hAnsi="Times New Roman" w:cs="Times New Roman"/>
          <w:lang w:val="es-MX"/>
        </w:rPr>
        <w:t>presentó</w:t>
      </w:r>
      <w:r w:rsidRPr="004036A3">
        <w:rPr>
          <w:rFonts w:ascii="Times New Roman" w:hAnsi="Times New Roman" w:cs="Times New Roman"/>
          <w:lang w:val="es-MX"/>
        </w:rPr>
        <w:t xml:space="preserve"> su informe </w:t>
      </w:r>
      <w:r w:rsidR="007B720C" w:rsidRPr="004036A3">
        <w:rPr>
          <w:rFonts w:ascii="Times New Roman" w:hAnsi="Times New Roman" w:cs="Times New Roman"/>
          <w:lang w:val="es-MX"/>
        </w:rPr>
        <w:t>Económico</w:t>
      </w:r>
      <w:r w:rsidRPr="004036A3">
        <w:rPr>
          <w:rFonts w:ascii="Times New Roman" w:hAnsi="Times New Roman" w:cs="Times New Roman"/>
          <w:lang w:val="es-MX"/>
        </w:rPr>
        <w:t xml:space="preserve"> Regional 2016-2017 oportunidades y retos para </w:t>
      </w:r>
      <w:r w:rsidR="007B720C" w:rsidRPr="004036A3">
        <w:rPr>
          <w:rFonts w:ascii="Times New Roman" w:hAnsi="Times New Roman" w:cs="Times New Roman"/>
          <w:lang w:val="es-MX"/>
        </w:rPr>
        <w:t xml:space="preserve">Centroamérica, </w:t>
      </w:r>
      <w:r w:rsidRPr="004036A3">
        <w:rPr>
          <w:rFonts w:ascii="Times New Roman" w:hAnsi="Times New Roman" w:cs="Times New Roman"/>
          <w:lang w:val="es-MX"/>
        </w:rPr>
        <w:t xml:space="preserve">en el que se abordan temas relacionados con los sectores clave del proceso de integración económica centroamericana, generando y analizando conocimientos sobre el </w:t>
      </w:r>
      <w:r w:rsidRPr="004036A3">
        <w:rPr>
          <w:rFonts w:ascii="Times New Roman" w:hAnsi="Times New Roman" w:cs="Times New Roman"/>
          <w:lang w:val="es-MX"/>
        </w:rPr>
        <w:lastRenderedPageBreak/>
        <w:t>contexto económico internacional y regional. Dentro de los principales hallazgos del informe se encuentran:</w:t>
      </w:r>
    </w:p>
    <w:p w:rsidR="007B720C" w:rsidRPr="004036A3" w:rsidRDefault="007B720C" w:rsidP="004A3D32">
      <w:pPr>
        <w:pStyle w:val="NoSpacing"/>
        <w:jc w:val="both"/>
        <w:rPr>
          <w:rFonts w:ascii="Times New Roman" w:hAnsi="Times New Roman" w:cs="Times New Roman"/>
          <w:lang w:val="es-MX"/>
        </w:rPr>
      </w:pPr>
      <w:r w:rsidRPr="004036A3">
        <w:rPr>
          <w:rFonts w:ascii="Times New Roman" w:hAnsi="Times New Roman" w:cs="Times New Roman"/>
          <w:lang w:val="es-MX"/>
        </w:rPr>
        <w:t>el crecimiento que la actividad económica de Centroamérica mostró durante 2016, con un PIB regional de 3.5%; las contribuciones de las condiciones internacionales, que favorecido la reducción progresiva del déficit comercial extra regional; y el desempeño moderado en los índices aplicados al entorno de negocios que tiene Centroamérica, entre los que se cuentan el Doing Business del Banco Mundial, el Índice de Competitividad Global del Foro Económico Mundial, y otros.</w:t>
      </w:r>
    </w:p>
    <w:p w:rsidR="007B720C" w:rsidRPr="004036A3" w:rsidRDefault="007B720C" w:rsidP="004A3D32">
      <w:pPr>
        <w:pStyle w:val="NoSpacing"/>
        <w:jc w:val="both"/>
        <w:rPr>
          <w:rFonts w:ascii="Times New Roman" w:hAnsi="Times New Roman" w:cs="Times New Roman"/>
          <w:lang w:val="es-MX"/>
        </w:rPr>
      </w:pPr>
    </w:p>
    <w:p w:rsidR="00C922D7" w:rsidRPr="004036A3" w:rsidRDefault="00C922D7" w:rsidP="00C922D7">
      <w:pPr>
        <w:spacing w:after="0" w:line="240" w:lineRule="auto"/>
        <w:jc w:val="both"/>
        <w:rPr>
          <w:rFonts w:ascii="Times New Roman" w:hAnsi="Times New Roman" w:cs="Times New Roman"/>
          <w:lang w:val="es-MX"/>
        </w:rPr>
      </w:pPr>
      <w:r w:rsidRPr="004036A3">
        <w:rPr>
          <w:rFonts w:ascii="Times New Roman" w:hAnsi="Times New Roman" w:cs="Times New Roman"/>
          <w:lang w:val="es-MX"/>
        </w:rPr>
        <w:t xml:space="preserve">El entorno interno, </w:t>
      </w:r>
      <w:r w:rsidR="003E28F4" w:rsidRPr="004036A3">
        <w:rPr>
          <w:rFonts w:ascii="Times New Roman" w:hAnsi="Times New Roman" w:cs="Times New Roman"/>
          <w:lang w:val="es-MX"/>
        </w:rPr>
        <w:t xml:space="preserve">este mes </w:t>
      </w:r>
      <w:r w:rsidRPr="004036A3">
        <w:rPr>
          <w:rFonts w:ascii="Times New Roman" w:hAnsi="Times New Roman" w:cs="Times New Roman"/>
          <w:lang w:val="es-MX"/>
        </w:rPr>
        <w:t>la percepción sobre la situación económica actual y el ambiente para los negocios</w:t>
      </w:r>
      <w:r w:rsidR="003E28F4" w:rsidRPr="004036A3">
        <w:rPr>
          <w:rFonts w:ascii="Times New Roman" w:hAnsi="Times New Roman" w:cs="Times New Roman"/>
          <w:lang w:val="es-MX"/>
        </w:rPr>
        <w:t xml:space="preserve"> es desfavorable comparado al mes anterior</w:t>
      </w:r>
      <w:r w:rsidRPr="004036A3">
        <w:rPr>
          <w:rFonts w:ascii="Times New Roman" w:hAnsi="Times New Roman" w:cs="Times New Roman"/>
          <w:lang w:val="es-MX"/>
        </w:rPr>
        <w:t>, el nivel del Índice de Confianza de la Actividad Económica se s</w:t>
      </w:r>
      <w:r w:rsidR="003E28F4" w:rsidRPr="004036A3">
        <w:rPr>
          <w:rFonts w:ascii="Times New Roman" w:hAnsi="Times New Roman" w:cs="Times New Roman"/>
          <w:lang w:val="es-MX"/>
        </w:rPr>
        <w:t>ituó en 44.</w:t>
      </w:r>
      <w:r w:rsidRPr="004036A3">
        <w:rPr>
          <w:rFonts w:ascii="Times New Roman" w:hAnsi="Times New Roman" w:cs="Times New Roman"/>
          <w:lang w:val="es-MX"/>
        </w:rPr>
        <w:t>4</w:t>
      </w:r>
      <w:r w:rsidR="003E28F4" w:rsidRPr="004036A3">
        <w:rPr>
          <w:rFonts w:ascii="Times New Roman" w:hAnsi="Times New Roman" w:cs="Times New Roman"/>
          <w:lang w:val="es-MX"/>
        </w:rPr>
        <w:t>5</w:t>
      </w:r>
      <w:r w:rsidRPr="004036A3">
        <w:rPr>
          <w:rFonts w:ascii="Times New Roman" w:hAnsi="Times New Roman" w:cs="Times New Roman"/>
          <w:lang w:val="es-MX"/>
        </w:rPr>
        <w:t xml:space="preserve"> puntos, </w:t>
      </w:r>
      <w:r w:rsidR="003E28F4" w:rsidRPr="004036A3">
        <w:rPr>
          <w:rFonts w:ascii="Times New Roman" w:hAnsi="Times New Roman" w:cs="Times New Roman"/>
          <w:lang w:val="es-MX"/>
        </w:rPr>
        <w:t>inferior en 4.76</w:t>
      </w:r>
      <w:r w:rsidRPr="004036A3">
        <w:rPr>
          <w:rFonts w:ascii="Times New Roman" w:hAnsi="Times New Roman" w:cs="Times New Roman"/>
          <w:lang w:val="es-MX"/>
        </w:rPr>
        <w:t>% con el registrado e</w:t>
      </w:r>
      <w:r w:rsidR="003E28F4" w:rsidRPr="004036A3">
        <w:rPr>
          <w:rFonts w:ascii="Times New Roman" w:hAnsi="Times New Roman" w:cs="Times New Roman"/>
          <w:lang w:val="es-MX"/>
        </w:rPr>
        <w:t>n julio, aunque mayo en 18.5</w:t>
      </w:r>
      <w:r w:rsidRPr="004036A3">
        <w:rPr>
          <w:rFonts w:ascii="Times New Roman" w:hAnsi="Times New Roman" w:cs="Times New Roman"/>
          <w:lang w:val="es-MX"/>
        </w:rPr>
        <w:t xml:space="preserve">3% respecto al registrado en </w:t>
      </w:r>
      <w:r w:rsidR="003E28F4" w:rsidRPr="004036A3">
        <w:rPr>
          <w:rFonts w:ascii="Times New Roman" w:hAnsi="Times New Roman" w:cs="Times New Roman"/>
          <w:lang w:val="es-MX"/>
        </w:rPr>
        <w:t>agosto</w:t>
      </w:r>
      <w:r w:rsidRPr="004036A3">
        <w:rPr>
          <w:rFonts w:ascii="Times New Roman" w:hAnsi="Times New Roman" w:cs="Times New Roman"/>
          <w:lang w:val="es-MX"/>
        </w:rPr>
        <w:t xml:space="preserve"> 2016.</w:t>
      </w:r>
    </w:p>
    <w:p w:rsidR="00986297" w:rsidRPr="004036A3" w:rsidRDefault="00986297" w:rsidP="00C922D7">
      <w:pPr>
        <w:spacing w:after="0" w:line="240" w:lineRule="auto"/>
        <w:jc w:val="both"/>
        <w:rPr>
          <w:lang w:val="es-MX"/>
        </w:rPr>
      </w:pPr>
    </w:p>
    <w:p w:rsidR="00C922D7" w:rsidRPr="004036A3" w:rsidRDefault="00C922D7" w:rsidP="00C922D7">
      <w:pPr>
        <w:spacing w:after="0" w:line="240" w:lineRule="auto"/>
        <w:jc w:val="center"/>
        <w:rPr>
          <w:rFonts w:ascii="Times New Roman" w:hAnsi="Times New Roman" w:cs="Times New Roman"/>
          <w:b/>
          <w:szCs w:val="24"/>
        </w:rPr>
      </w:pPr>
      <w:r w:rsidRPr="004036A3">
        <w:rPr>
          <w:rFonts w:ascii="Times New Roman" w:hAnsi="Times New Roman" w:cs="Times New Roman"/>
          <w:b/>
          <w:szCs w:val="24"/>
        </w:rPr>
        <w:t>Índice de confianza de la actividad económica</w:t>
      </w:r>
    </w:p>
    <w:p w:rsidR="00C922D7" w:rsidRPr="004036A3" w:rsidRDefault="00D51EBD" w:rsidP="00C922D7">
      <w:pPr>
        <w:spacing w:after="0" w:line="240" w:lineRule="auto"/>
        <w:jc w:val="center"/>
        <w:rPr>
          <w:rFonts w:ascii="Times New Roman" w:hAnsi="Times New Roman" w:cs="Times New Roman"/>
          <w:sz w:val="18"/>
        </w:rPr>
      </w:pPr>
      <w:r w:rsidRPr="004036A3">
        <w:rPr>
          <w:rFonts w:ascii="Times New Roman" w:hAnsi="Times New Roman" w:cs="Times New Roman"/>
          <w:sz w:val="18"/>
        </w:rPr>
        <w:t>Enero 2016</w:t>
      </w:r>
      <w:r w:rsidR="00C922D7" w:rsidRPr="004036A3">
        <w:rPr>
          <w:rFonts w:ascii="Times New Roman" w:hAnsi="Times New Roman" w:cs="Times New Roman"/>
          <w:sz w:val="18"/>
        </w:rPr>
        <w:t xml:space="preserve"> – </w:t>
      </w:r>
      <w:r w:rsidRPr="004036A3">
        <w:rPr>
          <w:rFonts w:ascii="Times New Roman" w:hAnsi="Times New Roman" w:cs="Times New Roman"/>
          <w:sz w:val="18"/>
        </w:rPr>
        <w:t xml:space="preserve">agosto </w:t>
      </w:r>
      <w:r w:rsidR="00C922D7" w:rsidRPr="004036A3">
        <w:rPr>
          <w:rFonts w:ascii="Times New Roman" w:hAnsi="Times New Roman" w:cs="Times New Roman"/>
          <w:sz w:val="18"/>
        </w:rPr>
        <w:t>2017</w:t>
      </w:r>
    </w:p>
    <w:p w:rsidR="00C922D7" w:rsidRPr="004036A3" w:rsidRDefault="004036A3" w:rsidP="00C922D7">
      <w:pPr>
        <w:spacing w:after="0" w:line="240" w:lineRule="auto"/>
        <w:jc w:val="both"/>
        <w:rPr>
          <w:noProof/>
          <w:lang w:val="es-ES" w:eastAsia="es-ES"/>
        </w:rPr>
      </w:pPr>
      <w:r w:rsidRPr="004036A3">
        <w:rPr>
          <w:noProof/>
          <w:lang w:val="es-ES" w:eastAsia="es-ES"/>
        </w:rPr>
        <w:drawing>
          <wp:anchor distT="0" distB="0" distL="114300" distR="114300" simplePos="0" relativeHeight="251661312" behindDoc="0" locked="0" layoutInCell="1" allowOverlap="1" wp14:anchorId="1E793308" wp14:editId="2AA77D7E">
            <wp:simplePos x="0" y="0"/>
            <wp:positionH relativeFrom="column">
              <wp:align>right</wp:align>
            </wp:positionH>
            <wp:positionV relativeFrom="paragraph">
              <wp:posOffset>13335</wp:posOffset>
            </wp:positionV>
            <wp:extent cx="275272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D51EBD" w:rsidRPr="004036A3">
        <w:rPr>
          <w:noProof/>
          <w:lang w:val="es-ES" w:eastAsia="es-ES"/>
        </w:rPr>
        <mc:AlternateContent>
          <mc:Choice Requires="wps">
            <w:drawing>
              <wp:anchor distT="0" distB="0" distL="114300" distR="114300" simplePos="0" relativeHeight="251663360" behindDoc="0" locked="0" layoutInCell="1" allowOverlap="1" wp14:anchorId="76861E77" wp14:editId="124BB751">
                <wp:simplePos x="0" y="0"/>
                <wp:positionH relativeFrom="column">
                  <wp:posOffset>755153</wp:posOffset>
                </wp:positionH>
                <wp:positionV relativeFrom="paragraph">
                  <wp:posOffset>51048</wp:posOffset>
                </wp:positionV>
                <wp:extent cx="906449" cy="206734"/>
                <wp:effectExtent l="0" t="0" r="0" b="0"/>
                <wp:wrapNone/>
                <wp:docPr id="49" name="Text Box 1"/>
                <wp:cNvGraphicFramePr/>
                <a:graphic xmlns:a="http://schemas.openxmlformats.org/drawingml/2006/main">
                  <a:graphicData uri="http://schemas.microsoft.com/office/word/2010/wordprocessingShape">
                    <wps:wsp>
                      <wps:cNvSpPr txBox="1"/>
                      <wps:spPr>
                        <a:xfrm>
                          <a:off x="0" y="0"/>
                          <a:ext cx="906449" cy="206734"/>
                        </a:xfrm>
                        <a:prstGeom prst="rect">
                          <a:avLst/>
                        </a:prstGeom>
                      </wps:spPr>
                      <wps:txbx>
                        <w:txbxContent>
                          <w:p w:rsidR="00D51EBD" w:rsidRDefault="00D51EBD" w:rsidP="00D51EBD">
                            <w:pPr>
                              <w:pStyle w:val="NormalWeb"/>
                              <w:spacing w:before="0" w:beforeAutospacing="0" w:after="0" w:afterAutospacing="0"/>
                            </w:pPr>
                            <w:r>
                              <w:rPr>
                                <w:sz w:val="14"/>
                                <w:szCs w:val="14"/>
                              </w:rPr>
                              <w:t>zona de expansión</w:t>
                            </w:r>
                          </w:p>
                        </w:txbxContent>
                      </wps:txbx>
                      <wps:bodyPr vertOverflow="clip" wrap="square" rtlCol="0"/>
                    </wps:wsp>
                  </a:graphicData>
                </a:graphic>
              </wp:anchor>
            </w:drawing>
          </mc:Choice>
          <mc:Fallback>
            <w:pict>
              <v:shapetype w14:anchorId="76861E77" id="_x0000_t202" coordsize="21600,21600" o:spt="202" path="m,l,21600r21600,l21600,xe">
                <v:stroke joinstyle="miter"/>
                <v:path gradientshapeok="t" o:connecttype="rect"/>
              </v:shapetype>
              <v:shape id="Text Box 1" o:spid="_x0000_s1026" type="#_x0000_t202" style="position:absolute;left:0;text-align:left;margin-left:59.45pt;margin-top:4pt;width:71.35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" filled="f" stroked="f">
                <v:textbox>
                  <w:txbxContent>
                    <w:p w:rsidR="00D51EBD" w:rsidRDefault="00D51EBD" w:rsidP="00D51EBD">
                      <w:pPr>
                        <w:pStyle w:val="NormalWeb"/>
                        <w:spacing w:before="0" w:beforeAutospacing="0" w:after="0" w:afterAutospacing="0"/>
                      </w:pPr>
                      <w:r>
                        <w:rPr>
                          <w:sz w:val="14"/>
                          <w:szCs w:val="14"/>
                        </w:rPr>
                        <w:t>zona de expansión</w:t>
                      </w:r>
                    </w:p>
                  </w:txbxContent>
                </v:textbox>
              </v:shape>
            </w:pict>
          </mc:Fallback>
        </mc:AlternateContent>
      </w:r>
    </w:p>
    <w:p w:rsidR="0073437F" w:rsidRPr="004036A3" w:rsidRDefault="0073437F" w:rsidP="00C922D7">
      <w:pPr>
        <w:spacing w:after="0" w:line="240" w:lineRule="auto"/>
        <w:jc w:val="both"/>
        <w:rPr>
          <w:noProof/>
          <w:lang w:val="es-ES" w:eastAsia="es-ES"/>
        </w:rPr>
      </w:pPr>
    </w:p>
    <w:p w:rsidR="0073437F" w:rsidRPr="004036A3" w:rsidRDefault="0073437F" w:rsidP="00C922D7">
      <w:pPr>
        <w:spacing w:after="0" w:line="240" w:lineRule="auto"/>
        <w:jc w:val="both"/>
        <w:rPr>
          <w:noProof/>
          <w:lang w:val="es-ES" w:eastAsia="es-ES"/>
        </w:rPr>
      </w:pPr>
    </w:p>
    <w:p w:rsidR="004036A3" w:rsidRPr="004036A3" w:rsidRDefault="004036A3" w:rsidP="00C922D7">
      <w:pPr>
        <w:spacing w:after="0" w:line="240" w:lineRule="auto"/>
        <w:jc w:val="both"/>
        <w:rPr>
          <w:noProof/>
          <w:lang w:val="es-ES" w:eastAsia="es-ES"/>
        </w:rPr>
      </w:pPr>
    </w:p>
    <w:p w:rsidR="004036A3" w:rsidRPr="004036A3" w:rsidRDefault="004036A3" w:rsidP="00C922D7">
      <w:pPr>
        <w:spacing w:after="0" w:line="240" w:lineRule="auto"/>
        <w:jc w:val="both"/>
        <w:rPr>
          <w:noProof/>
          <w:lang w:val="es-ES" w:eastAsia="es-ES"/>
        </w:rPr>
      </w:pPr>
    </w:p>
    <w:p w:rsidR="004036A3" w:rsidRPr="004036A3" w:rsidRDefault="004036A3" w:rsidP="00C922D7">
      <w:pPr>
        <w:spacing w:after="0" w:line="240" w:lineRule="auto"/>
        <w:jc w:val="both"/>
        <w:rPr>
          <w:noProof/>
          <w:lang w:val="es-ES" w:eastAsia="es-ES"/>
        </w:rPr>
      </w:pPr>
    </w:p>
    <w:p w:rsidR="004036A3" w:rsidRPr="004036A3" w:rsidRDefault="004036A3" w:rsidP="00C922D7">
      <w:pPr>
        <w:spacing w:after="0" w:line="240" w:lineRule="auto"/>
        <w:jc w:val="both"/>
        <w:rPr>
          <w:noProof/>
          <w:lang w:val="es-ES" w:eastAsia="es-ES"/>
        </w:rPr>
      </w:pPr>
    </w:p>
    <w:p w:rsidR="004036A3" w:rsidRPr="004036A3" w:rsidRDefault="004036A3" w:rsidP="00C922D7">
      <w:pPr>
        <w:spacing w:after="0" w:line="240" w:lineRule="auto"/>
        <w:jc w:val="both"/>
        <w:rPr>
          <w:noProof/>
          <w:lang w:val="es-ES" w:eastAsia="es-ES"/>
        </w:rPr>
      </w:pPr>
    </w:p>
    <w:p w:rsidR="004036A3" w:rsidRPr="004036A3" w:rsidRDefault="004036A3" w:rsidP="00C922D7">
      <w:pPr>
        <w:spacing w:after="0" w:line="240" w:lineRule="auto"/>
        <w:jc w:val="both"/>
        <w:rPr>
          <w:noProof/>
          <w:lang w:val="es-ES" w:eastAsia="es-ES"/>
        </w:rPr>
      </w:pPr>
    </w:p>
    <w:p w:rsidR="0073437F" w:rsidRPr="004036A3" w:rsidRDefault="0073437F" w:rsidP="00C922D7">
      <w:pPr>
        <w:spacing w:after="0" w:line="240" w:lineRule="auto"/>
        <w:jc w:val="both"/>
        <w:rPr>
          <w:noProof/>
          <w:lang w:val="es-ES" w:eastAsia="es-ES"/>
        </w:rPr>
      </w:pPr>
    </w:p>
    <w:p w:rsidR="004036A3" w:rsidRPr="004036A3" w:rsidRDefault="004036A3" w:rsidP="00C922D7">
      <w:pPr>
        <w:spacing w:after="0" w:line="240" w:lineRule="auto"/>
        <w:jc w:val="both"/>
        <w:rPr>
          <w:lang w:val="es-MX"/>
        </w:rPr>
      </w:pPr>
    </w:p>
    <w:p w:rsidR="00C922D7" w:rsidRPr="004036A3" w:rsidRDefault="00C922D7" w:rsidP="00C922D7">
      <w:pPr>
        <w:spacing w:after="0"/>
        <w:jc w:val="both"/>
        <w:rPr>
          <w:rFonts w:ascii="Times New Roman" w:hAnsi="Times New Roman" w:cs="Times New Roman"/>
          <w:sz w:val="16"/>
          <w:szCs w:val="12"/>
          <w:lang w:val="es-MX"/>
        </w:rPr>
      </w:pPr>
      <w:r w:rsidRPr="004036A3">
        <w:rPr>
          <w:rFonts w:ascii="Times New Roman" w:hAnsi="Times New Roman" w:cs="Times New Roman"/>
          <w:sz w:val="16"/>
          <w:szCs w:val="12"/>
          <w:lang w:val="es-MX"/>
        </w:rPr>
        <w:t>Fuente: Banco de Guatemala</w:t>
      </w:r>
    </w:p>
    <w:p w:rsidR="00C922D7" w:rsidRPr="004036A3" w:rsidRDefault="00C922D7"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4036A3" w:rsidRPr="004036A3" w:rsidRDefault="004036A3" w:rsidP="00C922D7">
      <w:pPr>
        <w:spacing w:after="0"/>
        <w:jc w:val="both"/>
        <w:rPr>
          <w:rFonts w:ascii="Times New Roman" w:hAnsi="Times New Roman" w:cs="Times New Roman"/>
          <w:sz w:val="12"/>
          <w:lang w:val="es-MX"/>
        </w:rPr>
      </w:pPr>
    </w:p>
    <w:p w:rsidR="00C922D7" w:rsidRPr="004036A3" w:rsidRDefault="003E28F4" w:rsidP="00C922D7">
      <w:pPr>
        <w:pStyle w:val="NoSpacing"/>
        <w:jc w:val="both"/>
        <w:rPr>
          <w:rFonts w:ascii="Times New Roman" w:hAnsi="Times New Roman" w:cs="Times New Roman"/>
          <w:lang w:val="es-MX"/>
        </w:rPr>
      </w:pPr>
      <w:r w:rsidRPr="004036A3">
        <w:rPr>
          <w:rFonts w:ascii="Times New Roman" w:hAnsi="Times New Roman" w:cs="Times New Roman"/>
          <w:lang w:val="es-MX"/>
        </w:rPr>
        <w:lastRenderedPageBreak/>
        <w:t>El comportamiento del nivel general de precios de la economía en agosto registró una variación intermensual de -0.30% e interanual de 4.72%, según la más reciente publicación del INE; la variación interanual del IPC está basada en el comportamiento de los combustibles, el desempeño de la política monetaria y fiscal y por la evolución de los precios de las materias primas.  De acuerdo con a las expectativas de inflación</w:t>
      </w:r>
      <w:r w:rsidR="00C9002C" w:rsidRPr="004036A3">
        <w:rPr>
          <w:rFonts w:ascii="Times New Roman" w:hAnsi="Times New Roman" w:cs="Times New Roman"/>
          <w:lang w:val="es-MX"/>
        </w:rPr>
        <w:t xml:space="preserve"> resultantes de la encuesta al panel de analistas privados,</w:t>
      </w:r>
      <w:r w:rsidRPr="004036A3">
        <w:rPr>
          <w:rFonts w:ascii="Times New Roman" w:hAnsi="Times New Roman" w:cs="Times New Roman"/>
          <w:lang w:val="es-MX"/>
        </w:rPr>
        <w:t xml:space="preserve"> </w:t>
      </w:r>
      <w:r w:rsidR="00C9002C" w:rsidRPr="004036A3">
        <w:rPr>
          <w:rFonts w:ascii="Times New Roman" w:hAnsi="Times New Roman" w:cs="Times New Roman"/>
          <w:lang w:val="es-MX"/>
        </w:rPr>
        <w:t>s</w:t>
      </w:r>
      <w:r w:rsidR="00C922D7" w:rsidRPr="004036A3">
        <w:rPr>
          <w:rFonts w:ascii="Times New Roman" w:hAnsi="Times New Roman" w:cs="Times New Roman"/>
          <w:lang w:val="es-MX"/>
        </w:rPr>
        <w:t>e es</w:t>
      </w:r>
      <w:r w:rsidRPr="004036A3">
        <w:rPr>
          <w:rFonts w:ascii="Times New Roman" w:hAnsi="Times New Roman" w:cs="Times New Roman"/>
          <w:lang w:val="es-MX"/>
        </w:rPr>
        <w:t>pera un ritmo inflacionario de 4.47</w:t>
      </w:r>
      <w:r w:rsidR="00C922D7" w:rsidRPr="004036A3">
        <w:rPr>
          <w:rFonts w:ascii="Times New Roman" w:hAnsi="Times New Roman" w:cs="Times New Roman"/>
          <w:lang w:val="es-MX"/>
        </w:rPr>
        <w:t xml:space="preserve">% </w:t>
      </w:r>
      <w:r w:rsidRPr="004036A3">
        <w:rPr>
          <w:rFonts w:ascii="Times New Roman" w:hAnsi="Times New Roman" w:cs="Times New Roman"/>
          <w:lang w:val="es-MX"/>
        </w:rPr>
        <w:t>para septiembre y 4.52</w:t>
      </w:r>
      <w:r w:rsidR="00C922D7" w:rsidRPr="004036A3">
        <w:rPr>
          <w:rFonts w:ascii="Times New Roman" w:hAnsi="Times New Roman" w:cs="Times New Roman"/>
          <w:lang w:val="es-MX"/>
        </w:rPr>
        <w:t xml:space="preserve">% para </w:t>
      </w:r>
      <w:r w:rsidRPr="004036A3">
        <w:rPr>
          <w:rFonts w:ascii="Times New Roman" w:hAnsi="Times New Roman" w:cs="Times New Roman"/>
          <w:lang w:val="es-MX"/>
        </w:rPr>
        <w:t>octubre</w:t>
      </w:r>
      <w:r w:rsidR="00C9002C" w:rsidRPr="004036A3">
        <w:rPr>
          <w:rFonts w:ascii="Times New Roman" w:hAnsi="Times New Roman" w:cs="Times New Roman"/>
          <w:lang w:val="es-MX"/>
        </w:rPr>
        <w:t xml:space="preserve"> de 2017;</w:t>
      </w:r>
      <w:r w:rsidR="00C922D7" w:rsidRPr="004036A3">
        <w:rPr>
          <w:rFonts w:ascii="Times New Roman" w:hAnsi="Times New Roman" w:cs="Times New Roman"/>
          <w:lang w:val="es-MX"/>
        </w:rPr>
        <w:t xml:space="preserve"> en un horizonte de 12 y 24 meses se esperaría un ritmo de </w:t>
      </w:r>
      <w:r w:rsidR="00C9002C" w:rsidRPr="004036A3">
        <w:rPr>
          <w:rFonts w:ascii="Times New Roman" w:hAnsi="Times New Roman" w:cs="Times New Roman"/>
          <w:lang w:val="es-MX"/>
        </w:rPr>
        <w:t>4.48% y 4.51</w:t>
      </w:r>
      <w:r w:rsidR="00C922D7" w:rsidRPr="004036A3">
        <w:rPr>
          <w:rFonts w:ascii="Times New Roman" w:hAnsi="Times New Roman" w:cs="Times New Roman"/>
          <w:lang w:val="es-MX"/>
        </w:rPr>
        <w:t>% respectivamente.</w:t>
      </w:r>
    </w:p>
    <w:p w:rsidR="00EB62F2" w:rsidRPr="004036A3" w:rsidRDefault="00EB62F2" w:rsidP="00EB62F2">
      <w:pPr>
        <w:pStyle w:val="NoSpacing"/>
        <w:jc w:val="both"/>
        <w:rPr>
          <w:rFonts w:ascii="Times New Roman" w:hAnsi="Times New Roman" w:cs="Times New Roman"/>
          <w:sz w:val="6"/>
          <w:lang w:val="es-MX"/>
        </w:rPr>
      </w:pPr>
      <w:r w:rsidRPr="004036A3">
        <w:rPr>
          <w:rFonts w:ascii="Times New Roman" w:hAnsi="Times New Roman" w:cs="Times New Roman"/>
          <w:lang w:val="es-MX"/>
        </w:rPr>
        <w:t xml:space="preserve"> </w:t>
      </w:r>
    </w:p>
    <w:p w:rsidR="00986297" w:rsidRPr="004036A3" w:rsidRDefault="00986297" w:rsidP="00EB62F2">
      <w:pPr>
        <w:pStyle w:val="NoSpacing"/>
        <w:jc w:val="both"/>
        <w:rPr>
          <w:rFonts w:ascii="Times New Roman" w:hAnsi="Times New Roman" w:cs="Times New Roman"/>
          <w:sz w:val="6"/>
          <w:lang w:val="es-MX"/>
        </w:rPr>
      </w:pPr>
    </w:p>
    <w:p w:rsidR="00416D41" w:rsidRPr="004036A3" w:rsidRDefault="005755E9" w:rsidP="00986297">
      <w:pPr>
        <w:pStyle w:val="NoSpacing"/>
        <w:jc w:val="both"/>
        <w:rPr>
          <w:rFonts w:ascii="Times New Roman" w:hAnsi="Times New Roman" w:cs="Times New Roman"/>
        </w:rPr>
      </w:pPr>
      <w:r w:rsidRPr="004036A3">
        <w:rPr>
          <w:rFonts w:ascii="Times New Roman" w:hAnsi="Times New Roman" w:cs="Times New Roman"/>
        </w:rPr>
        <w:t xml:space="preserve">El costo de adquisición de la Canasta Básica Alimentaria </w:t>
      </w:r>
      <w:r w:rsidR="00762FE3" w:rsidRPr="004036A3">
        <w:rPr>
          <w:rFonts w:ascii="Times New Roman" w:hAnsi="Times New Roman" w:cs="Times New Roman"/>
        </w:rPr>
        <w:t xml:space="preserve">bajo </w:t>
      </w:r>
      <w:r w:rsidRPr="004036A3">
        <w:rPr>
          <w:rFonts w:ascii="Times New Roman" w:hAnsi="Times New Roman" w:cs="Times New Roman"/>
        </w:rPr>
        <w:t xml:space="preserve">Q </w:t>
      </w:r>
      <w:r w:rsidR="00762FE3" w:rsidRPr="004036A3">
        <w:rPr>
          <w:rFonts w:ascii="Times New Roman" w:hAnsi="Times New Roman" w:cs="Times New Roman"/>
        </w:rPr>
        <w:t>142.20</w:t>
      </w:r>
      <w:r w:rsidRPr="004036A3">
        <w:rPr>
          <w:rFonts w:ascii="Times New Roman" w:hAnsi="Times New Roman" w:cs="Times New Roman"/>
        </w:rPr>
        <w:t xml:space="preserve"> con relació</w:t>
      </w:r>
      <w:r w:rsidR="00762FE3" w:rsidRPr="004036A3">
        <w:rPr>
          <w:rFonts w:ascii="Times New Roman" w:hAnsi="Times New Roman" w:cs="Times New Roman"/>
        </w:rPr>
        <w:t>n al registrado el mes anterior</w:t>
      </w:r>
      <w:r w:rsidRPr="004036A3">
        <w:rPr>
          <w:rFonts w:ascii="Times New Roman" w:hAnsi="Times New Roman" w:cs="Times New Roman"/>
        </w:rPr>
        <w:t xml:space="preserve"> y respecto a </w:t>
      </w:r>
      <w:r w:rsidR="00762FE3" w:rsidRPr="004036A3">
        <w:rPr>
          <w:rFonts w:ascii="Times New Roman" w:hAnsi="Times New Roman" w:cs="Times New Roman"/>
        </w:rPr>
        <w:t>agosto</w:t>
      </w:r>
      <w:r w:rsidRPr="004036A3">
        <w:rPr>
          <w:rFonts w:ascii="Times New Roman" w:hAnsi="Times New Roman" w:cs="Times New Roman"/>
        </w:rPr>
        <w:t xml:space="preserve"> del año anterior se incrementó Q </w:t>
      </w:r>
      <w:r w:rsidR="00762FE3" w:rsidRPr="004036A3">
        <w:rPr>
          <w:rFonts w:ascii="Times New Roman" w:hAnsi="Times New Roman" w:cs="Times New Roman"/>
        </w:rPr>
        <w:t>463.35</w:t>
      </w:r>
      <w:r w:rsidRPr="004036A3">
        <w:rPr>
          <w:rFonts w:ascii="Times New Roman" w:hAnsi="Times New Roman" w:cs="Times New Roman"/>
        </w:rPr>
        <w:t xml:space="preserve">.  El costo de adquisición de la Canasta Básica Vital también </w:t>
      </w:r>
      <w:r w:rsidR="00762FE3" w:rsidRPr="004036A3">
        <w:rPr>
          <w:rFonts w:ascii="Times New Roman" w:hAnsi="Times New Roman" w:cs="Times New Roman"/>
        </w:rPr>
        <w:t>disminuyo</w:t>
      </w:r>
      <w:r w:rsidRPr="004036A3">
        <w:rPr>
          <w:rFonts w:ascii="Times New Roman" w:hAnsi="Times New Roman" w:cs="Times New Roman"/>
        </w:rPr>
        <w:t xml:space="preserve"> </w:t>
      </w:r>
      <w:r w:rsidR="00762FE3" w:rsidRPr="004036A3">
        <w:rPr>
          <w:rFonts w:ascii="Times New Roman" w:hAnsi="Times New Roman" w:cs="Times New Roman"/>
        </w:rPr>
        <w:t>Q 259.49</w:t>
      </w:r>
      <w:r w:rsidRPr="004036A3">
        <w:rPr>
          <w:rFonts w:ascii="Times New Roman" w:hAnsi="Times New Roman" w:cs="Times New Roman"/>
        </w:rPr>
        <w:t xml:space="preserve"> con relación al registrado en el mes anterior y respecto a </w:t>
      </w:r>
      <w:r w:rsidR="00762FE3" w:rsidRPr="004036A3">
        <w:rPr>
          <w:rFonts w:ascii="Times New Roman" w:hAnsi="Times New Roman" w:cs="Times New Roman"/>
        </w:rPr>
        <w:t xml:space="preserve">agosto 2016 se incrementó en </w:t>
      </w:r>
      <w:r w:rsidRPr="004036A3">
        <w:rPr>
          <w:rFonts w:ascii="Times New Roman" w:hAnsi="Times New Roman" w:cs="Times New Roman"/>
        </w:rPr>
        <w:t xml:space="preserve">Q </w:t>
      </w:r>
      <w:r w:rsidR="00762FE3" w:rsidRPr="004036A3">
        <w:rPr>
          <w:rFonts w:ascii="Times New Roman" w:hAnsi="Times New Roman" w:cs="Times New Roman"/>
        </w:rPr>
        <w:t>845.52</w:t>
      </w:r>
      <w:r w:rsidRPr="004036A3">
        <w:rPr>
          <w:rFonts w:ascii="Times New Roman" w:hAnsi="Times New Roman" w:cs="Times New Roman"/>
        </w:rPr>
        <w:t>.  Por su parte, l</w:t>
      </w:r>
      <w:r w:rsidRPr="004036A3">
        <w:rPr>
          <w:rFonts w:ascii="Times New Roman" w:hAnsi="Times New Roman" w:cs="Times New Roman"/>
          <w:lang w:val="es-MX"/>
        </w:rPr>
        <w:t xml:space="preserve">a actividad económica en </w:t>
      </w:r>
      <w:r w:rsidR="00C9002C" w:rsidRPr="004036A3">
        <w:rPr>
          <w:rFonts w:ascii="Times New Roman" w:hAnsi="Times New Roman" w:cs="Times New Roman"/>
          <w:lang w:val="es-MX"/>
        </w:rPr>
        <w:t>jul</w:t>
      </w:r>
      <w:r w:rsidRPr="004036A3">
        <w:rPr>
          <w:rFonts w:ascii="Times New Roman" w:hAnsi="Times New Roman" w:cs="Times New Roman"/>
          <w:lang w:val="es-MX"/>
        </w:rPr>
        <w:t>io, según la estimación del IMAE</w:t>
      </w:r>
      <w:r w:rsidR="00C9002C" w:rsidRPr="004036A3">
        <w:rPr>
          <w:rFonts w:ascii="Times New Roman" w:hAnsi="Times New Roman" w:cs="Times New Roman"/>
          <w:lang w:val="es-MX"/>
        </w:rPr>
        <w:t xml:space="preserve"> publicada este mes</w:t>
      </w:r>
      <w:r w:rsidRPr="004036A3">
        <w:rPr>
          <w:rFonts w:ascii="Times New Roman" w:hAnsi="Times New Roman" w:cs="Times New Roman"/>
          <w:lang w:val="es-MX"/>
        </w:rPr>
        <w:t xml:space="preserve">, </w:t>
      </w:r>
      <w:r w:rsidR="00C9002C" w:rsidRPr="004036A3">
        <w:rPr>
          <w:rFonts w:ascii="Times New Roman" w:hAnsi="Times New Roman" w:cs="Times New Roman"/>
          <w:lang w:val="es-MX"/>
        </w:rPr>
        <w:t>mostró un crecimiento de 3.1</w:t>
      </w:r>
      <w:r w:rsidRPr="004036A3">
        <w:rPr>
          <w:rFonts w:ascii="Times New Roman" w:hAnsi="Times New Roman" w:cs="Times New Roman"/>
          <w:lang w:val="es-MX"/>
        </w:rPr>
        <w:t xml:space="preserve">%, siendo el Comercio al por mayor </w:t>
      </w:r>
      <w:r w:rsidR="00986297" w:rsidRPr="004036A3">
        <w:rPr>
          <w:rFonts w:ascii="Times New Roman" w:hAnsi="Times New Roman" w:cs="Times New Roman"/>
          <w:lang w:val="es-MX"/>
        </w:rPr>
        <w:t>y</w:t>
      </w:r>
      <w:r w:rsidR="004036A3" w:rsidRPr="004036A3">
        <w:rPr>
          <w:rFonts w:ascii="Times New Roman" w:hAnsi="Times New Roman" w:cs="Times New Roman"/>
          <w:lang w:val="es-MX"/>
        </w:rPr>
        <w:t xml:space="preserve"> menor, los Servicios Privados e</w:t>
      </w:r>
      <w:r w:rsidRPr="004036A3">
        <w:rPr>
          <w:rFonts w:ascii="Times New Roman" w:hAnsi="Times New Roman" w:cs="Times New Roman"/>
          <w:lang w:val="es-MX"/>
        </w:rPr>
        <w:t xml:space="preserve"> Intermediación financiera, las actividades económicas que influenciaron </w:t>
      </w:r>
      <w:r w:rsidR="00C9002C" w:rsidRPr="004036A3">
        <w:rPr>
          <w:rFonts w:ascii="Times New Roman" w:hAnsi="Times New Roman" w:cs="Times New Roman"/>
          <w:lang w:val="es-MX"/>
        </w:rPr>
        <w:t xml:space="preserve">positivamente </w:t>
      </w:r>
      <w:r w:rsidRPr="004036A3">
        <w:rPr>
          <w:rFonts w:ascii="Times New Roman" w:hAnsi="Times New Roman" w:cs="Times New Roman"/>
          <w:lang w:val="es-MX"/>
        </w:rPr>
        <w:t>dicho resultado.</w:t>
      </w:r>
      <w:r w:rsidR="00986297" w:rsidRPr="004036A3">
        <w:rPr>
          <w:rFonts w:ascii="Times New Roman" w:hAnsi="Times New Roman" w:cs="Times New Roman"/>
        </w:rPr>
        <w:t xml:space="preserve"> </w:t>
      </w:r>
    </w:p>
    <w:p w:rsidR="005D5925" w:rsidRDefault="005D5925"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pPr>
    </w:p>
    <w:p w:rsidR="004036A3" w:rsidRDefault="004036A3" w:rsidP="00986297">
      <w:pPr>
        <w:pStyle w:val="NoSpacing"/>
        <w:jc w:val="both"/>
        <w:rPr>
          <w:rFonts w:ascii="Times New Roman" w:hAnsi="Times New Roman" w:cs="Times New Roman"/>
          <w:color w:val="FF0000"/>
        </w:rPr>
        <w:sectPr w:rsidR="004036A3" w:rsidSect="005D5925">
          <w:headerReference w:type="default" r:id="rId32"/>
          <w:footerReference w:type="default" r:id="rId33"/>
          <w:type w:val="continuous"/>
          <w:pgSz w:w="12240" w:h="15840" w:code="1"/>
          <w:pgMar w:top="1418" w:right="1418" w:bottom="1418" w:left="1418" w:header="709" w:footer="709" w:gutter="0"/>
          <w:cols w:num="2" w:space="708"/>
          <w:docGrid w:linePitch="360"/>
        </w:sectPr>
      </w:pPr>
    </w:p>
    <w:p w:rsidR="005D5925" w:rsidRDefault="005D5925" w:rsidP="00986297">
      <w:pPr>
        <w:pStyle w:val="NoSpacing"/>
        <w:jc w:val="both"/>
        <w:rPr>
          <w:rFonts w:ascii="Times New Roman" w:hAnsi="Times New Roman" w:cs="Times New Roman"/>
          <w:color w:val="FF0000"/>
        </w:rPr>
      </w:pPr>
    </w:p>
    <w:p w:rsidR="005D5925" w:rsidRDefault="005D5925" w:rsidP="00986297">
      <w:pPr>
        <w:pStyle w:val="NoSpacing"/>
        <w:jc w:val="both"/>
        <w:rPr>
          <w:rFonts w:ascii="Times New Roman" w:hAnsi="Times New Roman" w:cs="Times New Roman"/>
          <w:color w:val="FF0000"/>
        </w:rPr>
      </w:pPr>
    </w:p>
    <w:p w:rsidR="005D5925" w:rsidRPr="005D5925" w:rsidRDefault="005D5925" w:rsidP="005D592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5D5925" w:rsidRPr="005D5925" w:rsidSect="00FA3B81">
          <w:type w:val="continuous"/>
          <w:pgSz w:w="12240" w:h="15840" w:code="1"/>
          <w:pgMar w:top="1418" w:right="1418" w:bottom="1418" w:left="1418" w:header="709" w:footer="709" w:gutter="0"/>
          <w:cols w:space="708"/>
          <w:docGrid w:linePitch="360"/>
        </w:sectPr>
      </w:pPr>
      <w:r w:rsidRPr="005D5925">
        <w:rPr>
          <w:rFonts w:ascii="Times New Roman" w:hAnsi="Times New Roman" w:cs="Times New Roman"/>
          <w:b/>
          <w:lang w:val="es-MX"/>
        </w:rPr>
        <w:t>A</w:t>
      </w:r>
      <w:r>
        <w:rPr>
          <w:rFonts w:ascii="Times New Roman" w:hAnsi="Times New Roman" w:cs="Times New Roman"/>
          <w:b/>
          <w:lang w:val="es-MX"/>
        </w:rPr>
        <w:t>nexos</w:t>
      </w:r>
    </w:p>
    <w:p w:rsidR="005D5925" w:rsidRPr="005D5925" w:rsidRDefault="005D5925" w:rsidP="00986297">
      <w:pPr>
        <w:pStyle w:val="NoSpacing"/>
        <w:jc w:val="both"/>
        <w:rPr>
          <w:rFonts w:ascii="Times New Roman" w:hAnsi="Times New Roman" w:cs="Times New Roman"/>
          <w:color w:val="FF0000"/>
          <w:lang w:val="es-MX"/>
        </w:rPr>
      </w:pPr>
    </w:p>
    <w:p w:rsidR="005D5925" w:rsidRDefault="005D5925" w:rsidP="00986297">
      <w:pPr>
        <w:pStyle w:val="NoSpacing"/>
        <w:jc w:val="both"/>
        <w:rPr>
          <w:rFonts w:ascii="Times New Roman" w:hAnsi="Times New Roman" w:cs="Times New Roman"/>
          <w:color w:val="FF0000"/>
        </w:rPr>
        <w:sectPr w:rsidR="005D5925" w:rsidSect="00986297">
          <w:headerReference w:type="default" r:id="rId34"/>
          <w:footerReference w:type="default" r:id="rId35"/>
          <w:type w:val="continuous"/>
          <w:pgSz w:w="12240" w:h="15840" w:code="1"/>
          <w:pgMar w:top="1418" w:right="1418" w:bottom="1418" w:left="1418" w:header="709" w:footer="709" w:gutter="0"/>
          <w:cols w:num="2" w:space="708"/>
          <w:docGrid w:linePitch="360"/>
        </w:sectPr>
      </w:pPr>
    </w:p>
    <w:p w:rsidR="005D5925" w:rsidRDefault="005D5925" w:rsidP="004036A3">
      <w:pPr>
        <w:pStyle w:val="NoSpacing"/>
        <w:jc w:val="center"/>
        <w:rPr>
          <w:rFonts w:ascii="Times New Roman" w:hAnsi="Times New Roman" w:cs="Times New Roman"/>
          <w:color w:val="FF0000"/>
        </w:rPr>
        <w:sectPr w:rsidR="005D5925" w:rsidSect="005D5925">
          <w:type w:val="continuous"/>
          <w:pgSz w:w="12240" w:h="15840" w:code="1"/>
          <w:pgMar w:top="1418" w:right="1418" w:bottom="1418" w:left="1418" w:header="709" w:footer="709" w:gutter="0"/>
          <w:cols w:space="708"/>
          <w:docGrid w:linePitch="360"/>
        </w:sectPr>
      </w:pPr>
      <w:r w:rsidRPr="007B3FE3">
        <w:rPr>
          <w:noProof/>
          <w:lang w:val="es-ES" w:eastAsia="es-ES"/>
        </w:rPr>
        <w:lastRenderedPageBreak/>
        <w:drawing>
          <wp:inline distT="0" distB="0" distL="0" distR="0" wp14:anchorId="1CB55321" wp14:editId="7342E244">
            <wp:extent cx="6076950" cy="550824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85401" cy="5515904"/>
                    </a:xfrm>
                    <a:prstGeom prst="rect">
                      <a:avLst/>
                    </a:prstGeom>
                    <a:noFill/>
                    <a:ln>
                      <a:noFill/>
                    </a:ln>
                  </pic:spPr>
                </pic:pic>
              </a:graphicData>
            </a:graphic>
          </wp:inline>
        </w:drawing>
      </w:r>
    </w:p>
    <w:p w:rsidR="005D5925" w:rsidRPr="009742A8" w:rsidRDefault="005D5925" w:rsidP="00986297">
      <w:pPr>
        <w:pStyle w:val="NoSpacing"/>
        <w:jc w:val="both"/>
        <w:rPr>
          <w:rFonts w:ascii="Times New Roman" w:hAnsi="Times New Roman" w:cs="Times New Roman"/>
          <w:color w:val="FF0000"/>
        </w:rPr>
      </w:pPr>
      <w:bookmarkStart w:id="0" w:name="_GoBack"/>
      <w:bookmarkEnd w:id="0"/>
    </w:p>
    <w:sectPr w:rsidR="005D5925" w:rsidRPr="009742A8"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69" w:rsidRDefault="002D2969" w:rsidP="007D4651">
      <w:pPr>
        <w:spacing w:after="0" w:line="240" w:lineRule="auto"/>
      </w:pPr>
      <w:r>
        <w:separator/>
      </w:r>
    </w:p>
  </w:endnote>
  <w:endnote w:type="continuationSeparator" w:id="0">
    <w:p w:rsidR="002D2969" w:rsidRDefault="002D2969"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3360" behindDoc="0" locked="0" layoutInCell="1" allowOverlap="1" wp14:anchorId="34EA8B0C" wp14:editId="24E5280C">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036A3" w:rsidRPr="004036A3">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7456" behindDoc="0" locked="0" layoutInCell="1" allowOverlap="1" wp14:anchorId="47A8C7AA" wp14:editId="3100A019">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E6F28" w:rsidRPr="007E6F28">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040502408"/>
      <w:docPartObj>
        <w:docPartGallery w:val="Page Numbers (Bottom of Page)"/>
        <w:docPartUnique/>
      </w:docPartObj>
    </w:sdtPr>
    <w:sdtEndPr/>
    <w:sdtContent>
      <w:p w:rsidR="00EB1910" w:rsidRDefault="00EB1910">
        <w:pPr>
          <w:pStyle w:val="Footer"/>
          <w:jc w:val="right"/>
          <w:rPr>
            <w:lang w:val="es-ES"/>
          </w:rPr>
        </w:pPr>
      </w:p>
      <w:p w:rsidR="00EB1910" w:rsidRDefault="00EB1910"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08416" behindDoc="0" locked="0" layoutInCell="1" allowOverlap="1" wp14:anchorId="7E6D8750" wp14:editId="4AED003F">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036A3" w:rsidRPr="004036A3">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Footer"/>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1552" behindDoc="0" locked="0" layoutInCell="1" allowOverlap="1" wp14:anchorId="6E11D11D" wp14:editId="3C9044B0">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5D5925" w:rsidRPr="005D5925">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5648" behindDoc="0" locked="0" layoutInCell="1" allowOverlap="1" wp14:anchorId="56A27FA8" wp14:editId="33082873">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036A3" w:rsidRPr="004036A3">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9744" behindDoc="0" locked="0" layoutInCell="1" allowOverlap="1" wp14:anchorId="4FA5853B" wp14:editId="1BF50C17">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036A3" w:rsidRPr="004036A3">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31390140"/>
      <w:docPartObj>
        <w:docPartGallery w:val="Page Numbers (Bottom of Page)"/>
        <w:docPartUnique/>
      </w:docPartObj>
    </w:sdtPr>
    <w:sdtContent>
      <w:p w:rsidR="005D5925" w:rsidRDefault="005D5925">
        <w:pPr>
          <w:pStyle w:val="Footer"/>
          <w:jc w:val="right"/>
          <w:rPr>
            <w:lang w:val="es-ES"/>
          </w:rPr>
        </w:pPr>
      </w:p>
      <w:p w:rsidR="005D5925" w:rsidRDefault="005D5925"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2752" behindDoc="0" locked="0" layoutInCell="1" allowOverlap="1" wp14:anchorId="2FEE0604" wp14:editId="5969875E">
                  <wp:simplePos x="0" y="0"/>
                  <wp:positionH relativeFrom="column">
                    <wp:posOffset>1759602</wp:posOffset>
                  </wp:positionH>
                  <wp:positionV relativeFrom="paragraph">
                    <wp:posOffset>70485</wp:posOffset>
                  </wp:positionV>
                  <wp:extent cx="5155565" cy="45719"/>
                  <wp:effectExtent l="38100" t="38100" r="64135" b="88265"/>
                  <wp:wrapNone/>
                  <wp:docPr id="29"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B560E3" id="26 Rectángulo" o:spid="_x0000_s1026" style="position:absolute;margin-left:138.55pt;margin-top:5.55pt;width:405.95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OTcktQ+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5D5925" w:rsidRDefault="005D5925">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036A3" w:rsidRPr="004036A3">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5D5925" w:rsidRDefault="005D5925" w:rsidP="007D4651">
    <w:pPr>
      <w:pStyle w:val="Footer"/>
      <w:tabs>
        <w:tab w:val="clear" w:pos="4419"/>
        <w:tab w:val="clear" w:pos="8838"/>
        <w:tab w:val="left" w:pos="5777"/>
      </w:tabs>
    </w:pPr>
  </w:p>
  <w:p w:rsidR="005D5925" w:rsidRDefault="005D592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Footer"/>
          <w:jc w:val="right"/>
          <w:rPr>
            <w:lang w:val="es-ES"/>
          </w:rPr>
        </w:pPr>
      </w:p>
      <w:p w:rsidR="00AF68D3" w:rsidRDefault="00AF68D3" w:rsidP="007D4651">
        <w:pPr>
          <w:pStyle w:val="Footer"/>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83840" behindDoc="0" locked="0" layoutInCell="1" allowOverlap="1" wp14:anchorId="1A67760D" wp14:editId="0E28904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Footer"/>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036A3" w:rsidRPr="004036A3">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Footer"/>
      <w:tabs>
        <w:tab w:val="clear" w:pos="4419"/>
        <w:tab w:val="clear" w:pos="8838"/>
        <w:tab w:val="left" w:pos="5777"/>
      </w:tabs>
    </w:pPr>
  </w:p>
  <w:p w:rsidR="00AF68D3" w:rsidRDefault="00AF68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69" w:rsidRDefault="002D2969" w:rsidP="007D4651">
      <w:pPr>
        <w:spacing w:after="0" w:line="240" w:lineRule="auto"/>
      </w:pPr>
      <w:r>
        <w:separator/>
      </w:r>
    </w:p>
  </w:footnote>
  <w:footnote w:type="continuationSeparator" w:id="0">
    <w:p w:rsidR="002D2969" w:rsidRDefault="002D2969"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6608" behindDoc="1" locked="0" layoutInCell="1" allowOverlap="1" wp14:anchorId="0BD5A7E7" wp14:editId="1E96EE29">
          <wp:simplePos x="0" y="0"/>
          <wp:positionH relativeFrom="column">
            <wp:posOffset>-86360</wp:posOffset>
          </wp:positionH>
          <wp:positionV relativeFrom="paragraph">
            <wp:posOffset>-165718</wp:posOffset>
          </wp:positionV>
          <wp:extent cx="1697990" cy="914400"/>
          <wp:effectExtent l="0" t="0" r="0" b="0"/>
          <wp:wrapNone/>
          <wp:docPr id="14" name="Imagen 1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0A0A4F"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AF68D3">
      <w:rPr>
        <w:rFonts w:ascii="Times New Roman" w:hAnsi="Times New Roman" w:cs="Times New Roman"/>
        <w:color w:val="1F497D" w:themeColor="text2"/>
        <w:lang w:val="es-MX"/>
      </w:rPr>
      <w:t xml:space="preserve"> 2017</w:t>
    </w:r>
  </w:p>
  <w:p w:rsidR="00AF68D3" w:rsidRDefault="00AF4290" w:rsidP="007D4651">
    <w:pPr>
      <w:pStyle w:val="Header"/>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4560" behindDoc="0" locked="0" layoutInCell="1" allowOverlap="1" wp14:anchorId="1F3B58F0" wp14:editId="42CFB1F3">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9F164F" w:rsidRDefault="00AF68D3" w:rsidP="00E16925">
    <w:pPr>
      <w:pStyle w:val="Header"/>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9984" behindDoc="1" locked="0" layoutInCell="1" allowOverlap="1" wp14:anchorId="063E224A" wp14:editId="18B620C4">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Header"/>
      <w:jc w:val="right"/>
      <w:rPr>
        <w:rFonts w:ascii="Times New Roman" w:hAnsi="Times New Roman" w:cs="Times New Roman"/>
        <w:lang w:val="es-MX"/>
      </w:rPr>
    </w:pPr>
    <w:r>
      <w:rPr>
        <w:rFonts w:ascii="Times New Roman" w:hAnsi="Times New Roman" w:cs="Times New Roman"/>
        <w:noProof/>
        <w:color w:val="1F497D" w:themeColor="text2"/>
        <w:lang w:val="es-ES" w:eastAsia="es-ES"/>
      </w:rPr>
      <mc:AlternateContent>
        <mc:Choice Requires="wps">
          <w:drawing>
            <wp:anchor distT="0" distB="0" distL="114300" distR="114300" simplePos="0" relativeHeight="251696128" behindDoc="0" locked="0" layoutInCell="1" allowOverlap="1" wp14:anchorId="1E13B54E" wp14:editId="751F2A5A">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07392" behindDoc="1" locked="0" layoutInCell="1" allowOverlap="1" wp14:anchorId="000AA2AC" wp14:editId="330F4DD1">
          <wp:simplePos x="0" y="0"/>
          <wp:positionH relativeFrom="column">
            <wp:posOffset>-89849</wp:posOffset>
          </wp:positionH>
          <wp:positionV relativeFrom="paragraph">
            <wp:posOffset>-163027</wp:posOffset>
          </wp:positionV>
          <wp:extent cx="1697990" cy="914400"/>
          <wp:effectExtent l="0" t="0" r="0" b="0"/>
          <wp:wrapNone/>
          <wp:docPr id="33" name="Imagen 3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0A0A4F"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EB1910">
      <w:rPr>
        <w:rFonts w:ascii="Times New Roman" w:hAnsi="Times New Roman" w:cs="Times New Roman"/>
        <w:color w:val="1F497D" w:themeColor="text2"/>
        <w:lang w:val="es-MX"/>
      </w:rPr>
      <w:t xml:space="preserve"> 2017</w:t>
    </w:r>
  </w:p>
  <w:p w:rsidR="00EB1910" w:rsidRDefault="00EB1910" w:rsidP="007D4651">
    <w:pPr>
      <w:pStyle w:val="Header"/>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06368" behindDoc="0" locked="0" layoutInCell="1" allowOverlap="1" wp14:anchorId="6D2920A5" wp14:editId="5DD639A0">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Header"/>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Header"/>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8656" behindDoc="1" locked="0" layoutInCell="1" allowOverlap="1" wp14:anchorId="012F5838" wp14:editId="1057FBF7">
          <wp:simplePos x="0" y="0"/>
          <wp:positionH relativeFrom="column">
            <wp:posOffset>-58403</wp:posOffset>
          </wp:positionH>
          <wp:positionV relativeFrom="paragraph">
            <wp:posOffset>-162560</wp:posOffset>
          </wp:positionV>
          <wp:extent cx="1697990" cy="914400"/>
          <wp:effectExtent l="0" t="0" r="0" b="0"/>
          <wp:wrapNone/>
          <wp:docPr id="17"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0A0A4F"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AF68D3">
      <w:rPr>
        <w:rFonts w:ascii="Times New Roman" w:hAnsi="Times New Roman" w:cs="Times New Roman"/>
        <w:color w:val="1F497D" w:themeColor="text2"/>
        <w:lang w:val="es-MX"/>
      </w:rPr>
      <w:t xml:space="preserve"> 2017</w:t>
    </w:r>
  </w:p>
  <w:p w:rsidR="00AF68D3" w:rsidRDefault="00AF4290" w:rsidP="007D4651">
    <w:pPr>
      <w:pStyle w:val="Header"/>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2512" behindDoc="0" locked="0" layoutInCell="1" allowOverlap="1" wp14:anchorId="1A69FF3C" wp14:editId="6F71713B">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74624" behindDoc="1" locked="0" layoutInCell="1" allowOverlap="1" wp14:anchorId="05A7F739" wp14:editId="17C3ECAC">
          <wp:simplePos x="0" y="0"/>
          <wp:positionH relativeFrom="column">
            <wp:posOffset>-89849</wp:posOffset>
          </wp:positionH>
          <wp:positionV relativeFrom="paragraph">
            <wp:posOffset>-163027</wp:posOffset>
          </wp:positionV>
          <wp:extent cx="1697990" cy="914400"/>
          <wp:effectExtent l="0" t="0" r="0" b="0"/>
          <wp:wrapNone/>
          <wp:docPr id="42"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0A0A4F"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AF68D3">
      <w:rPr>
        <w:rFonts w:ascii="Times New Roman" w:hAnsi="Times New Roman" w:cs="Times New Roman"/>
        <w:color w:val="1F497D" w:themeColor="text2"/>
        <w:lang w:val="es-MX"/>
      </w:rPr>
      <w:t xml:space="preserve"> 2017</w:t>
    </w:r>
  </w:p>
  <w:p w:rsidR="00AF68D3" w:rsidRDefault="00AF68D3" w:rsidP="007D4651">
    <w:pPr>
      <w:pStyle w:val="Header"/>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73600" behindDoc="0" locked="0" layoutInCell="1" allowOverlap="1" wp14:anchorId="525B4758" wp14:editId="12CCD20A">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0704" behindDoc="1" locked="0" layoutInCell="1" allowOverlap="1" wp14:anchorId="5B048424" wp14:editId="574E340A">
          <wp:simplePos x="0" y="0"/>
          <wp:positionH relativeFrom="column">
            <wp:posOffset>-93997</wp:posOffset>
          </wp:positionH>
          <wp:positionV relativeFrom="paragraph">
            <wp:posOffset>-177800</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0A0A4F"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00AF68D3">
      <w:rPr>
        <w:rFonts w:ascii="Times New Roman" w:hAnsi="Times New Roman" w:cs="Times New Roman"/>
        <w:color w:val="1F497D" w:themeColor="text2"/>
        <w:lang w:val="es-MX"/>
      </w:rPr>
      <w:t xml:space="preserve"> 2017</w:t>
    </w:r>
  </w:p>
  <w:p w:rsidR="00AF68D3" w:rsidRPr="004A73AA" w:rsidRDefault="00AF4290" w:rsidP="007D4651">
    <w:pPr>
      <w:pStyle w:val="Header"/>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10464" behindDoc="0" locked="0" layoutInCell="1" allowOverlap="1" wp14:anchorId="6E2F511A" wp14:editId="28473ABF">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Header"/>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Header"/>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25" w:rsidRPr="007D4651" w:rsidRDefault="005D5925" w:rsidP="00BD3A7C">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4800" behindDoc="1" locked="0" layoutInCell="1" allowOverlap="1" wp14:anchorId="01C7FA39" wp14:editId="6FD713A0">
          <wp:simplePos x="0" y="0"/>
          <wp:positionH relativeFrom="column">
            <wp:posOffset>-93997</wp:posOffset>
          </wp:positionH>
          <wp:positionV relativeFrom="paragraph">
            <wp:posOffset>-177800</wp:posOffset>
          </wp:positionV>
          <wp:extent cx="1697990" cy="914400"/>
          <wp:effectExtent l="0" t="0" r="0" b="0"/>
          <wp:wrapNone/>
          <wp:docPr id="30"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5D5925" w:rsidRDefault="005D5925" w:rsidP="00BD3A7C">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 2017</w:t>
    </w:r>
  </w:p>
  <w:p w:rsidR="005D5925" w:rsidRPr="004A73AA" w:rsidRDefault="005D5925" w:rsidP="007D4651">
    <w:pPr>
      <w:pStyle w:val="Header"/>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23776" behindDoc="0" locked="0" layoutInCell="1" allowOverlap="1" wp14:anchorId="2918E6CD" wp14:editId="3B5B12D3">
              <wp:simplePos x="0" y="0"/>
              <wp:positionH relativeFrom="column">
                <wp:posOffset>1711308</wp:posOffset>
              </wp:positionH>
              <wp:positionV relativeFrom="paragraph">
                <wp:posOffset>12065</wp:posOffset>
              </wp:positionV>
              <wp:extent cx="5155894" cy="45719"/>
              <wp:effectExtent l="38100" t="38100" r="64135" b="88265"/>
              <wp:wrapNone/>
              <wp:docPr id="28"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E9A38" id="1 Rectángulo" o:spid="_x0000_s1026" style="position:absolute;margin-left:134.75pt;margin-top:.95pt;width:406pt;height:3.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nYP6T0DAACm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5D5925" w:rsidRPr="004A73AA" w:rsidRDefault="005D5925" w:rsidP="00E16925">
    <w:pPr>
      <w:pStyle w:val="Header"/>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5D5925" w:rsidRPr="007452E2" w:rsidRDefault="005D5925" w:rsidP="00E16925">
    <w:pPr>
      <w:pStyle w:val="Header"/>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Header"/>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2816" behindDoc="1" locked="0" layoutInCell="1" allowOverlap="1" wp14:anchorId="342B07A8" wp14:editId="71D18A4D">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8F4BCE" w:rsidP="007D4651">
    <w:pPr>
      <w:pStyle w:val="Header"/>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 2017</w:t>
    </w:r>
  </w:p>
  <w:p w:rsidR="00AF68D3" w:rsidRDefault="00AF68D3" w:rsidP="007D4651">
    <w:pPr>
      <w:pStyle w:val="Header"/>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81792" behindDoc="0" locked="0" layoutInCell="1" allowOverlap="1" wp14:anchorId="5B05AF1B" wp14:editId="041B7ECC">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Header"/>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Header"/>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9"/>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064C3"/>
    <w:rsid w:val="00013C63"/>
    <w:rsid w:val="00022E98"/>
    <w:rsid w:val="000378CF"/>
    <w:rsid w:val="00053517"/>
    <w:rsid w:val="000723B2"/>
    <w:rsid w:val="00072EEB"/>
    <w:rsid w:val="00076AD2"/>
    <w:rsid w:val="0008348D"/>
    <w:rsid w:val="00087ADE"/>
    <w:rsid w:val="000A0A4F"/>
    <w:rsid w:val="000C1547"/>
    <w:rsid w:val="000D016D"/>
    <w:rsid w:val="000D2FA4"/>
    <w:rsid w:val="00102939"/>
    <w:rsid w:val="00111B77"/>
    <w:rsid w:val="001178B6"/>
    <w:rsid w:val="001259BA"/>
    <w:rsid w:val="00133DBA"/>
    <w:rsid w:val="00136D08"/>
    <w:rsid w:val="00152798"/>
    <w:rsid w:val="00157402"/>
    <w:rsid w:val="00160EAC"/>
    <w:rsid w:val="00171909"/>
    <w:rsid w:val="001735EE"/>
    <w:rsid w:val="00185253"/>
    <w:rsid w:val="00196A44"/>
    <w:rsid w:val="001A3185"/>
    <w:rsid w:val="001C2FF5"/>
    <w:rsid w:val="001C3649"/>
    <w:rsid w:val="001D46C3"/>
    <w:rsid w:val="001D5A5B"/>
    <w:rsid w:val="001E0E10"/>
    <w:rsid w:val="001E0F86"/>
    <w:rsid w:val="001F4F78"/>
    <w:rsid w:val="001F5240"/>
    <w:rsid w:val="001F7141"/>
    <w:rsid w:val="00200FB1"/>
    <w:rsid w:val="00202594"/>
    <w:rsid w:val="002101C9"/>
    <w:rsid w:val="00213C92"/>
    <w:rsid w:val="002335EE"/>
    <w:rsid w:val="0023642A"/>
    <w:rsid w:val="00240D86"/>
    <w:rsid w:val="00242202"/>
    <w:rsid w:val="00244AAA"/>
    <w:rsid w:val="002512EC"/>
    <w:rsid w:val="00262E76"/>
    <w:rsid w:val="00264C3A"/>
    <w:rsid w:val="002672D5"/>
    <w:rsid w:val="00270CAB"/>
    <w:rsid w:val="00276250"/>
    <w:rsid w:val="00276A28"/>
    <w:rsid w:val="00281439"/>
    <w:rsid w:val="00281FB7"/>
    <w:rsid w:val="0029321A"/>
    <w:rsid w:val="00296D57"/>
    <w:rsid w:val="002B7644"/>
    <w:rsid w:val="002C482A"/>
    <w:rsid w:val="002C68B8"/>
    <w:rsid w:val="002D2969"/>
    <w:rsid w:val="002D54E6"/>
    <w:rsid w:val="002E3F4C"/>
    <w:rsid w:val="002F2A42"/>
    <w:rsid w:val="00302D40"/>
    <w:rsid w:val="0032198D"/>
    <w:rsid w:val="00322ECC"/>
    <w:rsid w:val="00334324"/>
    <w:rsid w:val="00343A5D"/>
    <w:rsid w:val="00345216"/>
    <w:rsid w:val="0034700C"/>
    <w:rsid w:val="0035279B"/>
    <w:rsid w:val="003531E5"/>
    <w:rsid w:val="003551C3"/>
    <w:rsid w:val="00364DD6"/>
    <w:rsid w:val="00367E12"/>
    <w:rsid w:val="00374D44"/>
    <w:rsid w:val="00376802"/>
    <w:rsid w:val="00376FE9"/>
    <w:rsid w:val="0038008D"/>
    <w:rsid w:val="00381A4F"/>
    <w:rsid w:val="00385BA8"/>
    <w:rsid w:val="00393E59"/>
    <w:rsid w:val="0039499F"/>
    <w:rsid w:val="003968DB"/>
    <w:rsid w:val="003A3726"/>
    <w:rsid w:val="003B13B4"/>
    <w:rsid w:val="003B1A93"/>
    <w:rsid w:val="003C3922"/>
    <w:rsid w:val="003C7085"/>
    <w:rsid w:val="003D05CE"/>
    <w:rsid w:val="003D38A7"/>
    <w:rsid w:val="003D60E4"/>
    <w:rsid w:val="003E28F4"/>
    <w:rsid w:val="003E591D"/>
    <w:rsid w:val="003F0660"/>
    <w:rsid w:val="003F4609"/>
    <w:rsid w:val="0040361C"/>
    <w:rsid w:val="004036A3"/>
    <w:rsid w:val="00413FBE"/>
    <w:rsid w:val="00416D41"/>
    <w:rsid w:val="0042387A"/>
    <w:rsid w:val="00443336"/>
    <w:rsid w:val="00443621"/>
    <w:rsid w:val="00447F4F"/>
    <w:rsid w:val="00450531"/>
    <w:rsid w:val="00452A5A"/>
    <w:rsid w:val="004575BA"/>
    <w:rsid w:val="004606FD"/>
    <w:rsid w:val="00464DB9"/>
    <w:rsid w:val="004650C5"/>
    <w:rsid w:val="00474EC2"/>
    <w:rsid w:val="00483632"/>
    <w:rsid w:val="0048385B"/>
    <w:rsid w:val="00494BC6"/>
    <w:rsid w:val="00494D1D"/>
    <w:rsid w:val="00495F43"/>
    <w:rsid w:val="004A3D32"/>
    <w:rsid w:val="004A6705"/>
    <w:rsid w:val="004A73AA"/>
    <w:rsid w:val="004B336D"/>
    <w:rsid w:val="004B4B9F"/>
    <w:rsid w:val="004B5B0F"/>
    <w:rsid w:val="004C208F"/>
    <w:rsid w:val="004C3B4E"/>
    <w:rsid w:val="004D1F76"/>
    <w:rsid w:val="004D7482"/>
    <w:rsid w:val="004E358C"/>
    <w:rsid w:val="004E4FDE"/>
    <w:rsid w:val="004F4F4D"/>
    <w:rsid w:val="004F72F9"/>
    <w:rsid w:val="005004C9"/>
    <w:rsid w:val="005016F6"/>
    <w:rsid w:val="005077A5"/>
    <w:rsid w:val="005364DE"/>
    <w:rsid w:val="005428C6"/>
    <w:rsid w:val="00544E9A"/>
    <w:rsid w:val="00546650"/>
    <w:rsid w:val="00573AB0"/>
    <w:rsid w:val="005755E9"/>
    <w:rsid w:val="005879A5"/>
    <w:rsid w:val="0059421A"/>
    <w:rsid w:val="005948F0"/>
    <w:rsid w:val="005979EB"/>
    <w:rsid w:val="005A03A9"/>
    <w:rsid w:val="005A1EFC"/>
    <w:rsid w:val="005A6ACE"/>
    <w:rsid w:val="005B0E84"/>
    <w:rsid w:val="005B1B53"/>
    <w:rsid w:val="005B6D05"/>
    <w:rsid w:val="005D2336"/>
    <w:rsid w:val="005D5925"/>
    <w:rsid w:val="005E7E89"/>
    <w:rsid w:val="0060094A"/>
    <w:rsid w:val="00606D70"/>
    <w:rsid w:val="00610F84"/>
    <w:rsid w:val="00623EC9"/>
    <w:rsid w:val="00625AA5"/>
    <w:rsid w:val="00632EE6"/>
    <w:rsid w:val="00640B12"/>
    <w:rsid w:val="0064258A"/>
    <w:rsid w:val="00643FB6"/>
    <w:rsid w:val="00651522"/>
    <w:rsid w:val="006525C5"/>
    <w:rsid w:val="006553D6"/>
    <w:rsid w:val="00660888"/>
    <w:rsid w:val="006630B2"/>
    <w:rsid w:val="00665BB7"/>
    <w:rsid w:val="006668D4"/>
    <w:rsid w:val="0066791B"/>
    <w:rsid w:val="00670F33"/>
    <w:rsid w:val="00674EAE"/>
    <w:rsid w:val="00676765"/>
    <w:rsid w:val="006817CD"/>
    <w:rsid w:val="00685C3A"/>
    <w:rsid w:val="006A1473"/>
    <w:rsid w:val="006B0D82"/>
    <w:rsid w:val="006D1857"/>
    <w:rsid w:val="006D7B6E"/>
    <w:rsid w:val="006D7BB6"/>
    <w:rsid w:val="006E1D11"/>
    <w:rsid w:val="006E27A5"/>
    <w:rsid w:val="006E4937"/>
    <w:rsid w:val="006E63F3"/>
    <w:rsid w:val="006F157C"/>
    <w:rsid w:val="006F20A4"/>
    <w:rsid w:val="006F3FF3"/>
    <w:rsid w:val="006F7575"/>
    <w:rsid w:val="00715C88"/>
    <w:rsid w:val="00715D8F"/>
    <w:rsid w:val="00725F93"/>
    <w:rsid w:val="0073437F"/>
    <w:rsid w:val="00741591"/>
    <w:rsid w:val="00741F6B"/>
    <w:rsid w:val="007452E2"/>
    <w:rsid w:val="00747C79"/>
    <w:rsid w:val="00754057"/>
    <w:rsid w:val="00762FE3"/>
    <w:rsid w:val="0076667B"/>
    <w:rsid w:val="00784AF8"/>
    <w:rsid w:val="007859CD"/>
    <w:rsid w:val="007A6523"/>
    <w:rsid w:val="007A7814"/>
    <w:rsid w:val="007B26CD"/>
    <w:rsid w:val="007B3D0C"/>
    <w:rsid w:val="007B720C"/>
    <w:rsid w:val="007C0C8C"/>
    <w:rsid w:val="007C4E46"/>
    <w:rsid w:val="007D0566"/>
    <w:rsid w:val="007D38A9"/>
    <w:rsid w:val="007D4651"/>
    <w:rsid w:val="007D7CFE"/>
    <w:rsid w:val="007E314A"/>
    <w:rsid w:val="007E6F28"/>
    <w:rsid w:val="007F6F57"/>
    <w:rsid w:val="008010A6"/>
    <w:rsid w:val="00804E1C"/>
    <w:rsid w:val="00810A4C"/>
    <w:rsid w:val="00813E3C"/>
    <w:rsid w:val="0081609E"/>
    <w:rsid w:val="008277A9"/>
    <w:rsid w:val="00842FFE"/>
    <w:rsid w:val="008501C7"/>
    <w:rsid w:val="00851B4B"/>
    <w:rsid w:val="00861640"/>
    <w:rsid w:val="008718E5"/>
    <w:rsid w:val="008844B1"/>
    <w:rsid w:val="00891B11"/>
    <w:rsid w:val="00892181"/>
    <w:rsid w:val="00892DE1"/>
    <w:rsid w:val="008A2427"/>
    <w:rsid w:val="008E5C4F"/>
    <w:rsid w:val="008E7869"/>
    <w:rsid w:val="008F312E"/>
    <w:rsid w:val="008F4BCE"/>
    <w:rsid w:val="008F5DBB"/>
    <w:rsid w:val="00910163"/>
    <w:rsid w:val="00916532"/>
    <w:rsid w:val="00924E88"/>
    <w:rsid w:val="00942163"/>
    <w:rsid w:val="00950874"/>
    <w:rsid w:val="00964466"/>
    <w:rsid w:val="00965F44"/>
    <w:rsid w:val="00972FCF"/>
    <w:rsid w:val="009742A8"/>
    <w:rsid w:val="00981FB0"/>
    <w:rsid w:val="00986297"/>
    <w:rsid w:val="0099341E"/>
    <w:rsid w:val="00993857"/>
    <w:rsid w:val="00997A06"/>
    <w:rsid w:val="009A12F9"/>
    <w:rsid w:val="009A3187"/>
    <w:rsid w:val="009A47FE"/>
    <w:rsid w:val="009A5380"/>
    <w:rsid w:val="009B7148"/>
    <w:rsid w:val="009C0583"/>
    <w:rsid w:val="009C0B93"/>
    <w:rsid w:val="009C361A"/>
    <w:rsid w:val="009C3938"/>
    <w:rsid w:val="009C4027"/>
    <w:rsid w:val="009D0D94"/>
    <w:rsid w:val="009D25F9"/>
    <w:rsid w:val="009D2C22"/>
    <w:rsid w:val="009D72CF"/>
    <w:rsid w:val="009F164F"/>
    <w:rsid w:val="009F1C62"/>
    <w:rsid w:val="009F628A"/>
    <w:rsid w:val="00A25906"/>
    <w:rsid w:val="00A26C76"/>
    <w:rsid w:val="00A305E5"/>
    <w:rsid w:val="00A32AA1"/>
    <w:rsid w:val="00A34635"/>
    <w:rsid w:val="00A64AE4"/>
    <w:rsid w:val="00A706A2"/>
    <w:rsid w:val="00A7383F"/>
    <w:rsid w:val="00A74F16"/>
    <w:rsid w:val="00A775C6"/>
    <w:rsid w:val="00A875EE"/>
    <w:rsid w:val="00A900E8"/>
    <w:rsid w:val="00A92D6E"/>
    <w:rsid w:val="00A970F8"/>
    <w:rsid w:val="00AA11B9"/>
    <w:rsid w:val="00AA54A5"/>
    <w:rsid w:val="00AA6C6B"/>
    <w:rsid w:val="00AA7DB0"/>
    <w:rsid w:val="00AB2522"/>
    <w:rsid w:val="00AC7961"/>
    <w:rsid w:val="00AE2039"/>
    <w:rsid w:val="00AE50A8"/>
    <w:rsid w:val="00AF4290"/>
    <w:rsid w:val="00AF68D3"/>
    <w:rsid w:val="00AF7ACE"/>
    <w:rsid w:val="00B05AC1"/>
    <w:rsid w:val="00B136D6"/>
    <w:rsid w:val="00B21010"/>
    <w:rsid w:val="00B26014"/>
    <w:rsid w:val="00B2709E"/>
    <w:rsid w:val="00B5079C"/>
    <w:rsid w:val="00B57AAB"/>
    <w:rsid w:val="00B57CED"/>
    <w:rsid w:val="00B667BC"/>
    <w:rsid w:val="00B84995"/>
    <w:rsid w:val="00B86812"/>
    <w:rsid w:val="00B9286A"/>
    <w:rsid w:val="00B95BBF"/>
    <w:rsid w:val="00BA3920"/>
    <w:rsid w:val="00BC2768"/>
    <w:rsid w:val="00BC4F9E"/>
    <w:rsid w:val="00BC7539"/>
    <w:rsid w:val="00BC79C1"/>
    <w:rsid w:val="00BD3A7C"/>
    <w:rsid w:val="00BD4961"/>
    <w:rsid w:val="00BF2610"/>
    <w:rsid w:val="00C074EF"/>
    <w:rsid w:val="00C15AC4"/>
    <w:rsid w:val="00C33674"/>
    <w:rsid w:val="00C41470"/>
    <w:rsid w:val="00C646C4"/>
    <w:rsid w:val="00C76463"/>
    <w:rsid w:val="00C85696"/>
    <w:rsid w:val="00C9002C"/>
    <w:rsid w:val="00C91204"/>
    <w:rsid w:val="00C922D7"/>
    <w:rsid w:val="00C935C2"/>
    <w:rsid w:val="00CA3008"/>
    <w:rsid w:val="00CA57D4"/>
    <w:rsid w:val="00CA6173"/>
    <w:rsid w:val="00CA65FF"/>
    <w:rsid w:val="00CB0938"/>
    <w:rsid w:val="00CC2800"/>
    <w:rsid w:val="00CC3420"/>
    <w:rsid w:val="00CC547C"/>
    <w:rsid w:val="00CC60FF"/>
    <w:rsid w:val="00CD7760"/>
    <w:rsid w:val="00CE13DA"/>
    <w:rsid w:val="00CF0F94"/>
    <w:rsid w:val="00CF2D98"/>
    <w:rsid w:val="00CF5AB1"/>
    <w:rsid w:val="00CF73B4"/>
    <w:rsid w:val="00D01738"/>
    <w:rsid w:val="00D1383A"/>
    <w:rsid w:val="00D24DA4"/>
    <w:rsid w:val="00D26F28"/>
    <w:rsid w:val="00D30D15"/>
    <w:rsid w:val="00D32839"/>
    <w:rsid w:val="00D33EE3"/>
    <w:rsid w:val="00D40769"/>
    <w:rsid w:val="00D4202F"/>
    <w:rsid w:val="00D43052"/>
    <w:rsid w:val="00D466D2"/>
    <w:rsid w:val="00D50ABF"/>
    <w:rsid w:val="00D51EBD"/>
    <w:rsid w:val="00D532B4"/>
    <w:rsid w:val="00D616E2"/>
    <w:rsid w:val="00D63CFC"/>
    <w:rsid w:val="00D66D34"/>
    <w:rsid w:val="00D716E4"/>
    <w:rsid w:val="00D73D1A"/>
    <w:rsid w:val="00D75C74"/>
    <w:rsid w:val="00D858E5"/>
    <w:rsid w:val="00DA53C7"/>
    <w:rsid w:val="00DA5809"/>
    <w:rsid w:val="00DA7B48"/>
    <w:rsid w:val="00DB2350"/>
    <w:rsid w:val="00DB4551"/>
    <w:rsid w:val="00DC44CF"/>
    <w:rsid w:val="00DC6DE1"/>
    <w:rsid w:val="00DD01C5"/>
    <w:rsid w:val="00DD23C0"/>
    <w:rsid w:val="00DD4AB3"/>
    <w:rsid w:val="00DD4D5D"/>
    <w:rsid w:val="00DF3C7A"/>
    <w:rsid w:val="00DF71A8"/>
    <w:rsid w:val="00E02A24"/>
    <w:rsid w:val="00E16925"/>
    <w:rsid w:val="00E3382E"/>
    <w:rsid w:val="00E3492D"/>
    <w:rsid w:val="00E3753A"/>
    <w:rsid w:val="00E42E28"/>
    <w:rsid w:val="00E43BF3"/>
    <w:rsid w:val="00E45C4B"/>
    <w:rsid w:val="00E47525"/>
    <w:rsid w:val="00E47F91"/>
    <w:rsid w:val="00E5126C"/>
    <w:rsid w:val="00E545F1"/>
    <w:rsid w:val="00E63798"/>
    <w:rsid w:val="00E7442E"/>
    <w:rsid w:val="00E82188"/>
    <w:rsid w:val="00E825A1"/>
    <w:rsid w:val="00E85293"/>
    <w:rsid w:val="00E94F03"/>
    <w:rsid w:val="00EA37FC"/>
    <w:rsid w:val="00EB0687"/>
    <w:rsid w:val="00EB0FC5"/>
    <w:rsid w:val="00EB1910"/>
    <w:rsid w:val="00EB317F"/>
    <w:rsid w:val="00EB335D"/>
    <w:rsid w:val="00EB62F2"/>
    <w:rsid w:val="00ED2C29"/>
    <w:rsid w:val="00ED7253"/>
    <w:rsid w:val="00EE02F0"/>
    <w:rsid w:val="00EE72DB"/>
    <w:rsid w:val="00EF56F9"/>
    <w:rsid w:val="00F10A29"/>
    <w:rsid w:val="00F10ACE"/>
    <w:rsid w:val="00F16658"/>
    <w:rsid w:val="00F20D0D"/>
    <w:rsid w:val="00F229CE"/>
    <w:rsid w:val="00F27024"/>
    <w:rsid w:val="00F341FB"/>
    <w:rsid w:val="00F47088"/>
    <w:rsid w:val="00F644EA"/>
    <w:rsid w:val="00F75C84"/>
    <w:rsid w:val="00F762E5"/>
    <w:rsid w:val="00F76491"/>
    <w:rsid w:val="00FA3B81"/>
    <w:rsid w:val="00FA5DE4"/>
    <w:rsid w:val="00FA5E7B"/>
    <w:rsid w:val="00FB2C2F"/>
    <w:rsid w:val="00FC3884"/>
    <w:rsid w:val="00FD61B9"/>
    <w:rsid w:val="00FE56B8"/>
    <w:rsid w:val="00FE65DB"/>
    <w:rsid w:val="00FE6FD3"/>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D9829"/>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6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4651"/>
  </w:style>
  <w:style w:type="paragraph" w:styleId="Footer">
    <w:name w:val="footer"/>
    <w:basedOn w:val="Normal"/>
    <w:link w:val="FooterChar"/>
    <w:uiPriority w:val="99"/>
    <w:unhideWhenUsed/>
    <w:rsid w:val="007D46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4651"/>
  </w:style>
  <w:style w:type="paragraph" w:styleId="NoSpacing">
    <w:name w:val="No Spacing"/>
    <w:link w:val="NoSpacingChar"/>
    <w:uiPriority w:val="1"/>
    <w:qFormat/>
    <w:rsid w:val="007D4651"/>
    <w:pPr>
      <w:spacing w:after="0" w:line="240" w:lineRule="auto"/>
    </w:pPr>
  </w:style>
  <w:style w:type="character" w:customStyle="1" w:styleId="NoSpacingChar">
    <w:name w:val="No Spacing Char"/>
    <w:basedOn w:val="DefaultParagraphFont"/>
    <w:link w:val="NoSpacing"/>
    <w:uiPriority w:val="1"/>
    <w:locked/>
    <w:rsid w:val="007D4651"/>
  </w:style>
  <w:style w:type="paragraph" w:styleId="FootnoteText">
    <w:name w:val="footnote text"/>
    <w:aliases w:val="Texto nota pie Car Car Car Car Car Car,Texto nota pie Car Car Car Car Car Car Car,Texto nota pie Car Car Car Car Car Car Ca"/>
    <w:basedOn w:val="Normal"/>
    <w:link w:val="FootnoteTextChar"/>
    <w:uiPriority w:val="99"/>
    <w:unhideWhenUsed/>
    <w:rsid w:val="00FA3B81"/>
    <w:pPr>
      <w:spacing w:after="0" w:line="240" w:lineRule="auto"/>
    </w:pPr>
    <w:rPr>
      <w:sz w:val="20"/>
      <w:szCs w:val="20"/>
    </w:rPr>
  </w:style>
  <w:style w:type="character" w:customStyle="1" w:styleId="FootnoteTextChar">
    <w:name w:val="Footnote Text Char"/>
    <w:aliases w:val="Texto nota pie Car Car Car Car Car Car Char,Texto nota pie Car Car Car Car Car Car Car Char,Texto nota pie Car Car Car Car Car Car Ca Char"/>
    <w:basedOn w:val="DefaultParagraphFont"/>
    <w:link w:val="FootnoteText"/>
    <w:uiPriority w:val="99"/>
    <w:rsid w:val="00FA3B81"/>
    <w:rPr>
      <w:sz w:val="20"/>
      <w:szCs w:val="20"/>
    </w:rPr>
  </w:style>
  <w:style w:type="character" w:styleId="FootnoteReference">
    <w:name w:val="footnote reference"/>
    <w:basedOn w:val="DefaultParagraphFont"/>
    <w:uiPriority w:val="99"/>
    <w:semiHidden/>
    <w:unhideWhenUsed/>
    <w:rsid w:val="00FA3B81"/>
    <w:rPr>
      <w:vertAlign w:val="superscript"/>
    </w:rPr>
  </w:style>
  <w:style w:type="table" w:styleId="TableGrid">
    <w:name w:val="Table Grid"/>
    <w:basedOn w:val="Table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header" Target="header6.xml"/><Relationship Id="rId36"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4.emf"/><Relationship Id="rId27" Type="http://schemas.openxmlformats.org/officeDocument/2006/relationships/image" Target="media/image6.png"/><Relationship Id="rId30" Type="http://schemas.openxmlformats.org/officeDocument/2006/relationships/chart" Target="charts/chart6.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G:\Trabajo\2017%20Nueva%20maquina\Excel\SItuaci&#243;n%20Financiera\Sitfin%20al%20310817%20(060917).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0"/>
    <c:plotArea>
      <c:layout>
        <c:manualLayout>
          <c:layoutTarget val="inner"/>
          <c:xMode val="edge"/>
          <c:yMode val="edge"/>
          <c:x val="0.14463336345251926"/>
          <c:y val="8.1491563554555682E-2"/>
          <c:w val="0.76077277225592699"/>
          <c:h val="0.82869891263592055"/>
        </c:manualLayout>
      </c:layout>
      <c:radarChart>
        <c:radarStyle val="marker"/>
        <c:varyColors val="0"/>
        <c:ser>
          <c:idx val="0"/>
          <c:order val="0"/>
          <c:tx>
            <c:strRef>
              <c:f>Hoja1!$B$1</c:f>
              <c:strCache>
                <c:ptCount val="1"/>
                <c:pt idx="0">
                  <c:v>Obs</c:v>
                </c:pt>
              </c:strCache>
            </c:strRef>
          </c:tx>
          <c:spPr>
            <a:ln w="19050">
              <a:solidFill>
                <a:schemeClr val="tx1"/>
              </a:solidFill>
              <a:prstDash val="sysDash"/>
            </a:ln>
          </c:spPr>
          <c:marker>
            <c:symbol val="none"/>
          </c:marker>
          <c:dLbls>
            <c:dLbl>
              <c:idx val="0"/>
              <c:layout>
                <c:manualLayout>
                  <c:x val="0.1169842949959124"/>
                  <c:y val="6.1421072365954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86-495E-AEFF-AE286C18916A}"/>
                </c:ext>
              </c:extLst>
            </c:dLbl>
            <c:dLbl>
              <c:idx val="1"/>
              <c:layout>
                <c:manualLayout>
                  <c:x val="0.15737704918032788"/>
                  <c:y val="-2.9123359580052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86-495E-AEFF-AE286C18916A}"/>
                </c:ext>
              </c:extLst>
            </c:dLbl>
            <c:dLbl>
              <c:idx val="2"/>
              <c:layout>
                <c:manualLayout>
                  <c:x val="2.9520295202952029E-2"/>
                  <c:y val="6.44122383252817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86-495E-AEFF-AE286C18916A}"/>
                </c:ext>
              </c:extLst>
            </c:dLbl>
            <c:dLbl>
              <c:idx val="3"/>
              <c:layout>
                <c:manualLayout>
                  <c:x val="-8.2559958693687874E-2"/>
                  <c:y val="9.52380952380952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86-495E-AEFF-AE286C18916A}"/>
                </c:ext>
              </c:extLst>
            </c:dLbl>
            <c:dLbl>
              <c:idx val="4"/>
              <c:layout>
                <c:manualLayout>
                  <c:x val="-9.0400290548560136E-2"/>
                  <c:y val="7.5807948248893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86-495E-AEFF-AE286C18916A}"/>
                </c:ext>
              </c:extLst>
            </c:dLbl>
            <c:dLbl>
              <c:idx val="5"/>
              <c:layout>
                <c:manualLayout>
                  <c:x val="-8.7963856976894281E-2"/>
                  <c:y val="-3.8647169103862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86-495E-AEFF-AE286C18916A}"/>
                </c:ext>
              </c:extLst>
            </c:dLbl>
            <c:dLbl>
              <c:idx val="6"/>
              <c:layout>
                <c:manualLayout>
                  <c:x val="-1.196416068533516E-2"/>
                  <c:y val="4.5528574662432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86-495E-AEFF-AE286C18916A}"/>
                </c:ext>
              </c:extLst>
            </c:dLbl>
            <c:spPr>
              <a:noFill/>
              <a:ln>
                <a:noFill/>
              </a:ln>
              <a:effectLst/>
            </c:spPr>
            <c:txPr>
              <a:bodyPr/>
              <a:lstStyle/>
              <a:p>
                <a:pPr>
                  <a:defRPr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Hoja1!$A$2:$A$9</c:f>
              <c:strCache>
                <c:ptCount val="8"/>
                <c:pt idx="0">
                  <c:v>Ene</c:v>
                </c:pt>
                <c:pt idx="1">
                  <c:v>Feb</c:v>
                </c:pt>
                <c:pt idx="2">
                  <c:v>Mar</c:v>
                </c:pt>
                <c:pt idx="3">
                  <c:v>Abr</c:v>
                </c:pt>
                <c:pt idx="4">
                  <c:v>May</c:v>
                </c:pt>
                <c:pt idx="5">
                  <c:v>Jun</c:v>
                </c:pt>
                <c:pt idx="6">
                  <c:v>Jul</c:v>
                </c:pt>
                <c:pt idx="7">
                  <c:v>Ago</c:v>
                </c:pt>
              </c:strCache>
            </c:strRef>
          </c:cat>
          <c:val>
            <c:numRef>
              <c:f>Hoja1!$B$2:$B$9</c:f>
              <c:numCache>
                <c:formatCode>_(* #,##0.0_);_(* \(#,##0.0\);_(* "-"??_);_(@_)</c:formatCode>
                <c:ptCount val="8"/>
                <c:pt idx="0">
                  <c:v>5263.6985960700003</c:v>
                </c:pt>
                <c:pt idx="1">
                  <c:v>3619.0174597299997</c:v>
                </c:pt>
                <c:pt idx="2">
                  <c:v>4894.5504783299984</c:v>
                </c:pt>
                <c:pt idx="3">
                  <c:v>5742.6185616599987</c:v>
                </c:pt>
                <c:pt idx="4">
                  <c:v>3936.2514973800003</c:v>
                </c:pt>
                <c:pt idx="5">
                  <c:v>4629.6755531199988</c:v>
                </c:pt>
                <c:pt idx="6">
                  <c:v>6253.4757642500008</c:v>
                </c:pt>
                <c:pt idx="7">
                  <c:v>4053.5</c:v>
                </c:pt>
              </c:numCache>
            </c:numRef>
          </c:val>
          <c:extLst>
            <c:ext xmlns:c16="http://schemas.microsoft.com/office/drawing/2014/chart" uri="{C3380CC4-5D6E-409C-BE32-E72D297353CC}">
              <c16:uniqueId val="{00000007-0086-495E-AEFF-AE286C18916A}"/>
            </c:ext>
          </c:extLst>
        </c:ser>
        <c:ser>
          <c:idx val="1"/>
          <c:order val="1"/>
          <c:tx>
            <c:strRef>
              <c:f>Hoja1!$C$1</c:f>
              <c:strCache>
                <c:ptCount val="1"/>
                <c:pt idx="0">
                  <c:v>Meta</c:v>
                </c:pt>
              </c:strCache>
            </c:strRef>
          </c:tx>
          <c:spPr>
            <a:ln w="15875">
              <a:solidFill>
                <a:srgbClr val="FF0000"/>
              </a:solidFill>
              <a:prstDash val="solid"/>
            </a:ln>
          </c:spPr>
          <c:marker>
            <c:symbol val="none"/>
          </c:marker>
          <c:dLbls>
            <c:dLbl>
              <c:idx val="0"/>
              <c:layout>
                <c:manualLayout>
                  <c:x val="0.11479024138376145"/>
                  <c:y val="-2.6340082489688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86-495E-AEFF-AE286C18916A}"/>
                </c:ext>
              </c:extLst>
            </c:dLbl>
            <c:dLbl>
              <c:idx val="1"/>
              <c:layout>
                <c:manualLayout>
                  <c:x val="0.14974708489307689"/>
                  <c:y val="-0.14987401574803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86-495E-AEFF-AE286C18916A}"/>
                </c:ext>
              </c:extLst>
            </c:dLbl>
            <c:dLbl>
              <c:idx val="2"/>
              <c:layout>
                <c:manualLayout>
                  <c:x val="2.9520244395680049E-2"/>
                  <c:y val="-5.34851893513310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086-495E-AEFF-AE286C18916A}"/>
                </c:ext>
              </c:extLst>
            </c:dLbl>
            <c:dLbl>
              <c:idx val="3"/>
              <c:layout>
                <c:manualLayout>
                  <c:x val="8.2305742452664171E-2"/>
                  <c:y val="-4.4947761483194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086-495E-AEFF-AE286C18916A}"/>
                </c:ext>
              </c:extLst>
            </c:dLbl>
            <c:dLbl>
              <c:idx val="4"/>
              <c:layout>
                <c:manualLayout>
                  <c:x val="8.491993065774045E-2"/>
                  <c:y val="8.2629647983978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086-495E-AEFF-AE286C18916A}"/>
                </c:ext>
              </c:extLst>
            </c:dLbl>
            <c:dLbl>
              <c:idx val="5"/>
              <c:layout>
                <c:manualLayout>
                  <c:x val="-7.1058560302912951E-2"/>
                  <c:y val="0.101104236970378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086-495E-AEFF-AE286C18916A}"/>
                </c:ext>
              </c:extLst>
            </c:dLbl>
            <c:dLbl>
              <c:idx val="6"/>
              <c:layout>
                <c:manualLayout>
                  <c:x val="1.7486338797814208E-2"/>
                  <c:y val="-2.8571428571428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086-495E-AEFF-AE286C18916A}"/>
                </c:ext>
              </c:extLst>
            </c:dLbl>
            <c:dLbl>
              <c:idx val="7"/>
              <c:layout>
                <c:manualLayout>
                  <c:x val="9.5102234902519778E-3"/>
                  <c:y val="-4.1440041440041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086-495E-AEFF-AE286C18916A}"/>
                </c:ext>
              </c:extLst>
            </c:dLbl>
            <c:spPr>
              <a:noFill/>
              <a:ln>
                <a:noFill/>
              </a:ln>
              <a:effectLst/>
            </c:spPr>
            <c:txPr>
              <a:bodyPr/>
              <a:lstStyle/>
              <a:p>
                <a:pPr>
                  <a:defRPr b="1">
                    <a:solidFill>
                      <a:srgbClr val="FF0000"/>
                    </a:solidFill>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Hoja1!$A$2:$A$9</c:f>
              <c:strCache>
                <c:ptCount val="8"/>
                <c:pt idx="0">
                  <c:v>Ene</c:v>
                </c:pt>
                <c:pt idx="1">
                  <c:v>Feb</c:v>
                </c:pt>
                <c:pt idx="2">
                  <c:v>Mar</c:v>
                </c:pt>
                <c:pt idx="3">
                  <c:v>Abr</c:v>
                </c:pt>
                <c:pt idx="4">
                  <c:v>May</c:v>
                </c:pt>
                <c:pt idx="5">
                  <c:v>Jun</c:v>
                </c:pt>
                <c:pt idx="6">
                  <c:v>Jul</c:v>
                </c:pt>
                <c:pt idx="7">
                  <c:v>Ago</c:v>
                </c:pt>
              </c:strCache>
            </c:strRef>
          </c:cat>
          <c:val>
            <c:numRef>
              <c:f>Hoja1!$C$2:$C$9</c:f>
              <c:numCache>
                <c:formatCode>_(* #,##0.0_);_(* \(#,##0.0\);_(* "-"??_);_(@_)</c:formatCode>
                <c:ptCount val="8"/>
                <c:pt idx="0">
                  <c:v>5627.4079276378061</c:v>
                </c:pt>
                <c:pt idx="1">
                  <c:v>3792.9570322124555</c:v>
                </c:pt>
                <c:pt idx="2">
                  <c:v>5023.2423792012787</c:v>
                </c:pt>
                <c:pt idx="3">
                  <c:v>5710.1174957668418</c:v>
                </c:pt>
                <c:pt idx="4">
                  <c:v>4071.0732233766971</c:v>
                </c:pt>
                <c:pt idx="5">
                  <c:v>4193.5379882839652</c:v>
                </c:pt>
                <c:pt idx="6">
                  <c:v>6563.8447263014104</c:v>
                </c:pt>
                <c:pt idx="7">
                  <c:v>4189</c:v>
                </c:pt>
              </c:numCache>
            </c:numRef>
          </c:val>
          <c:extLst>
            <c:ext xmlns:c16="http://schemas.microsoft.com/office/drawing/2014/chart" uri="{C3380CC4-5D6E-409C-BE32-E72D297353CC}">
              <c16:uniqueId val="{00000010-0086-495E-AEFF-AE286C18916A}"/>
            </c:ext>
          </c:extLst>
        </c:ser>
        <c:dLbls>
          <c:showLegendKey val="0"/>
          <c:showVal val="0"/>
          <c:showCatName val="0"/>
          <c:showSerName val="0"/>
          <c:showPercent val="0"/>
          <c:showBubbleSize val="0"/>
        </c:dLbls>
        <c:axId val="191588224"/>
        <c:axId val="191589760"/>
      </c:radarChart>
      <c:catAx>
        <c:axId val="191588224"/>
        <c:scaling>
          <c:orientation val="minMax"/>
        </c:scaling>
        <c:delete val="0"/>
        <c:axPos val="b"/>
        <c:majorGridlines/>
        <c:numFmt formatCode="General" sourceLinked="1"/>
        <c:majorTickMark val="out"/>
        <c:minorTickMark val="none"/>
        <c:tickLblPos val="nextTo"/>
        <c:txPr>
          <a:bodyPr/>
          <a:lstStyle/>
          <a:p>
            <a:pPr>
              <a:defRPr b="1"/>
            </a:pPr>
            <a:endParaRPr lang="es-ES"/>
          </a:p>
        </c:txPr>
        <c:crossAx val="191589760"/>
        <c:crosses val="autoZero"/>
        <c:auto val="1"/>
        <c:lblAlgn val="ctr"/>
        <c:lblOffset val="100"/>
        <c:noMultiLvlLbl val="0"/>
      </c:catAx>
      <c:valAx>
        <c:axId val="191589760"/>
        <c:scaling>
          <c:orientation val="minMax"/>
        </c:scaling>
        <c:delete val="0"/>
        <c:axPos val="l"/>
        <c:numFmt formatCode="#,##0" sourceLinked="0"/>
        <c:majorTickMark val="out"/>
        <c:minorTickMark val="none"/>
        <c:tickLblPos val="nextTo"/>
        <c:txPr>
          <a:bodyPr/>
          <a:lstStyle/>
          <a:p>
            <a:pPr>
              <a:defRPr sz="600" b="1"/>
            </a:pPr>
            <a:endParaRPr lang="es-ES"/>
          </a:p>
        </c:txPr>
        <c:crossAx val="191588224"/>
        <c:crosses val="autoZero"/>
        <c:crossBetween val="between"/>
      </c:valAx>
      <c:spPr>
        <a:noFill/>
        <a:ln w="25400">
          <a:noFill/>
        </a:ln>
      </c:spPr>
    </c:plotArea>
    <c:legend>
      <c:legendPos val="b"/>
      <c:layout>
        <c:manualLayout>
          <c:xMode val="edge"/>
          <c:yMode val="edge"/>
          <c:x val="0.69953857407168363"/>
          <c:y val="0.87120884889388839"/>
          <c:w val="0.29455772126844804"/>
          <c:h val="0.12416818485924554"/>
        </c:manualLayout>
      </c:layout>
      <c:overlay val="0"/>
      <c:txPr>
        <a:bodyPr/>
        <a:lstStyle/>
        <a:p>
          <a:pPr>
            <a:defRPr b="1"/>
          </a:pPr>
          <a:endParaRPr lang="es-ES"/>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255905511811"/>
          <c:y val="5.0925925925925923E-2"/>
          <c:w val="0.86743263342082244"/>
          <c:h val="0.89814814814814814"/>
        </c:manualLayout>
      </c:layout>
      <c:lineChart>
        <c:grouping val="standard"/>
        <c:varyColors val="0"/>
        <c:ser>
          <c:idx val="0"/>
          <c:order val="0"/>
          <c:tx>
            <c:strRef>
              <c:f>Sheet1!$G$15</c:f>
              <c:strCache>
                <c:ptCount val="1"/>
                <c:pt idx="0">
                  <c:v>2017/2016</c:v>
                </c:pt>
              </c:strCache>
            </c:strRef>
          </c:tx>
          <c:spPr>
            <a:ln w="28575" cap="rnd">
              <a:solidFill>
                <a:srgbClr val="FF0000"/>
              </a:solidFill>
              <a:round/>
            </a:ln>
            <a:effectLst/>
          </c:spPr>
          <c:marker>
            <c:symbol val="none"/>
          </c:marker>
          <c:dLbls>
            <c:numFmt formatCode="0.0%" sourceLinked="0"/>
            <c:spPr>
              <a:noFill/>
              <a:ln>
                <a:noFill/>
              </a:ln>
              <a:effectLst/>
            </c:spPr>
            <c:txPr>
              <a:bodyPr rot="0" spcFirstLastPara="1" vertOverflow="ellipsis" vert="horz" wrap="square" anchor="ctr" anchorCtr="1"/>
              <a:lstStyle/>
              <a:p>
                <a:pPr>
                  <a:defRPr sz="6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Sheet1!$F$16:$F$23</c:f>
              <c:strCache>
                <c:ptCount val="8"/>
                <c:pt idx="0">
                  <c:v>Enero</c:v>
                </c:pt>
                <c:pt idx="1">
                  <c:v>Febrero</c:v>
                </c:pt>
                <c:pt idx="2">
                  <c:v>Marzo </c:v>
                </c:pt>
                <c:pt idx="3">
                  <c:v>Abril</c:v>
                </c:pt>
                <c:pt idx="4">
                  <c:v>Mayo</c:v>
                </c:pt>
                <c:pt idx="5">
                  <c:v>Junio</c:v>
                </c:pt>
                <c:pt idx="6">
                  <c:v>Julio</c:v>
                </c:pt>
                <c:pt idx="7">
                  <c:v>Agosto</c:v>
                </c:pt>
              </c:strCache>
            </c:strRef>
          </c:cat>
          <c:val>
            <c:numRef>
              <c:f>Sheet1!$G$16:$G$23</c:f>
              <c:numCache>
                <c:formatCode>0.00%</c:formatCode>
                <c:ptCount val="8"/>
                <c:pt idx="0">
                  <c:v>8.6999999999999994E-2</c:v>
                </c:pt>
                <c:pt idx="1">
                  <c:v>7.9000000000000001E-2</c:v>
                </c:pt>
                <c:pt idx="2">
                  <c:v>9.7000000000000003E-2</c:v>
                </c:pt>
                <c:pt idx="3">
                  <c:v>6.9000000000000006E-2</c:v>
                </c:pt>
                <c:pt idx="4">
                  <c:v>5.2999999999999999E-2</c:v>
                </c:pt>
                <c:pt idx="5">
                  <c:v>7.3999999999999996E-2</c:v>
                </c:pt>
                <c:pt idx="6">
                  <c:v>7.0999999999999994E-2</c:v>
                </c:pt>
                <c:pt idx="7">
                  <c:v>7.0000000000000007E-2</c:v>
                </c:pt>
              </c:numCache>
            </c:numRef>
          </c:val>
          <c:smooth val="0"/>
          <c:extLst>
            <c:ext xmlns:c16="http://schemas.microsoft.com/office/drawing/2014/chart" uri="{C3380CC4-5D6E-409C-BE32-E72D297353CC}">
              <c16:uniqueId val="{00000000-F61A-4356-B568-3CA57D7F6942}"/>
            </c:ext>
          </c:extLst>
        </c:ser>
        <c:ser>
          <c:idx val="1"/>
          <c:order val="1"/>
          <c:tx>
            <c:strRef>
              <c:f>Sheet1!$H$15</c:f>
              <c:strCache>
                <c:ptCount val="1"/>
                <c:pt idx="0">
                  <c:v>2016/2015</c:v>
                </c:pt>
              </c:strCache>
            </c:strRef>
          </c:tx>
          <c:spPr>
            <a:ln w="28575" cap="rnd">
              <a:solidFill>
                <a:schemeClr val="accent1">
                  <a:lumMod val="75000"/>
                </a:schemeClr>
              </a:solidFill>
              <a:round/>
            </a:ln>
            <a:effectLst/>
          </c:spPr>
          <c:marker>
            <c:symbol val="none"/>
          </c:marker>
          <c:dLbls>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Sheet1!$F$16:$F$23</c:f>
              <c:strCache>
                <c:ptCount val="8"/>
                <c:pt idx="0">
                  <c:v>Enero</c:v>
                </c:pt>
                <c:pt idx="1">
                  <c:v>Febrero</c:v>
                </c:pt>
                <c:pt idx="2">
                  <c:v>Marzo </c:v>
                </c:pt>
                <c:pt idx="3">
                  <c:v>Abril</c:v>
                </c:pt>
                <c:pt idx="4">
                  <c:v>Mayo</c:v>
                </c:pt>
                <c:pt idx="5">
                  <c:v>Junio</c:v>
                </c:pt>
                <c:pt idx="6">
                  <c:v>Julio</c:v>
                </c:pt>
                <c:pt idx="7">
                  <c:v>Agosto</c:v>
                </c:pt>
              </c:strCache>
            </c:strRef>
          </c:cat>
          <c:val>
            <c:numRef>
              <c:f>Sheet1!$H$16:$H$23</c:f>
              <c:numCache>
                <c:formatCode>0.00%</c:formatCode>
                <c:ptCount val="8"/>
                <c:pt idx="0">
                  <c:v>-2.3E-2</c:v>
                </c:pt>
                <c:pt idx="1">
                  <c:v>4.0000000000000001E-3</c:v>
                </c:pt>
                <c:pt idx="2" formatCode="0%">
                  <c:v>-0.01</c:v>
                </c:pt>
                <c:pt idx="3">
                  <c:v>2E-3</c:v>
                </c:pt>
                <c:pt idx="4">
                  <c:v>2.8000000000000001E-2</c:v>
                </c:pt>
                <c:pt idx="5" formatCode="0%">
                  <c:v>0.03</c:v>
                </c:pt>
                <c:pt idx="6">
                  <c:v>2.1000000000000001E-2</c:v>
                </c:pt>
                <c:pt idx="7">
                  <c:v>3.1E-2</c:v>
                </c:pt>
              </c:numCache>
            </c:numRef>
          </c:val>
          <c:smooth val="0"/>
          <c:extLst>
            <c:ext xmlns:c16="http://schemas.microsoft.com/office/drawing/2014/chart" uri="{C3380CC4-5D6E-409C-BE32-E72D297353CC}">
              <c16:uniqueId val="{00000001-F61A-4356-B568-3CA57D7F6942}"/>
            </c:ext>
          </c:extLst>
        </c:ser>
        <c:dLbls>
          <c:showLegendKey val="0"/>
          <c:showVal val="1"/>
          <c:showCatName val="0"/>
          <c:showSerName val="0"/>
          <c:showPercent val="0"/>
          <c:showBubbleSize val="0"/>
        </c:dLbls>
        <c:smooth val="0"/>
        <c:axId val="674739008"/>
        <c:axId val="674739664"/>
      </c:lineChart>
      <c:catAx>
        <c:axId val="6747390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74739664"/>
        <c:crosses val="autoZero"/>
        <c:auto val="1"/>
        <c:lblAlgn val="ctr"/>
        <c:lblOffset val="100"/>
        <c:noMultiLvlLbl val="0"/>
      </c:catAx>
      <c:valAx>
        <c:axId val="674739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674739008"/>
        <c:crosses val="autoZero"/>
        <c:crossBetween val="between"/>
      </c:valAx>
      <c:spPr>
        <a:noFill/>
        <a:ln>
          <a:noFill/>
        </a:ln>
        <a:effectLst/>
      </c:spPr>
    </c:plotArea>
    <c:legend>
      <c:legendPos val="r"/>
      <c:layout>
        <c:manualLayout>
          <c:xMode val="edge"/>
          <c:yMode val="edge"/>
          <c:x val="0.57851700420471697"/>
          <c:y val="0.74015935210951245"/>
          <c:w val="0.37501394707972485"/>
          <c:h val="0.1562510936132983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13670166229223"/>
          <c:y val="3.8648813906185658E-2"/>
          <c:w val="0.86743263342082244"/>
          <c:h val="0.8685750652008436"/>
        </c:manualLayout>
      </c:layout>
      <c:lineChart>
        <c:grouping val="standard"/>
        <c:varyColors val="0"/>
        <c:ser>
          <c:idx val="0"/>
          <c:order val="0"/>
          <c:tx>
            <c:strRef>
              <c:f>Sheet1!$G$28</c:f>
              <c:strCache>
                <c:ptCount val="1"/>
                <c:pt idx="0">
                  <c:v>2017/2016</c:v>
                </c:pt>
              </c:strCache>
            </c:strRef>
          </c:tx>
          <c:spPr>
            <a:ln>
              <a:solidFill>
                <a:srgbClr val="FF0000"/>
              </a:solidFill>
            </a:ln>
          </c:spPr>
          <c:marker>
            <c:symbol val="none"/>
          </c:marker>
          <c:dLbls>
            <c:numFmt formatCode="0.0%" sourceLinked="0"/>
            <c:spPr>
              <a:noFill/>
              <a:ln>
                <a:noFill/>
              </a:ln>
              <a:effectLst/>
            </c:spPr>
            <c:txPr>
              <a:bodyPr rot="0" vert="horz"/>
              <a:lstStyle/>
              <a:p>
                <a:pPr>
                  <a:defRPr sz="600">
                    <a:solidFill>
                      <a:srgbClr val="FF0000"/>
                    </a:solidFill>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Sheet1!$F$29:$F$36</c:f>
              <c:strCache>
                <c:ptCount val="8"/>
                <c:pt idx="0">
                  <c:v>Enero</c:v>
                </c:pt>
                <c:pt idx="1">
                  <c:v>Febrero</c:v>
                </c:pt>
                <c:pt idx="2">
                  <c:v>Marzo </c:v>
                </c:pt>
                <c:pt idx="3">
                  <c:v>Abril</c:v>
                </c:pt>
                <c:pt idx="4">
                  <c:v>Mayo</c:v>
                </c:pt>
                <c:pt idx="5">
                  <c:v>Junio</c:v>
                </c:pt>
                <c:pt idx="6">
                  <c:v>Julio</c:v>
                </c:pt>
                <c:pt idx="7">
                  <c:v>Agosto</c:v>
                </c:pt>
              </c:strCache>
            </c:strRef>
          </c:cat>
          <c:val>
            <c:numRef>
              <c:f>Sheet1!$G$29:$G$36</c:f>
              <c:numCache>
                <c:formatCode>0.00%</c:formatCode>
                <c:ptCount val="8"/>
                <c:pt idx="0">
                  <c:v>0.14699999999999999</c:v>
                </c:pt>
                <c:pt idx="1">
                  <c:v>0.154</c:v>
                </c:pt>
                <c:pt idx="2">
                  <c:v>0.159</c:v>
                </c:pt>
                <c:pt idx="3">
                  <c:v>0.19700000000000001</c:v>
                </c:pt>
                <c:pt idx="4">
                  <c:v>6.6000000000000003E-2</c:v>
                </c:pt>
                <c:pt idx="5">
                  <c:v>9.5000000000000001E-2</c:v>
                </c:pt>
                <c:pt idx="6">
                  <c:v>4.5999999999999999E-2</c:v>
                </c:pt>
                <c:pt idx="7">
                  <c:v>2.1000000000000001E-2</c:v>
                </c:pt>
              </c:numCache>
            </c:numRef>
          </c:val>
          <c:smooth val="0"/>
          <c:extLst>
            <c:ext xmlns:c16="http://schemas.microsoft.com/office/drawing/2014/chart" uri="{C3380CC4-5D6E-409C-BE32-E72D297353CC}">
              <c16:uniqueId val="{00000000-635D-4703-942F-660594F66207}"/>
            </c:ext>
          </c:extLst>
        </c:ser>
        <c:ser>
          <c:idx val="1"/>
          <c:order val="1"/>
          <c:tx>
            <c:strRef>
              <c:f>Sheet1!$H$28</c:f>
              <c:strCache>
                <c:ptCount val="1"/>
                <c:pt idx="0">
                  <c:v>2016/2015</c:v>
                </c:pt>
              </c:strCache>
            </c:strRef>
          </c:tx>
          <c:spPr>
            <a:ln>
              <a:solidFill>
                <a:schemeClr val="accent5"/>
              </a:solidFill>
            </a:ln>
          </c:spPr>
          <c:marker>
            <c:symbol val="none"/>
          </c:marker>
          <c:dLbls>
            <c:numFmt formatCode="0.0%" sourceLinked="0"/>
            <c:spPr>
              <a:noFill/>
              <a:ln>
                <a:noFill/>
              </a:ln>
              <a:effectLst/>
            </c:spPr>
            <c:txPr>
              <a:bodyPr rot="0" vert="horz"/>
              <a:lstStyle/>
              <a:p>
                <a:pPr>
                  <a:defRPr sz="600">
                    <a:solidFill>
                      <a:schemeClr val="tx2"/>
                    </a:solidFill>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Sheet1!$F$29:$F$36</c:f>
              <c:strCache>
                <c:ptCount val="8"/>
                <c:pt idx="0">
                  <c:v>Enero</c:v>
                </c:pt>
                <c:pt idx="1">
                  <c:v>Febrero</c:v>
                </c:pt>
                <c:pt idx="2">
                  <c:v>Marzo </c:v>
                </c:pt>
                <c:pt idx="3">
                  <c:v>Abril</c:v>
                </c:pt>
                <c:pt idx="4">
                  <c:v>Mayo</c:v>
                </c:pt>
                <c:pt idx="5">
                  <c:v>Junio</c:v>
                </c:pt>
                <c:pt idx="6">
                  <c:v>Julio</c:v>
                </c:pt>
                <c:pt idx="7">
                  <c:v>Agosto</c:v>
                </c:pt>
              </c:strCache>
            </c:strRef>
          </c:cat>
          <c:val>
            <c:numRef>
              <c:f>Sheet1!$H$29:$H$36</c:f>
              <c:numCache>
                <c:formatCode>0.00%</c:formatCode>
                <c:ptCount val="8"/>
                <c:pt idx="0">
                  <c:v>2.5999999999999999E-2</c:v>
                </c:pt>
                <c:pt idx="1">
                  <c:v>-4.4999999999999998E-2</c:v>
                </c:pt>
                <c:pt idx="2" formatCode="0%">
                  <c:v>2E-3</c:v>
                </c:pt>
                <c:pt idx="3">
                  <c:v>1.2E-2</c:v>
                </c:pt>
                <c:pt idx="4">
                  <c:v>0.11899999999999999</c:v>
                </c:pt>
                <c:pt idx="5" formatCode="0%">
                  <c:v>0.13200000000000001</c:v>
                </c:pt>
                <c:pt idx="6">
                  <c:v>0.17599999999999999</c:v>
                </c:pt>
                <c:pt idx="7">
                  <c:v>0.19400000000000001</c:v>
                </c:pt>
              </c:numCache>
            </c:numRef>
          </c:val>
          <c:smooth val="0"/>
          <c:extLst>
            <c:ext xmlns:c16="http://schemas.microsoft.com/office/drawing/2014/chart" uri="{C3380CC4-5D6E-409C-BE32-E72D297353CC}">
              <c16:uniqueId val="{00000001-635D-4703-942F-660594F66207}"/>
            </c:ext>
          </c:extLst>
        </c:ser>
        <c:dLbls>
          <c:showLegendKey val="0"/>
          <c:showVal val="1"/>
          <c:showCatName val="0"/>
          <c:showSerName val="0"/>
          <c:showPercent val="0"/>
          <c:showBubbleSize val="0"/>
        </c:dLbls>
        <c:smooth val="0"/>
        <c:axId val="674739008"/>
        <c:axId val="674739664"/>
      </c:lineChart>
      <c:catAx>
        <c:axId val="6747390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600"/>
            </a:pPr>
            <a:endParaRPr lang="es-ES"/>
          </a:p>
        </c:txPr>
        <c:crossAx val="674739664"/>
        <c:crosses val="autoZero"/>
        <c:auto val="1"/>
        <c:lblAlgn val="ctr"/>
        <c:lblOffset val="100"/>
        <c:noMultiLvlLbl val="0"/>
      </c:catAx>
      <c:valAx>
        <c:axId val="674739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sz="700"/>
            </a:pPr>
            <a:endParaRPr lang="es-ES"/>
          </a:p>
        </c:txPr>
        <c:crossAx val="674739008"/>
        <c:crosses val="autoZero"/>
        <c:crossBetween val="between"/>
      </c:valAx>
    </c:plotArea>
    <c:legend>
      <c:legendPos val="r"/>
      <c:layout>
        <c:manualLayout>
          <c:xMode val="edge"/>
          <c:yMode val="edge"/>
          <c:x val="0.68312946259748908"/>
          <c:y val="0.74015935210951245"/>
          <c:w val="0.28942193566745666"/>
          <c:h val="0.15625109361329836"/>
        </c:manualLayout>
      </c:layout>
      <c:overlay val="0"/>
      <c:spPr>
        <a:noFill/>
        <a:ln>
          <a:noFill/>
        </a:ln>
        <a:effectLst/>
      </c:spPr>
      <c:txPr>
        <a:bodyPr rot="0" vert="horz"/>
        <a:lstStyle/>
        <a:p>
          <a:pPr>
            <a:defRPr sz="700"/>
          </a:pPr>
          <a:endParaRPr lang="es-E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73502108952121"/>
          <c:y val="2.3466878695323226E-2"/>
          <c:w val="0.75051979204751162"/>
          <c:h val="0.91062046403452235"/>
        </c:manualLayout>
      </c:layout>
      <c:barChart>
        <c:barDir val="bar"/>
        <c:grouping val="clustered"/>
        <c:varyColors val="0"/>
        <c:ser>
          <c:idx val="0"/>
          <c:order val="0"/>
          <c:tx>
            <c:strRef>
              <c:f>Sheet1!$B$1</c:f>
              <c:strCache>
                <c:ptCount val="1"/>
                <c:pt idx="0">
                  <c:v>2017-2016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Sheet1!$A$2:$A$19</c:f>
              <c:strCache>
                <c:ptCount val="18"/>
                <c:pt idx="0">
                  <c:v>IVA imp</c:v>
                </c:pt>
                <c:pt idx="1">
                  <c:v>ISO</c:v>
                </c:pt>
                <c:pt idx="2">
                  <c:v>Petróleo</c:v>
                </c:pt>
                <c:pt idx="3">
                  <c:v>DAI</c:v>
                </c:pt>
                <c:pt idx="4">
                  <c:v>Vehículos</c:v>
                </c:pt>
                <c:pt idx="5">
                  <c:v>IPRIMA</c:v>
                </c:pt>
                <c:pt idx="6">
                  <c:v>IVA dom</c:v>
                </c:pt>
                <c:pt idx="7">
                  <c:v>Tabacos</c:v>
                </c:pt>
                <c:pt idx="8">
                  <c:v>Salidas</c:v>
                </c:pt>
                <c:pt idx="9">
                  <c:v>Bebidas</c:v>
                </c:pt>
                <c:pt idx="10">
                  <c:v>Otros</c:v>
                </c:pt>
                <c:pt idx="11">
                  <c:v>Cemento</c:v>
                </c:pt>
                <c:pt idx="12">
                  <c:v>IEMA</c:v>
                </c:pt>
                <c:pt idx="13">
                  <c:v>Regalías</c:v>
                </c:pt>
                <c:pt idx="14">
                  <c:v>Propiedad</c:v>
                </c:pt>
                <c:pt idx="15">
                  <c:v>IETAAP</c:v>
                </c:pt>
                <c:pt idx="16">
                  <c:v>Timbres</c:v>
                </c:pt>
                <c:pt idx="17">
                  <c:v>ISR</c:v>
                </c:pt>
              </c:strCache>
            </c:strRef>
          </c:cat>
          <c:val>
            <c:numRef>
              <c:f>Sheet1!$B$2:$B$19</c:f>
              <c:numCache>
                <c:formatCode>#,##0.0</c:formatCode>
                <c:ptCount val="18"/>
                <c:pt idx="0">
                  <c:v>390.14529670999946</c:v>
                </c:pt>
                <c:pt idx="1">
                  <c:v>189.83954055999948</c:v>
                </c:pt>
                <c:pt idx="2">
                  <c:v>53.683133810000072</c:v>
                </c:pt>
                <c:pt idx="3">
                  <c:v>70.660790940000197</c:v>
                </c:pt>
                <c:pt idx="4">
                  <c:v>49.356739430000061</c:v>
                </c:pt>
                <c:pt idx="5">
                  <c:v>-20.216805710000017</c:v>
                </c:pt>
                <c:pt idx="6">
                  <c:v>725.84376242000053</c:v>
                </c:pt>
                <c:pt idx="7">
                  <c:v>-19.471257670000057</c:v>
                </c:pt>
                <c:pt idx="8">
                  <c:v>14.329460089999998</c:v>
                </c:pt>
                <c:pt idx="9">
                  <c:v>6.694260409999913</c:v>
                </c:pt>
                <c:pt idx="10">
                  <c:v>0.72904553000000138</c:v>
                </c:pt>
                <c:pt idx="11">
                  <c:v>-5.2883477599999935</c:v>
                </c:pt>
                <c:pt idx="12">
                  <c:v>4.4590739300000006</c:v>
                </c:pt>
                <c:pt idx="13">
                  <c:v>37.949298800000022</c:v>
                </c:pt>
                <c:pt idx="14">
                  <c:v>7.9873539299999994</c:v>
                </c:pt>
                <c:pt idx="15">
                  <c:v>22.574160940000002</c:v>
                </c:pt>
                <c:pt idx="16">
                  <c:v>130.58086665999997</c:v>
                </c:pt>
                <c:pt idx="17">
                  <c:v>238.13278750000063</c:v>
                </c:pt>
              </c:numCache>
            </c:numRef>
          </c:val>
          <c:extLst>
            <c:ext xmlns:c16="http://schemas.microsoft.com/office/drawing/2014/chart" uri="{C3380CC4-5D6E-409C-BE32-E72D297353CC}">
              <c16:uniqueId val="{00000000-C1EF-4D37-B6AD-C3CEA025E679}"/>
            </c:ext>
          </c:extLst>
        </c:ser>
        <c:ser>
          <c:idx val="1"/>
          <c:order val="1"/>
          <c:tx>
            <c:strRef>
              <c:f>Sheet1!$C$1</c:f>
              <c:strCache>
                <c:ptCount val="1"/>
                <c:pt idx="0">
                  <c:v>2017-Pres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Sheet1!$A$2:$A$19</c:f>
              <c:strCache>
                <c:ptCount val="18"/>
                <c:pt idx="0">
                  <c:v>IVA imp</c:v>
                </c:pt>
                <c:pt idx="1">
                  <c:v>ISO</c:v>
                </c:pt>
                <c:pt idx="2">
                  <c:v>Petróleo</c:v>
                </c:pt>
                <c:pt idx="3">
                  <c:v>DAI</c:v>
                </c:pt>
                <c:pt idx="4">
                  <c:v>Vehículos</c:v>
                </c:pt>
                <c:pt idx="5">
                  <c:v>IPRIMA</c:v>
                </c:pt>
                <c:pt idx="6">
                  <c:v>IVA dom</c:v>
                </c:pt>
                <c:pt idx="7">
                  <c:v>Tabacos</c:v>
                </c:pt>
                <c:pt idx="8">
                  <c:v>Salidas</c:v>
                </c:pt>
                <c:pt idx="9">
                  <c:v>Bebidas</c:v>
                </c:pt>
                <c:pt idx="10">
                  <c:v>Otros</c:v>
                </c:pt>
                <c:pt idx="11">
                  <c:v>Cemento</c:v>
                </c:pt>
                <c:pt idx="12">
                  <c:v>IEMA</c:v>
                </c:pt>
                <c:pt idx="13">
                  <c:v>Regalías</c:v>
                </c:pt>
                <c:pt idx="14">
                  <c:v>Propiedad</c:v>
                </c:pt>
                <c:pt idx="15">
                  <c:v>IETAAP</c:v>
                </c:pt>
                <c:pt idx="16">
                  <c:v>Timbres</c:v>
                </c:pt>
                <c:pt idx="17">
                  <c:v>ISR</c:v>
                </c:pt>
              </c:strCache>
            </c:strRef>
          </c:cat>
          <c:val>
            <c:numRef>
              <c:f>Sheet1!$C$2:$C$19</c:f>
              <c:numCache>
                <c:formatCode>#,##0.0</c:formatCode>
                <c:ptCount val="18"/>
                <c:pt idx="0">
                  <c:v>-484.33824111000104</c:v>
                </c:pt>
                <c:pt idx="1">
                  <c:v>-328.38090764000071</c:v>
                </c:pt>
                <c:pt idx="2">
                  <c:v>-156.98065510000015</c:v>
                </c:pt>
                <c:pt idx="3">
                  <c:v>-136.56849167999962</c:v>
                </c:pt>
                <c:pt idx="4">
                  <c:v>-79.086884480000094</c:v>
                </c:pt>
                <c:pt idx="5">
                  <c:v>-61.870299530000011</c:v>
                </c:pt>
                <c:pt idx="6">
                  <c:v>-50.61783706999995</c:v>
                </c:pt>
                <c:pt idx="7">
                  <c:v>-42.151184990000047</c:v>
                </c:pt>
                <c:pt idx="8">
                  <c:v>-41.361334220997065</c:v>
                </c:pt>
                <c:pt idx="9">
                  <c:v>-40.410749690000159</c:v>
                </c:pt>
                <c:pt idx="10">
                  <c:v>0.85012991000000104</c:v>
                </c:pt>
                <c:pt idx="11">
                  <c:v>3.4040799899999996</c:v>
                </c:pt>
                <c:pt idx="12">
                  <c:v>5.4088777500000003</c:v>
                </c:pt>
                <c:pt idx="13">
                  <c:v>6.9510278154505158</c:v>
                </c:pt>
                <c:pt idx="14">
                  <c:v>7.00289772</c:v>
                </c:pt>
                <c:pt idx="15">
                  <c:v>23.478097140000003</c:v>
                </c:pt>
                <c:pt idx="16">
                  <c:v>52.260558290000006</c:v>
                </c:pt>
                <c:pt idx="17">
                  <c:v>560.10005791000003</c:v>
                </c:pt>
              </c:numCache>
            </c:numRef>
          </c:val>
          <c:extLst>
            <c:ext xmlns:c16="http://schemas.microsoft.com/office/drawing/2014/chart" uri="{C3380CC4-5D6E-409C-BE32-E72D297353CC}">
              <c16:uniqueId val="{00000001-C1EF-4D37-B6AD-C3CEA025E679}"/>
            </c:ext>
          </c:extLst>
        </c:ser>
        <c:dLbls>
          <c:showLegendKey val="0"/>
          <c:showVal val="0"/>
          <c:showCatName val="0"/>
          <c:showSerName val="0"/>
          <c:showPercent val="0"/>
          <c:showBubbleSize val="0"/>
        </c:dLbls>
        <c:gapWidth val="247"/>
        <c:axId val="479968712"/>
        <c:axId val="479968384"/>
      </c:barChart>
      <c:catAx>
        <c:axId val="4799687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79968384"/>
        <c:crosses val="autoZero"/>
        <c:auto val="1"/>
        <c:lblAlgn val="ctr"/>
        <c:lblOffset val="100"/>
        <c:noMultiLvlLbl val="0"/>
      </c:catAx>
      <c:valAx>
        <c:axId val="479968384"/>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crossAx val="479968712"/>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0705361999625471"/>
          <c:y val="2.6356236164429635E-2"/>
          <c:w val="0.26426159923667525"/>
          <c:h val="0.1195512371451789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lt1"/>
    </a:solid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12314085739282"/>
          <c:y val="2.8194444444444459E-2"/>
          <c:w val="0.76452974628171477"/>
          <c:h val="0.89614938757655294"/>
        </c:manualLayout>
      </c:layout>
      <c:barChart>
        <c:barDir val="bar"/>
        <c:grouping val="clustered"/>
        <c:varyColors val="0"/>
        <c:ser>
          <c:idx val="0"/>
          <c:order val="0"/>
          <c:tx>
            <c:strRef>
              <c:f>'Cuota mes'!$C$74</c:f>
              <c:strCache>
                <c:ptCount val="1"/>
                <c:pt idx="0">
                  <c:v>-4.20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'Cuota mes'!$B$75:$B$93</c:f>
              <c:strCache>
                <c:ptCount val="18"/>
                <c:pt idx="0">
                  <c:v>Cultura</c:v>
                </c:pt>
                <c:pt idx="1">
                  <c:v>Energía</c:v>
                </c:pt>
                <c:pt idx="2">
                  <c:v>Desarrollo</c:v>
                </c:pt>
                <c:pt idx="3">
                  <c:v>Educación </c:v>
                </c:pt>
                <c:pt idx="4">
                  <c:v>Deuda Pública</c:v>
                </c:pt>
                <c:pt idx="5">
                  <c:v>Trabajo </c:v>
                </c:pt>
                <c:pt idx="6">
                  <c:v>Presidencia</c:v>
                </c:pt>
                <c:pt idx="7">
                  <c:v>Gobernación</c:v>
                </c:pt>
                <c:pt idx="8">
                  <c:v>Economía</c:v>
                </c:pt>
                <c:pt idx="9">
                  <c:v>PGN</c:v>
                </c:pt>
                <c:pt idx="10">
                  <c:v>MINREX</c:v>
                </c:pt>
                <c:pt idx="11">
                  <c:v>Salud Pública </c:v>
                </c:pt>
                <c:pt idx="12">
                  <c:v>Ambiente </c:v>
                </c:pt>
                <c:pt idx="13">
                  <c:v>Secretarías</c:v>
                </c:pt>
                <c:pt idx="14">
                  <c:v>Defensa </c:v>
                </c:pt>
                <c:pt idx="15">
                  <c:v>Agricultura</c:v>
                </c:pt>
                <c:pt idx="16">
                  <c:v>Comunicaciones</c:v>
                </c:pt>
                <c:pt idx="17">
                  <c:v>Finanzas</c:v>
                </c:pt>
              </c:strCache>
            </c:strRef>
          </c:cat>
          <c:val>
            <c:numRef>
              <c:f>'Cuota mes'!$C$75:$C$93</c:f>
              <c:numCache>
                <c:formatCode>_(* #,##0.00_);_(* \(#,##0.00\);_(* "-"??_);_(@_)</c:formatCode>
                <c:ptCount val="19"/>
                <c:pt idx="0">
                  <c:v>-4.151728135698022</c:v>
                </c:pt>
                <c:pt idx="1">
                  <c:v>-2.5435847560875686</c:v>
                </c:pt>
                <c:pt idx="2">
                  <c:v>-2.1177683457076171</c:v>
                </c:pt>
                <c:pt idx="3">
                  <c:v>-1.4087859248052297</c:v>
                </c:pt>
                <c:pt idx="4">
                  <c:v>-0.92794653825470164</c:v>
                </c:pt>
                <c:pt idx="5">
                  <c:v>-0.56778671299493055</c:v>
                </c:pt>
                <c:pt idx="6">
                  <c:v>9.7440131634712657E-2</c:v>
                </c:pt>
                <c:pt idx="7">
                  <c:v>0.57090317705895188</c:v>
                </c:pt>
                <c:pt idx="8">
                  <c:v>1.811984373678996</c:v>
                </c:pt>
                <c:pt idx="9">
                  <c:v>2.2743591587682204</c:v>
                </c:pt>
                <c:pt idx="10">
                  <c:v>2.5679727779536421</c:v>
                </c:pt>
                <c:pt idx="11">
                  <c:v>3.6968232271375854</c:v>
                </c:pt>
                <c:pt idx="12">
                  <c:v>3.7193199606119833</c:v>
                </c:pt>
                <c:pt idx="13">
                  <c:v>4.3016189994170304</c:v>
                </c:pt>
                <c:pt idx="14">
                  <c:v>5.0212521700729837</c:v>
                </c:pt>
                <c:pt idx="15">
                  <c:v>5.4082591175360051</c:v>
                </c:pt>
                <c:pt idx="16">
                  <c:v>7.4940765865893724</c:v>
                </c:pt>
                <c:pt idx="17">
                  <c:v>16.382985459999546</c:v>
                </c:pt>
              </c:numCache>
            </c:numRef>
          </c:val>
          <c:extLst>
            <c:ext xmlns:c16="http://schemas.microsoft.com/office/drawing/2014/chart" uri="{C3380CC4-5D6E-409C-BE32-E72D297353CC}">
              <c16:uniqueId val="{00000000-E2DF-45E7-8B25-767B55E6B9B8}"/>
            </c:ext>
          </c:extLst>
        </c:ser>
        <c:dLbls>
          <c:showLegendKey val="0"/>
          <c:showVal val="0"/>
          <c:showCatName val="0"/>
          <c:showSerName val="0"/>
          <c:showPercent val="0"/>
          <c:showBubbleSize val="0"/>
        </c:dLbls>
        <c:gapWidth val="79"/>
        <c:axId val="1019991152"/>
        <c:axId val="1020008208"/>
      </c:barChart>
      <c:catAx>
        <c:axId val="1019991152"/>
        <c:scaling>
          <c:orientation val="minMax"/>
        </c:scaling>
        <c:delete val="0"/>
        <c:axPos val="l"/>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020008208"/>
        <c:crosses val="autoZero"/>
        <c:auto val="1"/>
        <c:lblAlgn val="ctr"/>
        <c:lblOffset val="100"/>
        <c:noMultiLvlLbl val="0"/>
      </c:catAx>
      <c:valAx>
        <c:axId val="1020008208"/>
        <c:scaling>
          <c:orientation val="minMax"/>
        </c:scaling>
        <c:delete val="0"/>
        <c:axPos val="b"/>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019991152"/>
        <c:crosses val="autoZero"/>
        <c:crossBetween val="midCat"/>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sz="600">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6624020428259"/>
          <c:y val="3.1695721077654518E-2"/>
          <c:w val="0.81210119776397427"/>
          <c:h val="0.73148795188240123"/>
        </c:manualLayout>
      </c:layout>
      <c:barChart>
        <c:barDir val="col"/>
        <c:grouping val="clustered"/>
        <c:varyColors val="0"/>
        <c:ser>
          <c:idx val="0"/>
          <c:order val="0"/>
          <c:spPr>
            <a:solidFill>
              <a:schemeClr val="accent1"/>
            </a:solidFill>
            <a:ln>
              <a:noFill/>
            </a:ln>
            <a:effectLst/>
          </c:spPr>
          <c:invertIfNegative val="0"/>
          <c:dPt>
            <c:idx val="24"/>
            <c:invertIfNegative val="0"/>
            <c:bubble3D val="0"/>
            <c:spPr>
              <a:solidFill>
                <a:schemeClr val="accent1">
                  <a:lumMod val="75000"/>
                </a:schemeClr>
              </a:solidFill>
              <a:ln>
                <a:noFill/>
              </a:ln>
              <a:effectLst/>
            </c:spPr>
            <c:extLst>
              <c:ext xmlns:c16="http://schemas.microsoft.com/office/drawing/2014/chart" uri="{C3380CC4-5D6E-409C-BE32-E72D297353CC}">
                <c16:uniqueId val="{00000001-3BDD-4E09-B308-940399EB192C}"/>
              </c:ext>
            </c:extLst>
          </c:dPt>
          <c:dLbls>
            <c:dLbl>
              <c:idx val="1"/>
              <c:delete val="1"/>
              <c:extLst>
                <c:ext xmlns:c15="http://schemas.microsoft.com/office/drawing/2012/chart" uri="{CE6537A1-D6FC-4f65-9D91-7224C49458BB}"/>
                <c:ext xmlns:c16="http://schemas.microsoft.com/office/drawing/2014/chart" uri="{C3380CC4-5D6E-409C-BE32-E72D297353CC}">
                  <c16:uniqueId val="{00000002-3BDD-4E09-B308-940399EB192C}"/>
                </c:ext>
              </c:extLst>
            </c:dLbl>
            <c:dLbl>
              <c:idx val="3"/>
              <c:delete val="1"/>
              <c:extLst>
                <c:ext xmlns:c15="http://schemas.microsoft.com/office/drawing/2012/chart" uri="{CE6537A1-D6FC-4f65-9D91-7224C49458BB}"/>
                <c:ext xmlns:c16="http://schemas.microsoft.com/office/drawing/2014/chart" uri="{C3380CC4-5D6E-409C-BE32-E72D297353CC}">
                  <c16:uniqueId val="{00000003-3BDD-4E09-B308-940399EB192C}"/>
                </c:ext>
              </c:extLst>
            </c:dLbl>
            <c:dLbl>
              <c:idx val="6"/>
              <c:delete val="1"/>
              <c:extLst>
                <c:ext xmlns:c15="http://schemas.microsoft.com/office/drawing/2012/chart" uri="{CE6537A1-D6FC-4f65-9D91-7224C49458BB}"/>
                <c:ext xmlns:c16="http://schemas.microsoft.com/office/drawing/2014/chart" uri="{C3380CC4-5D6E-409C-BE32-E72D297353CC}">
                  <c16:uniqueId val="{00000004-3BDD-4E09-B308-940399EB192C}"/>
                </c:ext>
              </c:extLst>
            </c:dLbl>
            <c:dLbl>
              <c:idx val="8"/>
              <c:delete val="1"/>
              <c:extLst>
                <c:ext xmlns:c15="http://schemas.microsoft.com/office/drawing/2012/chart" uri="{CE6537A1-D6FC-4f65-9D91-7224C49458BB}"/>
                <c:ext xmlns:c16="http://schemas.microsoft.com/office/drawing/2014/chart" uri="{C3380CC4-5D6E-409C-BE32-E72D297353CC}">
                  <c16:uniqueId val="{00000005-3BDD-4E09-B308-940399EB192C}"/>
                </c:ext>
              </c:extLst>
            </c:dLbl>
            <c:dLbl>
              <c:idx val="9"/>
              <c:layout>
                <c:manualLayout>
                  <c:x val="-1.4265335235378032E-2"/>
                  <c:y val="7.92393026941362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BDD-4E09-B308-940399EB192C}"/>
                </c:ext>
              </c:extLst>
            </c:dLbl>
            <c:dLbl>
              <c:idx val="10"/>
              <c:delete val="1"/>
              <c:extLst>
                <c:ext xmlns:c15="http://schemas.microsoft.com/office/drawing/2012/chart" uri="{CE6537A1-D6FC-4f65-9D91-7224C49458BB}"/>
                <c:ext xmlns:c16="http://schemas.microsoft.com/office/drawing/2014/chart" uri="{C3380CC4-5D6E-409C-BE32-E72D297353CC}">
                  <c16:uniqueId val="{00000006-3BDD-4E09-B308-940399EB192C}"/>
                </c:ext>
              </c:extLst>
            </c:dLbl>
            <c:dLbl>
              <c:idx val="11"/>
              <c:layout>
                <c:manualLayout>
                  <c:x val="-1.42653352353780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BDD-4E09-B308-940399EB192C}"/>
                </c:ext>
              </c:extLst>
            </c:dLbl>
            <c:dLbl>
              <c:idx val="12"/>
              <c:delete val="1"/>
              <c:extLst>
                <c:ext xmlns:c15="http://schemas.microsoft.com/office/drawing/2012/chart" uri="{CE6537A1-D6FC-4f65-9D91-7224C49458BB}"/>
                <c:ext xmlns:c16="http://schemas.microsoft.com/office/drawing/2014/chart" uri="{C3380CC4-5D6E-409C-BE32-E72D297353CC}">
                  <c16:uniqueId val="{00000007-3BDD-4E09-B308-940399EB192C}"/>
                </c:ext>
              </c:extLst>
            </c:dLbl>
            <c:dLbl>
              <c:idx val="13"/>
              <c:layout>
                <c:manualLayout>
                  <c:x val="-1.426533523537811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BDD-4E09-B308-940399EB192C}"/>
                </c:ext>
              </c:extLst>
            </c:dLbl>
            <c:dLbl>
              <c:idx val="15"/>
              <c:delete val="1"/>
              <c:extLst>
                <c:ext xmlns:c15="http://schemas.microsoft.com/office/drawing/2012/chart" uri="{CE6537A1-D6FC-4f65-9D91-7224C49458BB}"/>
                <c:ext xmlns:c16="http://schemas.microsoft.com/office/drawing/2014/chart" uri="{C3380CC4-5D6E-409C-BE32-E72D297353CC}">
                  <c16:uniqueId val="{00000008-3BDD-4E09-B308-940399EB192C}"/>
                </c:ext>
              </c:extLst>
            </c:dLbl>
            <c:dLbl>
              <c:idx val="17"/>
              <c:delete val="1"/>
              <c:extLst>
                <c:ext xmlns:c15="http://schemas.microsoft.com/office/drawing/2012/chart" uri="{CE6537A1-D6FC-4f65-9D91-7224C49458BB}"/>
                <c:ext xmlns:c16="http://schemas.microsoft.com/office/drawing/2014/chart" uri="{C3380CC4-5D6E-409C-BE32-E72D297353CC}">
                  <c16:uniqueId val="{00000009-3BDD-4E09-B308-940399EB192C}"/>
                </c:ext>
              </c:extLst>
            </c:dLbl>
            <c:dLbl>
              <c:idx val="19"/>
              <c:delete val="1"/>
              <c:extLst>
                <c:ext xmlns:c15="http://schemas.microsoft.com/office/drawing/2012/chart" uri="{CE6537A1-D6FC-4f65-9D91-7224C49458BB}"/>
                <c:ext xmlns:c16="http://schemas.microsoft.com/office/drawing/2014/chart" uri="{C3380CC4-5D6E-409C-BE32-E72D297353CC}">
                  <c16:uniqueId val="{0000000A-3BDD-4E09-B308-940399EB192C}"/>
                </c:ext>
              </c:extLst>
            </c:dLbl>
            <c:dLbl>
              <c:idx val="20"/>
              <c:layout>
                <c:manualLayout>
                  <c:x val="9.5102234902520212E-3"/>
                  <c:y val="-2.37717908082409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BDD-4E09-B308-940399EB192C}"/>
                </c:ext>
              </c:extLst>
            </c:dLbl>
            <c:dLbl>
              <c:idx val="21"/>
              <c:delete val="1"/>
              <c:extLst>
                <c:ext xmlns:c15="http://schemas.microsoft.com/office/drawing/2012/chart" uri="{CE6537A1-D6FC-4f65-9D91-7224C49458BB}"/>
                <c:ext xmlns:c16="http://schemas.microsoft.com/office/drawing/2014/chart" uri="{C3380CC4-5D6E-409C-BE32-E72D297353CC}">
                  <c16:uniqueId val="{0000000B-3BDD-4E09-B308-940399EB192C}"/>
                </c:ext>
              </c:extLst>
            </c:dLbl>
            <c:dLbl>
              <c:idx val="23"/>
              <c:delete val="1"/>
              <c:extLst>
                <c:ext xmlns:c15="http://schemas.microsoft.com/office/drawing/2012/chart" uri="{CE6537A1-D6FC-4f65-9D91-7224C49458BB}"/>
                <c:ext xmlns:c16="http://schemas.microsoft.com/office/drawing/2014/chart" uri="{C3380CC4-5D6E-409C-BE32-E72D297353CC}">
                  <c16:uniqueId val="{0000000C-3BDD-4E09-B308-940399EB192C}"/>
                </c:ext>
              </c:extLst>
            </c:dLbl>
            <c:dLbl>
              <c:idx val="24"/>
              <c:layout>
                <c:manualLayout>
                  <c:x val="1.4265335235378032E-2"/>
                  <c:y val="-7.9239302694136295E-3"/>
                </c:manualLayout>
              </c:layout>
              <c:numFmt formatCode="0.0%"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DD-4E09-B308-940399EB192C}"/>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Sheet1!$D$4:$D$28</c:f>
              <c:numCache>
                <c:formatCode>mmm\-yy</c:formatCode>
                <c:ptCount val="25"/>
                <c:pt idx="0">
                  <c:v>42948</c:v>
                </c:pt>
                <c:pt idx="1">
                  <c:v>42917</c:v>
                </c:pt>
                <c:pt idx="2">
                  <c:v>42887</c:v>
                </c:pt>
                <c:pt idx="3">
                  <c:v>42856</c:v>
                </c:pt>
                <c:pt idx="4">
                  <c:v>42826</c:v>
                </c:pt>
                <c:pt idx="5">
                  <c:v>42795</c:v>
                </c:pt>
                <c:pt idx="6">
                  <c:v>42767</c:v>
                </c:pt>
                <c:pt idx="7">
                  <c:v>42736</c:v>
                </c:pt>
                <c:pt idx="8">
                  <c:v>42705</c:v>
                </c:pt>
                <c:pt idx="9">
                  <c:v>42675</c:v>
                </c:pt>
                <c:pt idx="10">
                  <c:v>42644</c:v>
                </c:pt>
                <c:pt idx="11">
                  <c:v>42614</c:v>
                </c:pt>
                <c:pt idx="12">
                  <c:v>42583</c:v>
                </c:pt>
                <c:pt idx="13">
                  <c:v>42552</c:v>
                </c:pt>
                <c:pt idx="14">
                  <c:v>42522</c:v>
                </c:pt>
                <c:pt idx="15">
                  <c:v>42491</c:v>
                </c:pt>
                <c:pt idx="16">
                  <c:v>42461</c:v>
                </c:pt>
                <c:pt idx="17">
                  <c:v>42430</c:v>
                </c:pt>
                <c:pt idx="18">
                  <c:v>42401</c:v>
                </c:pt>
                <c:pt idx="19">
                  <c:v>42370</c:v>
                </c:pt>
                <c:pt idx="20">
                  <c:v>42339</c:v>
                </c:pt>
                <c:pt idx="21">
                  <c:v>42309</c:v>
                </c:pt>
                <c:pt idx="22">
                  <c:v>42278</c:v>
                </c:pt>
                <c:pt idx="23">
                  <c:v>42248</c:v>
                </c:pt>
                <c:pt idx="24">
                  <c:v>42217</c:v>
                </c:pt>
              </c:numCache>
            </c:numRef>
          </c:cat>
          <c:val>
            <c:numRef>
              <c:f>Sheet1!$F$4:$F$28</c:f>
              <c:numCache>
                <c:formatCode>0.0%</c:formatCode>
                <c:ptCount val="25"/>
                <c:pt idx="0">
                  <c:v>0.03</c:v>
                </c:pt>
                <c:pt idx="1">
                  <c:v>2.5999999999999999E-2</c:v>
                </c:pt>
                <c:pt idx="2">
                  <c:v>1.4E-2</c:v>
                </c:pt>
                <c:pt idx="3">
                  <c:v>1.2E-2</c:v>
                </c:pt>
                <c:pt idx="4">
                  <c:v>7.0000000000000001E-3</c:v>
                </c:pt>
                <c:pt idx="5">
                  <c:v>2.1000000000000001E-2</c:v>
                </c:pt>
                <c:pt idx="6">
                  <c:v>1.9E-2</c:v>
                </c:pt>
                <c:pt idx="7">
                  <c:v>1.9E-2</c:v>
                </c:pt>
                <c:pt idx="8">
                  <c:v>3.5000000000000003E-2</c:v>
                </c:pt>
                <c:pt idx="9">
                  <c:v>3.2000000000000001E-2</c:v>
                </c:pt>
                <c:pt idx="10">
                  <c:v>2.9000000000000001E-2</c:v>
                </c:pt>
                <c:pt idx="11">
                  <c:v>1.4E-2</c:v>
                </c:pt>
                <c:pt idx="12">
                  <c:v>1.0999999999999999E-2</c:v>
                </c:pt>
                <c:pt idx="13">
                  <c:v>1.2E-2</c:v>
                </c:pt>
                <c:pt idx="14">
                  <c:v>1.0999999999999999E-2</c:v>
                </c:pt>
                <c:pt idx="15">
                  <c:v>8.0000000000000002E-3</c:v>
                </c:pt>
                <c:pt idx="16">
                  <c:v>5.0000000000000001E-3</c:v>
                </c:pt>
                <c:pt idx="17">
                  <c:v>1.4E-2</c:v>
                </c:pt>
                <c:pt idx="18">
                  <c:v>0.01</c:v>
                </c:pt>
                <c:pt idx="19">
                  <c:v>7.0000000000000001E-3</c:v>
                </c:pt>
                <c:pt idx="20">
                  <c:v>0.02</c:v>
                </c:pt>
                <c:pt idx="21">
                  <c:v>2.1000000000000001E-2</c:v>
                </c:pt>
                <c:pt idx="22">
                  <c:v>1.4999999999999999E-2</c:v>
                </c:pt>
                <c:pt idx="23">
                  <c:v>3.9E-2</c:v>
                </c:pt>
                <c:pt idx="24">
                  <c:v>3.6999999999999998E-2</c:v>
                </c:pt>
              </c:numCache>
            </c:numRef>
          </c:val>
          <c:extLst>
            <c:ext xmlns:c16="http://schemas.microsoft.com/office/drawing/2014/chart" uri="{C3380CC4-5D6E-409C-BE32-E72D297353CC}">
              <c16:uniqueId val="{0000000D-3BDD-4E09-B308-940399EB192C}"/>
            </c:ext>
          </c:extLst>
        </c:ser>
        <c:dLbls>
          <c:showLegendKey val="0"/>
          <c:showVal val="0"/>
          <c:showCatName val="0"/>
          <c:showSerName val="0"/>
          <c:showPercent val="0"/>
          <c:showBubbleSize val="0"/>
        </c:dLbls>
        <c:gapWidth val="75"/>
        <c:overlap val="-27"/>
        <c:axId val="311858592"/>
        <c:axId val="311859904"/>
      </c:barChart>
      <c:dateAx>
        <c:axId val="31185859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311859904"/>
        <c:crosses val="autoZero"/>
        <c:auto val="1"/>
        <c:lblOffset val="100"/>
        <c:baseTimeUnit val="months"/>
      </c:dateAx>
      <c:valAx>
        <c:axId val="3118599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311858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6350" cap="rnd">
              <a:solidFill>
                <a:srgbClr val="FF0000"/>
              </a:solidFill>
              <a:round/>
            </a:ln>
            <a:effectLst>
              <a:outerShdw blurRad="50800" dist="38100" dir="2700000" algn="tl" rotWithShape="0">
                <a:prstClr val="black">
                  <a:alpha val="40000"/>
                </a:prstClr>
              </a:outerShdw>
            </a:effectLst>
          </c:spPr>
          <c:marker>
            <c:symbol val="circle"/>
            <c:size val="3"/>
            <c:spPr>
              <a:solidFill>
                <a:srgbClr val="FF0000"/>
              </a:solidFill>
              <a:ln w="9525">
                <a:solidFill>
                  <a:schemeClr val="accent1"/>
                </a:solidFill>
              </a:ln>
              <a:effectLst>
                <a:outerShdw blurRad="50800" dist="38100" dir="2700000" algn="tl" rotWithShape="0">
                  <a:prstClr val="black">
                    <a:alpha val="40000"/>
                  </a:prstClr>
                </a:outerShdw>
              </a:effectLst>
            </c:spPr>
          </c:marker>
          <c:dLbls>
            <c:dLbl>
              <c:idx val="0"/>
              <c:layout>
                <c:manualLayout>
                  <c:x val="-2.7777777777777776E-2"/>
                  <c:y val="-3.7037037037037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2E-4B2C-992F-8A74C3FAEBE1}"/>
                </c:ext>
              </c:extLst>
            </c:dLbl>
            <c:dLbl>
              <c:idx val="1"/>
              <c:delete val="1"/>
              <c:extLst>
                <c:ext xmlns:c15="http://schemas.microsoft.com/office/drawing/2012/chart" uri="{CE6537A1-D6FC-4f65-9D91-7224C49458BB}"/>
                <c:ext xmlns:c16="http://schemas.microsoft.com/office/drawing/2014/chart" uri="{C3380CC4-5D6E-409C-BE32-E72D297353CC}">
                  <c16:uniqueId val="{00000001-4F2E-4B2C-992F-8A74C3FAEBE1}"/>
                </c:ext>
              </c:extLst>
            </c:dLbl>
            <c:dLbl>
              <c:idx val="2"/>
              <c:layout>
                <c:manualLayout>
                  <c:x val="-3.888888888888889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2E-4B2C-992F-8A74C3FAEBE1}"/>
                </c:ext>
              </c:extLst>
            </c:dLbl>
            <c:dLbl>
              <c:idx val="3"/>
              <c:delete val="1"/>
              <c:extLst>
                <c:ext xmlns:c15="http://schemas.microsoft.com/office/drawing/2012/chart" uri="{CE6537A1-D6FC-4f65-9D91-7224C49458BB}"/>
                <c:ext xmlns:c16="http://schemas.microsoft.com/office/drawing/2014/chart" uri="{C3380CC4-5D6E-409C-BE32-E72D297353CC}">
                  <c16:uniqueId val="{00000003-4F2E-4B2C-992F-8A74C3FAEBE1}"/>
                </c:ext>
              </c:extLst>
            </c:dLbl>
            <c:dLbl>
              <c:idx val="4"/>
              <c:layout>
                <c:manualLayout>
                  <c:x val="-2.500000000000005E-2"/>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2E-4B2C-992F-8A74C3FAEBE1}"/>
                </c:ext>
              </c:extLst>
            </c:dLbl>
            <c:dLbl>
              <c:idx val="5"/>
              <c:delete val="1"/>
              <c:extLst>
                <c:ext xmlns:c15="http://schemas.microsoft.com/office/drawing/2012/chart" uri="{CE6537A1-D6FC-4f65-9D91-7224C49458BB}"/>
                <c:ext xmlns:c16="http://schemas.microsoft.com/office/drawing/2014/chart" uri="{C3380CC4-5D6E-409C-BE32-E72D297353CC}">
                  <c16:uniqueId val="{00000005-4F2E-4B2C-992F-8A74C3FAEBE1}"/>
                </c:ext>
              </c:extLst>
            </c:dLbl>
            <c:dLbl>
              <c:idx val="6"/>
              <c:layout>
                <c:manualLayout>
                  <c:x val="-0.10833333333333334"/>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2E-4B2C-992F-8A74C3FAEBE1}"/>
                </c:ext>
              </c:extLst>
            </c:dLbl>
            <c:dLbl>
              <c:idx val="7"/>
              <c:layout>
                <c:manualLayout>
                  <c:x val="-5.277777777777777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2E-4B2C-992F-8A74C3FAEBE1}"/>
                </c:ext>
              </c:extLst>
            </c:dLbl>
            <c:dLbl>
              <c:idx val="8"/>
              <c:delete val="1"/>
              <c:extLst>
                <c:ext xmlns:c15="http://schemas.microsoft.com/office/drawing/2012/chart" uri="{CE6537A1-D6FC-4f65-9D91-7224C49458BB}"/>
                <c:ext xmlns:c16="http://schemas.microsoft.com/office/drawing/2014/chart" uri="{C3380CC4-5D6E-409C-BE32-E72D297353CC}">
                  <c16:uniqueId val="{00000008-4F2E-4B2C-992F-8A74C3FAEBE1}"/>
                </c:ext>
              </c:extLst>
            </c:dLbl>
            <c:dLbl>
              <c:idx val="9"/>
              <c:layout>
                <c:manualLayout>
                  <c:x val="-5.2777777777777778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2E-4B2C-992F-8A74C3FAEBE1}"/>
                </c:ext>
              </c:extLst>
            </c:dLbl>
            <c:dLbl>
              <c:idx val="10"/>
              <c:delete val="1"/>
              <c:extLst>
                <c:ext xmlns:c15="http://schemas.microsoft.com/office/drawing/2012/chart" uri="{CE6537A1-D6FC-4f65-9D91-7224C49458BB}"/>
                <c:ext xmlns:c16="http://schemas.microsoft.com/office/drawing/2014/chart" uri="{C3380CC4-5D6E-409C-BE32-E72D297353CC}">
                  <c16:uniqueId val="{0000000A-4F2E-4B2C-992F-8A74C3FAEBE1}"/>
                </c:ext>
              </c:extLst>
            </c:dLbl>
            <c:dLbl>
              <c:idx val="11"/>
              <c:layout>
                <c:manualLayout>
                  <c:x val="-7.2222222222222326E-2"/>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F2E-4B2C-992F-8A74C3FAEBE1}"/>
                </c:ext>
              </c:extLst>
            </c:dLbl>
            <c:dLbl>
              <c:idx val="12"/>
              <c:delete val="1"/>
              <c:extLst>
                <c:ext xmlns:c15="http://schemas.microsoft.com/office/drawing/2012/chart" uri="{CE6537A1-D6FC-4f65-9D91-7224C49458BB}"/>
                <c:ext xmlns:c16="http://schemas.microsoft.com/office/drawing/2014/chart" uri="{C3380CC4-5D6E-409C-BE32-E72D297353CC}">
                  <c16:uniqueId val="{0000000C-4F2E-4B2C-992F-8A74C3FAEBE1}"/>
                </c:ext>
              </c:extLst>
            </c:dLbl>
            <c:dLbl>
              <c:idx val="13"/>
              <c:layout>
                <c:manualLayout>
                  <c:x val="-3.3333333333333333E-2"/>
                  <c:y val="-4.1666666666666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F2E-4B2C-992F-8A74C3FAEBE1}"/>
                </c:ext>
              </c:extLst>
            </c:dLbl>
            <c:dLbl>
              <c:idx val="14"/>
              <c:delete val="1"/>
              <c:extLst>
                <c:ext xmlns:c15="http://schemas.microsoft.com/office/drawing/2012/chart" uri="{CE6537A1-D6FC-4f65-9D91-7224C49458BB}"/>
                <c:ext xmlns:c16="http://schemas.microsoft.com/office/drawing/2014/chart" uri="{C3380CC4-5D6E-409C-BE32-E72D297353CC}">
                  <c16:uniqueId val="{0000000E-4F2E-4B2C-992F-8A74C3FAEBE1}"/>
                </c:ext>
              </c:extLst>
            </c:dLbl>
            <c:dLbl>
              <c:idx val="15"/>
              <c:layout>
                <c:manualLayout>
                  <c:x val="-3.888888888888889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F2E-4B2C-992F-8A74C3FAEBE1}"/>
                </c:ext>
              </c:extLst>
            </c:dLbl>
            <c:dLbl>
              <c:idx val="16"/>
              <c:delete val="1"/>
              <c:extLst>
                <c:ext xmlns:c15="http://schemas.microsoft.com/office/drawing/2012/chart" uri="{CE6537A1-D6FC-4f65-9D91-7224C49458BB}"/>
                <c:ext xmlns:c16="http://schemas.microsoft.com/office/drawing/2014/chart" uri="{C3380CC4-5D6E-409C-BE32-E72D297353CC}">
                  <c16:uniqueId val="{00000010-4F2E-4B2C-992F-8A74C3FAEBE1}"/>
                </c:ext>
              </c:extLst>
            </c:dLbl>
            <c:dLbl>
              <c:idx val="17"/>
              <c:layout>
                <c:manualLayout>
                  <c:x val="-5.277777777777777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F2E-4B2C-992F-8A74C3FAEBE1}"/>
                </c:ext>
              </c:extLst>
            </c:dLbl>
            <c:dLbl>
              <c:idx val="18"/>
              <c:delete val="1"/>
              <c:extLst>
                <c:ext xmlns:c15="http://schemas.microsoft.com/office/drawing/2012/chart" uri="{CE6537A1-D6FC-4f65-9D91-7224C49458BB}"/>
                <c:ext xmlns:c16="http://schemas.microsoft.com/office/drawing/2014/chart" uri="{C3380CC4-5D6E-409C-BE32-E72D297353CC}">
                  <c16:uniqueId val="{00000012-4F2E-4B2C-992F-8A74C3FAEBE1}"/>
                </c:ext>
              </c:extLst>
            </c:dLbl>
            <c:dLbl>
              <c:idx val="19"/>
              <c:layout>
                <c:manualLayout>
                  <c:x val="-2.2222222222222223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F2E-4B2C-992F-8A74C3FAEBE1}"/>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Sheet1!$B$45:$C$64</c:f>
              <c:multiLvlStrCache>
                <c:ptCount val="20"/>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lvl>
                <c:lvl>
                  <c:pt idx="0">
                    <c:v>2016</c:v>
                  </c:pt>
                  <c:pt idx="12">
                    <c:v>2017</c:v>
                  </c:pt>
                </c:lvl>
              </c:multiLvlStrCache>
            </c:multiLvlStrRef>
          </c:cat>
          <c:val>
            <c:numRef>
              <c:f>Sheet1!$D$45:$D$64</c:f>
              <c:numCache>
                <c:formatCode>General</c:formatCode>
                <c:ptCount val="20"/>
                <c:pt idx="0">
                  <c:v>66.97</c:v>
                </c:pt>
                <c:pt idx="1">
                  <c:v>60.65</c:v>
                </c:pt>
                <c:pt idx="2">
                  <c:v>61.54</c:v>
                </c:pt>
                <c:pt idx="3">
                  <c:v>62.5</c:v>
                </c:pt>
                <c:pt idx="4">
                  <c:v>61.67</c:v>
                </c:pt>
                <c:pt idx="5">
                  <c:v>50.9</c:v>
                </c:pt>
                <c:pt idx="6">
                  <c:v>45</c:v>
                </c:pt>
                <c:pt idx="7">
                  <c:v>37.5</c:v>
                </c:pt>
                <c:pt idx="8">
                  <c:v>38.89</c:v>
                </c:pt>
                <c:pt idx="9">
                  <c:v>45.14</c:v>
                </c:pt>
                <c:pt idx="10">
                  <c:v>43.46</c:v>
                </c:pt>
                <c:pt idx="11">
                  <c:v>56.95</c:v>
                </c:pt>
                <c:pt idx="12">
                  <c:v>58.04</c:v>
                </c:pt>
                <c:pt idx="13">
                  <c:v>55</c:v>
                </c:pt>
                <c:pt idx="14">
                  <c:v>50</c:v>
                </c:pt>
                <c:pt idx="15">
                  <c:v>54.17</c:v>
                </c:pt>
                <c:pt idx="16">
                  <c:v>53.58</c:v>
                </c:pt>
                <c:pt idx="17">
                  <c:v>50</c:v>
                </c:pt>
                <c:pt idx="18">
                  <c:v>46.67</c:v>
                </c:pt>
                <c:pt idx="19">
                  <c:v>44.56</c:v>
                </c:pt>
              </c:numCache>
            </c:numRef>
          </c:val>
          <c:smooth val="0"/>
          <c:extLst>
            <c:ext xmlns:c16="http://schemas.microsoft.com/office/drawing/2014/chart" uri="{C3380CC4-5D6E-409C-BE32-E72D297353CC}">
              <c16:uniqueId val="{00000014-4F2E-4B2C-992F-8A74C3FAEBE1}"/>
            </c:ext>
          </c:extLst>
        </c:ser>
        <c:ser>
          <c:idx val="1"/>
          <c:order val="1"/>
          <c:spPr>
            <a:ln w="12700" cap="rnd">
              <a:solidFill>
                <a:schemeClr val="tx1"/>
              </a:solidFill>
              <a:round/>
            </a:ln>
            <a:effectLst/>
          </c:spPr>
          <c:marker>
            <c:symbol val="none"/>
          </c:marker>
          <c:cat>
            <c:multiLvlStrRef>
              <c:f>Sheet1!$B$45:$C$64</c:f>
              <c:multiLvlStrCache>
                <c:ptCount val="20"/>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lvl>
                <c:lvl>
                  <c:pt idx="0">
                    <c:v>2016</c:v>
                  </c:pt>
                  <c:pt idx="12">
                    <c:v>2017</c:v>
                  </c:pt>
                </c:lvl>
              </c:multiLvlStrCache>
            </c:multiLvlStrRef>
          </c:cat>
          <c:val>
            <c:numRef>
              <c:f>Sheet1!$E$45:$E$64</c:f>
              <c:numCache>
                <c:formatCode>General</c:formatCode>
                <c:ptCount val="2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numCache>
            </c:numRef>
          </c:val>
          <c:smooth val="0"/>
          <c:extLst>
            <c:ext xmlns:c16="http://schemas.microsoft.com/office/drawing/2014/chart" uri="{C3380CC4-5D6E-409C-BE32-E72D297353CC}">
              <c16:uniqueId val="{00000015-4F2E-4B2C-992F-8A74C3FAEBE1}"/>
            </c:ext>
          </c:extLst>
        </c:ser>
        <c:dLbls>
          <c:showLegendKey val="0"/>
          <c:showVal val="0"/>
          <c:showCatName val="0"/>
          <c:showSerName val="0"/>
          <c:showPercent val="0"/>
          <c:showBubbleSize val="0"/>
        </c:dLbls>
        <c:marker val="1"/>
        <c:smooth val="0"/>
        <c:axId val="311865808"/>
        <c:axId val="311866136"/>
      </c:lineChart>
      <c:catAx>
        <c:axId val="31186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11866136"/>
        <c:crosses val="autoZero"/>
        <c:auto val="1"/>
        <c:lblAlgn val="ctr"/>
        <c:lblOffset val="100"/>
        <c:noMultiLvlLbl val="0"/>
      </c:catAx>
      <c:valAx>
        <c:axId val="311866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crossAx val="311865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0.89016</cdr:x>
      <cdr:y>0.09922</cdr:y>
    </cdr:from>
    <cdr:to>
      <cdr:x>0.98245</cdr:x>
      <cdr:y>0.80865</cdr:y>
    </cdr:to>
    <cdr:sp macro="" textlink="">
      <cdr:nvSpPr>
        <cdr:cNvPr id="2" name="Rounded Rectangle 1"/>
        <cdr:cNvSpPr/>
      </cdr:nvSpPr>
      <cdr:spPr>
        <a:xfrm xmlns:a="http://schemas.openxmlformats.org/drawingml/2006/main">
          <a:off x="2377440" y="159026"/>
          <a:ext cx="246491" cy="1137037"/>
        </a:xfrm>
        <a:prstGeom xmlns:a="http://schemas.openxmlformats.org/drawingml/2006/main" prst="roundRect">
          <a:avLst/>
        </a:prstGeom>
        <a:solidFill xmlns:a="http://schemas.openxmlformats.org/drawingml/2006/main">
          <a:schemeClr val="accent6">
            <a:alpha val="19000"/>
          </a:schemeClr>
        </a:solidFill>
        <a:ln xmlns:a="http://schemas.openxmlformats.org/drawingml/2006/main" w="63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ES">
            <a:solidFill>
              <a:schemeClr val="lt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0.60733</cdr:x>
      <cdr:y>0.08296</cdr:y>
    </cdr:from>
    <cdr:to>
      <cdr:x>0.61031</cdr:x>
      <cdr:y>0.69591</cdr:y>
    </cdr:to>
    <cdr:cxnSp macro="">
      <cdr:nvCxnSpPr>
        <cdr:cNvPr id="3" name="Straight Connector 2"/>
        <cdr:cNvCxnSpPr/>
      </cdr:nvCxnSpPr>
      <cdr:spPr>
        <a:xfrm xmlns:a="http://schemas.openxmlformats.org/drawingml/2006/main" flipV="1">
          <a:off x="1622067" y="143124"/>
          <a:ext cx="7951" cy="1057524"/>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0.62817</cdr:x>
      <cdr:y>0.52539</cdr:y>
    </cdr:from>
    <cdr:to>
      <cdr:x>0.96756</cdr:x>
      <cdr:y>0.64521</cdr:y>
    </cdr:to>
    <cdr:sp macro="" textlink="">
      <cdr:nvSpPr>
        <cdr:cNvPr id="5" name="Text Box 4"/>
        <cdr:cNvSpPr txBox="1"/>
      </cdr:nvSpPr>
      <cdr:spPr>
        <a:xfrm xmlns:a="http://schemas.openxmlformats.org/drawingml/2006/main">
          <a:off x="1677726" y="906450"/>
          <a:ext cx="906449"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700">
              <a:latin typeface="Times New Roman" panose="02020603050405020304" pitchFamily="18" charset="0"/>
              <a:cs typeface="Times New Roman" panose="02020603050405020304" pitchFamily="18" charset="0"/>
            </a:rPr>
            <a:t>zona</a:t>
          </a:r>
          <a:r>
            <a:rPr lang="es-ES" sz="700" baseline="0">
              <a:latin typeface="Times New Roman" panose="02020603050405020304" pitchFamily="18" charset="0"/>
              <a:cs typeface="Times New Roman" panose="02020603050405020304" pitchFamily="18" charset="0"/>
            </a:rPr>
            <a:t> de contracciòn</a:t>
          </a:r>
          <a:endParaRPr lang="es-ES" sz="7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3E6B-E047-48E5-952F-A9B4B16E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2240</Words>
  <Characters>12322</Characters>
  <Application>Microsoft Office Word</Application>
  <DocSecurity>0</DocSecurity>
  <Lines>102</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6</cp:revision>
  <dcterms:created xsi:type="dcterms:W3CDTF">2017-09-28T15:59:00Z</dcterms:created>
  <dcterms:modified xsi:type="dcterms:W3CDTF">2017-09-28T16:28:00Z</dcterms:modified>
</cp:coreProperties>
</file>