
<file path=[Content_Types].xml><?xml version="1.0" encoding="utf-8"?>
<Types xmlns="http://schemas.openxmlformats.org/package/2006/content-types">
  <Default Extension="png" ContentType="image/png"/>
  <Default Extension="bin" ContentType="application/vnd.openxmlformats-officedocument.oleObject"/>
  <Default Extension="svg" ContentType="image/svg+xml"/>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drawings/drawing1.xml" ContentType="application/vnd.openxmlformats-officedocument.drawingml.chartshapes+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drawings/drawing2.xml" ContentType="application/vnd.openxmlformats-officedocument.drawingml.chartshapes+xml"/>
  <Override PartName="/word/charts/chart16.xml" ContentType="application/vnd.openxmlformats-officedocument.drawingml.chart+xml"/>
  <Override PartName="/word/charts/chart17.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8.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9.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20.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21.xml" ContentType="application/vnd.openxmlformats-officedocument.drawingml.chart+xml"/>
  <Override PartName="/word/charts/chart22.xml" ContentType="application/vnd.openxmlformats-officedocument.drawingml.chart+xml"/>
  <Override PartName="/word/drawings/drawing3.xml" ContentType="application/vnd.openxmlformats-officedocument.drawingml.chartshapes+xml"/>
  <Override PartName="/word/charts/chart23.xml" ContentType="application/vnd.openxmlformats-officedocument.drawingml.chart+xml"/>
  <Override PartName="/word/charts/chart24.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25.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26.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2.xml" ContentType="application/vnd.openxmlformats-officedocument.themeOverride+xml"/>
  <Override PartName="/word/charts/chart27.xml" ContentType="application/vnd.openxmlformats-officedocument.drawingml.chart+xml"/>
  <Override PartName="/word/theme/themeOverride3.xml" ContentType="application/vnd.openxmlformats-officedocument.themeOverride+xml"/>
  <Override PartName="/word/charts/chart28.xml" ContentType="application/vnd.openxmlformats-officedocument.drawingml.chart+xml"/>
  <Override PartName="/word/drawings/drawing4.xml" ContentType="application/vnd.openxmlformats-officedocument.drawingml.chartshapes+xml"/>
  <Override PartName="/word/charts/chart29.xml" ContentType="application/vnd.openxmlformats-officedocument.drawingml.chart+xml"/>
  <Override PartName="/word/drawings/drawing5.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30.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31.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32.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33.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34.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35.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36.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37.xml" ContentType="application/vnd.openxmlformats-officedocument.drawingml.chart+xml"/>
  <Override PartName="/word/charts/style18.xml" ContentType="application/vnd.ms-office.chartstyle+xml"/>
  <Override PartName="/word/charts/colors18.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BBD7547" w14:textId="4F6C0B9C" w:rsidR="0032588B" w:rsidRPr="00062207" w:rsidRDefault="008C3540" w:rsidP="004F4021">
      <w:pPr>
        <w:rPr>
          <w:rFonts w:ascii="Times New Roman" w:eastAsiaTheme="majorEastAsia" w:hAnsi="Times New Roman" w:cs="Times New Roman"/>
          <w:b/>
          <w:bCs/>
          <w:szCs w:val="26"/>
        </w:rPr>
      </w:pPr>
      <w:bookmarkStart w:id="0" w:name="_Toc410402057"/>
      <w:bookmarkStart w:id="1" w:name="_Toc457550818"/>
      <w:r w:rsidRPr="00062207">
        <w:rPr>
          <w:noProof/>
          <w:lang w:val="es-GT" w:eastAsia="es-GT"/>
        </w:rPr>
        <w:drawing>
          <wp:anchor distT="0" distB="0" distL="114300" distR="114300" simplePos="0" relativeHeight="251689984" behindDoc="0" locked="0" layoutInCell="1" allowOverlap="1" wp14:anchorId="1C4CFC56" wp14:editId="50618C49">
            <wp:simplePos x="0" y="0"/>
            <wp:positionH relativeFrom="column">
              <wp:posOffset>2023745</wp:posOffset>
            </wp:positionH>
            <wp:positionV relativeFrom="paragraph">
              <wp:posOffset>99695</wp:posOffset>
            </wp:positionV>
            <wp:extent cx="2144228" cy="971550"/>
            <wp:effectExtent l="0" t="0" r="8890" b="0"/>
            <wp:wrapNone/>
            <wp:docPr id="29" name="Imagen 4" descr="Resultado de imagen para gobierno de guatemal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gobierno de guatemala 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44228" cy="971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490827" w14:textId="5C0D5E05" w:rsidR="0032588B" w:rsidRPr="00062207" w:rsidRDefault="0032588B" w:rsidP="004F4021">
      <w:pPr>
        <w:rPr>
          <w:rFonts w:ascii="Times New Roman" w:eastAsiaTheme="majorEastAsia" w:hAnsi="Times New Roman" w:cs="Times New Roman"/>
          <w:b/>
          <w:bCs/>
          <w:szCs w:val="26"/>
        </w:rPr>
      </w:pPr>
    </w:p>
    <w:p w14:paraId="22CA6E1A" w14:textId="05ECB6C6" w:rsidR="0032588B" w:rsidRPr="00062207" w:rsidRDefault="0032588B" w:rsidP="004F4021">
      <w:pPr>
        <w:rPr>
          <w:rFonts w:ascii="Times New Roman" w:eastAsiaTheme="majorEastAsia" w:hAnsi="Times New Roman" w:cs="Times New Roman"/>
          <w:b/>
          <w:bCs/>
          <w:szCs w:val="26"/>
        </w:rPr>
      </w:pPr>
    </w:p>
    <w:p w14:paraId="4AEE9C2F" w14:textId="642736BE" w:rsidR="0032588B" w:rsidRPr="00062207" w:rsidRDefault="0032588B" w:rsidP="004F4021">
      <w:pPr>
        <w:rPr>
          <w:rFonts w:ascii="Times New Roman" w:eastAsiaTheme="majorEastAsia" w:hAnsi="Times New Roman" w:cs="Times New Roman"/>
          <w:b/>
          <w:bCs/>
          <w:szCs w:val="26"/>
        </w:rPr>
      </w:pPr>
    </w:p>
    <w:p w14:paraId="3EEA8E84" w14:textId="270A9E81" w:rsidR="0032588B" w:rsidRPr="00062207" w:rsidRDefault="0032588B" w:rsidP="004F4021">
      <w:pPr>
        <w:rPr>
          <w:rFonts w:ascii="Times New Roman" w:eastAsiaTheme="majorEastAsia" w:hAnsi="Times New Roman" w:cs="Times New Roman"/>
          <w:b/>
          <w:bCs/>
          <w:szCs w:val="26"/>
        </w:rPr>
      </w:pPr>
    </w:p>
    <w:p w14:paraId="476A36D1" w14:textId="0E128851" w:rsidR="0032588B" w:rsidRPr="00062207" w:rsidRDefault="0032588B" w:rsidP="004F4021">
      <w:pPr>
        <w:rPr>
          <w:rFonts w:ascii="Times New Roman" w:eastAsiaTheme="majorEastAsia" w:hAnsi="Times New Roman" w:cs="Times New Roman"/>
          <w:b/>
          <w:bCs/>
          <w:szCs w:val="26"/>
        </w:rPr>
      </w:pPr>
    </w:p>
    <w:p w14:paraId="50C5DA19" w14:textId="5BC85035" w:rsidR="0032588B" w:rsidRPr="00062207" w:rsidRDefault="0032588B" w:rsidP="004F4021">
      <w:pPr>
        <w:rPr>
          <w:rFonts w:ascii="Times New Roman" w:eastAsiaTheme="majorEastAsia" w:hAnsi="Times New Roman" w:cs="Times New Roman"/>
          <w:b/>
          <w:bCs/>
          <w:szCs w:val="26"/>
        </w:rPr>
      </w:pPr>
    </w:p>
    <w:p w14:paraId="514CD9AE" w14:textId="2B1CE32F" w:rsidR="0032588B" w:rsidRPr="00062207" w:rsidRDefault="0032588B" w:rsidP="004F4021">
      <w:pPr>
        <w:rPr>
          <w:rFonts w:ascii="Times New Roman" w:eastAsiaTheme="majorEastAsia" w:hAnsi="Times New Roman" w:cs="Times New Roman"/>
          <w:b/>
          <w:bCs/>
          <w:szCs w:val="26"/>
        </w:rPr>
      </w:pPr>
    </w:p>
    <w:p w14:paraId="0C47D7EF" w14:textId="1FDD9598" w:rsidR="0032588B" w:rsidRPr="00062207" w:rsidRDefault="0032588B" w:rsidP="004F4021">
      <w:pPr>
        <w:rPr>
          <w:rFonts w:ascii="Times New Roman" w:eastAsiaTheme="majorEastAsia" w:hAnsi="Times New Roman" w:cs="Times New Roman"/>
          <w:b/>
          <w:bCs/>
          <w:szCs w:val="26"/>
        </w:rPr>
      </w:pPr>
    </w:p>
    <w:p w14:paraId="3B3398A2" w14:textId="77777777" w:rsidR="0032588B" w:rsidRPr="00062207" w:rsidRDefault="0032588B" w:rsidP="004F4021">
      <w:pPr>
        <w:rPr>
          <w:rFonts w:ascii="Times New Roman" w:eastAsiaTheme="majorEastAsia" w:hAnsi="Times New Roman" w:cs="Times New Roman"/>
          <w:b/>
          <w:bCs/>
          <w:szCs w:val="26"/>
        </w:rPr>
      </w:pPr>
    </w:p>
    <w:p w14:paraId="45734A28" w14:textId="77777777" w:rsidR="00D8619A" w:rsidRPr="00062207" w:rsidRDefault="00D8619A" w:rsidP="004F4021">
      <w:pPr>
        <w:rPr>
          <w:rFonts w:ascii="Times New Roman" w:eastAsiaTheme="majorEastAsia" w:hAnsi="Times New Roman" w:cs="Times New Roman"/>
          <w:b/>
          <w:bCs/>
          <w:szCs w:val="26"/>
        </w:rPr>
      </w:pPr>
    </w:p>
    <w:p w14:paraId="72F0A90F" w14:textId="77777777" w:rsidR="00D8619A" w:rsidRPr="00062207" w:rsidRDefault="00D8619A" w:rsidP="004F4021">
      <w:pPr>
        <w:rPr>
          <w:rFonts w:ascii="Times New Roman" w:eastAsiaTheme="majorEastAsia" w:hAnsi="Times New Roman" w:cs="Times New Roman"/>
          <w:b/>
          <w:bCs/>
          <w:szCs w:val="26"/>
        </w:rPr>
      </w:pPr>
    </w:p>
    <w:p w14:paraId="15929E10" w14:textId="77777777" w:rsidR="00D8619A" w:rsidRPr="00062207" w:rsidRDefault="00D8619A" w:rsidP="004F4021">
      <w:pPr>
        <w:rPr>
          <w:rFonts w:ascii="Times New Roman" w:eastAsiaTheme="majorEastAsia" w:hAnsi="Times New Roman" w:cs="Times New Roman"/>
          <w:b/>
          <w:bCs/>
          <w:szCs w:val="26"/>
        </w:rPr>
      </w:pPr>
    </w:p>
    <w:p w14:paraId="34C677CC" w14:textId="367682BD" w:rsidR="00D8619A" w:rsidRPr="00062207" w:rsidRDefault="00D8619A" w:rsidP="004F4021">
      <w:pPr>
        <w:rPr>
          <w:rFonts w:ascii="Times New Roman" w:eastAsiaTheme="majorEastAsia" w:hAnsi="Times New Roman" w:cs="Times New Roman"/>
          <w:b/>
          <w:bCs/>
          <w:szCs w:val="26"/>
        </w:rPr>
      </w:pPr>
    </w:p>
    <w:p w14:paraId="7B825C4E" w14:textId="77777777" w:rsidR="008C3540" w:rsidRPr="00062207" w:rsidRDefault="008C3540" w:rsidP="004F4021">
      <w:pPr>
        <w:rPr>
          <w:rFonts w:ascii="Times New Roman" w:eastAsiaTheme="majorEastAsia" w:hAnsi="Times New Roman" w:cs="Times New Roman"/>
          <w:b/>
          <w:bCs/>
          <w:szCs w:val="26"/>
        </w:rPr>
      </w:pPr>
    </w:p>
    <w:p w14:paraId="3CEE987D" w14:textId="7F0651C9" w:rsidR="00D8619A" w:rsidRPr="00062207" w:rsidRDefault="00D8619A" w:rsidP="004F4021">
      <w:pPr>
        <w:rPr>
          <w:rFonts w:ascii="Times New Roman" w:eastAsiaTheme="majorEastAsia" w:hAnsi="Times New Roman" w:cs="Times New Roman"/>
          <w:b/>
          <w:bCs/>
          <w:szCs w:val="26"/>
        </w:rPr>
      </w:pPr>
    </w:p>
    <w:p w14:paraId="307C7E5D" w14:textId="353E08BC" w:rsidR="008C3540" w:rsidRPr="00062207" w:rsidRDefault="008C3540" w:rsidP="004F4021">
      <w:pPr>
        <w:rPr>
          <w:rFonts w:ascii="Times New Roman" w:eastAsiaTheme="majorEastAsia" w:hAnsi="Times New Roman" w:cs="Times New Roman"/>
          <w:b/>
          <w:bCs/>
          <w:szCs w:val="26"/>
        </w:rPr>
      </w:pPr>
    </w:p>
    <w:p w14:paraId="27E1D3EA" w14:textId="77777777" w:rsidR="008C3540" w:rsidRPr="00062207" w:rsidRDefault="008C3540" w:rsidP="004F4021">
      <w:pPr>
        <w:rPr>
          <w:rFonts w:ascii="Times New Roman" w:eastAsiaTheme="majorEastAsia" w:hAnsi="Times New Roman" w:cs="Times New Roman"/>
          <w:b/>
          <w:bCs/>
          <w:szCs w:val="26"/>
        </w:rPr>
      </w:pPr>
    </w:p>
    <w:p w14:paraId="285CC2E9" w14:textId="77777777" w:rsidR="0032588B" w:rsidRPr="00062207" w:rsidRDefault="0032588B" w:rsidP="004F4021">
      <w:pPr>
        <w:rPr>
          <w:rFonts w:ascii="Times New Roman" w:eastAsiaTheme="majorEastAsia" w:hAnsi="Times New Roman" w:cs="Times New Roman"/>
          <w:b/>
          <w:bCs/>
          <w:szCs w:val="26"/>
        </w:rPr>
      </w:pPr>
    </w:p>
    <w:p w14:paraId="09AE33C6" w14:textId="77777777" w:rsidR="0032588B" w:rsidRPr="00062207" w:rsidRDefault="0032588B" w:rsidP="0032588B">
      <w:pPr>
        <w:pStyle w:val="Prrafodelista"/>
        <w:ind w:left="709"/>
        <w:jc w:val="both"/>
        <w:outlineLvl w:val="0"/>
        <w:rPr>
          <w:rFonts w:ascii="Times New Roman" w:eastAsiaTheme="majorEastAsia" w:hAnsi="Times New Roman" w:cs="Times New Roman"/>
          <w:b/>
          <w:bCs/>
          <w:sz w:val="24"/>
          <w:szCs w:val="26"/>
          <w:lang w:val="es-ES_tradnl" w:eastAsia="es-ES"/>
        </w:rPr>
      </w:pPr>
    </w:p>
    <w:p w14:paraId="7B04DF36" w14:textId="0EAF5548" w:rsidR="0032588B" w:rsidRPr="00062207" w:rsidRDefault="00D8619A" w:rsidP="00F75211">
      <w:pPr>
        <w:pStyle w:val="Prrafodelista"/>
        <w:ind w:left="709"/>
        <w:jc w:val="center"/>
        <w:rPr>
          <w:rFonts w:ascii="Times New Roman" w:eastAsiaTheme="majorEastAsia" w:hAnsi="Times New Roman" w:cs="Times New Roman"/>
          <w:b/>
          <w:bCs/>
          <w:sz w:val="36"/>
          <w:szCs w:val="26"/>
          <w:lang w:val="es-ES_tradnl" w:eastAsia="es-ES"/>
        </w:rPr>
      </w:pPr>
      <w:r w:rsidRPr="00062207">
        <w:rPr>
          <w:rFonts w:ascii="Times New Roman" w:eastAsiaTheme="majorEastAsia" w:hAnsi="Times New Roman" w:cs="Times New Roman"/>
          <w:b/>
          <w:bCs/>
          <w:sz w:val="36"/>
          <w:szCs w:val="26"/>
          <w:lang w:val="es-ES_tradnl" w:eastAsia="es-ES"/>
        </w:rPr>
        <w:t>Informe de dese</w:t>
      </w:r>
      <w:r w:rsidR="00DB4145" w:rsidRPr="00062207">
        <w:rPr>
          <w:rFonts w:ascii="Times New Roman" w:eastAsiaTheme="majorEastAsia" w:hAnsi="Times New Roman" w:cs="Times New Roman"/>
          <w:b/>
          <w:bCs/>
          <w:sz w:val="36"/>
          <w:szCs w:val="26"/>
          <w:lang w:val="es-ES_tradnl" w:eastAsia="es-ES"/>
        </w:rPr>
        <w:t>mpeño de la Política Fiscal 2021</w:t>
      </w:r>
      <w:r w:rsidR="00FD31D6" w:rsidRPr="00062207">
        <w:rPr>
          <w:rFonts w:ascii="Times New Roman" w:eastAsiaTheme="majorEastAsia" w:hAnsi="Times New Roman" w:cs="Times New Roman"/>
          <w:b/>
          <w:bCs/>
          <w:sz w:val="36"/>
          <w:szCs w:val="26"/>
          <w:lang w:val="es-ES_tradnl" w:eastAsia="es-ES"/>
        </w:rPr>
        <w:t xml:space="preserve"> y Perspectivas 2022</w:t>
      </w:r>
      <w:r w:rsidRPr="00062207">
        <w:rPr>
          <w:rFonts w:ascii="Times New Roman" w:eastAsiaTheme="majorEastAsia" w:hAnsi="Times New Roman" w:cs="Times New Roman"/>
          <w:b/>
          <w:bCs/>
          <w:sz w:val="36"/>
          <w:szCs w:val="26"/>
          <w:lang w:val="es-ES_tradnl" w:eastAsia="es-ES"/>
        </w:rPr>
        <w:t xml:space="preserve"> </w:t>
      </w:r>
    </w:p>
    <w:p w14:paraId="04F401DF" w14:textId="77777777" w:rsidR="0032588B" w:rsidRPr="00062207" w:rsidRDefault="0032588B" w:rsidP="004F4021">
      <w:pPr>
        <w:pStyle w:val="Prrafodelista"/>
        <w:ind w:left="709"/>
        <w:jc w:val="both"/>
        <w:rPr>
          <w:rFonts w:ascii="Times New Roman" w:eastAsiaTheme="majorEastAsia" w:hAnsi="Times New Roman" w:cs="Times New Roman"/>
          <w:b/>
          <w:bCs/>
          <w:sz w:val="24"/>
          <w:szCs w:val="26"/>
          <w:lang w:val="es-ES_tradnl" w:eastAsia="es-ES"/>
        </w:rPr>
      </w:pPr>
    </w:p>
    <w:p w14:paraId="1FF8872E" w14:textId="77777777" w:rsidR="0032588B" w:rsidRPr="00062207" w:rsidRDefault="0032588B" w:rsidP="004F4021">
      <w:pPr>
        <w:pStyle w:val="Prrafodelista"/>
        <w:ind w:left="709"/>
        <w:jc w:val="both"/>
        <w:rPr>
          <w:rFonts w:ascii="Times New Roman" w:eastAsiaTheme="majorEastAsia" w:hAnsi="Times New Roman" w:cs="Times New Roman"/>
          <w:b/>
          <w:bCs/>
          <w:sz w:val="24"/>
          <w:szCs w:val="26"/>
          <w:lang w:val="es-ES_tradnl" w:eastAsia="es-ES"/>
        </w:rPr>
      </w:pPr>
    </w:p>
    <w:p w14:paraId="1C66A7E9" w14:textId="77777777" w:rsidR="0032588B" w:rsidRPr="00062207" w:rsidRDefault="0032588B" w:rsidP="004F4021">
      <w:pPr>
        <w:pStyle w:val="Prrafodelista"/>
        <w:ind w:left="709"/>
        <w:jc w:val="both"/>
        <w:rPr>
          <w:rFonts w:ascii="Times New Roman" w:eastAsiaTheme="majorEastAsia" w:hAnsi="Times New Roman" w:cs="Times New Roman"/>
          <w:b/>
          <w:bCs/>
          <w:sz w:val="24"/>
          <w:szCs w:val="26"/>
          <w:lang w:val="es-ES_tradnl" w:eastAsia="es-ES"/>
        </w:rPr>
      </w:pPr>
    </w:p>
    <w:p w14:paraId="294451F7" w14:textId="77777777" w:rsidR="0032588B" w:rsidRPr="00062207" w:rsidRDefault="0032588B" w:rsidP="004F4021">
      <w:pPr>
        <w:pStyle w:val="Prrafodelista"/>
        <w:ind w:left="709"/>
        <w:jc w:val="both"/>
        <w:rPr>
          <w:rFonts w:ascii="Times New Roman" w:eastAsiaTheme="majorEastAsia" w:hAnsi="Times New Roman" w:cs="Times New Roman"/>
          <w:b/>
          <w:bCs/>
          <w:sz w:val="24"/>
          <w:szCs w:val="26"/>
          <w:lang w:val="es-ES_tradnl" w:eastAsia="es-ES"/>
        </w:rPr>
      </w:pPr>
    </w:p>
    <w:p w14:paraId="3D092CAC" w14:textId="77777777" w:rsidR="0032588B" w:rsidRPr="00062207" w:rsidRDefault="0032588B" w:rsidP="004F4021">
      <w:pPr>
        <w:pStyle w:val="Prrafodelista"/>
        <w:ind w:left="709"/>
        <w:jc w:val="both"/>
        <w:rPr>
          <w:rFonts w:ascii="Times New Roman" w:eastAsiaTheme="majorEastAsia" w:hAnsi="Times New Roman" w:cs="Times New Roman"/>
          <w:b/>
          <w:bCs/>
          <w:sz w:val="24"/>
          <w:szCs w:val="26"/>
          <w:lang w:val="es-ES_tradnl" w:eastAsia="es-ES"/>
        </w:rPr>
      </w:pPr>
    </w:p>
    <w:p w14:paraId="2403A850" w14:textId="77777777" w:rsidR="0032588B" w:rsidRPr="00062207" w:rsidRDefault="0032588B" w:rsidP="004F4021">
      <w:pPr>
        <w:pStyle w:val="Prrafodelista"/>
        <w:ind w:left="709"/>
        <w:jc w:val="both"/>
        <w:rPr>
          <w:rFonts w:ascii="Times New Roman" w:eastAsiaTheme="majorEastAsia" w:hAnsi="Times New Roman" w:cs="Times New Roman"/>
          <w:b/>
          <w:bCs/>
          <w:sz w:val="24"/>
          <w:szCs w:val="26"/>
          <w:lang w:val="es-ES_tradnl" w:eastAsia="es-ES"/>
        </w:rPr>
      </w:pPr>
    </w:p>
    <w:p w14:paraId="3B5CD922" w14:textId="77777777" w:rsidR="0032588B" w:rsidRPr="00062207" w:rsidRDefault="0032588B" w:rsidP="004F4021">
      <w:pPr>
        <w:pStyle w:val="Prrafodelista"/>
        <w:ind w:left="709"/>
        <w:jc w:val="both"/>
        <w:rPr>
          <w:rFonts w:ascii="Times New Roman" w:eastAsiaTheme="majorEastAsia" w:hAnsi="Times New Roman" w:cs="Times New Roman"/>
          <w:b/>
          <w:bCs/>
          <w:sz w:val="24"/>
          <w:szCs w:val="26"/>
          <w:lang w:val="es-ES_tradnl" w:eastAsia="es-ES"/>
        </w:rPr>
      </w:pPr>
    </w:p>
    <w:p w14:paraId="7402BF8C" w14:textId="77777777" w:rsidR="0032588B" w:rsidRPr="00062207" w:rsidRDefault="0032588B" w:rsidP="004F4021">
      <w:pPr>
        <w:pStyle w:val="Prrafodelista"/>
        <w:ind w:left="709"/>
        <w:jc w:val="both"/>
        <w:rPr>
          <w:rFonts w:ascii="Times New Roman" w:eastAsiaTheme="majorEastAsia" w:hAnsi="Times New Roman" w:cs="Times New Roman"/>
          <w:b/>
          <w:bCs/>
          <w:sz w:val="24"/>
          <w:szCs w:val="26"/>
          <w:lang w:val="es-ES_tradnl" w:eastAsia="es-ES"/>
        </w:rPr>
      </w:pPr>
    </w:p>
    <w:p w14:paraId="287B41AA" w14:textId="77777777" w:rsidR="0032588B" w:rsidRPr="00062207" w:rsidRDefault="0032588B" w:rsidP="004F4021">
      <w:pPr>
        <w:pStyle w:val="Prrafodelista"/>
        <w:ind w:left="709"/>
        <w:jc w:val="both"/>
        <w:rPr>
          <w:rFonts w:ascii="Times New Roman" w:eastAsiaTheme="majorEastAsia" w:hAnsi="Times New Roman" w:cs="Times New Roman"/>
          <w:b/>
          <w:bCs/>
          <w:sz w:val="24"/>
          <w:szCs w:val="26"/>
          <w:lang w:val="es-ES_tradnl" w:eastAsia="es-ES"/>
        </w:rPr>
      </w:pPr>
    </w:p>
    <w:p w14:paraId="1B92EE80" w14:textId="77777777" w:rsidR="0032588B" w:rsidRPr="00062207" w:rsidRDefault="0032588B" w:rsidP="004F4021">
      <w:pPr>
        <w:pStyle w:val="Prrafodelista"/>
        <w:ind w:left="709"/>
        <w:jc w:val="both"/>
        <w:rPr>
          <w:rFonts w:ascii="Times New Roman" w:eastAsiaTheme="majorEastAsia" w:hAnsi="Times New Roman" w:cs="Times New Roman"/>
          <w:b/>
          <w:bCs/>
          <w:sz w:val="24"/>
          <w:szCs w:val="26"/>
          <w:lang w:val="es-ES_tradnl" w:eastAsia="es-ES"/>
        </w:rPr>
      </w:pPr>
    </w:p>
    <w:p w14:paraId="495FE737" w14:textId="3BC94456" w:rsidR="00DB4145" w:rsidRPr="00062207" w:rsidRDefault="00DB4145" w:rsidP="004F4021">
      <w:pPr>
        <w:pStyle w:val="Prrafodelista"/>
        <w:ind w:left="709"/>
        <w:jc w:val="both"/>
        <w:rPr>
          <w:rFonts w:ascii="Times New Roman" w:eastAsiaTheme="majorEastAsia" w:hAnsi="Times New Roman" w:cs="Times New Roman"/>
          <w:b/>
          <w:bCs/>
          <w:sz w:val="24"/>
          <w:szCs w:val="26"/>
          <w:lang w:val="es-ES_tradnl" w:eastAsia="es-ES"/>
        </w:rPr>
      </w:pPr>
    </w:p>
    <w:p w14:paraId="55C1BF3F" w14:textId="1BF62AF2" w:rsidR="00DB4145" w:rsidRPr="00062207" w:rsidRDefault="00DB4145" w:rsidP="004F4021">
      <w:pPr>
        <w:pStyle w:val="Prrafodelista"/>
        <w:ind w:left="709"/>
        <w:jc w:val="both"/>
        <w:rPr>
          <w:rFonts w:ascii="Times New Roman" w:eastAsiaTheme="majorEastAsia" w:hAnsi="Times New Roman" w:cs="Times New Roman"/>
          <w:b/>
          <w:bCs/>
          <w:sz w:val="24"/>
          <w:szCs w:val="26"/>
          <w:lang w:val="es-ES_tradnl" w:eastAsia="es-ES"/>
        </w:rPr>
      </w:pPr>
    </w:p>
    <w:p w14:paraId="4DDA5377" w14:textId="7BA48575" w:rsidR="00DB4145" w:rsidRPr="00062207" w:rsidRDefault="00DB4145" w:rsidP="004F4021">
      <w:pPr>
        <w:pStyle w:val="Prrafodelista"/>
        <w:ind w:left="709"/>
        <w:jc w:val="both"/>
        <w:rPr>
          <w:rFonts w:ascii="Times New Roman" w:eastAsiaTheme="majorEastAsia" w:hAnsi="Times New Roman" w:cs="Times New Roman"/>
          <w:b/>
          <w:bCs/>
          <w:sz w:val="24"/>
          <w:szCs w:val="26"/>
          <w:lang w:val="es-ES_tradnl" w:eastAsia="es-ES"/>
        </w:rPr>
      </w:pPr>
    </w:p>
    <w:p w14:paraId="71A0D9B4" w14:textId="5FEEF0E5" w:rsidR="00DB4145" w:rsidRPr="00062207" w:rsidRDefault="00DB4145" w:rsidP="004F4021">
      <w:pPr>
        <w:pStyle w:val="Prrafodelista"/>
        <w:ind w:left="709"/>
        <w:jc w:val="both"/>
        <w:rPr>
          <w:rFonts w:ascii="Times New Roman" w:eastAsiaTheme="majorEastAsia" w:hAnsi="Times New Roman" w:cs="Times New Roman"/>
          <w:b/>
          <w:bCs/>
          <w:sz w:val="24"/>
          <w:szCs w:val="26"/>
          <w:lang w:val="es-ES_tradnl" w:eastAsia="es-ES"/>
        </w:rPr>
      </w:pPr>
    </w:p>
    <w:p w14:paraId="6C9C6465" w14:textId="43FCF97D" w:rsidR="00DB4145" w:rsidRPr="00062207" w:rsidRDefault="00DB4145" w:rsidP="004F4021">
      <w:pPr>
        <w:pStyle w:val="Prrafodelista"/>
        <w:ind w:left="709"/>
        <w:jc w:val="both"/>
        <w:rPr>
          <w:rFonts w:ascii="Times New Roman" w:eastAsiaTheme="majorEastAsia" w:hAnsi="Times New Roman" w:cs="Times New Roman"/>
          <w:b/>
          <w:bCs/>
          <w:sz w:val="24"/>
          <w:szCs w:val="26"/>
          <w:lang w:val="es-ES_tradnl" w:eastAsia="es-ES"/>
        </w:rPr>
      </w:pPr>
    </w:p>
    <w:p w14:paraId="5AFC19C2" w14:textId="77777777" w:rsidR="00DB4145" w:rsidRPr="00062207" w:rsidRDefault="00DB4145" w:rsidP="004F4021">
      <w:pPr>
        <w:pStyle w:val="Prrafodelista"/>
        <w:ind w:left="709"/>
        <w:jc w:val="both"/>
        <w:rPr>
          <w:rFonts w:ascii="Times New Roman" w:eastAsiaTheme="majorEastAsia" w:hAnsi="Times New Roman" w:cs="Times New Roman"/>
          <w:b/>
          <w:bCs/>
          <w:sz w:val="24"/>
          <w:szCs w:val="26"/>
          <w:lang w:val="es-ES_tradnl" w:eastAsia="es-ES"/>
        </w:rPr>
      </w:pPr>
    </w:p>
    <w:p w14:paraId="13A70E7B" w14:textId="77777777" w:rsidR="0032588B" w:rsidRPr="00062207" w:rsidRDefault="0032588B" w:rsidP="004F4021">
      <w:pPr>
        <w:pStyle w:val="Prrafodelista"/>
        <w:ind w:left="709"/>
        <w:jc w:val="both"/>
        <w:rPr>
          <w:rFonts w:ascii="Times New Roman" w:eastAsiaTheme="majorEastAsia" w:hAnsi="Times New Roman" w:cs="Times New Roman"/>
          <w:b/>
          <w:bCs/>
          <w:sz w:val="24"/>
          <w:szCs w:val="26"/>
          <w:lang w:val="es-ES_tradnl" w:eastAsia="es-ES"/>
        </w:rPr>
      </w:pPr>
    </w:p>
    <w:p w14:paraId="0AE34D38" w14:textId="77777777" w:rsidR="0032588B" w:rsidRPr="00062207" w:rsidRDefault="0032588B" w:rsidP="004F4021">
      <w:pPr>
        <w:pStyle w:val="Prrafodelista"/>
        <w:ind w:left="709"/>
        <w:jc w:val="both"/>
        <w:rPr>
          <w:rFonts w:ascii="Times New Roman" w:eastAsiaTheme="majorEastAsia" w:hAnsi="Times New Roman" w:cs="Times New Roman"/>
          <w:b/>
          <w:bCs/>
          <w:sz w:val="24"/>
          <w:szCs w:val="26"/>
          <w:lang w:val="es-ES_tradnl" w:eastAsia="es-ES"/>
        </w:rPr>
      </w:pPr>
    </w:p>
    <w:p w14:paraId="4D160A3A" w14:textId="77777777" w:rsidR="0032588B" w:rsidRPr="00062207" w:rsidRDefault="0032588B" w:rsidP="004F4021">
      <w:pPr>
        <w:pStyle w:val="Prrafodelista"/>
        <w:ind w:left="709"/>
        <w:jc w:val="both"/>
        <w:rPr>
          <w:rFonts w:ascii="Times New Roman" w:eastAsiaTheme="majorEastAsia" w:hAnsi="Times New Roman" w:cs="Times New Roman"/>
          <w:b/>
          <w:bCs/>
          <w:sz w:val="24"/>
          <w:szCs w:val="26"/>
          <w:lang w:val="es-ES_tradnl" w:eastAsia="es-ES"/>
        </w:rPr>
      </w:pPr>
    </w:p>
    <w:p w14:paraId="61932557" w14:textId="15B79165" w:rsidR="0032588B" w:rsidRPr="00062207" w:rsidRDefault="00062207" w:rsidP="004F4021">
      <w:pPr>
        <w:pStyle w:val="Prrafodelista"/>
        <w:ind w:left="709"/>
        <w:jc w:val="center"/>
        <w:rPr>
          <w:rFonts w:ascii="Times New Roman" w:eastAsiaTheme="majorEastAsia" w:hAnsi="Times New Roman" w:cs="Times New Roman"/>
          <w:b/>
          <w:bCs/>
          <w:sz w:val="24"/>
          <w:szCs w:val="26"/>
          <w:lang w:val="es-ES_tradnl" w:eastAsia="es-ES"/>
        </w:rPr>
      </w:pPr>
      <w:r>
        <w:rPr>
          <w:rFonts w:ascii="Times New Roman" w:eastAsiaTheme="majorEastAsia" w:hAnsi="Times New Roman" w:cs="Times New Roman"/>
          <w:b/>
          <w:bCs/>
          <w:sz w:val="24"/>
          <w:szCs w:val="26"/>
          <w:lang w:val="es-ES_tradnl" w:eastAsia="es-ES"/>
        </w:rPr>
        <w:t>Guatemala, febrero</w:t>
      </w:r>
      <w:r w:rsidR="00DB4145" w:rsidRPr="00062207">
        <w:rPr>
          <w:rFonts w:ascii="Times New Roman" w:eastAsiaTheme="majorEastAsia" w:hAnsi="Times New Roman" w:cs="Times New Roman"/>
          <w:b/>
          <w:bCs/>
          <w:sz w:val="24"/>
          <w:szCs w:val="26"/>
          <w:lang w:val="es-ES_tradnl" w:eastAsia="es-ES"/>
        </w:rPr>
        <w:t xml:space="preserve"> 2022</w:t>
      </w:r>
    </w:p>
    <w:p w14:paraId="650C6560" w14:textId="77777777" w:rsidR="0032588B" w:rsidRPr="00062207" w:rsidRDefault="0032588B" w:rsidP="004F4021">
      <w:pPr>
        <w:pStyle w:val="Prrafodelista"/>
        <w:ind w:left="709"/>
        <w:jc w:val="both"/>
        <w:rPr>
          <w:rFonts w:ascii="Times New Roman" w:eastAsiaTheme="majorEastAsia" w:hAnsi="Times New Roman" w:cs="Times New Roman"/>
          <w:b/>
          <w:bCs/>
          <w:sz w:val="24"/>
          <w:szCs w:val="26"/>
          <w:lang w:val="es-ES_tradnl" w:eastAsia="es-ES"/>
        </w:rPr>
      </w:pPr>
    </w:p>
    <w:p w14:paraId="279A0DDC" w14:textId="77777777" w:rsidR="0032588B" w:rsidRPr="00062207" w:rsidRDefault="0032588B" w:rsidP="004F4021">
      <w:pPr>
        <w:pStyle w:val="Prrafodelista"/>
        <w:ind w:left="709"/>
        <w:jc w:val="both"/>
        <w:rPr>
          <w:rFonts w:ascii="Times New Roman" w:eastAsiaTheme="majorEastAsia" w:hAnsi="Times New Roman" w:cs="Times New Roman"/>
          <w:b/>
          <w:bCs/>
          <w:sz w:val="24"/>
          <w:szCs w:val="26"/>
          <w:lang w:val="es-ES_tradnl" w:eastAsia="es-ES"/>
        </w:rPr>
      </w:pPr>
    </w:p>
    <w:p w14:paraId="5C127FAC" w14:textId="77777777" w:rsidR="0032588B" w:rsidRPr="00062207" w:rsidRDefault="0032588B" w:rsidP="006223D4">
      <w:pPr>
        <w:pStyle w:val="Prrafodelista"/>
        <w:ind w:left="709"/>
        <w:jc w:val="both"/>
        <w:rPr>
          <w:rFonts w:ascii="Times New Roman" w:eastAsiaTheme="majorEastAsia" w:hAnsi="Times New Roman" w:cs="Times New Roman"/>
          <w:b/>
          <w:bCs/>
          <w:sz w:val="24"/>
          <w:szCs w:val="26"/>
          <w:lang w:val="es-ES_tradnl" w:eastAsia="es-ES"/>
        </w:rPr>
      </w:pPr>
    </w:p>
    <w:p w14:paraId="3F301824" w14:textId="5A800E70" w:rsidR="0032588B" w:rsidRPr="00062207" w:rsidRDefault="0032588B" w:rsidP="006223D4">
      <w:pPr>
        <w:pStyle w:val="Prrafodelista"/>
        <w:ind w:left="709"/>
        <w:jc w:val="both"/>
        <w:rPr>
          <w:rFonts w:ascii="Times New Roman" w:eastAsiaTheme="majorEastAsia" w:hAnsi="Times New Roman" w:cs="Times New Roman"/>
          <w:bCs/>
          <w:sz w:val="24"/>
          <w:szCs w:val="26"/>
          <w:lang w:val="es-ES_tradnl" w:eastAsia="es-ES"/>
        </w:rPr>
      </w:pPr>
    </w:p>
    <w:sdt>
      <w:sdtPr>
        <w:rPr>
          <w:rFonts w:asciiTheme="minorHAnsi" w:eastAsiaTheme="minorEastAsia" w:hAnsiTheme="minorHAnsi" w:cstheme="minorBidi"/>
          <w:b w:val="0"/>
          <w:bCs w:val="0"/>
          <w:color w:val="auto"/>
          <w:sz w:val="24"/>
          <w:szCs w:val="24"/>
          <w:lang w:val="es-ES" w:eastAsia="es-ES"/>
        </w:rPr>
        <w:id w:val="-321739849"/>
        <w:docPartObj>
          <w:docPartGallery w:val="Table of Contents"/>
          <w:docPartUnique/>
        </w:docPartObj>
      </w:sdtPr>
      <w:sdtEndPr>
        <w:rPr>
          <w:rFonts w:ascii="Times New Roman" w:hAnsi="Times New Roman" w:cs="Times New Roman"/>
        </w:rPr>
      </w:sdtEndPr>
      <w:sdtContent>
        <w:p w14:paraId="16BD5C1F" w14:textId="099BB267" w:rsidR="0080424E" w:rsidRPr="00062207" w:rsidRDefault="0080424E" w:rsidP="0080424E">
          <w:pPr>
            <w:pStyle w:val="TtuloTDC"/>
            <w:jc w:val="center"/>
            <w:rPr>
              <w:rFonts w:ascii="Times New Roman" w:hAnsi="Times New Roman" w:cs="Times New Roman"/>
              <w:color w:val="auto"/>
            </w:rPr>
          </w:pPr>
          <w:r w:rsidRPr="00062207">
            <w:rPr>
              <w:rFonts w:ascii="Times New Roman" w:hAnsi="Times New Roman" w:cs="Times New Roman"/>
              <w:color w:val="auto"/>
              <w:lang w:val="es-ES"/>
            </w:rPr>
            <w:t>Contenido</w:t>
          </w:r>
        </w:p>
        <w:p w14:paraId="1C2EAB1B" w14:textId="5636E0FC" w:rsidR="007E5F5C" w:rsidRPr="00062207" w:rsidRDefault="0080424E">
          <w:pPr>
            <w:pStyle w:val="TDC1"/>
            <w:rPr>
              <w:rFonts w:eastAsiaTheme="minorEastAsia"/>
              <w:b w:val="0"/>
              <w:bCs w:val="0"/>
              <w:sz w:val="22"/>
              <w:szCs w:val="22"/>
              <w:lang w:val="es-GT" w:eastAsia="es-GT"/>
            </w:rPr>
          </w:pPr>
          <w:r w:rsidRPr="00062207">
            <w:fldChar w:fldCharType="begin"/>
          </w:r>
          <w:r w:rsidRPr="00062207">
            <w:instrText xml:space="preserve"> TOC \o "1-3" \h \z \u </w:instrText>
          </w:r>
          <w:r w:rsidRPr="00062207">
            <w:fldChar w:fldCharType="separate"/>
          </w:r>
          <w:hyperlink w:anchor="_Toc94259617" w:history="1">
            <w:r w:rsidR="007E5F5C" w:rsidRPr="00062207">
              <w:rPr>
                <w:rStyle w:val="Hipervnculo"/>
                <w:color w:val="auto"/>
                <w:lang w:val="es-ES_tradnl"/>
              </w:rPr>
              <w:t>Introducción</w:t>
            </w:r>
            <w:r w:rsidR="007E5F5C" w:rsidRPr="00062207">
              <w:rPr>
                <w:webHidden/>
              </w:rPr>
              <w:tab/>
            </w:r>
            <w:r w:rsidR="007E5F5C" w:rsidRPr="00062207">
              <w:rPr>
                <w:webHidden/>
              </w:rPr>
              <w:fldChar w:fldCharType="begin"/>
            </w:r>
            <w:r w:rsidR="007E5F5C" w:rsidRPr="00062207">
              <w:rPr>
                <w:webHidden/>
              </w:rPr>
              <w:instrText xml:space="preserve"> PAGEREF _Toc94259617 \h </w:instrText>
            </w:r>
            <w:r w:rsidR="007E5F5C" w:rsidRPr="00062207">
              <w:rPr>
                <w:webHidden/>
              </w:rPr>
            </w:r>
            <w:r w:rsidR="007E5F5C" w:rsidRPr="00062207">
              <w:rPr>
                <w:webHidden/>
              </w:rPr>
              <w:fldChar w:fldCharType="separate"/>
            </w:r>
            <w:r w:rsidR="00062207">
              <w:rPr>
                <w:webHidden/>
              </w:rPr>
              <w:t>3</w:t>
            </w:r>
            <w:r w:rsidR="007E5F5C" w:rsidRPr="00062207">
              <w:rPr>
                <w:webHidden/>
              </w:rPr>
              <w:fldChar w:fldCharType="end"/>
            </w:r>
          </w:hyperlink>
        </w:p>
        <w:p w14:paraId="4566E806" w14:textId="5CF85C56" w:rsidR="007E5F5C" w:rsidRPr="00062207" w:rsidRDefault="00271944">
          <w:pPr>
            <w:pStyle w:val="TDC1"/>
            <w:rPr>
              <w:rFonts w:eastAsiaTheme="minorEastAsia"/>
              <w:b w:val="0"/>
              <w:bCs w:val="0"/>
              <w:sz w:val="22"/>
              <w:szCs w:val="22"/>
              <w:lang w:val="es-GT" w:eastAsia="es-GT"/>
            </w:rPr>
          </w:pPr>
          <w:hyperlink w:anchor="_Toc94259618" w:history="1">
            <w:r w:rsidR="007E5F5C" w:rsidRPr="00062207">
              <w:rPr>
                <w:rStyle w:val="Hipervnculo"/>
                <w:color w:val="auto"/>
                <w:lang w:val="es-ES_tradnl"/>
              </w:rPr>
              <w:t>I.</w:t>
            </w:r>
            <w:r w:rsidR="007E5F5C" w:rsidRPr="00062207">
              <w:rPr>
                <w:rFonts w:eastAsiaTheme="minorEastAsia"/>
                <w:b w:val="0"/>
                <w:bCs w:val="0"/>
                <w:sz w:val="22"/>
                <w:szCs w:val="22"/>
                <w:lang w:val="es-GT" w:eastAsia="es-GT"/>
              </w:rPr>
              <w:t xml:space="preserve">  </w:t>
            </w:r>
            <w:r w:rsidR="007E5F5C" w:rsidRPr="00062207">
              <w:rPr>
                <w:rStyle w:val="Hipervnculo"/>
                <w:color w:val="auto"/>
                <w:lang w:val="es-ES_tradnl"/>
              </w:rPr>
              <w:t>Ingresos Fiscales</w:t>
            </w:r>
            <w:r w:rsidR="007E5F5C" w:rsidRPr="00062207">
              <w:rPr>
                <w:webHidden/>
              </w:rPr>
              <w:tab/>
            </w:r>
            <w:r w:rsidR="007E5F5C" w:rsidRPr="00062207">
              <w:rPr>
                <w:webHidden/>
              </w:rPr>
              <w:fldChar w:fldCharType="begin"/>
            </w:r>
            <w:r w:rsidR="007E5F5C" w:rsidRPr="00062207">
              <w:rPr>
                <w:webHidden/>
              </w:rPr>
              <w:instrText xml:space="preserve"> PAGEREF _Toc94259618 \h </w:instrText>
            </w:r>
            <w:r w:rsidR="007E5F5C" w:rsidRPr="00062207">
              <w:rPr>
                <w:webHidden/>
              </w:rPr>
            </w:r>
            <w:r w:rsidR="007E5F5C" w:rsidRPr="00062207">
              <w:rPr>
                <w:webHidden/>
              </w:rPr>
              <w:fldChar w:fldCharType="separate"/>
            </w:r>
            <w:r w:rsidR="00062207">
              <w:rPr>
                <w:webHidden/>
              </w:rPr>
              <w:t>5</w:t>
            </w:r>
            <w:r w:rsidR="007E5F5C" w:rsidRPr="00062207">
              <w:rPr>
                <w:webHidden/>
              </w:rPr>
              <w:fldChar w:fldCharType="end"/>
            </w:r>
          </w:hyperlink>
        </w:p>
        <w:p w14:paraId="17E01762" w14:textId="3041B6EA" w:rsidR="007E5F5C" w:rsidRPr="00062207" w:rsidRDefault="00271944">
          <w:pPr>
            <w:pStyle w:val="TDC2"/>
            <w:rPr>
              <w:rFonts w:ascii="Times New Roman" w:hAnsi="Times New Roman" w:cs="Times New Roman"/>
              <w:noProof/>
              <w:sz w:val="22"/>
              <w:szCs w:val="22"/>
              <w:lang w:val="es-GT" w:eastAsia="es-GT"/>
            </w:rPr>
          </w:pPr>
          <w:hyperlink w:anchor="_Toc94259620" w:history="1">
            <w:r w:rsidR="007E5F5C" w:rsidRPr="00062207">
              <w:rPr>
                <w:rStyle w:val="Hipervnculo"/>
                <w:rFonts w:ascii="Times New Roman" w:hAnsi="Times New Roman" w:cs="Times New Roman"/>
                <w:noProof/>
                <w:color w:val="auto"/>
              </w:rPr>
              <w:t>1.1</w:t>
            </w:r>
            <w:r w:rsidR="007E5F5C" w:rsidRPr="00062207">
              <w:rPr>
                <w:rFonts w:ascii="Times New Roman" w:hAnsi="Times New Roman" w:cs="Times New Roman"/>
                <w:noProof/>
                <w:sz w:val="22"/>
                <w:szCs w:val="22"/>
                <w:lang w:val="es-GT" w:eastAsia="es-GT"/>
              </w:rPr>
              <w:t xml:space="preserve">  </w:t>
            </w:r>
            <w:r w:rsidR="007E5F5C" w:rsidRPr="00062207">
              <w:rPr>
                <w:rStyle w:val="Hipervnculo"/>
                <w:rFonts w:ascii="Times New Roman" w:hAnsi="Times New Roman" w:cs="Times New Roman"/>
                <w:noProof/>
                <w:color w:val="auto"/>
              </w:rPr>
              <w:t>Recaudación tributaria inicia con buen dinamismo</w:t>
            </w:r>
            <w:r w:rsidR="007E5F5C" w:rsidRPr="00062207">
              <w:rPr>
                <w:rFonts w:ascii="Times New Roman" w:hAnsi="Times New Roman" w:cs="Times New Roman"/>
                <w:noProof/>
                <w:webHidden/>
              </w:rPr>
              <w:tab/>
            </w:r>
            <w:r w:rsidR="007E5F5C" w:rsidRPr="00062207">
              <w:rPr>
                <w:rFonts w:ascii="Times New Roman" w:hAnsi="Times New Roman" w:cs="Times New Roman"/>
                <w:noProof/>
                <w:webHidden/>
              </w:rPr>
              <w:fldChar w:fldCharType="begin"/>
            </w:r>
            <w:r w:rsidR="007E5F5C" w:rsidRPr="00062207">
              <w:rPr>
                <w:rFonts w:ascii="Times New Roman" w:hAnsi="Times New Roman" w:cs="Times New Roman"/>
                <w:noProof/>
                <w:webHidden/>
              </w:rPr>
              <w:instrText xml:space="preserve"> PAGEREF _Toc94259620 \h </w:instrText>
            </w:r>
            <w:r w:rsidR="007E5F5C" w:rsidRPr="00062207">
              <w:rPr>
                <w:rFonts w:ascii="Times New Roman" w:hAnsi="Times New Roman" w:cs="Times New Roman"/>
                <w:noProof/>
                <w:webHidden/>
              </w:rPr>
            </w:r>
            <w:r w:rsidR="007E5F5C" w:rsidRPr="00062207">
              <w:rPr>
                <w:rFonts w:ascii="Times New Roman" w:hAnsi="Times New Roman" w:cs="Times New Roman"/>
                <w:noProof/>
                <w:webHidden/>
              </w:rPr>
              <w:fldChar w:fldCharType="separate"/>
            </w:r>
            <w:r w:rsidR="00062207">
              <w:rPr>
                <w:rFonts w:ascii="Times New Roman" w:hAnsi="Times New Roman" w:cs="Times New Roman"/>
                <w:noProof/>
                <w:webHidden/>
              </w:rPr>
              <w:t>5</w:t>
            </w:r>
            <w:r w:rsidR="007E5F5C" w:rsidRPr="00062207">
              <w:rPr>
                <w:rFonts w:ascii="Times New Roman" w:hAnsi="Times New Roman" w:cs="Times New Roman"/>
                <w:noProof/>
                <w:webHidden/>
              </w:rPr>
              <w:fldChar w:fldCharType="end"/>
            </w:r>
          </w:hyperlink>
        </w:p>
        <w:p w14:paraId="0AEDBEFB" w14:textId="0EE3D4EE" w:rsidR="007E5F5C" w:rsidRPr="00062207" w:rsidRDefault="00271944">
          <w:pPr>
            <w:pStyle w:val="TDC2"/>
            <w:rPr>
              <w:rFonts w:ascii="Times New Roman" w:hAnsi="Times New Roman" w:cs="Times New Roman"/>
              <w:noProof/>
              <w:sz w:val="22"/>
              <w:szCs w:val="22"/>
              <w:lang w:val="es-GT" w:eastAsia="es-GT"/>
            </w:rPr>
          </w:pPr>
          <w:hyperlink w:anchor="_Toc94259621" w:history="1">
            <w:r w:rsidR="007E5F5C" w:rsidRPr="00062207">
              <w:rPr>
                <w:rStyle w:val="Hipervnculo"/>
                <w:rFonts w:ascii="Times New Roman" w:hAnsi="Times New Roman" w:cs="Times New Roman"/>
                <w:noProof/>
                <w:color w:val="auto"/>
              </w:rPr>
              <w:t>1.2</w:t>
            </w:r>
            <w:r w:rsidR="007E5F5C" w:rsidRPr="00062207">
              <w:rPr>
                <w:rFonts w:ascii="Times New Roman" w:hAnsi="Times New Roman" w:cs="Times New Roman"/>
                <w:noProof/>
                <w:sz w:val="22"/>
                <w:szCs w:val="22"/>
                <w:lang w:val="es-GT" w:eastAsia="es-GT"/>
              </w:rPr>
              <w:t xml:space="preserve">  </w:t>
            </w:r>
            <w:r w:rsidR="007E5F5C" w:rsidRPr="00062207">
              <w:rPr>
                <w:rStyle w:val="Hipervnculo"/>
                <w:rFonts w:ascii="Times New Roman" w:hAnsi="Times New Roman" w:cs="Times New Roman"/>
                <w:noProof/>
                <w:color w:val="auto"/>
              </w:rPr>
              <w:t>En el último trimestre la recaudación tributaria genera brecha positiva</w:t>
            </w:r>
            <w:r w:rsidR="007E5F5C" w:rsidRPr="00062207">
              <w:rPr>
                <w:rFonts w:ascii="Times New Roman" w:hAnsi="Times New Roman" w:cs="Times New Roman"/>
                <w:noProof/>
                <w:webHidden/>
              </w:rPr>
              <w:tab/>
            </w:r>
            <w:r w:rsidR="007E5F5C" w:rsidRPr="00062207">
              <w:rPr>
                <w:rFonts w:ascii="Times New Roman" w:hAnsi="Times New Roman" w:cs="Times New Roman"/>
                <w:noProof/>
                <w:webHidden/>
              </w:rPr>
              <w:fldChar w:fldCharType="begin"/>
            </w:r>
            <w:r w:rsidR="007E5F5C" w:rsidRPr="00062207">
              <w:rPr>
                <w:rFonts w:ascii="Times New Roman" w:hAnsi="Times New Roman" w:cs="Times New Roman"/>
                <w:noProof/>
                <w:webHidden/>
              </w:rPr>
              <w:instrText xml:space="preserve"> PAGEREF _Toc94259621 \h </w:instrText>
            </w:r>
            <w:r w:rsidR="007E5F5C" w:rsidRPr="00062207">
              <w:rPr>
                <w:rFonts w:ascii="Times New Roman" w:hAnsi="Times New Roman" w:cs="Times New Roman"/>
                <w:noProof/>
                <w:webHidden/>
              </w:rPr>
            </w:r>
            <w:r w:rsidR="007E5F5C" w:rsidRPr="00062207">
              <w:rPr>
                <w:rFonts w:ascii="Times New Roman" w:hAnsi="Times New Roman" w:cs="Times New Roman"/>
                <w:noProof/>
                <w:webHidden/>
              </w:rPr>
              <w:fldChar w:fldCharType="separate"/>
            </w:r>
            <w:r w:rsidR="00062207">
              <w:rPr>
                <w:rFonts w:ascii="Times New Roman" w:hAnsi="Times New Roman" w:cs="Times New Roman"/>
                <w:noProof/>
                <w:webHidden/>
              </w:rPr>
              <w:t>7</w:t>
            </w:r>
            <w:r w:rsidR="007E5F5C" w:rsidRPr="00062207">
              <w:rPr>
                <w:rFonts w:ascii="Times New Roman" w:hAnsi="Times New Roman" w:cs="Times New Roman"/>
                <w:noProof/>
                <w:webHidden/>
              </w:rPr>
              <w:fldChar w:fldCharType="end"/>
            </w:r>
          </w:hyperlink>
        </w:p>
        <w:p w14:paraId="5DC45562" w14:textId="655F48B4" w:rsidR="007E5F5C" w:rsidRPr="00062207" w:rsidRDefault="007E5F5C">
          <w:pPr>
            <w:pStyle w:val="TDC2"/>
            <w:rPr>
              <w:rFonts w:ascii="Times New Roman" w:hAnsi="Times New Roman" w:cs="Times New Roman"/>
              <w:noProof/>
              <w:sz w:val="22"/>
              <w:szCs w:val="22"/>
              <w:lang w:val="es-GT" w:eastAsia="es-GT"/>
            </w:rPr>
          </w:pPr>
          <w:r w:rsidRPr="00062207">
            <w:rPr>
              <w:rStyle w:val="Hipervnculo"/>
              <w:rFonts w:ascii="Times New Roman" w:hAnsi="Times New Roman" w:cs="Times New Roman"/>
              <w:noProof/>
              <w:color w:val="auto"/>
              <w:u w:val="none"/>
            </w:rPr>
            <w:t xml:space="preserve">      </w:t>
          </w:r>
          <w:hyperlink w:anchor="_Toc94259622" w:history="1">
            <w:r w:rsidRPr="00062207">
              <w:rPr>
                <w:rStyle w:val="Hipervnculo"/>
                <w:rFonts w:ascii="Times New Roman" w:hAnsi="Times New Roman" w:cs="Times New Roman"/>
                <w:noProof/>
                <w:color w:val="auto"/>
              </w:rPr>
              <w:t>1.2.1</w:t>
            </w:r>
            <w:r w:rsidRPr="00062207">
              <w:rPr>
                <w:rFonts w:ascii="Times New Roman" w:hAnsi="Times New Roman" w:cs="Times New Roman"/>
                <w:noProof/>
                <w:sz w:val="22"/>
                <w:szCs w:val="22"/>
                <w:lang w:val="es-GT" w:eastAsia="es-GT"/>
              </w:rPr>
              <w:t xml:space="preserve">  </w:t>
            </w:r>
            <w:r w:rsidRPr="00062207">
              <w:rPr>
                <w:rStyle w:val="Hipervnculo"/>
                <w:rFonts w:ascii="Times New Roman" w:hAnsi="Times New Roman" w:cs="Times New Roman"/>
                <w:noProof/>
                <w:color w:val="auto"/>
              </w:rPr>
              <w:t>Impuesto sobre la renta -ISR-</w:t>
            </w:r>
            <w:r w:rsidRPr="00062207">
              <w:rPr>
                <w:rFonts w:ascii="Times New Roman" w:hAnsi="Times New Roman" w:cs="Times New Roman"/>
                <w:noProof/>
                <w:webHidden/>
              </w:rPr>
              <w:tab/>
            </w:r>
            <w:r w:rsidRPr="00062207">
              <w:rPr>
                <w:rFonts w:ascii="Times New Roman" w:hAnsi="Times New Roman" w:cs="Times New Roman"/>
                <w:noProof/>
                <w:webHidden/>
              </w:rPr>
              <w:fldChar w:fldCharType="begin"/>
            </w:r>
            <w:r w:rsidRPr="00062207">
              <w:rPr>
                <w:rFonts w:ascii="Times New Roman" w:hAnsi="Times New Roman" w:cs="Times New Roman"/>
                <w:noProof/>
                <w:webHidden/>
              </w:rPr>
              <w:instrText xml:space="preserve"> PAGEREF _Toc94259622 \h </w:instrText>
            </w:r>
            <w:r w:rsidRPr="00062207">
              <w:rPr>
                <w:rFonts w:ascii="Times New Roman" w:hAnsi="Times New Roman" w:cs="Times New Roman"/>
                <w:noProof/>
                <w:webHidden/>
              </w:rPr>
            </w:r>
            <w:r w:rsidRPr="00062207">
              <w:rPr>
                <w:rFonts w:ascii="Times New Roman" w:hAnsi="Times New Roman" w:cs="Times New Roman"/>
                <w:noProof/>
                <w:webHidden/>
              </w:rPr>
              <w:fldChar w:fldCharType="separate"/>
            </w:r>
            <w:r w:rsidR="00062207">
              <w:rPr>
                <w:rFonts w:ascii="Times New Roman" w:hAnsi="Times New Roman" w:cs="Times New Roman"/>
                <w:noProof/>
                <w:webHidden/>
              </w:rPr>
              <w:t>10</w:t>
            </w:r>
            <w:r w:rsidRPr="00062207">
              <w:rPr>
                <w:rFonts w:ascii="Times New Roman" w:hAnsi="Times New Roman" w:cs="Times New Roman"/>
                <w:noProof/>
                <w:webHidden/>
              </w:rPr>
              <w:fldChar w:fldCharType="end"/>
            </w:r>
          </w:hyperlink>
        </w:p>
        <w:p w14:paraId="500C8544" w14:textId="60ED801A" w:rsidR="007E5F5C" w:rsidRPr="00062207" w:rsidRDefault="007E5F5C">
          <w:pPr>
            <w:pStyle w:val="TDC2"/>
            <w:rPr>
              <w:rFonts w:ascii="Times New Roman" w:hAnsi="Times New Roman" w:cs="Times New Roman"/>
              <w:noProof/>
              <w:sz w:val="22"/>
              <w:szCs w:val="22"/>
              <w:lang w:val="es-GT" w:eastAsia="es-GT"/>
            </w:rPr>
          </w:pPr>
          <w:r w:rsidRPr="00062207">
            <w:rPr>
              <w:rStyle w:val="Hipervnculo"/>
              <w:rFonts w:ascii="Times New Roman" w:hAnsi="Times New Roman" w:cs="Times New Roman"/>
              <w:noProof/>
              <w:color w:val="auto"/>
              <w:u w:val="none"/>
            </w:rPr>
            <w:t xml:space="preserve">      </w:t>
          </w:r>
          <w:hyperlink w:anchor="_Toc94259623" w:history="1">
            <w:r w:rsidRPr="00062207">
              <w:rPr>
                <w:rStyle w:val="Hipervnculo"/>
                <w:rFonts w:ascii="Times New Roman" w:hAnsi="Times New Roman" w:cs="Times New Roman"/>
                <w:noProof/>
                <w:color w:val="auto"/>
              </w:rPr>
              <w:t>1.2.2</w:t>
            </w:r>
            <w:r w:rsidRPr="00062207">
              <w:rPr>
                <w:rFonts w:ascii="Times New Roman" w:hAnsi="Times New Roman" w:cs="Times New Roman"/>
                <w:noProof/>
                <w:sz w:val="22"/>
                <w:szCs w:val="22"/>
                <w:lang w:val="es-GT" w:eastAsia="es-GT"/>
              </w:rPr>
              <w:t xml:space="preserve">  </w:t>
            </w:r>
            <w:r w:rsidRPr="00062207">
              <w:rPr>
                <w:rStyle w:val="Hipervnculo"/>
                <w:rFonts w:ascii="Times New Roman" w:hAnsi="Times New Roman" w:cs="Times New Roman"/>
                <w:noProof/>
                <w:color w:val="auto"/>
              </w:rPr>
              <w:t>Impuesto al valor agregado</w:t>
            </w:r>
            <w:r w:rsidRPr="00062207">
              <w:rPr>
                <w:rFonts w:ascii="Times New Roman" w:hAnsi="Times New Roman" w:cs="Times New Roman"/>
                <w:noProof/>
                <w:webHidden/>
              </w:rPr>
              <w:tab/>
            </w:r>
            <w:r w:rsidRPr="00062207">
              <w:rPr>
                <w:rFonts w:ascii="Times New Roman" w:hAnsi="Times New Roman" w:cs="Times New Roman"/>
                <w:noProof/>
                <w:webHidden/>
              </w:rPr>
              <w:fldChar w:fldCharType="begin"/>
            </w:r>
            <w:r w:rsidRPr="00062207">
              <w:rPr>
                <w:rFonts w:ascii="Times New Roman" w:hAnsi="Times New Roman" w:cs="Times New Roman"/>
                <w:noProof/>
                <w:webHidden/>
              </w:rPr>
              <w:instrText xml:space="preserve"> PAGEREF _Toc94259623 \h </w:instrText>
            </w:r>
            <w:r w:rsidRPr="00062207">
              <w:rPr>
                <w:rFonts w:ascii="Times New Roman" w:hAnsi="Times New Roman" w:cs="Times New Roman"/>
                <w:noProof/>
                <w:webHidden/>
              </w:rPr>
            </w:r>
            <w:r w:rsidRPr="00062207">
              <w:rPr>
                <w:rFonts w:ascii="Times New Roman" w:hAnsi="Times New Roman" w:cs="Times New Roman"/>
                <w:noProof/>
                <w:webHidden/>
              </w:rPr>
              <w:fldChar w:fldCharType="separate"/>
            </w:r>
            <w:r w:rsidR="00062207">
              <w:rPr>
                <w:rFonts w:ascii="Times New Roman" w:hAnsi="Times New Roman" w:cs="Times New Roman"/>
                <w:noProof/>
                <w:webHidden/>
              </w:rPr>
              <w:t>10</w:t>
            </w:r>
            <w:r w:rsidRPr="00062207">
              <w:rPr>
                <w:rFonts w:ascii="Times New Roman" w:hAnsi="Times New Roman" w:cs="Times New Roman"/>
                <w:noProof/>
                <w:webHidden/>
              </w:rPr>
              <w:fldChar w:fldCharType="end"/>
            </w:r>
          </w:hyperlink>
        </w:p>
        <w:p w14:paraId="0B61546D" w14:textId="5A407BB0" w:rsidR="007E5F5C" w:rsidRPr="00062207" w:rsidRDefault="00271944">
          <w:pPr>
            <w:pStyle w:val="TDC2"/>
            <w:rPr>
              <w:rFonts w:ascii="Times New Roman" w:hAnsi="Times New Roman" w:cs="Times New Roman"/>
              <w:noProof/>
              <w:sz w:val="22"/>
              <w:szCs w:val="22"/>
              <w:lang w:val="es-GT" w:eastAsia="es-GT"/>
            </w:rPr>
          </w:pPr>
          <w:hyperlink w:anchor="_Toc94259624" w:history="1">
            <w:r w:rsidR="007E5F5C" w:rsidRPr="00062207">
              <w:rPr>
                <w:rStyle w:val="Hipervnculo"/>
                <w:rFonts w:ascii="Times New Roman" w:hAnsi="Times New Roman" w:cs="Times New Roman"/>
                <w:noProof/>
                <w:color w:val="auto"/>
              </w:rPr>
              <w:t>1.3</w:t>
            </w:r>
            <w:r w:rsidR="007E5F5C" w:rsidRPr="00062207">
              <w:rPr>
                <w:rFonts w:ascii="Times New Roman" w:hAnsi="Times New Roman" w:cs="Times New Roman"/>
                <w:noProof/>
                <w:sz w:val="22"/>
                <w:szCs w:val="22"/>
                <w:lang w:val="es-GT" w:eastAsia="es-GT"/>
              </w:rPr>
              <w:t xml:space="preserve">  </w:t>
            </w:r>
            <w:r w:rsidR="007E5F5C" w:rsidRPr="00062207">
              <w:rPr>
                <w:rStyle w:val="Hipervnculo"/>
                <w:rFonts w:ascii="Times New Roman" w:hAnsi="Times New Roman" w:cs="Times New Roman"/>
                <w:noProof/>
                <w:color w:val="auto"/>
              </w:rPr>
              <w:t>Esfuerzos administrativos y crecimiento económico logran cambiar la caída en la carga tributaria</w:t>
            </w:r>
            <w:r w:rsidR="007E5F5C" w:rsidRPr="00062207">
              <w:rPr>
                <w:rFonts w:ascii="Times New Roman" w:hAnsi="Times New Roman" w:cs="Times New Roman"/>
                <w:noProof/>
                <w:webHidden/>
              </w:rPr>
              <w:tab/>
            </w:r>
            <w:r w:rsidR="007E5F5C" w:rsidRPr="00062207">
              <w:rPr>
                <w:rFonts w:ascii="Times New Roman" w:hAnsi="Times New Roman" w:cs="Times New Roman"/>
                <w:noProof/>
                <w:webHidden/>
              </w:rPr>
              <w:fldChar w:fldCharType="begin"/>
            </w:r>
            <w:r w:rsidR="007E5F5C" w:rsidRPr="00062207">
              <w:rPr>
                <w:rFonts w:ascii="Times New Roman" w:hAnsi="Times New Roman" w:cs="Times New Roman"/>
                <w:noProof/>
                <w:webHidden/>
              </w:rPr>
              <w:instrText xml:space="preserve"> PAGEREF _Toc94259624 \h </w:instrText>
            </w:r>
            <w:r w:rsidR="007E5F5C" w:rsidRPr="00062207">
              <w:rPr>
                <w:rFonts w:ascii="Times New Roman" w:hAnsi="Times New Roman" w:cs="Times New Roman"/>
                <w:noProof/>
                <w:webHidden/>
              </w:rPr>
            </w:r>
            <w:r w:rsidR="007E5F5C" w:rsidRPr="00062207">
              <w:rPr>
                <w:rFonts w:ascii="Times New Roman" w:hAnsi="Times New Roman" w:cs="Times New Roman"/>
                <w:noProof/>
                <w:webHidden/>
              </w:rPr>
              <w:fldChar w:fldCharType="separate"/>
            </w:r>
            <w:r w:rsidR="00062207">
              <w:rPr>
                <w:rFonts w:ascii="Times New Roman" w:hAnsi="Times New Roman" w:cs="Times New Roman"/>
                <w:noProof/>
                <w:webHidden/>
              </w:rPr>
              <w:t>13</w:t>
            </w:r>
            <w:r w:rsidR="007E5F5C" w:rsidRPr="00062207">
              <w:rPr>
                <w:rFonts w:ascii="Times New Roman" w:hAnsi="Times New Roman" w:cs="Times New Roman"/>
                <w:noProof/>
                <w:webHidden/>
              </w:rPr>
              <w:fldChar w:fldCharType="end"/>
            </w:r>
          </w:hyperlink>
        </w:p>
        <w:p w14:paraId="2FF0A175" w14:textId="4EBA86A8" w:rsidR="007E5F5C" w:rsidRPr="00062207" w:rsidRDefault="00271944">
          <w:pPr>
            <w:pStyle w:val="TDC2"/>
            <w:rPr>
              <w:rFonts w:ascii="Times New Roman" w:hAnsi="Times New Roman" w:cs="Times New Roman"/>
              <w:noProof/>
              <w:sz w:val="22"/>
              <w:szCs w:val="22"/>
              <w:lang w:val="es-GT" w:eastAsia="es-GT"/>
            </w:rPr>
          </w:pPr>
          <w:hyperlink w:anchor="_Toc94259625" w:history="1">
            <w:r w:rsidR="007E5F5C" w:rsidRPr="00062207">
              <w:rPr>
                <w:rStyle w:val="Hipervnculo"/>
                <w:rFonts w:ascii="Times New Roman" w:hAnsi="Times New Roman" w:cs="Times New Roman"/>
                <w:noProof/>
                <w:color w:val="auto"/>
              </w:rPr>
              <w:t>1.4</w:t>
            </w:r>
            <w:r w:rsidR="007E5F5C" w:rsidRPr="00062207">
              <w:rPr>
                <w:rFonts w:ascii="Times New Roman" w:hAnsi="Times New Roman" w:cs="Times New Roman"/>
                <w:noProof/>
                <w:sz w:val="22"/>
                <w:szCs w:val="22"/>
                <w:lang w:val="es-GT" w:eastAsia="es-GT"/>
              </w:rPr>
              <w:t xml:space="preserve">  </w:t>
            </w:r>
            <w:r w:rsidR="007E5F5C" w:rsidRPr="00062207">
              <w:rPr>
                <w:rStyle w:val="Hipervnculo"/>
                <w:rFonts w:ascii="Times New Roman" w:hAnsi="Times New Roman" w:cs="Times New Roman"/>
                <w:noProof/>
                <w:color w:val="auto"/>
              </w:rPr>
              <w:t>Recaudación no tributaria</w:t>
            </w:r>
            <w:r w:rsidR="007E5F5C" w:rsidRPr="00062207">
              <w:rPr>
                <w:rFonts w:ascii="Times New Roman" w:hAnsi="Times New Roman" w:cs="Times New Roman"/>
                <w:noProof/>
                <w:webHidden/>
              </w:rPr>
              <w:tab/>
            </w:r>
            <w:r w:rsidR="007E5F5C" w:rsidRPr="00062207">
              <w:rPr>
                <w:rFonts w:ascii="Times New Roman" w:hAnsi="Times New Roman" w:cs="Times New Roman"/>
                <w:noProof/>
                <w:webHidden/>
              </w:rPr>
              <w:fldChar w:fldCharType="begin"/>
            </w:r>
            <w:r w:rsidR="007E5F5C" w:rsidRPr="00062207">
              <w:rPr>
                <w:rFonts w:ascii="Times New Roman" w:hAnsi="Times New Roman" w:cs="Times New Roman"/>
                <w:noProof/>
                <w:webHidden/>
              </w:rPr>
              <w:instrText xml:space="preserve"> PAGEREF _Toc94259625 \h </w:instrText>
            </w:r>
            <w:r w:rsidR="007E5F5C" w:rsidRPr="00062207">
              <w:rPr>
                <w:rFonts w:ascii="Times New Roman" w:hAnsi="Times New Roman" w:cs="Times New Roman"/>
                <w:noProof/>
                <w:webHidden/>
              </w:rPr>
            </w:r>
            <w:r w:rsidR="007E5F5C" w:rsidRPr="00062207">
              <w:rPr>
                <w:rFonts w:ascii="Times New Roman" w:hAnsi="Times New Roman" w:cs="Times New Roman"/>
                <w:noProof/>
                <w:webHidden/>
              </w:rPr>
              <w:fldChar w:fldCharType="separate"/>
            </w:r>
            <w:r w:rsidR="00062207">
              <w:rPr>
                <w:rFonts w:ascii="Times New Roman" w:hAnsi="Times New Roman" w:cs="Times New Roman"/>
                <w:noProof/>
                <w:webHidden/>
              </w:rPr>
              <w:t>14</w:t>
            </w:r>
            <w:r w:rsidR="007E5F5C" w:rsidRPr="00062207">
              <w:rPr>
                <w:rFonts w:ascii="Times New Roman" w:hAnsi="Times New Roman" w:cs="Times New Roman"/>
                <w:noProof/>
                <w:webHidden/>
              </w:rPr>
              <w:fldChar w:fldCharType="end"/>
            </w:r>
          </w:hyperlink>
        </w:p>
        <w:p w14:paraId="3D6EC066" w14:textId="069B2176" w:rsidR="007E5F5C" w:rsidRPr="00062207" w:rsidRDefault="00271944">
          <w:pPr>
            <w:pStyle w:val="TDC1"/>
            <w:rPr>
              <w:rFonts w:eastAsiaTheme="minorEastAsia"/>
              <w:b w:val="0"/>
              <w:bCs w:val="0"/>
              <w:sz w:val="22"/>
              <w:szCs w:val="22"/>
              <w:lang w:val="es-GT" w:eastAsia="es-GT"/>
            </w:rPr>
          </w:pPr>
          <w:hyperlink w:anchor="_Toc94259626" w:history="1">
            <w:r w:rsidR="007E5F5C" w:rsidRPr="00062207">
              <w:rPr>
                <w:rStyle w:val="Hipervnculo"/>
                <w:color w:val="auto"/>
                <w:lang w:val="es-ES_tradnl"/>
              </w:rPr>
              <w:t>II.  Gasto Público</w:t>
            </w:r>
            <w:r w:rsidR="007E5F5C" w:rsidRPr="00062207">
              <w:rPr>
                <w:webHidden/>
              </w:rPr>
              <w:tab/>
            </w:r>
            <w:r w:rsidR="007E5F5C" w:rsidRPr="00062207">
              <w:rPr>
                <w:webHidden/>
              </w:rPr>
              <w:fldChar w:fldCharType="begin"/>
            </w:r>
            <w:r w:rsidR="007E5F5C" w:rsidRPr="00062207">
              <w:rPr>
                <w:webHidden/>
              </w:rPr>
              <w:instrText xml:space="preserve"> PAGEREF _Toc94259626 \h </w:instrText>
            </w:r>
            <w:r w:rsidR="007E5F5C" w:rsidRPr="00062207">
              <w:rPr>
                <w:webHidden/>
              </w:rPr>
            </w:r>
            <w:r w:rsidR="007E5F5C" w:rsidRPr="00062207">
              <w:rPr>
                <w:webHidden/>
              </w:rPr>
              <w:fldChar w:fldCharType="separate"/>
            </w:r>
            <w:r w:rsidR="00062207">
              <w:rPr>
                <w:webHidden/>
              </w:rPr>
              <w:t>15</w:t>
            </w:r>
            <w:r w:rsidR="007E5F5C" w:rsidRPr="00062207">
              <w:rPr>
                <w:webHidden/>
              </w:rPr>
              <w:fldChar w:fldCharType="end"/>
            </w:r>
          </w:hyperlink>
        </w:p>
        <w:p w14:paraId="5CD7DA0D" w14:textId="60275C56" w:rsidR="007E5F5C" w:rsidRPr="00062207" w:rsidRDefault="00271944">
          <w:pPr>
            <w:pStyle w:val="TDC2"/>
            <w:rPr>
              <w:rFonts w:ascii="Times New Roman" w:hAnsi="Times New Roman" w:cs="Times New Roman"/>
              <w:noProof/>
              <w:sz w:val="22"/>
              <w:szCs w:val="22"/>
              <w:lang w:val="es-GT" w:eastAsia="es-GT"/>
            </w:rPr>
          </w:pPr>
          <w:hyperlink w:anchor="_Toc94259629" w:history="1">
            <w:r w:rsidR="007E5F5C" w:rsidRPr="00062207">
              <w:rPr>
                <w:rStyle w:val="Hipervnculo"/>
                <w:rFonts w:ascii="Times New Roman" w:hAnsi="Times New Roman" w:cs="Times New Roman"/>
                <w:noProof/>
                <w:color w:val="auto"/>
              </w:rPr>
              <w:t>2.1  La no aprobación del presupuesto por segundo año consecutivo se da por primera vez en la historia democrática del país</w:t>
            </w:r>
            <w:r w:rsidR="007E5F5C" w:rsidRPr="00062207">
              <w:rPr>
                <w:rFonts w:ascii="Times New Roman" w:hAnsi="Times New Roman" w:cs="Times New Roman"/>
                <w:noProof/>
                <w:webHidden/>
              </w:rPr>
              <w:tab/>
            </w:r>
            <w:r w:rsidR="007E5F5C" w:rsidRPr="00062207">
              <w:rPr>
                <w:rFonts w:ascii="Times New Roman" w:hAnsi="Times New Roman" w:cs="Times New Roman"/>
                <w:noProof/>
                <w:webHidden/>
              </w:rPr>
              <w:fldChar w:fldCharType="begin"/>
            </w:r>
            <w:r w:rsidR="007E5F5C" w:rsidRPr="00062207">
              <w:rPr>
                <w:rFonts w:ascii="Times New Roman" w:hAnsi="Times New Roman" w:cs="Times New Roman"/>
                <w:noProof/>
                <w:webHidden/>
              </w:rPr>
              <w:instrText xml:space="preserve"> PAGEREF _Toc94259629 \h </w:instrText>
            </w:r>
            <w:r w:rsidR="007E5F5C" w:rsidRPr="00062207">
              <w:rPr>
                <w:rFonts w:ascii="Times New Roman" w:hAnsi="Times New Roman" w:cs="Times New Roman"/>
                <w:noProof/>
                <w:webHidden/>
              </w:rPr>
            </w:r>
            <w:r w:rsidR="007E5F5C" w:rsidRPr="00062207">
              <w:rPr>
                <w:rFonts w:ascii="Times New Roman" w:hAnsi="Times New Roman" w:cs="Times New Roman"/>
                <w:noProof/>
                <w:webHidden/>
              </w:rPr>
              <w:fldChar w:fldCharType="separate"/>
            </w:r>
            <w:r w:rsidR="00062207">
              <w:rPr>
                <w:rFonts w:ascii="Times New Roman" w:hAnsi="Times New Roman" w:cs="Times New Roman"/>
                <w:noProof/>
                <w:webHidden/>
              </w:rPr>
              <w:t>15</w:t>
            </w:r>
            <w:r w:rsidR="007E5F5C" w:rsidRPr="00062207">
              <w:rPr>
                <w:rFonts w:ascii="Times New Roman" w:hAnsi="Times New Roman" w:cs="Times New Roman"/>
                <w:noProof/>
                <w:webHidden/>
              </w:rPr>
              <w:fldChar w:fldCharType="end"/>
            </w:r>
          </w:hyperlink>
        </w:p>
        <w:p w14:paraId="5FD50C1F" w14:textId="63F0AB34" w:rsidR="007E5F5C" w:rsidRPr="00062207" w:rsidRDefault="00271944">
          <w:pPr>
            <w:pStyle w:val="TDC2"/>
            <w:rPr>
              <w:rFonts w:ascii="Times New Roman" w:hAnsi="Times New Roman" w:cs="Times New Roman"/>
              <w:noProof/>
              <w:sz w:val="22"/>
              <w:szCs w:val="22"/>
              <w:lang w:val="es-GT" w:eastAsia="es-GT"/>
            </w:rPr>
          </w:pPr>
          <w:hyperlink w:anchor="_Toc94259630" w:history="1">
            <w:r w:rsidR="007E5F5C" w:rsidRPr="00062207">
              <w:rPr>
                <w:rStyle w:val="Hipervnculo"/>
                <w:rFonts w:ascii="Times New Roman" w:hAnsi="Times New Roman" w:cs="Times New Roman"/>
                <w:noProof/>
                <w:color w:val="auto"/>
              </w:rPr>
              <w:t>2.2  Contracción en la ejecución de gasto en 2021</w:t>
            </w:r>
            <w:r w:rsidR="007E5F5C" w:rsidRPr="00062207">
              <w:rPr>
                <w:rFonts w:ascii="Times New Roman" w:hAnsi="Times New Roman" w:cs="Times New Roman"/>
                <w:noProof/>
                <w:webHidden/>
              </w:rPr>
              <w:tab/>
            </w:r>
            <w:r w:rsidR="007E5F5C" w:rsidRPr="00062207">
              <w:rPr>
                <w:rFonts w:ascii="Times New Roman" w:hAnsi="Times New Roman" w:cs="Times New Roman"/>
                <w:noProof/>
                <w:webHidden/>
              </w:rPr>
              <w:fldChar w:fldCharType="begin"/>
            </w:r>
            <w:r w:rsidR="007E5F5C" w:rsidRPr="00062207">
              <w:rPr>
                <w:rFonts w:ascii="Times New Roman" w:hAnsi="Times New Roman" w:cs="Times New Roman"/>
                <w:noProof/>
                <w:webHidden/>
              </w:rPr>
              <w:instrText xml:space="preserve"> PAGEREF _Toc94259630 \h </w:instrText>
            </w:r>
            <w:r w:rsidR="007E5F5C" w:rsidRPr="00062207">
              <w:rPr>
                <w:rFonts w:ascii="Times New Roman" w:hAnsi="Times New Roman" w:cs="Times New Roman"/>
                <w:noProof/>
                <w:webHidden/>
              </w:rPr>
            </w:r>
            <w:r w:rsidR="007E5F5C" w:rsidRPr="00062207">
              <w:rPr>
                <w:rFonts w:ascii="Times New Roman" w:hAnsi="Times New Roman" w:cs="Times New Roman"/>
                <w:noProof/>
                <w:webHidden/>
              </w:rPr>
              <w:fldChar w:fldCharType="separate"/>
            </w:r>
            <w:r w:rsidR="00062207">
              <w:rPr>
                <w:rFonts w:ascii="Times New Roman" w:hAnsi="Times New Roman" w:cs="Times New Roman"/>
                <w:noProof/>
                <w:webHidden/>
              </w:rPr>
              <w:t>18</w:t>
            </w:r>
            <w:r w:rsidR="007E5F5C" w:rsidRPr="00062207">
              <w:rPr>
                <w:rFonts w:ascii="Times New Roman" w:hAnsi="Times New Roman" w:cs="Times New Roman"/>
                <w:noProof/>
                <w:webHidden/>
              </w:rPr>
              <w:fldChar w:fldCharType="end"/>
            </w:r>
          </w:hyperlink>
        </w:p>
        <w:p w14:paraId="0B3EF494" w14:textId="6EDF7393" w:rsidR="007E5F5C" w:rsidRPr="00062207" w:rsidRDefault="00271944">
          <w:pPr>
            <w:pStyle w:val="TDC2"/>
            <w:rPr>
              <w:rFonts w:ascii="Times New Roman" w:hAnsi="Times New Roman" w:cs="Times New Roman"/>
              <w:noProof/>
              <w:sz w:val="22"/>
              <w:szCs w:val="22"/>
              <w:lang w:val="es-GT" w:eastAsia="es-GT"/>
            </w:rPr>
          </w:pPr>
          <w:hyperlink w:anchor="_Toc94259631" w:history="1">
            <w:r w:rsidR="007E5F5C" w:rsidRPr="00062207">
              <w:rPr>
                <w:rStyle w:val="Hipervnculo"/>
                <w:rFonts w:ascii="Times New Roman" w:hAnsi="Times New Roman" w:cs="Times New Roman"/>
                <w:noProof/>
                <w:color w:val="auto"/>
              </w:rPr>
              <w:t>2.3  Gastos no esenciales crecen de forma moderada</w:t>
            </w:r>
            <w:r w:rsidR="007E5F5C" w:rsidRPr="00062207">
              <w:rPr>
                <w:rFonts w:ascii="Times New Roman" w:hAnsi="Times New Roman" w:cs="Times New Roman"/>
                <w:noProof/>
                <w:webHidden/>
              </w:rPr>
              <w:tab/>
            </w:r>
            <w:r w:rsidR="007E5F5C" w:rsidRPr="00062207">
              <w:rPr>
                <w:rFonts w:ascii="Times New Roman" w:hAnsi="Times New Roman" w:cs="Times New Roman"/>
                <w:noProof/>
                <w:webHidden/>
              </w:rPr>
              <w:fldChar w:fldCharType="begin"/>
            </w:r>
            <w:r w:rsidR="007E5F5C" w:rsidRPr="00062207">
              <w:rPr>
                <w:rFonts w:ascii="Times New Roman" w:hAnsi="Times New Roman" w:cs="Times New Roman"/>
                <w:noProof/>
                <w:webHidden/>
              </w:rPr>
              <w:instrText xml:space="preserve"> PAGEREF _Toc94259631 \h </w:instrText>
            </w:r>
            <w:r w:rsidR="007E5F5C" w:rsidRPr="00062207">
              <w:rPr>
                <w:rFonts w:ascii="Times New Roman" w:hAnsi="Times New Roman" w:cs="Times New Roman"/>
                <w:noProof/>
                <w:webHidden/>
              </w:rPr>
            </w:r>
            <w:r w:rsidR="007E5F5C" w:rsidRPr="00062207">
              <w:rPr>
                <w:rFonts w:ascii="Times New Roman" w:hAnsi="Times New Roman" w:cs="Times New Roman"/>
                <w:noProof/>
                <w:webHidden/>
              </w:rPr>
              <w:fldChar w:fldCharType="separate"/>
            </w:r>
            <w:r w:rsidR="00062207">
              <w:rPr>
                <w:rFonts w:ascii="Times New Roman" w:hAnsi="Times New Roman" w:cs="Times New Roman"/>
                <w:noProof/>
                <w:webHidden/>
              </w:rPr>
              <w:t>21</w:t>
            </w:r>
            <w:r w:rsidR="007E5F5C" w:rsidRPr="00062207">
              <w:rPr>
                <w:rFonts w:ascii="Times New Roman" w:hAnsi="Times New Roman" w:cs="Times New Roman"/>
                <w:noProof/>
                <w:webHidden/>
              </w:rPr>
              <w:fldChar w:fldCharType="end"/>
            </w:r>
          </w:hyperlink>
        </w:p>
        <w:p w14:paraId="09399A26" w14:textId="055B1FE4" w:rsidR="007E5F5C" w:rsidRPr="00062207" w:rsidRDefault="00271944">
          <w:pPr>
            <w:pStyle w:val="TDC2"/>
            <w:rPr>
              <w:rFonts w:ascii="Times New Roman" w:hAnsi="Times New Roman" w:cs="Times New Roman"/>
              <w:noProof/>
              <w:sz w:val="22"/>
              <w:szCs w:val="22"/>
              <w:lang w:val="es-GT" w:eastAsia="es-GT"/>
            </w:rPr>
          </w:pPr>
          <w:hyperlink w:anchor="_Toc94259632" w:history="1">
            <w:r w:rsidR="007E5F5C" w:rsidRPr="00062207">
              <w:rPr>
                <w:rStyle w:val="Hipervnculo"/>
                <w:rFonts w:ascii="Times New Roman" w:hAnsi="Times New Roman" w:cs="Times New Roman"/>
                <w:noProof/>
                <w:color w:val="auto"/>
              </w:rPr>
              <w:t>2.4  El gasto social mostró un repunte en 2021</w:t>
            </w:r>
            <w:r w:rsidR="007E5F5C" w:rsidRPr="00062207">
              <w:rPr>
                <w:rFonts w:ascii="Times New Roman" w:hAnsi="Times New Roman" w:cs="Times New Roman"/>
                <w:noProof/>
                <w:webHidden/>
              </w:rPr>
              <w:tab/>
            </w:r>
            <w:r w:rsidR="007E5F5C" w:rsidRPr="00062207">
              <w:rPr>
                <w:rFonts w:ascii="Times New Roman" w:hAnsi="Times New Roman" w:cs="Times New Roman"/>
                <w:noProof/>
                <w:webHidden/>
              </w:rPr>
              <w:fldChar w:fldCharType="begin"/>
            </w:r>
            <w:r w:rsidR="007E5F5C" w:rsidRPr="00062207">
              <w:rPr>
                <w:rFonts w:ascii="Times New Roman" w:hAnsi="Times New Roman" w:cs="Times New Roman"/>
                <w:noProof/>
                <w:webHidden/>
              </w:rPr>
              <w:instrText xml:space="preserve"> PAGEREF _Toc94259632 \h </w:instrText>
            </w:r>
            <w:r w:rsidR="007E5F5C" w:rsidRPr="00062207">
              <w:rPr>
                <w:rFonts w:ascii="Times New Roman" w:hAnsi="Times New Roman" w:cs="Times New Roman"/>
                <w:noProof/>
                <w:webHidden/>
              </w:rPr>
            </w:r>
            <w:r w:rsidR="007E5F5C" w:rsidRPr="00062207">
              <w:rPr>
                <w:rFonts w:ascii="Times New Roman" w:hAnsi="Times New Roman" w:cs="Times New Roman"/>
                <w:noProof/>
                <w:webHidden/>
              </w:rPr>
              <w:fldChar w:fldCharType="separate"/>
            </w:r>
            <w:r w:rsidR="00062207">
              <w:rPr>
                <w:rFonts w:ascii="Times New Roman" w:hAnsi="Times New Roman" w:cs="Times New Roman"/>
                <w:noProof/>
                <w:webHidden/>
              </w:rPr>
              <w:t>23</w:t>
            </w:r>
            <w:r w:rsidR="007E5F5C" w:rsidRPr="00062207">
              <w:rPr>
                <w:rFonts w:ascii="Times New Roman" w:hAnsi="Times New Roman" w:cs="Times New Roman"/>
                <w:noProof/>
                <w:webHidden/>
              </w:rPr>
              <w:fldChar w:fldCharType="end"/>
            </w:r>
          </w:hyperlink>
        </w:p>
        <w:p w14:paraId="01DB691E" w14:textId="46F1BD7D" w:rsidR="007E5F5C" w:rsidRPr="00062207" w:rsidRDefault="00271944">
          <w:pPr>
            <w:pStyle w:val="TDC2"/>
            <w:rPr>
              <w:rFonts w:ascii="Times New Roman" w:hAnsi="Times New Roman" w:cs="Times New Roman"/>
              <w:noProof/>
              <w:sz w:val="22"/>
              <w:szCs w:val="22"/>
              <w:lang w:val="es-GT" w:eastAsia="es-GT"/>
            </w:rPr>
          </w:pPr>
          <w:hyperlink w:anchor="_Toc94259633" w:history="1">
            <w:r w:rsidR="007E5F5C" w:rsidRPr="00062207">
              <w:rPr>
                <w:rStyle w:val="Hipervnculo"/>
                <w:rFonts w:ascii="Times New Roman" w:hAnsi="Times New Roman" w:cs="Times New Roman"/>
                <w:noProof/>
                <w:color w:val="auto"/>
              </w:rPr>
              <w:t>2.5  Ejecución institucional</w:t>
            </w:r>
            <w:r w:rsidR="007E5F5C" w:rsidRPr="00062207">
              <w:rPr>
                <w:rFonts w:ascii="Times New Roman" w:hAnsi="Times New Roman" w:cs="Times New Roman"/>
                <w:noProof/>
                <w:webHidden/>
              </w:rPr>
              <w:tab/>
            </w:r>
            <w:r w:rsidR="007E5F5C" w:rsidRPr="00062207">
              <w:rPr>
                <w:rFonts w:ascii="Times New Roman" w:hAnsi="Times New Roman" w:cs="Times New Roman"/>
                <w:noProof/>
                <w:webHidden/>
              </w:rPr>
              <w:fldChar w:fldCharType="begin"/>
            </w:r>
            <w:r w:rsidR="007E5F5C" w:rsidRPr="00062207">
              <w:rPr>
                <w:rFonts w:ascii="Times New Roman" w:hAnsi="Times New Roman" w:cs="Times New Roman"/>
                <w:noProof/>
                <w:webHidden/>
              </w:rPr>
              <w:instrText xml:space="preserve"> PAGEREF _Toc94259633 \h </w:instrText>
            </w:r>
            <w:r w:rsidR="007E5F5C" w:rsidRPr="00062207">
              <w:rPr>
                <w:rFonts w:ascii="Times New Roman" w:hAnsi="Times New Roman" w:cs="Times New Roman"/>
                <w:noProof/>
                <w:webHidden/>
              </w:rPr>
            </w:r>
            <w:r w:rsidR="007E5F5C" w:rsidRPr="00062207">
              <w:rPr>
                <w:rFonts w:ascii="Times New Roman" w:hAnsi="Times New Roman" w:cs="Times New Roman"/>
                <w:noProof/>
                <w:webHidden/>
              </w:rPr>
              <w:fldChar w:fldCharType="separate"/>
            </w:r>
            <w:r w:rsidR="00062207">
              <w:rPr>
                <w:rFonts w:ascii="Times New Roman" w:hAnsi="Times New Roman" w:cs="Times New Roman"/>
                <w:noProof/>
                <w:webHidden/>
              </w:rPr>
              <w:t>24</w:t>
            </w:r>
            <w:r w:rsidR="007E5F5C" w:rsidRPr="00062207">
              <w:rPr>
                <w:rFonts w:ascii="Times New Roman" w:hAnsi="Times New Roman" w:cs="Times New Roman"/>
                <w:noProof/>
                <w:webHidden/>
              </w:rPr>
              <w:fldChar w:fldCharType="end"/>
            </w:r>
          </w:hyperlink>
        </w:p>
        <w:p w14:paraId="595C580C" w14:textId="34209DF6" w:rsidR="007E5F5C" w:rsidRPr="00062207" w:rsidRDefault="00271944">
          <w:pPr>
            <w:pStyle w:val="TDC2"/>
            <w:rPr>
              <w:rFonts w:ascii="Times New Roman" w:hAnsi="Times New Roman" w:cs="Times New Roman"/>
              <w:noProof/>
              <w:sz w:val="22"/>
              <w:szCs w:val="22"/>
              <w:lang w:val="es-GT" w:eastAsia="es-GT"/>
            </w:rPr>
          </w:pPr>
          <w:hyperlink w:anchor="_Toc94259634" w:history="1">
            <w:r w:rsidR="007E5F5C" w:rsidRPr="00062207">
              <w:rPr>
                <w:rStyle w:val="Hipervnculo"/>
                <w:rFonts w:ascii="Times New Roman" w:hAnsi="Times New Roman" w:cs="Times New Roman"/>
                <w:noProof/>
                <w:color w:val="auto"/>
              </w:rPr>
              <w:t>2.6  Seguimiento del gasto asociado al COVID-19 e intervenciones realizadas para la atención de daños provocados por la depresión tropical ETA</w:t>
            </w:r>
            <w:r w:rsidR="007E5F5C" w:rsidRPr="00062207">
              <w:rPr>
                <w:rFonts w:ascii="Times New Roman" w:hAnsi="Times New Roman" w:cs="Times New Roman"/>
                <w:noProof/>
                <w:webHidden/>
              </w:rPr>
              <w:tab/>
            </w:r>
            <w:r w:rsidR="007E5F5C" w:rsidRPr="00062207">
              <w:rPr>
                <w:rFonts w:ascii="Times New Roman" w:hAnsi="Times New Roman" w:cs="Times New Roman"/>
                <w:noProof/>
                <w:webHidden/>
              </w:rPr>
              <w:fldChar w:fldCharType="begin"/>
            </w:r>
            <w:r w:rsidR="007E5F5C" w:rsidRPr="00062207">
              <w:rPr>
                <w:rFonts w:ascii="Times New Roman" w:hAnsi="Times New Roman" w:cs="Times New Roman"/>
                <w:noProof/>
                <w:webHidden/>
              </w:rPr>
              <w:instrText xml:space="preserve"> PAGEREF _Toc94259634 \h </w:instrText>
            </w:r>
            <w:r w:rsidR="007E5F5C" w:rsidRPr="00062207">
              <w:rPr>
                <w:rFonts w:ascii="Times New Roman" w:hAnsi="Times New Roman" w:cs="Times New Roman"/>
                <w:noProof/>
                <w:webHidden/>
              </w:rPr>
            </w:r>
            <w:r w:rsidR="007E5F5C" w:rsidRPr="00062207">
              <w:rPr>
                <w:rFonts w:ascii="Times New Roman" w:hAnsi="Times New Roman" w:cs="Times New Roman"/>
                <w:noProof/>
                <w:webHidden/>
              </w:rPr>
              <w:fldChar w:fldCharType="separate"/>
            </w:r>
            <w:r w:rsidR="00062207">
              <w:rPr>
                <w:rFonts w:ascii="Times New Roman" w:hAnsi="Times New Roman" w:cs="Times New Roman"/>
                <w:noProof/>
                <w:webHidden/>
              </w:rPr>
              <w:t>29</w:t>
            </w:r>
            <w:r w:rsidR="007E5F5C" w:rsidRPr="00062207">
              <w:rPr>
                <w:rFonts w:ascii="Times New Roman" w:hAnsi="Times New Roman" w:cs="Times New Roman"/>
                <w:noProof/>
                <w:webHidden/>
              </w:rPr>
              <w:fldChar w:fldCharType="end"/>
            </w:r>
          </w:hyperlink>
        </w:p>
        <w:p w14:paraId="46AAAE63" w14:textId="4B969E91" w:rsidR="007E5F5C" w:rsidRPr="00062207" w:rsidRDefault="007E5F5C" w:rsidP="007E5F5C">
          <w:pPr>
            <w:pStyle w:val="TDC2"/>
            <w:rPr>
              <w:rStyle w:val="Hipervnculo"/>
              <w:rFonts w:ascii="Times New Roman" w:hAnsi="Times New Roman" w:cs="Times New Roman"/>
              <w:noProof/>
              <w:color w:val="auto"/>
            </w:rPr>
          </w:pPr>
          <w:r w:rsidRPr="00062207">
            <w:rPr>
              <w:rStyle w:val="Hipervnculo"/>
              <w:rFonts w:ascii="Times New Roman" w:hAnsi="Times New Roman" w:cs="Times New Roman"/>
              <w:noProof/>
              <w:color w:val="auto"/>
              <w:u w:val="none"/>
            </w:rPr>
            <w:t xml:space="preserve">      </w:t>
          </w:r>
          <w:hyperlink w:anchor="_Toc94259642" w:history="1">
            <w:r w:rsidRPr="00062207">
              <w:rPr>
                <w:rStyle w:val="Hipervnculo"/>
                <w:rFonts w:ascii="Times New Roman" w:hAnsi="Times New Roman" w:cs="Times New Roman"/>
                <w:noProof/>
                <w:color w:val="auto"/>
              </w:rPr>
              <w:t>2.6.1 Gasto asociado al COVID-19</w:t>
            </w:r>
            <w:r w:rsidRPr="00062207">
              <w:rPr>
                <w:rStyle w:val="Hipervnculo"/>
                <w:rFonts w:ascii="Times New Roman" w:hAnsi="Times New Roman" w:cs="Times New Roman"/>
                <w:noProof/>
                <w:webHidden/>
                <w:color w:val="auto"/>
              </w:rPr>
              <w:tab/>
            </w:r>
            <w:r w:rsidRPr="00062207">
              <w:rPr>
                <w:rStyle w:val="Hipervnculo"/>
                <w:rFonts w:ascii="Times New Roman" w:hAnsi="Times New Roman" w:cs="Times New Roman"/>
                <w:noProof/>
                <w:webHidden/>
                <w:color w:val="auto"/>
              </w:rPr>
              <w:fldChar w:fldCharType="begin"/>
            </w:r>
            <w:r w:rsidRPr="00062207">
              <w:rPr>
                <w:rStyle w:val="Hipervnculo"/>
                <w:rFonts w:ascii="Times New Roman" w:hAnsi="Times New Roman" w:cs="Times New Roman"/>
                <w:noProof/>
                <w:webHidden/>
                <w:color w:val="auto"/>
              </w:rPr>
              <w:instrText xml:space="preserve"> PAGEREF _Toc94259642 \h </w:instrText>
            </w:r>
            <w:r w:rsidRPr="00062207">
              <w:rPr>
                <w:rStyle w:val="Hipervnculo"/>
                <w:rFonts w:ascii="Times New Roman" w:hAnsi="Times New Roman" w:cs="Times New Roman"/>
                <w:noProof/>
                <w:webHidden/>
                <w:color w:val="auto"/>
              </w:rPr>
            </w:r>
            <w:r w:rsidRPr="00062207">
              <w:rPr>
                <w:rStyle w:val="Hipervnculo"/>
                <w:rFonts w:ascii="Times New Roman" w:hAnsi="Times New Roman" w:cs="Times New Roman"/>
                <w:noProof/>
                <w:webHidden/>
                <w:color w:val="auto"/>
              </w:rPr>
              <w:fldChar w:fldCharType="separate"/>
            </w:r>
            <w:r w:rsidR="00062207">
              <w:rPr>
                <w:rStyle w:val="Hipervnculo"/>
                <w:rFonts w:ascii="Times New Roman" w:hAnsi="Times New Roman" w:cs="Times New Roman"/>
                <w:noProof/>
                <w:webHidden/>
                <w:color w:val="auto"/>
              </w:rPr>
              <w:t>29</w:t>
            </w:r>
            <w:r w:rsidRPr="00062207">
              <w:rPr>
                <w:rStyle w:val="Hipervnculo"/>
                <w:rFonts w:ascii="Times New Roman" w:hAnsi="Times New Roman" w:cs="Times New Roman"/>
                <w:noProof/>
                <w:webHidden/>
                <w:color w:val="auto"/>
              </w:rPr>
              <w:fldChar w:fldCharType="end"/>
            </w:r>
          </w:hyperlink>
        </w:p>
        <w:p w14:paraId="1CF0D745" w14:textId="309642FA" w:rsidR="007E5F5C" w:rsidRPr="00062207" w:rsidRDefault="007E5F5C" w:rsidP="007E5F5C">
          <w:pPr>
            <w:pStyle w:val="TDC2"/>
            <w:rPr>
              <w:rStyle w:val="Hipervnculo"/>
              <w:rFonts w:ascii="Times New Roman" w:hAnsi="Times New Roman" w:cs="Times New Roman"/>
              <w:noProof/>
              <w:color w:val="auto"/>
            </w:rPr>
          </w:pPr>
          <w:r w:rsidRPr="00062207">
            <w:rPr>
              <w:rStyle w:val="Hipervnculo"/>
              <w:rFonts w:ascii="Times New Roman" w:hAnsi="Times New Roman" w:cs="Times New Roman"/>
              <w:noProof/>
              <w:color w:val="auto"/>
              <w:u w:val="none"/>
            </w:rPr>
            <w:t xml:space="preserve">      </w:t>
          </w:r>
          <w:hyperlink w:anchor="_Toc94259643" w:history="1">
            <w:r w:rsidRPr="00062207">
              <w:rPr>
                <w:rStyle w:val="Hipervnculo"/>
                <w:rFonts w:ascii="Times New Roman" w:hAnsi="Times New Roman" w:cs="Times New Roman"/>
                <w:noProof/>
                <w:color w:val="auto"/>
              </w:rPr>
              <w:t>2.6.2 Intervenciones realizadas para la atención de daños provocados por la depresión tropical ETA</w:t>
            </w:r>
            <w:r w:rsidRPr="00062207">
              <w:rPr>
                <w:rStyle w:val="Hipervnculo"/>
                <w:rFonts w:ascii="Times New Roman" w:hAnsi="Times New Roman" w:cs="Times New Roman"/>
                <w:noProof/>
                <w:webHidden/>
                <w:color w:val="auto"/>
              </w:rPr>
              <w:tab/>
            </w:r>
            <w:r w:rsidRPr="00062207">
              <w:rPr>
                <w:rStyle w:val="Hipervnculo"/>
                <w:rFonts w:ascii="Times New Roman" w:hAnsi="Times New Roman" w:cs="Times New Roman"/>
                <w:noProof/>
                <w:webHidden/>
                <w:color w:val="auto"/>
              </w:rPr>
              <w:fldChar w:fldCharType="begin"/>
            </w:r>
            <w:r w:rsidRPr="00062207">
              <w:rPr>
                <w:rStyle w:val="Hipervnculo"/>
                <w:rFonts w:ascii="Times New Roman" w:hAnsi="Times New Roman" w:cs="Times New Roman"/>
                <w:noProof/>
                <w:webHidden/>
                <w:color w:val="auto"/>
              </w:rPr>
              <w:instrText xml:space="preserve"> PAGEREF _Toc94259643 \h </w:instrText>
            </w:r>
            <w:r w:rsidRPr="00062207">
              <w:rPr>
                <w:rStyle w:val="Hipervnculo"/>
                <w:rFonts w:ascii="Times New Roman" w:hAnsi="Times New Roman" w:cs="Times New Roman"/>
                <w:noProof/>
                <w:webHidden/>
                <w:color w:val="auto"/>
              </w:rPr>
            </w:r>
            <w:r w:rsidRPr="00062207">
              <w:rPr>
                <w:rStyle w:val="Hipervnculo"/>
                <w:rFonts w:ascii="Times New Roman" w:hAnsi="Times New Roman" w:cs="Times New Roman"/>
                <w:noProof/>
                <w:webHidden/>
                <w:color w:val="auto"/>
              </w:rPr>
              <w:fldChar w:fldCharType="separate"/>
            </w:r>
            <w:r w:rsidR="00062207">
              <w:rPr>
                <w:rStyle w:val="Hipervnculo"/>
                <w:rFonts w:ascii="Times New Roman" w:hAnsi="Times New Roman" w:cs="Times New Roman"/>
                <w:noProof/>
                <w:webHidden/>
                <w:color w:val="auto"/>
              </w:rPr>
              <w:t>33</w:t>
            </w:r>
            <w:r w:rsidRPr="00062207">
              <w:rPr>
                <w:rStyle w:val="Hipervnculo"/>
                <w:rFonts w:ascii="Times New Roman" w:hAnsi="Times New Roman" w:cs="Times New Roman"/>
                <w:noProof/>
                <w:webHidden/>
                <w:color w:val="auto"/>
              </w:rPr>
              <w:fldChar w:fldCharType="end"/>
            </w:r>
          </w:hyperlink>
        </w:p>
        <w:p w14:paraId="5E7F3A98" w14:textId="377A94BA" w:rsidR="007E5F5C" w:rsidRPr="00062207" w:rsidRDefault="00271944">
          <w:pPr>
            <w:pStyle w:val="TDC1"/>
            <w:rPr>
              <w:rFonts w:eastAsiaTheme="minorEastAsia"/>
              <w:b w:val="0"/>
              <w:bCs w:val="0"/>
              <w:sz w:val="22"/>
              <w:szCs w:val="22"/>
              <w:lang w:val="es-GT" w:eastAsia="es-GT"/>
            </w:rPr>
          </w:pPr>
          <w:hyperlink w:anchor="_Toc94259644" w:history="1">
            <w:r w:rsidR="007E5F5C" w:rsidRPr="00062207">
              <w:rPr>
                <w:rStyle w:val="Hipervnculo"/>
                <w:color w:val="auto"/>
              </w:rPr>
              <w:t>III.  Resultado Fiscal y Financiamiento</w:t>
            </w:r>
            <w:r w:rsidR="007E5F5C" w:rsidRPr="00062207">
              <w:rPr>
                <w:webHidden/>
              </w:rPr>
              <w:tab/>
            </w:r>
            <w:r w:rsidR="007E5F5C" w:rsidRPr="00062207">
              <w:rPr>
                <w:webHidden/>
              </w:rPr>
              <w:fldChar w:fldCharType="begin"/>
            </w:r>
            <w:r w:rsidR="007E5F5C" w:rsidRPr="00062207">
              <w:rPr>
                <w:webHidden/>
              </w:rPr>
              <w:instrText xml:space="preserve"> PAGEREF _Toc94259644 \h </w:instrText>
            </w:r>
            <w:r w:rsidR="007E5F5C" w:rsidRPr="00062207">
              <w:rPr>
                <w:webHidden/>
              </w:rPr>
            </w:r>
            <w:r w:rsidR="007E5F5C" w:rsidRPr="00062207">
              <w:rPr>
                <w:webHidden/>
              </w:rPr>
              <w:fldChar w:fldCharType="separate"/>
            </w:r>
            <w:r w:rsidR="00062207">
              <w:rPr>
                <w:webHidden/>
              </w:rPr>
              <w:t>34</w:t>
            </w:r>
            <w:r w:rsidR="007E5F5C" w:rsidRPr="00062207">
              <w:rPr>
                <w:webHidden/>
              </w:rPr>
              <w:fldChar w:fldCharType="end"/>
            </w:r>
          </w:hyperlink>
        </w:p>
        <w:p w14:paraId="51F7D2D4" w14:textId="24EDF944" w:rsidR="007E5F5C" w:rsidRPr="00062207" w:rsidRDefault="00271944">
          <w:pPr>
            <w:pStyle w:val="TDC2"/>
            <w:rPr>
              <w:rFonts w:ascii="Times New Roman" w:hAnsi="Times New Roman" w:cs="Times New Roman"/>
              <w:noProof/>
              <w:sz w:val="22"/>
              <w:szCs w:val="22"/>
              <w:lang w:val="es-GT" w:eastAsia="es-GT"/>
            </w:rPr>
          </w:pPr>
          <w:hyperlink w:anchor="_Toc94259646" w:history="1">
            <w:r w:rsidR="007E5F5C" w:rsidRPr="00062207">
              <w:rPr>
                <w:rStyle w:val="Hipervnculo"/>
                <w:rFonts w:ascii="Times New Roman" w:hAnsi="Times New Roman" w:cs="Times New Roman"/>
                <w:noProof/>
                <w:color w:val="auto"/>
              </w:rPr>
              <w:t>3.1  Disminución del déficit fiscal por incremento importante en ingresos tributarios</w:t>
            </w:r>
            <w:r w:rsidR="007E5F5C" w:rsidRPr="00062207">
              <w:rPr>
                <w:rFonts w:ascii="Times New Roman" w:hAnsi="Times New Roman" w:cs="Times New Roman"/>
                <w:noProof/>
                <w:webHidden/>
              </w:rPr>
              <w:tab/>
            </w:r>
            <w:r w:rsidR="007E5F5C" w:rsidRPr="00062207">
              <w:rPr>
                <w:rFonts w:ascii="Times New Roman" w:hAnsi="Times New Roman" w:cs="Times New Roman"/>
                <w:noProof/>
                <w:webHidden/>
              </w:rPr>
              <w:fldChar w:fldCharType="begin"/>
            </w:r>
            <w:r w:rsidR="007E5F5C" w:rsidRPr="00062207">
              <w:rPr>
                <w:rFonts w:ascii="Times New Roman" w:hAnsi="Times New Roman" w:cs="Times New Roman"/>
                <w:noProof/>
                <w:webHidden/>
              </w:rPr>
              <w:instrText xml:space="preserve"> PAGEREF _Toc94259646 \h </w:instrText>
            </w:r>
            <w:r w:rsidR="007E5F5C" w:rsidRPr="00062207">
              <w:rPr>
                <w:rFonts w:ascii="Times New Roman" w:hAnsi="Times New Roman" w:cs="Times New Roman"/>
                <w:noProof/>
                <w:webHidden/>
              </w:rPr>
            </w:r>
            <w:r w:rsidR="007E5F5C" w:rsidRPr="00062207">
              <w:rPr>
                <w:rFonts w:ascii="Times New Roman" w:hAnsi="Times New Roman" w:cs="Times New Roman"/>
                <w:noProof/>
                <w:webHidden/>
              </w:rPr>
              <w:fldChar w:fldCharType="separate"/>
            </w:r>
            <w:r w:rsidR="00062207">
              <w:rPr>
                <w:rFonts w:ascii="Times New Roman" w:hAnsi="Times New Roman" w:cs="Times New Roman"/>
                <w:noProof/>
                <w:webHidden/>
              </w:rPr>
              <w:t>34</w:t>
            </w:r>
            <w:r w:rsidR="007E5F5C" w:rsidRPr="00062207">
              <w:rPr>
                <w:rFonts w:ascii="Times New Roman" w:hAnsi="Times New Roman" w:cs="Times New Roman"/>
                <w:noProof/>
                <w:webHidden/>
              </w:rPr>
              <w:fldChar w:fldCharType="end"/>
            </w:r>
          </w:hyperlink>
        </w:p>
        <w:p w14:paraId="2B5FE14A" w14:textId="03471391" w:rsidR="007E5F5C" w:rsidRPr="00062207" w:rsidRDefault="00271944">
          <w:pPr>
            <w:pStyle w:val="TDC2"/>
            <w:rPr>
              <w:rFonts w:ascii="Times New Roman" w:hAnsi="Times New Roman" w:cs="Times New Roman"/>
              <w:noProof/>
              <w:sz w:val="22"/>
              <w:szCs w:val="22"/>
              <w:lang w:val="es-GT" w:eastAsia="es-GT"/>
            </w:rPr>
          </w:pPr>
          <w:hyperlink w:anchor="_Toc94259647" w:history="1">
            <w:r w:rsidR="007E5F5C" w:rsidRPr="00062207">
              <w:rPr>
                <w:rStyle w:val="Hipervnculo"/>
                <w:rFonts w:ascii="Times New Roman" w:hAnsi="Times New Roman" w:cs="Times New Roman"/>
                <w:noProof/>
                <w:color w:val="auto"/>
                <w:lang w:val="es-MX"/>
              </w:rPr>
              <w:t>3.2  Disminución de la deuda pública en 2021</w:t>
            </w:r>
            <w:r w:rsidR="007E5F5C" w:rsidRPr="00062207">
              <w:rPr>
                <w:rFonts w:ascii="Times New Roman" w:hAnsi="Times New Roman" w:cs="Times New Roman"/>
                <w:noProof/>
                <w:webHidden/>
              </w:rPr>
              <w:tab/>
            </w:r>
            <w:r w:rsidR="007E5F5C" w:rsidRPr="00062207">
              <w:rPr>
                <w:rFonts w:ascii="Times New Roman" w:hAnsi="Times New Roman" w:cs="Times New Roman"/>
                <w:noProof/>
                <w:webHidden/>
              </w:rPr>
              <w:fldChar w:fldCharType="begin"/>
            </w:r>
            <w:r w:rsidR="007E5F5C" w:rsidRPr="00062207">
              <w:rPr>
                <w:rFonts w:ascii="Times New Roman" w:hAnsi="Times New Roman" w:cs="Times New Roman"/>
                <w:noProof/>
                <w:webHidden/>
              </w:rPr>
              <w:instrText xml:space="preserve"> PAGEREF _Toc94259647 \h </w:instrText>
            </w:r>
            <w:r w:rsidR="007E5F5C" w:rsidRPr="00062207">
              <w:rPr>
                <w:rFonts w:ascii="Times New Roman" w:hAnsi="Times New Roman" w:cs="Times New Roman"/>
                <w:noProof/>
                <w:webHidden/>
              </w:rPr>
            </w:r>
            <w:r w:rsidR="007E5F5C" w:rsidRPr="00062207">
              <w:rPr>
                <w:rFonts w:ascii="Times New Roman" w:hAnsi="Times New Roman" w:cs="Times New Roman"/>
                <w:noProof/>
                <w:webHidden/>
              </w:rPr>
              <w:fldChar w:fldCharType="separate"/>
            </w:r>
            <w:r w:rsidR="00062207">
              <w:rPr>
                <w:rFonts w:ascii="Times New Roman" w:hAnsi="Times New Roman" w:cs="Times New Roman"/>
                <w:noProof/>
                <w:webHidden/>
              </w:rPr>
              <w:t>36</w:t>
            </w:r>
            <w:r w:rsidR="007E5F5C" w:rsidRPr="00062207">
              <w:rPr>
                <w:rFonts w:ascii="Times New Roman" w:hAnsi="Times New Roman" w:cs="Times New Roman"/>
                <w:noProof/>
                <w:webHidden/>
              </w:rPr>
              <w:fldChar w:fldCharType="end"/>
            </w:r>
          </w:hyperlink>
        </w:p>
        <w:p w14:paraId="1852984C" w14:textId="60CC5744" w:rsidR="007E5F5C" w:rsidRPr="00062207" w:rsidRDefault="00271944">
          <w:pPr>
            <w:pStyle w:val="TDC2"/>
            <w:rPr>
              <w:rFonts w:ascii="Times New Roman" w:hAnsi="Times New Roman" w:cs="Times New Roman"/>
              <w:noProof/>
              <w:sz w:val="22"/>
              <w:szCs w:val="22"/>
              <w:lang w:val="es-GT" w:eastAsia="es-GT"/>
            </w:rPr>
          </w:pPr>
          <w:hyperlink w:anchor="_Toc94259648" w:history="1">
            <w:r w:rsidR="007E5F5C" w:rsidRPr="00062207">
              <w:rPr>
                <w:rStyle w:val="Hipervnculo"/>
                <w:rFonts w:ascii="Times New Roman" w:hAnsi="Times New Roman" w:cs="Times New Roman"/>
                <w:noProof/>
                <w:color w:val="auto"/>
                <w:lang w:val="es-MX"/>
              </w:rPr>
              <w:t>3.3  Orientación de la política fiscal en 2021</w:t>
            </w:r>
            <w:r w:rsidR="007E5F5C" w:rsidRPr="00062207">
              <w:rPr>
                <w:rFonts w:ascii="Times New Roman" w:hAnsi="Times New Roman" w:cs="Times New Roman"/>
                <w:noProof/>
                <w:webHidden/>
              </w:rPr>
              <w:tab/>
            </w:r>
            <w:r w:rsidR="007E5F5C" w:rsidRPr="00062207">
              <w:rPr>
                <w:rFonts w:ascii="Times New Roman" w:hAnsi="Times New Roman" w:cs="Times New Roman"/>
                <w:noProof/>
                <w:webHidden/>
              </w:rPr>
              <w:fldChar w:fldCharType="begin"/>
            </w:r>
            <w:r w:rsidR="007E5F5C" w:rsidRPr="00062207">
              <w:rPr>
                <w:rFonts w:ascii="Times New Roman" w:hAnsi="Times New Roman" w:cs="Times New Roman"/>
                <w:noProof/>
                <w:webHidden/>
              </w:rPr>
              <w:instrText xml:space="preserve"> PAGEREF _Toc94259648 \h </w:instrText>
            </w:r>
            <w:r w:rsidR="007E5F5C" w:rsidRPr="00062207">
              <w:rPr>
                <w:rFonts w:ascii="Times New Roman" w:hAnsi="Times New Roman" w:cs="Times New Roman"/>
                <w:noProof/>
                <w:webHidden/>
              </w:rPr>
            </w:r>
            <w:r w:rsidR="007E5F5C" w:rsidRPr="00062207">
              <w:rPr>
                <w:rFonts w:ascii="Times New Roman" w:hAnsi="Times New Roman" w:cs="Times New Roman"/>
                <w:noProof/>
                <w:webHidden/>
              </w:rPr>
              <w:fldChar w:fldCharType="separate"/>
            </w:r>
            <w:r w:rsidR="00062207">
              <w:rPr>
                <w:rFonts w:ascii="Times New Roman" w:hAnsi="Times New Roman" w:cs="Times New Roman"/>
                <w:noProof/>
                <w:webHidden/>
              </w:rPr>
              <w:t>37</w:t>
            </w:r>
            <w:r w:rsidR="007E5F5C" w:rsidRPr="00062207">
              <w:rPr>
                <w:rFonts w:ascii="Times New Roman" w:hAnsi="Times New Roman" w:cs="Times New Roman"/>
                <w:noProof/>
                <w:webHidden/>
              </w:rPr>
              <w:fldChar w:fldCharType="end"/>
            </w:r>
          </w:hyperlink>
        </w:p>
        <w:p w14:paraId="33A948DE" w14:textId="27DD3C0A" w:rsidR="007E5F5C" w:rsidRPr="00062207" w:rsidRDefault="00271944">
          <w:pPr>
            <w:pStyle w:val="TDC1"/>
            <w:rPr>
              <w:rFonts w:eastAsiaTheme="minorEastAsia"/>
              <w:b w:val="0"/>
              <w:bCs w:val="0"/>
              <w:sz w:val="22"/>
              <w:szCs w:val="22"/>
              <w:lang w:val="es-GT" w:eastAsia="es-GT"/>
            </w:rPr>
          </w:pPr>
          <w:hyperlink w:anchor="_Toc94259649" w:history="1">
            <w:r w:rsidR="007E5F5C" w:rsidRPr="00062207">
              <w:rPr>
                <w:rStyle w:val="Hipervnculo"/>
                <w:color w:val="auto"/>
              </w:rPr>
              <w:t>IV.  Previsiones económicas y fiscales para 2022</w:t>
            </w:r>
            <w:r w:rsidR="007E5F5C" w:rsidRPr="00062207">
              <w:rPr>
                <w:webHidden/>
              </w:rPr>
              <w:tab/>
            </w:r>
            <w:r w:rsidR="007E5F5C" w:rsidRPr="00062207">
              <w:rPr>
                <w:webHidden/>
              </w:rPr>
              <w:fldChar w:fldCharType="begin"/>
            </w:r>
            <w:r w:rsidR="007E5F5C" w:rsidRPr="00062207">
              <w:rPr>
                <w:webHidden/>
              </w:rPr>
              <w:instrText xml:space="preserve"> PAGEREF _Toc94259649 \h </w:instrText>
            </w:r>
            <w:r w:rsidR="007E5F5C" w:rsidRPr="00062207">
              <w:rPr>
                <w:webHidden/>
              </w:rPr>
            </w:r>
            <w:r w:rsidR="007E5F5C" w:rsidRPr="00062207">
              <w:rPr>
                <w:webHidden/>
              </w:rPr>
              <w:fldChar w:fldCharType="separate"/>
            </w:r>
            <w:r w:rsidR="00062207">
              <w:rPr>
                <w:webHidden/>
              </w:rPr>
              <w:t>39</w:t>
            </w:r>
            <w:r w:rsidR="007E5F5C" w:rsidRPr="00062207">
              <w:rPr>
                <w:webHidden/>
              </w:rPr>
              <w:fldChar w:fldCharType="end"/>
            </w:r>
          </w:hyperlink>
        </w:p>
        <w:p w14:paraId="005D3B67" w14:textId="0BF946E9" w:rsidR="007E5F5C" w:rsidRPr="00062207" w:rsidRDefault="00271944">
          <w:pPr>
            <w:pStyle w:val="TDC2"/>
            <w:rPr>
              <w:rFonts w:ascii="Times New Roman" w:hAnsi="Times New Roman" w:cs="Times New Roman"/>
              <w:noProof/>
              <w:sz w:val="22"/>
              <w:szCs w:val="22"/>
              <w:lang w:val="es-GT" w:eastAsia="es-GT"/>
            </w:rPr>
          </w:pPr>
          <w:hyperlink w:anchor="_Toc94259651" w:history="1">
            <w:r w:rsidR="007E5F5C" w:rsidRPr="00062207">
              <w:rPr>
                <w:rStyle w:val="Hipervnculo"/>
                <w:rFonts w:ascii="Times New Roman" w:hAnsi="Times New Roman" w:cs="Times New Roman"/>
                <w:noProof/>
                <w:color w:val="auto"/>
              </w:rPr>
              <w:t>4.1</w:t>
            </w:r>
            <w:r w:rsidR="007E5F5C" w:rsidRPr="00062207">
              <w:rPr>
                <w:rFonts w:ascii="Times New Roman" w:hAnsi="Times New Roman" w:cs="Times New Roman"/>
                <w:noProof/>
                <w:sz w:val="22"/>
                <w:szCs w:val="22"/>
                <w:lang w:val="es-GT" w:eastAsia="es-GT"/>
              </w:rPr>
              <w:t xml:space="preserve">  </w:t>
            </w:r>
            <w:r w:rsidR="007E5F5C" w:rsidRPr="00062207">
              <w:rPr>
                <w:rStyle w:val="Hipervnculo"/>
                <w:rFonts w:ascii="Times New Roman" w:hAnsi="Times New Roman" w:cs="Times New Roman"/>
                <w:noProof/>
                <w:color w:val="auto"/>
              </w:rPr>
              <w:t>Perspectivas de la economía mundial</w:t>
            </w:r>
            <w:r w:rsidR="007E5F5C" w:rsidRPr="00062207">
              <w:rPr>
                <w:rFonts w:ascii="Times New Roman" w:hAnsi="Times New Roman" w:cs="Times New Roman"/>
                <w:noProof/>
                <w:webHidden/>
              </w:rPr>
              <w:tab/>
            </w:r>
            <w:r w:rsidR="007E5F5C" w:rsidRPr="00062207">
              <w:rPr>
                <w:rFonts w:ascii="Times New Roman" w:hAnsi="Times New Roman" w:cs="Times New Roman"/>
                <w:noProof/>
                <w:webHidden/>
              </w:rPr>
              <w:fldChar w:fldCharType="begin"/>
            </w:r>
            <w:r w:rsidR="007E5F5C" w:rsidRPr="00062207">
              <w:rPr>
                <w:rFonts w:ascii="Times New Roman" w:hAnsi="Times New Roman" w:cs="Times New Roman"/>
                <w:noProof/>
                <w:webHidden/>
              </w:rPr>
              <w:instrText xml:space="preserve"> PAGEREF _Toc94259651 \h </w:instrText>
            </w:r>
            <w:r w:rsidR="007E5F5C" w:rsidRPr="00062207">
              <w:rPr>
                <w:rFonts w:ascii="Times New Roman" w:hAnsi="Times New Roman" w:cs="Times New Roman"/>
                <w:noProof/>
                <w:webHidden/>
              </w:rPr>
            </w:r>
            <w:r w:rsidR="007E5F5C" w:rsidRPr="00062207">
              <w:rPr>
                <w:rFonts w:ascii="Times New Roman" w:hAnsi="Times New Roman" w:cs="Times New Roman"/>
                <w:noProof/>
                <w:webHidden/>
              </w:rPr>
              <w:fldChar w:fldCharType="separate"/>
            </w:r>
            <w:r w:rsidR="00062207">
              <w:rPr>
                <w:rFonts w:ascii="Times New Roman" w:hAnsi="Times New Roman" w:cs="Times New Roman"/>
                <w:noProof/>
                <w:webHidden/>
              </w:rPr>
              <w:t>39</w:t>
            </w:r>
            <w:r w:rsidR="007E5F5C" w:rsidRPr="00062207">
              <w:rPr>
                <w:rFonts w:ascii="Times New Roman" w:hAnsi="Times New Roman" w:cs="Times New Roman"/>
                <w:noProof/>
                <w:webHidden/>
              </w:rPr>
              <w:fldChar w:fldCharType="end"/>
            </w:r>
          </w:hyperlink>
        </w:p>
        <w:p w14:paraId="13BC8E3A" w14:textId="39D8E65E" w:rsidR="007E5F5C" w:rsidRPr="00062207" w:rsidRDefault="00271944">
          <w:pPr>
            <w:pStyle w:val="TDC2"/>
            <w:rPr>
              <w:rFonts w:ascii="Times New Roman" w:hAnsi="Times New Roman" w:cs="Times New Roman"/>
              <w:noProof/>
              <w:sz w:val="22"/>
              <w:szCs w:val="22"/>
              <w:lang w:val="es-GT" w:eastAsia="es-GT"/>
            </w:rPr>
          </w:pPr>
          <w:hyperlink w:anchor="_Toc94259652" w:history="1">
            <w:r w:rsidR="007E5F5C" w:rsidRPr="00062207">
              <w:rPr>
                <w:rStyle w:val="Hipervnculo"/>
                <w:rFonts w:ascii="Times New Roman" w:hAnsi="Times New Roman" w:cs="Times New Roman"/>
                <w:noProof/>
                <w:color w:val="auto"/>
              </w:rPr>
              <w:t>4.2</w:t>
            </w:r>
            <w:r w:rsidR="007E5F5C" w:rsidRPr="00062207">
              <w:rPr>
                <w:rFonts w:ascii="Times New Roman" w:hAnsi="Times New Roman" w:cs="Times New Roman"/>
                <w:noProof/>
                <w:sz w:val="22"/>
                <w:szCs w:val="22"/>
                <w:lang w:val="es-GT" w:eastAsia="es-GT"/>
              </w:rPr>
              <w:t xml:space="preserve">  </w:t>
            </w:r>
            <w:r w:rsidR="007E5F5C" w:rsidRPr="00062207">
              <w:rPr>
                <w:rStyle w:val="Hipervnculo"/>
                <w:rFonts w:ascii="Times New Roman" w:hAnsi="Times New Roman" w:cs="Times New Roman"/>
                <w:noProof/>
                <w:color w:val="auto"/>
              </w:rPr>
              <w:t>Perspectivas para la economía interna</w:t>
            </w:r>
            <w:r w:rsidR="007E5F5C" w:rsidRPr="00062207">
              <w:rPr>
                <w:rFonts w:ascii="Times New Roman" w:hAnsi="Times New Roman" w:cs="Times New Roman"/>
                <w:noProof/>
                <w:webHidden/>
              </w:rPr>
              <w:tab/>
            </w:r>
            <w:r w:rsidR="007E5F5C" w:rsidRPr="00062207">
              <w:rPr>
                <w:rFonts w:ascii="Times New Roman" w:hAnsi="Times New Roman" w:cs="Times New Roman"/>
                <w:noProof/>
                <w:webHidden/>
              </w:rPr>
              <w:fldChar w:fldCharType="begin"/>
            </w:r>
            <w:r w:rsidR="007E5F5C" w:rsidRPr="00062207">
              <w:rPr>
                <w:rFonts w:ascii="Times New Roman" w:hAnsi="Times New Roman" w:cs="Times New Roman"/>
                <w:noProof/>
                <w:webHidden/>
              </w:rPr>
              <w:instrText xml:space="preserve"> PAGEREF _Toc94259652 \h </w:instrText>
            </w:r>
            <w:r w:rsidR="007E5F5C" w:rsidRPr="00062207">
              <w:rPr>
                <w:rFonts w:ascii="Times New Roman" w:hAnsi="Times New Roman" w:cs="Times New Roman"/>
                <w:noProof/>
                <w:webHidden/>
              </w:rPr>
            </w:r>
            <w:r w:rsidR="007E5F5C" w:rsidRPr="00062207">
              <w:rPr>
                <w:rFonts w:ascii="Times New Roman" w:hAnsi="Times New Roman" w:cs="Times New Roman"/>
                <w:noProof/>
                <w:webHidden/>
              </w:rPr>
              <w:fldChar w:fldCharType="separate"/>
            </w:r>
            <w:r w:rsidR="00062207">
              <w:rPr>
                <w:rFonts w:ascii="Times New Roman" w:hAnsi="Times New Roman" w:cs="Times New Roman"/>
                <w:noProof/>
                <w:webHidden/>
              </w:rPr>
              <w:t>40</w:t>
            </w:r>
            <w:r w:rsidR="007E5F5C" w:rsidRPr="00062207">
              <w:rPr>
                <w:rFonts w:ascii="Times New Roman" w:hAnsi="Times New Roman" w:cs="Times New Roman"/>
                <w:noProof/>
                <w:webHidden/>
              </w:rPr>
              <w:fldChar w:fldCharType="end"/>
            </w:r>
          </w:hyperlink>
        </w:p>
        <w:p w14:paraId="43A8F634" w14:textId="24940623" w:rsidR="007E5F5C" w:rsidRPr="00062207" w:rsidRDefault="00271944">
          <w:pPr>
            <w:pStyle w:val="TDC2"/>
            <w:rPr>
              <w:rFonts w:ascii="Times New Roman" w:hAnsi="Times New Roman" w:cs="Times New Roman"/>
              <w:noProof/>
              <w:sz w:val="22"/>
              <w:szCs w:val="22"/>
              <w:lang w:val="es-GT" w:eastAsia="es-GT"/>
            </w:rPr>
          </w:pPr>
          <w:hyperlink w:anchor="_Toc94259653" w:history="1">
            <w:r w:rsidR="007E5F5C" w:rsidRPr="00062207">
              <w:rPr>
                <w:rStyle w:val="Hipervnculo"/>
                <w:rFonts w:ascii="Times New Roman" w:hAnsi="Times New Roman" w:cs="Times New Roman"/>
                <w:noProof/>
                <w:color w:val="auto"/>
              </w:rPr>
              <w:t>4.3</w:t>
            </w:r>
            <w:r w:rsidR="007E5F5C" w:rsidRPr="00062207">
              <w:rPr>
                <w:rFonts w:ascii="Times New Roman" w:hAnsi="Times New Roman" w:cs="Times New Roman"/>
                <w:noProof/>
                <w:sz w:val="22"/>
                <w:szCs w:val="22"/>
                <w:lang w:val="es-GT" w:eastAsia="es-GT"/>
              </w:rPr>
              <w:t xml:space="preserve">  </w:t>
            </w:r>
            <w:r w:rsidR="007E5F5C" w:rsidRPr="00062207">
              <w:rPr>
                <w:rStyle w:val="Hipervnculo"/>
                <w:rFonts w:ascii="Times New Roman" w:hAnsi="Times New Roman" w:cs="Times New Roman"/>
                <w:noProof/>
                <w:color w:val="auto"/>
              </w:rPr>
              <w:t>Perspectivas fiscales para 2022</w:t>
            </w:r>
            <w:r w:rsidR="007E5F5C" w:rsidRPr="00062207">
              <w:rPr>
                <w:rFonts w:ascii="Times New Roman" w:hAnsi="Times New Roman" w:cs="Times New Roman"/>
                <w:noProof/>
                <w:webHidden/>
              </w:rPr>
              <w:tab/>
            </w:r>
            <w:r w:rsidR="007E5F5C" w:rsidRPr="00062207">
              <w:rPr>
                <w:rFonts w:ascii="Times New Roman" w:hAnsi="Times New Roman" w:cs="Times New Roman"/>
                <w:noProof/>
                <w:webHidden/>
              </w:rPr>
              <w:fldChar w:fldCharType="begin"/>
            </w:r>
            <w:r w:rsidR="007E5F5C" w:rsidRPr="00062207">
              <w:rPr>
                <w:rFonts w:ascii="Times New Roman" w:hAnsi="Times New Roman" w:cs="Times New Roman"/>
                <w:noProof/>
                <w:webHidden/>
              </w:rPr>
              <w:instrText xml:space="preserve"> PAGEREF _Toc94259653 \h </w:instrText>
            </w:r>
            <w:r w:rsidR="007E5F5C" w:rsidRPr="00062207">
              <w:rPr>
                <w:rFonts w:ascii="Times New Roman" w:hAnsi="Times New Roman" w:cs="Times New Roman"/>
                <w:noProof/>
                <w:webHidden/>
              </w:rPr>
            </w:r>
            <w:r w:rsidR="007E5F5C" w:rsidRPr="00062207">
              <w:rPr>
                <w:rFonts w:ascii="Times New Roman" w:hAnsi="Times New Roman" w:cs="Times New Roman"/>
                <w:noProof/>
                <w:webHidden/>
              </w:rPr>
              <w:fldChar w:fldCharType="separate"/>
            </w:r>
            <w:r w:rsidR="00062207">
              <w:rPr>
                <w:rFonts w:ascii="Times New Roman" w:hAnsi="Times New Roman" w:cs="Times New Roman"/>
                <w:noProof/>
                <w:webHidden/>
              </w:rPr>
              <w:t>44</w:t>
            </w:r>
            <w:r w:rsidR="007E5F5C" w:rsidRPr="00062207">
              <w:rPr>
                <w:rFonts w:ascii="Times New Roman" w:hAnsi="Times New Roman" w:cs="Times New Roman"/>
                <w:noProof/>
                <w:webHidden/>
              </w:rPr>
              <w:fldChar w:fldCharType="end"/>
            </w:r>
          </w:hyperlink>
        </w:p>
        <w:p w14:paraId="43F9F466" w14:textId="6F11F259" w:rsidR="007E5F5C" w:rsidRPr="00062207" w:rsidRDefault="00271944">
          <w:pPr>
            <w:pStyle w:val="TDC1"/>
            <w:rPr>
              <w:rFonts w:eastAsiaTheme="minorEastAsia"/>
              <w:b w:val="0"/>
              <w:bCs w:val="0"/>
              <w:sz w:val="22"/>
              <w:szCs w:val="22"/>
              <w:lang w:val="es-GT" w:eastAsia="es-GT"/>
            </w:rPr>
          </w:pPr>
          <w:hyperlink w:anchor="_Toc94259654" w:history="1">
            <w:r w:rsidR="007E5F5C" w:rsidRPr="00062207">
              <w:rPr>
                <w:rStyle w:val="Hipervnculo"/>
                <w:color w:val="auto"/>
              </w:rPr>
              <w:t>V.</w:t>
            </w:r>
            <w:r w:rsidR="007E5F5C" w:rsidRPr="00062207">
              <w:rPr>
                <w:rFonts w:eastAsiaTheme="minorEastAsia"/>
                <w:b w:val="0"/>
                <w:bCs w:val="0"/>
                <w:sz w:val="22"/>
                <w:szCs w:val="22"/>
                <w:lang w:val="es-GT" w:eastAsia="es-GT"/>
              </w:rPr>
              <w:t xml:space="preserve">  </w:t>
            </w:r>
            <w:r w:rsidR="007E5F5C" w:rsidRPr="00062207">
              <w:rPr>
                <w:rStyle w:val="Hipervnculo"/>
                <w:color w:val="auto"/>
              </w:rPr>
              <w:t>Apéndice contexto macroeconómico externo e interno</w:t>
            </w:r>
            <w:r w:rsidR="007E5F5C" w:rsidRPr="00062207">
              <w:rPr>
                <w:webHidden/>
              </w:rPr>
              <w:tab/>
            </w:r>
            <w:r w:rsidR="007E5F5C" w:rsidRPr="00062207">
              <w:rPr>
                <w:webHidden/>
              </w:rPr>
              <w:fldChar w:fldCharType="begin"/>
            </w:r>
            <w:r w:rsidR="007E5F5C" w:rsidRPr="00062207">
              <w:rPr>
                <w:webHidden/>
              </w:rPr>
              <w:instrText xml:space="preserve"> PAGEREF _Toc94259654 \h </w:instrText>
            </w:r>
            <w:r w:rsidR="007E5F5C" w:rsidRPr="00062207">
              <w:rPr>
                <w:webHidden/>
              </w:rPr>
            </w:r>
            <w:r w:rsidR="007E5F5C" w:rsidRPr="00062207">
              <w:rPr>
                <w:webHidden/>
              </w:rPr>
              <w:fldChar w:fldCharType="separate"/>
            </w:r>
            <w:r w:rsidR="00062207">
              <w:rPr>
                <w:webHidden/>
              </w:rPr>
              <w:t>49</w:t>
            </w:r>
            <w:r w:rsidR="007E5F5C" w:rsidRPr="00062207">
              <w:rPr>
                <w:webHidden/>
              </w:rPr>
              <w:fldChar w:fldCharType="end"/>
            </w:r>
          </w:hyperlink>
        </w:p>
        <w:p w14:paraId="6721D25B" w14:textId="51993264" w:rsidR="007E5F5C" w:rsidRPr="00062207" w:rsidRDefault="00271944">
          <w:pPr>
            <w:pStyle w:val="TDC2"/>
            <w:rPr>
              <w:rFonts w:ascii="Times New Roman" w:hAnsi="Times New Roman" w:cs="Times New Roman"/>
              <w:noProof/>
              <w:sz w:val="22"/>
              <w:szCs w:val="22"/>
              <w:lang w:val="es-GT" w:eastAsia="es-GT"/>
            </w:rPr>
          </w:pPr>
          <w:hyperlink w:anchor="_Toc94259660" w:history="1">
            <w:r w:rsidR="007E5F5C" w:rsidRPr="00062207">
              <w:rPr>
                <w:rStyle w:val="Hipervnculo"/>
                <w:rFonts w:ascii="Times New Roman" w:hAnsi="Times New Roman" w:cs="Times New Roman"/>
                <w:noProof/>
                <w:color w:val="auto"/>
              </w:rPr>
              <w:t>5.1</w:t>
            </w:r>
            <w:r w:rsidR="007E5F5C" w:rsidRPr="00062207">
              <w:rPr>
                <w:rFonts w:ascii="Times New Roman" w:hAnsi="Times New Roman" w:cs="Times New Roman"/>
                <w:noProof/>
                <w:sz w:val="22"/>
                <w:szCs w:val="22"/>
                <w:lang w:val="es-GT" w:eastAsia="es-GT"/>
              </w:rPr>
              <w:t xml:space="preserve">  </w:t>
            </w:r>
            <w:r w:rsidR="007E5F5C" w:rsidRPr="00062207">
              <w:rPr>
                <w:rStyle w:val="Hipervnculo"/>
                <w:rFonts w:ascii="Times New Roman" w:hAnsi="Times New Roman" w:cs="Times New Roman"/>
                <w:noProof/>
                <w:color w:val="auto"/>
              </w:rPr>
              <w:t>Entorno externo en 2021</w:t>
            </w:r>
            <w:r w:rsidR="007E5F5C" w:rsidRPr="00062207">
              <w:rPr>
                <w:rFonts w:ascii="Times New Roman" w:hAnsi="Times New Roman" w:cs="Times New Roman"/>
                <w:noProof/>
                <w:webHidden/>
              </w:rPr>
              <w:tab/>
            </w:r>
            <w:r w:rsidR="007E5F5C" w:rsidRPr="00062207">
              <w:rPr>
                <w:rFonts w:ascii="Times New Roman" w:hAnsi="Times New Roman" w:cs="Times New Roman"/>
                <w:noProof/>
                <w:webHidden/>
              </w:rPr>
              <w:fldChar w:fldCharType="begin"/>
            </w:r>
            <w:r w:rsidR="007E5F5C" w:rsidRPr="00062207">
              <w:rPr>
                <w:rFonts w:ascii="Times New Roman" w:hAnsi="Times New Roman" w:cs="Times New Roman"/>
                <w:noProof/>
                <w:webHidden/>
              </w:rPr>
              <w:instrText xml:space="preserve"> PAGEREF _Toc94259660 \h </w:instrText>
            </w:r>
            <w:r w:rsidR="007E5F5C" w:rsidRPr="00062207">
              <w:rPr>
                <w:rFonts w:ascii="Times New Roman" w:hAnsi="Times New Roman" w:cs="Times New Roman"/>
                <w:noProof/>
                <w:webHidden/>
              </w:rPr>
            </w:r>
            <w:r w:rsidR="007E5F5C" w:rsidRPr="00062207">
              <w:rPr>
                <w:rFonts w:ascii="Times New Roman" w:hAnsi="Times New Roman" w:cs="Times New Roman"/>
                <w:noProof/>
                <w:webHidden/>
              </w:rPr>
              <w:fldChar w:fldCharType="separate"/>
            </w:r>
            <w:r w:rsidR="00062207">
              <w:rPr>
                <w:rFonts w:ascii="Times New Roman" w:hAnsi="Times New Roman" w:cs="Times New Roman"/>
                <w:noProof/>
                <w:webHidden/>
              </w:rPr>
              <w:t>49</w:t>
            </w:r>
            <w:r w:rsidR="007E5F5C" w:rsidRPr="00062207">
              <w:rPr>
                <w:rFonts w:ascii="Times New Roman" w:hAnsi="Times New Roman" w:cs="Times New Roman"/>
                <w:noProof/>
                <w:webHidden/>
              </w:rPr>
              <w:fldChar w:fldCharType="end"/>
            </w:r>
          </w:hyperlink>
        </w:p>
        <w:p w14:paraId="178FDD14" w14:textId="6B00415C" w:rsidR="007E5F5C" w:rsidRPr="00062207" w:rsidRDefault="00271944">
          <w:pPr>
            <w:pStyle w:val="TDC2"/>
            <w:rPr>
              <w:rFonts w:ascii="Times New Roman" w:hAnsi="Times New Roman" w:cs="Times New Roman"/>
              <w:noProof/>
              <w:sz w:val="22"/>
              <w:szCs w:val="22"/>
              <w:lang w:val="es-GT" w:eastAsia="es-GT"/>
            </w:rPr>
          </w:pPr>
          <w:hyperlink w:anchor="_Toc94259661" w:history="1">
            <w:r w:rsidR="007E5F5C" w:rsidRPr="00062207">
              <w:rPr>
                <w:rStyle w:val="Hipervnculo"/>
                <w:rFonts w:ascii="Times New Roman" w:hAnsi="Times New Roman" w:cs="Times New Roman"/>
                <w:noProof/>
                <w:color w:val="auto"/>
              </w:rPr>
              <w:t>5.2</w:t>
            </w:r>
            <w:r w:rsidR="007E5F5C" w:rsidRPr="00062207">
              <w:rPr>
                <w:rFonts w:ascii="Times New Roman" w:hAnsi="Times New Roman" w:cs="Times New Roman"/>
                <w:noProof/>
                <w:sz w:val="22"/>
                <w:szCs w:val="22"/>
                <w:lang w:val="es-GT" w:eastAsia="es-GT"/>
              </w:rPr>
              <w:t xml:space="preserve">  </w:t>
            </w:r>
            <w:r w:rsidR="007E5F5C" w:rsidRPr="00062207">
              <w:rPr>
                <w:rStyle w:val="Hipervnculo"/>
                <w:rFonts w:ascii="Times New Roman" w:hAnsi="Times New Roman" w:cs="Times New Roman"/>
                <w:noProof/>
                <w:color w:val="auto"/>
              </w:rPr>
              <w:t>Desempeño económico de los principales socios comerciales</w:t>
            </w:r>
            <w:r w:rsidR="007E5F5C" w:rsidRPr="00062207">
              <w:rPr>
                <w:rFonts w:ascii="Times New Roman" w:hAnsi="Times New Roman" w:cs="Times New Roman"/>
                <w:noProof/>
                <w:webHidden/>
              </w:rPr>
              <w:tab/>
            </w:r>
            <w:r w:rsidR="007E5F5C" w:rsidRPr="00062207">
              <w:rPr>
                <w:rFonts w:ascii="Times New Roman" w:hAnsi="Times New Roman" w:cs="Times New Roman"/>
                <w:noProof/>
                <w:webHidden/>
              </w:rPr>
              <w:fldChar w:fldCharType="begin"/>
            </w:r>
            <w:r w:rsidR="007E5F5C" w:rsidRPr="00062207">
              <w:rPr>
                <w:rFonts w:ascii="Times New Roman" w:hAnsi="Times New Roman" w:cs="Times New Roman"/>
                <w:noProof/>
                <w:webHidden/>
              </w:rPr>
              <w:instrText xml:space="preserve"> PAGEREF _Toc94259661 \h </w:instrText>
            </w:r>
            <w:r w:rsidR="007E5F5C" w:rsidRPr="00062207">
              <w:rPr>
                <w:rFonts w:ascii="Times New Roman" w:hAnsi="Times New Roman" w:cs="Times New Roman"/>
                <w:noProof/>
                <w:webHidden/>
              </w:rPr>
            </w:r>
            <w:r w:rsidR="007E5F5C" w:rsidRPr="00062207">
              <w:rPr>
                <w:rFonts w:ascii="Times New Roman" w:hAnsi="Times New Roman" w:cs="Times New Roman"/>
                <w:noProof/>
                <w:webHidden/>
              </w:rPr>
              <w:fldChar w:fldCharType="separate"/>
            </w:r>
            <w:r w:rsidR="00062207">
              <w:rPr>
                <w:rFonts w:ascii="Times New Roman" w:hAnsi="Times New Roman" w:cs="Times New Roman"/>
                <w:noProof/>
                <w:webHidden/>
              </w:rPr>
              <w:t>51</w:t>
            </w:r>
            <w:r w:rsidR="007E5F5C" w:rsidRPr="00062207">
              <w:rPr>
                <w:rFonts w:ascii="Times New Roman" w:hAnsi="Times New Roman" w:cs="Times New Roman"/>
                <w:noProof/>
                <w:webHidden/>
              </w:rPr>
              <w:fldChar w:fldCharType="end"/>
            </w:r>
          </w:hyperlink>
        </w:p>
        <w:p w14:paraId="052110F3" w14:textId="16EC75CA" w:rsidR="007E5F5C" w:rsidRPr="00062207" w:rsidRDefault="00271944">
          <w:pPr>
            <w:pStyle w:val="TDC2"/>
            <w:rPr>
              <w:rFonts w:ascii="Times New Roman" w:hAnsi="Times New Roman" w:cs="Times New Roman"/>
              <w:noProof/>
              <w:sz w:val="22"/>
              <w:szCs w:val="22"/>
              <w:lang w:val="es-GT" w:eastAsia="es-GT"/>
            </w:rPr>
          </w:pPr>
          <w:hyperlink w:anchor="_Toc94259662" w:history="1">
            <w:r w:rsidR="007E5F5C" w:rsidRPr="00062207">
              <w:rPr>
                <w:rStyle w:val="Hipervnculo"/>
                <w:rFonts w:ascii="Times New Roman" w:hAnsi="Times New Roman" w:cs="Times New Roman"/>
                <w:noProof/>
                <w:color w:val="auto"/>
              </w:rPr>
              <w:t>5.3</w:t>
            </w:r>
            <w:r w:rsidR="007E5F5C" w:rsidRPr="00062207">
              <w:rPr>
                <w:rFonts w:ascii="Times New Roman" w:hAnsi="Times New Roman" w:cs="Times New Roman"/>
                <w:noProof/>
                <w:sz w:val="22"/>
                <w:szCs w:val="22"/>
                <w:lang w:val="es-GT" w:eastAsia="es-GT"/>
              </w:rPr>
              <w:t xml:space="preserve">  </w:t>
            </w:r>
            <w:r w:rsidR="007E5F5C" w:rsidRPr="00062207">
              <w:rPr>
                <w:rStyle w:val="Hipervnculo"/>
                <w:rFonts w:ascii="Times New Roman" w:hAnsi="Times New Roman" w:cs="Times New Roman"/>
                <w:noProof/>
                <w:color w:val="auto"/>
              </w:rPr>
              <w:t>Principales indicadores Macroeconómicos y Fiscales de la región</w:t>
            </w:r>
            <w:r w:rsidR="007E5F5C" w:rsidRPr="00062207">
              <w:rPr>
                <w:rFonts w:ascii="Times New Roman" w:hAnsi="Times New Roman" w:cs="Times New Roman"/>
                <w:noProof/>
                <w:webHidden/>
              </w:rPr>
              <w:tab/>
            </w:r>
            <w:r w:rsidR="007E5F5C" w:rsidRPr="00062207">
              <w:rPr>
                <w:rFonts w:ascii="Times New Roman" w:hAnsi="Times New Roman" w:cs="Times New Roman"/>
                <w:noProof/>
                <w:webHidden/>
              </w:rPr>
              <w:fldChar w:fldCharType="begin"/>
            </w:r>
            <w:r w:rsidR="007E5F5C" w:rsidRPr="00062207">
              <w:rPr>
                <w:rFonts w:ascii="Times New Roman" w:hAnsi="Times New Roman" w:cs="Times New Roman"/>
                <w:noProof/>
                <w:webHidden/>
              </w:rPr>
              <w:instrText xml:space="preserve"> PAGEREF _Toc94259662 \h </w:instrText>
            </w:r>
            <w:r w:rsidR="007E5F5C" w:rsidRPr="00062207">
              <w:rPr>
                <w:rFonts w:ascii="Times New Roman" w:hAnsi="Times New Roman" w:cs="Times New Roman"/>
                <w:noProof/>
                <w:webHidden/>
              </w:rPr>
            </w:r>
            <w:r w:rsidR="007E5F5C" w:rsidRPr="00062207">
              <w:rPr>
                <w:rFonts w:ascii="Times New Roman" w:hAnsi="Times New Roman" w:cs="Times New Roman"/>
                <w:noProof/>
                <w:webHidden/>
              </w:rPr>
              <w:fldChar w:fldCharType="separate"/>
            </w:r>
            <w:r w:rsidR="00062207">
              <w:rPr>
                <w:rFonts w:ascii="Times New Roman" w:hAnsi="Times New Roman" w:cs="Times New Roman"/>
                <w:noProof/>
                <w:webHidden/>
              </w:rPr>
              <w:t>52</w:t>
            </w:r>
            <w:r w:rsidR="007E5F5C" w:rsidRPr="00062207">
              <w:rPr>
                <w:rFonts w:ascii="Times New Roman" w:hAnsi="Times New Roman" w:cs="Times New Roman"/>
                <w:noProof/>
                <w:webHidden/>
              </w:rPr>
              <w:fldChar w:fldCharType="end"/>
            </w:r>
          </w:hyperlink>
        </w:p>
        <w:p w14:paraId="6093F518" w14:textId="42821D53" w:rsidR="007E5F5C" w:rsidRPr="00062207" w:rsidRDefault="00271944">
          <w:pPr>
            <w:pStyle w:val="TDC2"/>
            <w:rPr>
              <w:rFonts w:ascii="Times New Roman" w:hAnsi="Times New Roman" w:cs="Times New Roman"/>
              <w:noProof/>
              <w:sz w:val="22"/>
              <w:szCs w:val="22"/>
              <w:lang w:val="es-GT" w:eastAsia="es-GT"/>
            </w:rPr>
          </w:pPr>
          <w:hyperlink w:anchor="_Toc94259663" w:history="1">
            <w:r w:rsidR="007E5F5C" w:rsidRPr="00062207">
              <w:rPr>
                <w:rStyle w:val="Hipervnculo"/>
                <w:rFonts w:ascii="Times New Roman" w:hAnsi="Times New Roman" w:cs="Times New Roman"/>
                <w:noProof/>
                <w:color w:val="auto"/>
              </w:rPr>
              <w:t>5.4</w:t>
            </w:r>
            <w:r w:rsidR="007E5F5C" w:rsidRPr="00062207">
              <w:rPr>
                <w:rFonts w:ascii="Times New Roman" w:hAnsi="Times New Roman" w:cs="Times New Roman"/>
                <w:noProof/>
                <w:sz w:val="22"/>
                <w:szCs w:val="22"/>
                <w:lang w:val="es-GT" w:eastAsia="es-GT"/>
              </w:rPr>
              <w:t xml:space="preserve">  </w:t>
            </w:r>
            <w:r w:rsidR="007E5F5C" w:rsidRPr="00062207">
              <w:rPr>
                <w:rStyle w:val="Hipervnculo"/>
                <w:rFonts w:ascii="Times New Roman" w:hAnsi="Times New Roman" w:cs="Times New Roman"/>
                <w:noProof/>
                <w:color w:val="auto"/>
              </w:rPr>
              <w:t>Entorno macroeconómico Interno en 2021</w:t>
            </w:r>
            <w:r w:rsidR="007E5F5C" w:rsidRPr="00062207">
              <w:rPr>
                <w:rFonts w:ascii="Times New Roman" w:hAnsi="Times New Roman" w:cs="Times New Roman"/>
                <w:noProof/>
                <w:webHidden/>
              </w:rPr>
              <w:tab/>
            </w:r>
            <w:r w:rsidR="007E5F5C" w:rsidRPr="00062207">
              <w:rPr>
                <w:rFonts w:ascii="Times New Roman" w:hAnsi="Times New Roman" w:cs="Times New Roman"/>
                <w:noProof/>
                <w:webHidden/>
              </w:rPr>
              <w:fldChar w:fldCharType="begin"/>
            </w:r>
            <w:r w:rsidR="007E5F5C" w:rsidRPr="00062207">
              <w:rPr>
                <w:rFonts w:ascii="Times New Roman" w:hAnsi="Times New Roman" w:cs="Times New Roman"/>
                <w:noProof/>
                <w:webHidden/>
              </w:rPr>
              <w:instrText xml:space="preserve"> PAGEREF _Toc94259663 \h </w:instrText>
            </w:r>
            <w:r w:rsidR="007E5F5C" w:rsidRPr="00062207">
              <w:rPr>
                <w:rFonts w:ascii="Times New Roman" w:hAnsi="Times New Roman" w:cs="Times New Roman"/>
                <w:noProof/>
                <w:webHidden/>
              </w:rPr>
            </w:r>
            <w:r w:rsidR="007E5F5C" w:rsidRPr="00062207">
              <w:rPr>
                <w:rFonts w:ascii="Times New Roman" w:hAnsi="Times New Roman" w:cs="Times New Roman"/>
                <w:noProof/>
                <w:webHidden/>
              </w:rPr>
              <w:fldChar w:fldCharType="separate"/>
            </w:r>
            <w:r w:rsidR="00062207">
              <w:rPr>
                <w:rFonts w:ascii="Times New Roman" w:hAnsi="Times New Roman" w:cs="Times New Roman"/>
                <w:noProof/>
                <w:webHidden/>
              </w:rPr>
              <w:t>53</w:t>
            </w:r>
            <w:r w:rsidR="007E5F5C" w:rsidRPr="00062207">
              <w:rPr>
                <w:rFonts w:ascii="Times New Roman" w:hAnsi="Times New Roman" w:cs="Times New Roman"/>
                <w:noProof/>
                <w:webHidden/>
              </w:rPr>
              <w:fldChar w:fldCharType="end"/>
            </w:r>
          </w:hyperlink>
        </w:p>
        <w:p w14:paraId="272E8A1D" w14:textId="026FB8D9" w:rsidR="007E5F5C" w:rsidRPr="00062207" w:rsidRDefault="00271944">
          <w:pPr>
            <w:pStyle w:val="TDC1"/>
            <w:rPr>
              <w:rFonts w:eastAsiaTheme="minorEastAsia"/>
              <w:b w:val="0"/>
              <w:bCs w:val="0"/>
              <w:sz w:val="22"/>
              <w:szCs w:val="22"/>
              <w:lang w:val="es-GT" w:eastAsia="es-GT"/>
            </w:rPr>
          </w:pPr>
          <w:hyperlink w:anchor="_Toc94259664" w:history="1">
            <w:r w:rsidR="007E5F5C" w:rsidRPr="00062207">
              <w:rPr>
                <w:rStyle w:val="Hipervnculo"/>
                <w:color w:val="auto"/>
              </w:rPr>
              <w:t>VI.</w:t>
            </w:r>
            <w:r w:rsidR="007E5F5C" w:rsidRPr="00062207">
              <w:rPr>
                <w:rFonts w:eastAsiaTheme="minorEastAsia"/>
                <w:b w:val="0"/>
                <w:bCs w:val="0"/>
                <w:sz w:val="22"/>
                <w:szCs w:val="22"/>
                <w:lang w:val="es-GT" w:eastAsia="es-GT"/>
              </w:rPr>
              <w:t xml:space="preserve">  </w:t>
            </w:r>
            <w:r w:rsidR="007E5F5C" w:rsidRPr="00062207">
              <w:rPr>
                <w:rStyle w:val="Hipervnculo"/>
                <w:color w:val="auto"/>
              </w:rPr>
              <w:t>Apéndice estadísticas de las Finanzas Públicas (estándar internacional del FMI)</w:t>
            </w:r>
            <w:r w:rsidR="007E5F5C" w:rsidRPr="00062207">
              <w:rPr>
                <w:webHidden/>
              </w:rPr>
              <w:tab/>
            </w:r>
            <w:r w:rsidR="007E5F5C" w:rsidRPr="00062207">
              <w:rPr>
                <w:webHidden/>
              </w:rPr>
              <w:fldChar w:fldCharType="begin"/>
            </w:r>
            <w:r w:rsidR="007E5F5C" w:rsidRPr="00062207">
              <w:rPr>
                <w:webHidden/>
              </w:rPr>
              <w:instrText xml:space="preserve"> PAGEREF _Toc94259664 \h </w:instrText>
            </w:r>
            <w:r w:rsidR="007E5F5C" w:rsidRPr="00062207">
              <w:rPr>
                <w:webHidden/>
              </w:rPr>
            </w:r>
            <w:r w:rsidR="007E5F5C" w:rsidRPr="00062207">
              <w:rPr>
                <w:webHidden/>
              </w:rPr>
              <w:fldChar w:fldCharType="separate"/>
            </w:r>
            <w:r w:rsidR="00062207">
              <w:rPr>
                <w:webHidden/>
              </w:rPr>
              <w:t>54</w:t>
            </w:r>
            <w:r w:rsidR="007E5F5C" w:rsidRPr="00062207">
              <w:rPr>
                <w:webHidden/>
              </w:rPr>
              <w:fldChar w:fldCharType="end"/>
            </w:r>
          </w:hyperlink>
        </w:p>
        <w:p w14:paraId="3F753FB2" w14:textId="78E42699" w:rsidR="007E5F5C" w:rsidRPr="00062207" w:rsidRDefault="00271944">
          <w:pPr>
            <w:pStyle w:val="TDC2"/>
            <w:rPr>
              <w:rFonts w:ascii="Times New Roman" w:hAnsi="Times New Roman" w:cs="Times New Roman"/>
              <w:noProof/>
              <w:sz w:val="22"/>
              <w:szCs w:val="22"/>
              <w:lang w:val="es-GT" w:eastAsia="es-GT"/>
            </w:rPr>
          </w:pPr>
          <w:hyperlink w:anchor="_Toc94259671" w:history="1">
            <w:r w:rsidR="007E5F5C" w:rsidRPr="00062207">
              <w:rPr>
                <w:rStyle w:val="Hipervnculo"/>
                <w:rFonts w:ascii="Times New Roman" w:hAnsi="Times New Roman" w:cs="Times New Roman"/>
                <w:bCs/>
                <w:noProof/>
                <w:color w:val="auto"/>
                <w:lang w:val="es-MX"/>
              </w:rPr>
              <w:t>6.1</w:t>
            </w:r>
            <w:r w:rsidR="007E5F5C" w:rsidRPr="00062207">
              <w:rPr>
                <w:rFonts w:ascii="Times New Roman" w:hAnsi="Times New Roman" w:cs="Times New Roman"/>
                <w:noProof/>
                <w:sz w:val="22"/>
                <w:szCs w:val="22"/>
                <w:lang w:val="es-GT" w:eastAsia="es-GT"/>
              </w:rPr>
              <w:t xml:space="preserve">  </w:t>
            </w:r>
            <w:r w:rsidR="007E5F5C" w:rsidRPr="00062207">
              <w:rPr>
                <w:rStyle w:val="Hipervnculo"/>
                <w:rFonts w:ascii="Times New Roman" w:hAnsi="Times New Roman" w:cs="Times New Roman"/>
                <w:bCs/>
                <w:noProof/>
                <w:color w:val="auto"/>
                <w:lang w:val="es-MX"/>
              </w:rPr>
              <w:t>Estado de operaciones del Gobierno Central Presupuestario 2021</w:t>
            </w:r>
            <w:r w:rsidR="007E5F5C" w:rsidRPr="00062207">
              <w:rPr>
                <w:rFonts w:ascii="Times New Roman" w:hAnsi="Times New Roman" w:cs="Times New Roman"/>
                <w:noProof/>
                <w:webHidden/>
              </w:rPr>
              <w:tab/>
            </w:r>
            <w:r w:rsidR="007E5F5C" w:rsidRPr="00062207">
              <w:rPr>
                <w:rFonts w:ascii="Times New Roman" w:hAnsi="Times New Roman" w:cs="Times New Roman"/>
                <w:noProof/>
                <w:webHidden/>
              </w:rPr>
              <w:fldChar w:fldCharType="begin"/>
            </w:r>
            <w:r w:rsidR="007E5F5C" w:rsidRPr="00062207">
              <w:rPr>
                <w:rFonts w:ascii="Times New Roman" w:hAnsi="Times New Roman" w:cs="Times New Roman"/>
                <w:noProof/>
                <w:webHidden/>
              </w:rPr>
              <w:instrText xml:space="preserve"> PAGEREF _Toc94259671 \h </w:instrText>
            </w:r>
            <w:r w:rsidR="007E5F5C" w:rsidRPr="00062207">
              <w:rPr>
                <w:rFonts w:ascii="Times New Roman" w:hAnsi="Times New Roman" w:cs="Times New Roman"/>
                <w:noProof/>
                <w:webHidden/>
              </w:rPr>
            </w:r>
            <w:r w:rsidR="007E5F5C" w:rsidRPr="00062207">
              <w:rPr>
                <w:rFonts w:ascii="Times New Roman" w:hAnsi="Times New Roman" w:cs="Times New Roman"/>
                <w:noProof/>
                <w:webHidden/>
              </w:rPr>
              <w:fldChar w:fldCharType="separate"/>
            </w:r>
            <w:r w:rsidR="00062207">
              <w:rPr>
                <w:rFonts w:ascii="Times New Roman" w:hAnsi="Times New Roman" w:cs="Times New Roman"/>
                <w:noProof/>
                <w:webHidden/>
              </w:rPr>
              <w:t>54</w:t>
            </w:r>
            <w:r w:rsidR="007E5F5C" w:rsidRPr="00062207">
              <w:rPr>
                <w:rFonts w:ascii="Times New Roman" w:hAnsi="Times New Roman" w:cs="Times New Roman"/>
                <w:noProof/>
                <w:webHidden/>
              </w:rPr>
              <w:fldChar w:fldCharType="end"/>
            </w:r>
          </w:hyperlink>
        </w:p>
        <w:p w14:paraId="10195C3E" w14:textId="50B2712D" w:rsidR="007E5F5C" w:rsidRPr="00062207" w:rsidRDefault="00271944">
          <w:pPr>
            <w:pStyle w:val="TDC2"/>
            <w:rPr>
              <w:rFonts w:ascii="Times New Roman" w:hAnsi="Times New Roman" w:cs="Times New Roman"/>
              <w:noProof/>
              <w:sz w:val="22"/>
              <w:szCs w:val="22"/>
              <w:lang w:val="es-GT" w:eastAsia="es-GT"/>
            </w:rPr>
          </w:pPr>
          <w:hyperlink w:anchor="_Toc94259672" w:history="1">
            <w:r w:rsidR="007E5F5C" w:rsidRPr="00062207">
              <w:rPr>
                <w:rStyle w:val="Hipervnculo"/>
                <w:rFonts w:ascii="Times New Roman" w:hAnsi="Times New Roman" w:cs="Times New Roman"/>
                <w:bCs/>
                <w:noProof/>
                <w:color w:val="auto"/>
                <w:lang w:val="es-MX"/>
              </w:rPr>
              <w:t>6.2</w:t>
            </w:r>
            <w:r w:rsidR="007E5F5C" w:rsidRPr="00062207">
              <w:rPr>
                <w:rFonts w:ascii="Times New Roman" w:hAnsi="Times New Roman" w:cs="Times New Roman"/>
                <w:noProof/>
                <w:sz w:val="22"/>
                <w:szCs w:val="22"/>
                <w:lang w:val="es-GT" w:eastAsia="es-GT"/>
              </w:rPr>
              <w:t xml:space="preserve">  </w:t>
            </w:r>
            <w:r w:rsidR="007E5F5C" w:rsidRPr="00062207">
              <w:rPr>
                <w:rStyle w:val="Hipervnculo"/>
                <w:rFonts w:ascii="Times New Roman" w:hAnsi="Times New Roman" w:cs="Times New Roman"/>
                <w:bCs/>
                <w:noProof/>
                <w:color w:val="auto"/>
                <w:lang w:val="es-MX"/>
              </w:rPr>
              <w:t>Estado de operaciones del Gobierno General Consolidado 2021</w:t>
            </w:r>
            <w:r w:rsidR="007E5F5C" w:rsidRPr="00062207">
              <w:rPr>
                <w:rFonts w:ascii="Times New Roman" w:hAnsi="Times New Roman" w:cs="Times New Roman"/>
                <w:noProof/>
                <w:webHidden/>
              </w:rPr>
              <w:tab/>
            </w:r>
            <w:r w:rsidR="007E5F5C" w:rsidRPr="00062207">
              <w:rPr>
                <w:rFonts w:ascii="Times New Roman" w:hAnsi="Times New Roman" w:cs="Times New Roman"/>
                <w:noProof/>
                <w:webHidden/>
              </w:rPr>
              <w:fldChar w:fldCharType="begin"/>
            </w:r>
            <w:r w:rsidR="007E5F5C" w:rsidRPr="00062207">
              <w:rPr>
                <w:rFonts w:ascii="Times New Roman" w:hAnsi="Times New Roman" w:cs="Times New Roman"/>
                <w:noProof/>
                <w:webHidden/>
              </w:rPr>
              <w:instrText xml:space="preserve"> PAGEREF _Toc94259672 \h </w:instrText>
            </w:r>
            <w:r w:rsidR="007E5F5C" w:rsidRPr="00062207">
              <w:rPr>
                <w:rFonts w:ascii="Times New Roman" w:hAnsi="Times New Roman" w:cs="Times New Roman"/>
                <w:noProof/>
                <w:webHidden/>
              </w:rPr>
            </w:r>
            <w:r w:rsidR="007E5F5C" w:rsidRPr="00062207">
              <w:rPr>
                <w:rFonts w:ascii="Times New Roman" w:hAnsi="Times New Roman" w:cs="Times New Roman"/>
                <w:noProof/>
                <w:webHidden/>
              </w:rPr>
              <w:fldChar w:fldCharType="separate"/>
            </w:r>
            <w:r w:rsidR="00062207">
              <w:rPr>
                <w:rFonts w:ascii="Times New Roman" w:hAnsi="Times New Roman" w:cs="Times New Roman"/>
                <w:noProof/>
                <w:webHidden/>
              </w:rPr>
              <w:t>56</w:t>
            </w:r>
            <w:r w:rsidR="007E5F5C" w:rsidRPr="00062207">
              <w:rPr>
                <w:rFonts w:ascii="Times New Roman" w:hAnsi="Times New Roman" w:cs="Times New Roman"/>
                <w:noProof/>
                <w:webHidden/>
              </w:rPr>
              <w:fldChar w:fldCharType="end"/>
            </w:r>
          </w:hyperlink>
        </w:p>
        <w:p w14:paraId="7983D717" w14:textId="400F0B3B" w:rsidR="0080424E" w:rsidRPr="00062207" w:rsidRDefault="0080424E">
          <w:pPr>
            <w:rPr>
              <w:rFonts w:ascii="Times New Roman" w:hAnsi="Times New Roman" w:cs="Times New Roman"/>
            </w:rPr>
          </w:pPr>
          <w:r w:rsidRPr="00062207">
            <w:rPr>
              <w:rFonts w:ascii="Times New Roman" w:hAnsi="Times New Roman" w:cs="Times New Roman"/>
              <w:b/>
              <w:bCs/>
              <w:lang w:val="es-ES"/>
            </w:rPr>
            <w:fldChar w:fldCharType="end"/>
          </w:r>
        </w:p>
      </w:sdtContent>
    </w:sdt>
    <w:p w14:paraId="7DB6C38A" w14:textId="58D24DCE" w:rsidR="0080424E" w:rsidRPr="00062207" w:rsidRDefault="0080424E" w:rsidP="006223D4">
      <w:pPr>
        <w:pStyle w:val="Prrafodelista"/>
        <w:ind w:left="709"/>
        <w:jc w:val="both"/>
        <w:rPr>
          <w:rFonts w:ascii="Times New Roman" w:eastAsiaTheme="majorEastAsia" w:hAnsi="Times New Roman" w:cs="Times New Roman"/>
          <w:bCs/>
          <w:sz w:val="24"/>
          <w:szCs w:val="26"/>
          <w:lang w:val="es-ES_tradnl" w:eastAsia="es-ES"/>
        </w:rPr>
      </w:pPr>
    </w:p>
    <w:p w14:paraId="16FFCFA6" w14:textId="262A0C78" w:rsidR="0080424E" w:rsidRPr="00062207" w:rsidRDefault="0080424E" w:rsidP="006223D4">
      <w:pPr>
        <w:pStyle w:val="Prrafodelista"/>
        <w:ind w:left="709"/>
        <w:jc w:val="both"/>
        <w:rPr>
          <w:rFonts w:ascii="Times New Roman" w:eastAsiaTheme="majorEastAsia" w:hAnsi="Times New Roman" w:cs="Times New Roman"/>
          <w:bCs/>
          <w:sz w:val="24"/>
          <w:szCs w:val="26"/>
          <w:lang w:val="es-ES_tradnl" w:eastAsia="es-ES"/>
        </w:rPr>
      </w:pPr>
    </w:p>
    <w:p w14:paraId="362D212D" w14:textId="7C40EC94" w:rsidR="0080424E" w:rsidRPr="00062207" w:rsidRDefault="0080424E" w:rsidP="006223D4">
      <w:pPr>
        <w:pStyle w:val="Prrafodelista"/>
        <w:ind w:left="709"/>
        <w:jc w:val="both"/>
        <w:rPr>
          <w:rFonts w:ascii="Times New Roman" w:eastAsiaTheme="majorEastAsia" w:hAnsi="Times New Roman" w:cs="Times New Roman"/>
          <w:bCs/>
          <w:sz w:val="24"/>
          <w:szCs w:val="26"/>
          <w:lang w:val="es-ES_tradnl" w:eastAsia="es-ES"/>
        </w:rPr>
      </w:pPr>
    </w:p>
    <w:p w14:paraId="4587B4EF" w14:textId="421DC107" w:rsidR="0080424E" w:rsidRPr="00062207" w:rsidRDefault="0080424E" w:rsidP="0080424E">
      <w:pPr>
        <w:jc w:val="both"/>
        <w:rPr>
          <w:rFonts w:ascii="Times New Roman" w:eastAsiaTheme="majorEastAsia" w:hAnsi="Times New Roman" w:cs="Times New Roman"/>
          <w:bCs/>
          <w:szCs w:val="26"/>
        </w:rPr>
      </w:pPr>
    </w:p>
    <w:p w14:paraId="58A3D606" w14:textId="540E6BD6" w:rsidR="0080424E" w:rsidRPr="00062207" w:rsidRDefault="0080424E" w:rsidP="006223D4">
      <w:pPr>
        <w:pStyle w:val="Prrafodelista"/>
        <w:ind w:left="709"/>
        <w:jc w:val="both"/>
        <w:rPr>
          <w:rFonts w:ascii="Times New Roman" w:eastAsiaTheme="majorEastAsia" w:hAnsi="Times New Roman" w:cs="Times New Roman"/>
          <w:bCs/>
          <w:sz w:val="24"/>
          <w:szCs w:val="26"/>
          <w:lang w:val="es-ES_tradnl" w:eastAsia="es-ES"/>
        </w:rPr>
      </w:pPr>
    </w:p>
    <w:p w14:paraId="484BC064" w14:textId="77777777" w:rsidR="007E5F5C" w:rsidRPr="00062207" w:rsidRDefault="007E5F5C" w:rsidP="006223D4">
      <w:pPr>
        <w:pStyle w:val="Prrafodelista"/>
        <w:ind w:left="709"/>
        <w:jc w:val="both"/>
        <w:rPr>
          <w:rFonts w:ascii="Times New Roman" w:eastAsiaTheme="majorEastAsia" w:hAnsi="Times New Roman" w:cs="Times New Roman"/>
          <w:bCs/>
          <w:sz w:val="24"/>
          <w:szCs w:val="26"/>
          <w:lang w:val="es-ES_tradnl" w:eastAsia="es-ES"/>
        </w:rPr>
      </w:pPr>
    </w:p>
    <w:p w14:paraId="2F8C90DB" w14:textId="77777777" w:rsidR="0080424E" w:rsidRPr="00062207" w:rsidRDefault="0080424E" w:rsidP="006223D4">
      <w:pPr>
        <w:pStyle w:val="Prrafodelista"/>
        <w:ind w:left="709"/>
        <w:jc w:val="both"/>
        <w:rPr>
          <w:rFonts w:ascii="Times New Roman" w:eastAsiaTheme="majorEastAsia" w:hAnsi="Times New Roman" w:cs="Times New Roman"/>
          <w:bCs/>
          <w:sz w:val="24"/>
          <w:szCs w:val="26"/>
          <w:lang w:val="es-ES_tradnl" w:eastAsia="es-ES"/>
        </w:rPr>
      </w:pPr>
    </w:p>
    <w:p w14:paraId="331AE53C" w14:textId="77777777" w:rsidR="00DD1859" w:rsidRPr="00062207" w:rsidRDefault="00DD1859" w:rsidP="00FD31D6">
      <w:pPr>
        <w:pStyle w:val="Prrafodelista"/>
        <w:ind w:left="0"/>
        <w:jc w:val="center"/>
        <w:outlineLvl w:val="0"/>
        <w:rPr>
          <w:rFonts w:ascii="Times New Roman" w:eastAsiaTheme="majorEastAsia" w:hAnsi="Times New Roman" w:cs="Times New Roman"/>
          <w:b/>
          <w:bCs/>
          <w:sz w:val="24"/>
          <w:szCs w:val="26"/>
          <w:lang w:val="es-ES_tradnl" w:eastAsia="es-ES"/>
        </w:rPr>
      </w:pPr>
      <w:bookmarkStart w:id="2" w:name="_Toc62724259"/>
      <w:bookmarkStart w:id="3" w:name="_Toc94259617"/>
      <w:r w:rsidRPr="00062207">
        <w:rPr>
          <w:rFonts w:ascii="Times New Roman" w:eastAsiaTheme="majorEastAsia" w:hAnsi="Times New Roman" w:cs="Times New Roman"/>
          <w:b/>
          <w:bCs/>
          <w:sz w:val="24"/>
          <w:szCs w:val="26"/>
          <w:lang w:val="es-ES_tradnl" w:eastAsia="es-ES"/>
        </w:rPr>
        <w:lastRenderedPageBreak/>
        <w:t>Introducción</w:t>
      </w:r>
      <w:bookmarkEnd w:id="2"/>
      <w:bookmarkEnd w:id="3"/>
    </w:p>
    <w:p w14:paraId="63D7FEF4" w14:textId="369F1EC8" w:rsidR="00DD1859" w:rsidRPr="00062207" w:rsidRDefault="00DD1859" w:rsidP="00DD1859">
      <w:pPr>
        <w:pStyle w:val="Prrafodelista"/>
        <w:ind w:left="0"/>
        <w:jc w:val="both"/>
        <w:rPr>
          <w:rFonts w:ascii="Times New Roman" w:eastAsiaTheme="majorEastAsia" w:hAnsi="Times New Roman" w:cs="Times New Roman"/>
          <w:b/>
          <w:bCs/>
          <w:sz w:val="24"/>
          <w:szCs w:val="26"/>
          <w:lang w:val="es-ES_tradnl" w:eastAsia="es-ES"/>
        </w:rPr>
      </w:pPr>
    </w:p>
    <w:p w14:paraId="12186BF9" w14:textId="77777777" w:rsidR="00730E3F" w:rsidRPr="00062207" w:rsidRDefault="00730E3F" w:rsidP="00730E3F">
      <w:pPr>
        <w:pStyle w:val="Prrafodelista"/>
        <w:ind w:left="0"/>
        <w:jc w:val="both"/>
        <w:rPr>
          <w:rFonts w:ascii="Times New Roman" w:eastAsiaTheme="majorEastAsia" w:hAnsi="Times New Roman" w:cs="Times New Roman"/>
          <w:bCs/>
          <w:lang w:val="es-ES_tradnl" w:eastAsia="es-ES"/>
        </w:rPr>
      </w:pPr>
      <w:r w:rsidRPr="00062207">
        <w:rPr>
          <w:rFonts w:ascii="Times New Roman" w:eastAsiaTheme="majorEastAsia" w:hAnsi="Times New Roman" w:cs="Times New Roman"/>
          <w:bCs/>
          <w:lang w:val="es-ES_tradnl" w:eastAsia="es-ES"/>
        </w:rPr>
        <w:t>El año 2021 se caracterizó a nivel mundial por una acelerada reactivación económica, luego de la crisis del 2020, derivada de las acciones que se impusieran para contener la crisis de la pandemia del COVID-19. Ya a finales de 2020, los pronósticos de crecimiento económico eran positivos, consecuencia lógica predecible de la reapertura, siempre vinculados al avance de los programas de vacunación y a la contención de la pandemia, sobre todo en aquellos grupos más vulnerables.</w:t>
      </w:r>
    </w:p>
    <w:p w14:paraId="2CAB23D2" w14:textId="1FC41A70" w:rsidR="00D6696D" w:rsidRPr="00062207" w:rsidRDefault="00D6696D" w:rsidP="00DD1859">
      <w:pPr>
        <w:pStyle w:val="Prrafodelista"/>
        <w:ind w:left="0"/>
        <w:jc w:val="both"/>
        <w:rPr>
          <w:rFonts w:ascii="Times New Roman" w:eastAsiaTheme="majorEastAsia" w:hAnsi="Times New Roman" w:cs="Times New Roman"/>
          <w:b/>
          <w:bCs/>
          <w:lang w:val="es-ES_tradnl" w:eastAsia="es-ES"/>
        </w:rPr>
      </w:pPr>
    </w:p>
    <w:p w14:paraId="17A67F67" w14:textId="77777777" w:rsidR="00730E3F" w:rsidRPr="00062207" w:rsidRDefault="00730E3F" w:rsidP="00730E3F">
      <w:pPr>
        <w:pStyle w:val="Prrafodelista"/>
        <w:ind w:left="0"/>
        <w:jc w:val="both"/>
        <w:rPr>
          <w:rFonts w:ascii="Times New Roman" w:eastAsiaTheme="majorEastAsia" w:hAnsi="Times New Roman" w:cs="Times New Roman"/>
          <w:bCs/>
          <w:lang w:val="es-ES_tradnl" w:eastAsia="es-ES"/>
        </w:rPr>
      </w:pPr>
      <w:r w:rsidRPr="00062207">
        <w:rPr>
          <w:rFonts w:ascii="Times New Roman" w:eastAsiaTheme="majorEastAsia" w:hAnsi="Times New Roman" w:cs="Times New Roman"/>
          <w:bCs/>
          <w:lang w:val="es-ES_tradnl" w:eastAsia="es-ES"/>
        </w:rPr>
        <w:t xml:space="preserve">El comercio mundial producto de la reactivación de las economías registró un considerable dinamismo, aunque debe reconocerse que la demanda, superior a la oferta, incidió en aumentos en los niveles de precios a todo nivel, desde los </w:t>
      </w:r>
      <w:r w:rsidRPr="00062207">
        <w:rPr>
          <w:rFonts w:ascii="Times New Roman" w:eastAsiaTheme="majorEastAsia" w:hAnsi="Times New Roman" w:cs="Times New Roman"/>
          <w:bCs/>
          <w:i/>
          <w:lang w:val="es-ES_tradnl" w:eastAsia="es-ES"/>
        </w:rPr>
        <w:t xml:space="preserve">commodities </w:t>
      </w:r>
      <w:r w:rsidRPr="00062207">
        <w:rPr>
          <w:rFonts w:ascii="Times New Roman" w:eastAsiaTheme="majorEastAsia" w:hAnsi="Times New Roman" w:cs="Times New Roman"/>
          <w:bCs/>
          <w:lang w:val="es-ES_tradnl" w:eastAsia="es-ES"/>
        </w:rPr>
        <w:t>y los servicios asociados al comercio (fletes, seguros, etc.). La inversión, por su parte, dio pauta a nuevos proyectos de diferente índole, desde la construcción, hasta el desarrollo de nuevas tecnologías, especialmente aquellas vinculadas con el sector de las comunicaciones.</w:t>
      </w:r>
    </w:p>
    <w:p w14:paraId="4136F56E" w14:textId="5A4A8C85" w:rsidR="00730E3F" w:rsidRPr="00062207" w:rsidRDefault="00730E3F" w:rsidP="00DD1859">
      <w:pPr>
        <w:pStyle w:val="Prrafodelista"/>
        <w:ind w:left="0"/>
        <w:jc w:val="both"/>
        <w:rPr>
          <w:rFonts w:ascii="Times New Roman" w:eastAsiaTheme="majorEastAsia" w:hAnsi="Times New Roman" w:cs="Times New Roman"/>
          <w:b/>
          <w:bCs/>
          <w:lang w:val="es-ES_tradnl" w:eastAsia="es-ES"/>
        </w:rPr>
      </w:pPr>
    </w:p>
    <w:p w14:paraId="78FDA4E7" w14:textId="45918A58" w:rsidR="00730E3F" w:rsidRPr="00062207" w:rsidRDefault="00730E3F" w:rsidP="00DD1859">
      <w:pPr>
        <w:pStyle w:val="Prrafodelista"/>
        <w:ind w:left="0"/>
        <w:jc w:val="both"/>
        <w:rPr>
          <w:rFonts w:ascii="Times New Roman" w:eastAsiaTheme="majorEastAsia" w:hAnsi="Times New Roman" w:cs="Times New Roman"/>
          <w:bCs/>
          <w:lang w:val="es-ES_tradnl" w:eastAsia="es-ES"/>
        </w:rPr>
      </w:pPr>
      <w:r w:rsidRPr="00062207">
        <w:rPr>
          <w:rFonts w:ascii="Times New Roman" w:eastAsiaTheme="majorEastAsia" w:hAnsi="Times New Roman" w:cs="Times New Roman"/>
          <w:bCs/>
          <w:lang w:val="es-ES_tradnl" w:eastAsia="es-ES"/>
        </w:rPr>
        <w:t>De esta cuenta, varios analistas económicos y entidades internacionales daban la pauta a inicios de 2021, como un período de recuperación económica y un mayor dinamismo en la producción, pero también dichos pronósticos interpretaban el crecimiento como un efecto “rebote” luego de la crisis derivada por la pandemia.  La evidencia marcó que tanto países desarrollados como en vías de desarrollo registraron durante el 2021 un mayor dinamismo, rebasando las expectativas iniciales; la reactivación y reacomodo de muchas actividades económicas contribuyeron a generar una mayor demanda de trabajo, satisfacer nuevos nichos de mercado y consecuentemente una mayor demanda interna.</w:t>
      </w:r>
    </w:p>
    <w:p w14:paraId="7B753399" w14:textId="2335FBEA" w:rsidR="00730E3F" w:rsidRPr="00062207" w:rsidRDefault="00730E3F" w:rsidP="00DD1859">
      <w:pPr>
        <w:pStyle w:val="Prrafodelista"/>
        <w:ind w:left="0"/>
        <w:jc w:val="both"/>
        <w:rPr>
          <w:rFonts w:ascii="Times New Roman" w:eastAsiaTheme="majorEastAsia" w:hAnsi="Times New Roman" w:cs="Times New Roman"/>
          <w:bCs/>
          <w:lang w:val="es-ES_tradnl" w:eastAsia="es-ES"/>
        </w:rPr>
      </w:pPr>
    </w:p>
    <w:p w14:paraId="690E120D" w14:textId="7FEFD8A2" w:rsidR="00730E3F" w:rsidRPr="00062207" w:rsidRDefault="00730E3F" w:rsidP="00DD1859">
      <w:pPr>
        <w:pStyle w:val="Prrafodelista"/>
        <w:ind w:left="0"/>
        <w:jc w:val="both"/>
        <w:rPr>
          <w:rFonts w:ascii="Times New Roman" w:eastAsiaTheme="majorEastAsia" w:hAnsi="Times New Roman" w:cs="Times New Roman"/>
          <w:bCs/>
        </w:rPr>
      </w:pPr>
      <w:r w:rsidRPr="00062207">
        <w:rPr>
          <w:rFonts w:ascii="Times New Roman" w:eastAsiaTheme="majorEastAsia" w:hAnsi="Times New Roman" w:cs="Times New Roman"/>
          <w:bCs/>
        </w:rPr>
        <w:t>La economía nacional, en 2021 registró también un fuerte dinamismo y reactivación en casi la totalidad de sectores económicos el crecimiento del PIB en términos reales, de acuerdo a cifras del Banco de Guatemala, se estima en 7.5%. Actividades como la construcción, la industria de alimentos, de textiles, fabricación de productos químicos farmacéuticos, industria de plásticos, entre otras, mostraron un alto desempeño, para atender la demanda interna y, sobre todo el mercado externo, incidiendo positivamente en el crecimiento de las exportaciones.</w:t>
      </w:r>
    </w:p>
    <w:p w14:paraId="2F56B145" w14:textId="27C0542F" w:rsidR="00730E3F" w:rsidRPr="00062207" w:rsidRDefault="00730E3F" w:rsidP="00DD1859">
      <w:pPr>
        <w:pStyle w:val="Prrafodelista"/>
        <w:ind w:left="0"/>
        <w:jc w:val="both"/>
        <w:rPr>
          <w:rFonts w:ascii="Times New Roman" w:eastAsiaTheme="majorEastAsia" w:hAnsi="Times New Roman" w:cs="Times New Roman"/>
          <w:bCs/>
        </w:rPr>
      </w:pPr>
    </w:p>
    <w:p w14:paraId="186A5A88" w14:textId="75EDC99F" w:rsidR="00730E3F" w:rsidRPr="00062207" w:rsidRDefault="00730E3F" w:rsidP="00DD1859">
      <w:pPr>
        <w:pStyle w:val="Prrafodelista"/>
        <w:ind w:left="0"/>
        <w:jc w:val="both"/>
        <w:rPr>
          <w:rFonts w:ascii="Times New Roman" w:eastAsiaTheme="majorEastAsia" w:hAnsi="Times New Roman" w:cs="Times New Roman"/>
          <w:bCs/>
        </w:rPr>
      </w:pPr>
      <w:r w:rsidRPr="00062207">
        <w:rPr>
          <w:rFonts w:ascii="Times New Roman" w:eastAsiaTheme="majorEastAsia" w:hAnsi="Times New Roman" w:cs="Times New Roman"/>
          <w:bCs/>
        </w:rPr>
        <w:t>Cabe destacar el importante papel, en la reactivación económica, de la política fiscal, la que continuó destacándose por un manejo prudente de la situación financiera y el fortalecimiento de la sostenibilidad de la deuda a mediano y largo plazo. Tanto el Fondo Monetario Internacional como las calificadoras de riesgo han afirmado que Guatemala muestra una buena prudencia financiera y se encuentra en una situación manejable y consistente con estabilidad macroeconómica.</w:t>
      </w:r>
    </w:p>
    <w:p w14:paraId="3E5CDFA2" w14:textId="64A3C096" w:rsidR="00730E3F" w:rsidRPr="00062207" w:rsidRDefault="00730E3F" w:rsidP="00DD1859">
      <w:pPr>
        <w:pStyle w:val="Prrafodelista"/>
        <w:ind w:left="0"/>
        <w:jc w:val="both"/>
        <w:rPr>
          <w:rFonts w:ascii="Times New Roman" w:eastAsiaTheme="majorEastAsia" w:hAnsi="Times New Roman" w:cs="Times New Roman"/>
          <w:bCs/>
        </w:rPr>
      </w:pPr>
    </w:p>
    <w:p w14:paraId="7920293C" w14:textId="0FEDD9A9" w:rsidR="00730E3F" w:rsidRPr="00062207" w:rsidRDefault="00730E3F" w:rsidP="00DD1859">
      <w:pPr>
        <w:pStyle w:val="Prrafodelista"/>
        <w:ind w:left="0"/>
        <w:jc w:val="both"/>
        <w:rPr>
          <w:rFonts w:ascii="Times New Roman" w:eastAsiaTheme="majorEastAsia" w:hAnsi="Times New Roman" w:cs="Times New Roman"/>
          <w:bCs/>
        </w:rPr>
      </w:pPr>
      <w:r w:rsidRPr="00062207">
        <w:rPr>
          <w:rFonts w:ascii="Times New Roman" w:eastAsiaTheme="majorEastAsia" w:hAnsi="Times New Roman" w:cs="Times New Roman"/>
          <w:bCs/>
        </w:rPr>
        <w:t xml:space="preserve">En este sentido, la recaudación tributaria registró una </w:t>
      </w:r>
      <w:r w:rsidR="00C96D04" w:rsidRPr="00062207">
        <w:rPr>
          <w:rFonts w:ascii="Times New Roman" w:eastAsiaTheme="majorEastAsia" w:hAnsi="Times New Roman" w:cs="Times New Roman"/>
          <w:bCs/>
        </w:rPr>
        <w:t xml:space="preserve">mejora significativa, </w:t>
      </w:r>
      <w:r w:rsidRPr="00062207">
        <w:rPr>
          <w:rFonts w:ascii="Times New Roman" w:eastAsiaTheme="majorEastAsia" w:hAnsi="Times New Roman" w:cs="Times New Roman"/>
          <w:bCs/>
        </w:rPr>
        <w:t xml:space="preserve">situando la carga tributaria en 11.7%, nivel no observado en años anteriores.  La meta de recaudación tributaria fijaba la </w:t>
      </w:r>
      <w:r w:rsidR="00C96D04" w:rsidRPr="00062207">
        <w:rPr>
          <w:rFonts w:ascii="Times New Roman" w:eastAsiaTheme="majorEastAsia" w:hAnsi="Times New Roman" w:cs="Times New Roman"/>
          <w:bCs/>
        </w:rPr>
        <w:t>recaudación</w:t>
      </w:r>
      <w:r w:rsidRPr="00062207">
        <w:rPr>
          <w:rFonts w:ascii="Times New Roman" w:eastAsiaTheme="majorEastAsia" w:hAnsi="Times New Roman" w:cs="Times New Roman"/>
          <w:bCs/>
        </w:rPr>
        <w:t xml:space="preserve"> en el orden de los Q63,468.9 millones, pero esta responde a una referencia de 2019 dado que por disposiciones Constitucionales y la no aprobación de los presupuestos de ingresos y egresos de 2020 – 2021, rigió para este último, el presupuesto aprobado en 2019 mediante el Decreto número 25-2018 del Congreso de la República.  El Gasto público, por su parte, arrancó con la particularidad de no contar con un presupuesto aprobado por el Congreso de la República, lo que generó dificultades en la ejecución en los primeros meses del año que fueron resueltos posteriormente mediante modificaciones presupuestarias como establece la Ley.  Asimismo, luego de registrar altos niveles de ejecución en 2020 por la atención de los programas de emergencia</w:t>
      </w:r>
      <w:r w:rsidR="00227D46" w:rsidRPr="00062207">
        <w:rPr>
          <w:rFonts w:ascii="Times New Roman" w:eastAsiaTheme="majorEastAsia" w:hAnsi="Times New Roman" w:cs="Times New Roman"/>
          <w:bCs/>
        </w:rPr>
        <w:t xml:space="preserve"> derivados del COVID-19, en 2021 registró una menor ejecución, situándose en Q90,065.8 millones (sin incluir amortizaciones de la deuda pública), resaltando en este año, el gasto destinado a la atención médica y a la vacunación del COVID-19 en todo el territorio nacional, que permitió reducir considerablemente las restricciones de movilidad para impulsar la economía interna.  Asimismo, se dio un aumento importante en la inversión pública, entre otros gastos.</w:t>
      </w:r>
    </w:p>
    <w:p w14:paraId="45782A29" w14:textId="13B219BE" w:rsidR="00227D46" w:rsidRPr="00062207" w:rsidRDefault="00227D46" w:rsidP="00DD1859">
      <w:pPr>
        <w:pStyle w:val="Prrafodelista"/>
        <w:ind w:left="0"/>
        <w:jc w:val="both"/>
        <w:rPr>
          <w:rFonts w:ascii="Times New Roman" w:eastAsiaTheme="majorEastAsia" w:hAnsi="Times New Roman" w:cs="Times New Roman"/>
          <w:bCs/>
        </w:rPr>
      </w:pPr>
    </w:p>
    <w:p w14:paraId="17843743" w14:textId="77777777" w:rsidR="00227D46" w:rsidRPr="00062207" w:rsidRDefault="00227D46" w:rsidP="00227D46">
      <w:pPr>
        <w:jc w:val="both"/>
        <w:rPr>
          <w:rFonts w:ascii="Times New Roman" w:eastAsiaTheme="majorEastAsia" w:hAnsi="Times New Roman" w:cs="Times New Roman"/>
          <w:bCs/>
          <w:sz w:val="22"/>
          <w:szCs w:val="22"/>
        </w:rPr>
      </w:pPr>
      <w:r w:rsidRPr="00062207">
        <w:rPr>
          <w:rFonts w:ascii="Times New Roman" w:eastAsiaTheme="majorEastAsia" w:hAnsi="Times New Roman" w:cs="Times New Roman"/>
          <w:bCs/>
          <w:sz w:val="22"/>
          <w:szCs w:val="22"/>
        </w:rPr>
        <w:lastRenderedPageBreak/>
        <w:t>Es preciso indicar la importancia de las transferencias de capital, principalmente a entidades descentralizadas, autónomas, gobiernos locales y al Sistema de Consejos de Desarrollo (SISCODE) para ejecutar proyectos de infraestructura. Asimismo, la atención de proyectos de reconstrucción por los efectos de las tormentas tropicales, en especial ETA y IOTA.</w:t>
      </w:r>
    </w:p>
    <w:p w14:paraId="4648C328" w14:textId="77777777" w:rsidR="00227D46" w:rsidRPr="00062207" w:rsidRDefault="00227D46" w:rsidP="00227D46">
      <w:pPr>
        <w:pStyle w:val="Prrafodelista"/>
        <w:ind w:left="0"/>
        <w:jc w:val="both"/>
        <w:rPr>
          <w:rFonts w:ascii="Times New Roman" w:eastAsiaTheme="majorEastAsia" w:hAnsi="Times New Roman" w:cs="Times New Roman"/>
          <w:bCs/>
          <w:lang w:val="es-ES_tradnl" w:eastAsia="es-ES"/>
        </w:rPr>
      </w:pPr>
    </w:p>
    <w:p w14:paraId="32924074" w14:textId="451279EF" w:rsidR="00227D46" w:rsidRPr="00062207" w:rsidRDefault="00227D46" w:rsidP="00227D46">
      <w:pPr>
        <w:pStyle w:val="Prrafodelista"/>
        <w:ind w:left="0"/>
        <w:jc w:val="both"/>
        <w:rPr>
          <w:rFonts w:ascii="Times New Roman" w:eastAsiaTheme="majorEastAsia" w:hAnsi="Times New Roman" w:cs="Times New Roman"/>
          <w:b/>
          <w:bCs/>
          <w:lang w:val="es-ES_tradnl" w:eastAsia="es-ES"/>
        </w:rPr>
      </w:pPr>
      <w:r w:rsidRPr="00062207">
        <w:rPr>
          <w:rFonts w:ascii="Times New Roman" w:eastAsiaTheme="majorEastAsia" w:hAnsi="Times New Roman" w:cs="Times New Roman"/>
          <w:bCs/>
          <w:lang w:val="es-ES_tradnl" w:eastAsia="es-ES"/>
        </w:rPr>
        <w:t>El presente documento de la Dirección de Análisis y Política Fiscal del Ministerio de Finanzas Públicas – DAPF –, responde al cumplimiento de Acuerdo Gubernativo No. 118-2018, Reglamento Orgánico del Ministerio de Finanzas Públicas, el cual dicta en su Artículo 54, que dicha dependencia es responsable de la formulación y seguimiento de la política fiscal, así como de concentrar y proveer información de índole fiscal, mediante análisis económicos y fiscales. El “</w:t>
      </w:r>
      <w:r w:rsidRPr="00062207">
        <w:rPr>
          <w:rFonts w:ascii="Times New Roman" w:eastAsiaTheme="majorEastAsia" w:hAnsi="Times New Roman" w:cs="Times New Roman"/>
          <w:bCs/>
          <w:i/>
          <w:u w:val="single"/>
          <w:lang w:val="es-ES_tradnl" w:eastAsia="es-ES"/>
        </w:rPr>
        <w:t>Informe de desempeño de la Política Fiscal 2021 y Perspectivas 2022</w:t>
      </w:r>
      <w:r w:rsidRPr="00062207">
        <w:rPr>
          <w:rFonts w:ascii="Times New Roman" w:eastAsiaTheme="majorEastAsia" w:hAnsi="Times New Roman" w:cs="Times New Roman"/>
          <w:bCs/>
          <w:lang w:val="es-ES_tradnl" w:eastAsia="es-ES"/>
        </w:rPr>
        <w:t xml:space="preserve">”, contiene los aspectos más relevantes de la evolución en materia de ingresos, gasto público y financiamiento y las medidas de política fiscal impulsadas por la actual administración.  Asimismo, el documento incluye un anexo macroeconómico con el comportamiento de la economía tanto en el ámbito nacional como internacional. </w:t>
      </w:r>
    </w:p>
    <w:p w14:paraId="3EEA5689" w14:textId="7E3184B4" w:rsidR="00D6696D" w:rsidRPr="00062207" w:rsidRDefault="00D6696D" w:rsidP="00DD1859">
      <w:pPr>
        <w:pStyle w:val="Prrafodelista"/>
        <w:ind w:left="0"/>
        <w:jc w:val="both"/>
        <w:rPr>
          <w:rFonts w:ascii="Times New Roman" w:eastAsiaTheme="majorEastAsia" w:hAnsi="Times New Roman" w:cs="Times New Roman"/>
          <w:b/>
          <w:bCs/>
          <w:sz w:val="24"/>
          <w:szCs w:val="26"/>
          <w:lang w:val="es-ES_tradnl" w:eastAsia="es-ES"/>
        </w:rPr>
      </w:pPr>
    </w:p>
    <w:p w14:paraId="4CBCF948" w14:textId="067D0A7D" w:rsidR="00D6696D" w:rsidRPr="00062207" w:rsidRDefault="00D6696D" w:rsidP="00DD1859">
      <w:pPr>
        <w:pStyle w:val="Prrafodelista"/>
        <w:ind w:left="0"/>
        <w:jc w:val="both"/>
        <w:rPr>
          <w:rFonts w:ascii="Times New Roman" w:eastAsiaTheme="majorEastAsia" w:hAnsi="Times New Roman" w:cs="Times New Roman"/>
          <w:b/>
          <w:bCs/>
          <w:sz w:val="24"/>
          <w:szCs w:val="26"/>
          <w:lang w:val="es-ES_tradnl" w:eastAsia="es-ES"/>
        </w:rPr>
      </w:pPr>
    </w:p>
    <w:p w14:paraId="0608159C" w14:textId="421D706C" w:rsidR="00D6696D" w:rsidRPr="00062207" w:rsidRDefault="00D6696D" w:rsidP="00DD1859">
      <w:pPr>
        <w:pStyle w:val="Prrafodelista"/>
        <w:ind w:left="0"/>
        <w:jc w:val="both"/>
        <w:rPr>
          <w:rFonts w:ascii="Times New Roman" w:eastAsiaTheme="majorEastAsia" w:hAnsi="Times New Roman" w:cs="Times New Roman"/>
          <w:b/>
          <w:bCs/>
          <w:sz w:val="24"/>
          <w:szCs w:val="26"/>
          <w:lang w:val="es-ES_tradnl" w:eastAsia="es-ES"/>
        </w:rPr>
      </w:pPr>
    </w:p>
    <w:p w14:paraId="7E6EBFE3" w14:textId="4C22C2F8" w:rsidR="00D6696D" w:rsidRPr="00062207" w:rsidRDefault="00D6696D" w:rsidP="00DD1859">
      <w:pPr>
        <w:pStyle w:val="Prrafodelista"/>
        <w:ind w:left="0"/>
        <w:jc w:val="both"/>
        <w:rPr>
          <w:rFonts w:ascii="Times New Roman" w:eastAsiaTheme="majorEastAsia" w:hAnsi="Times New Roman" w:cs="Times New Roman"/>
          <w:b/>
          <w:bCs/>
          <w:sz w:val="24"/>
          <w:szCs w:val="26"/>
          <w:lang w:val="es-ES_tradnl" w:eastAsia="es-ES"/>
        </w:rPr>
      </w:pPr>
    </w:p>
    <w:p w14:paraId="6C9E94EF" w14:textId="5864F076" w:rsidR="00D6696D" w:rsidRPr="00062207" w:rsidRDefault="00D6696D" w:rsidP="00DD1859">
      <w:pPr>
        <w:pStyle w:val="Prrafodelista"/>
        <w:ind w:left="0"/>
        <w:jc w:val="both"/>
        <w:rPr>
          <w:rFonts w:ascii="Times New Roman" w:eastAsiaTheme="majorEastAsia" w:hAnsi="Times New Roman" w:cs="Times New Roman"/>
          <w:b/>
          <w:bCs/>
          <w:sz w:val="24"/>
          <w:szCs w:val="26"/>
          <w:lang w:val="es-ES_tradnl" w:eastAsia="es-ES"/>
        </w:rPr>
      </w:pPr>
    </w:p>
    <w:p w14:paraId="3369CCB7" w14:textId="69BF8BEF" w:rsidR="00D6696D" w:rsidRPr="00062207" w:rsidRDefault="00D6696D" w:rsidP="00DD1859">
      <w:pPr>
        <w:pStyle w:val="Prrafodelista"/>
        <w:ind w:left="0"/>
        <w:jc w:val="both"/>
        <w:rPr>
          <w:rFonts w:ascii="Times New Roman" w:eastAsiaTheme="majorEastAsia" w:hAnsi="Times New Roman" w:cs="Times New Roman"/>
          <w:b/>
          <w:bCs/>
          <w:sz w:val="24"/>
          <w:szCs w:val="26"/>
          <w:lang w:val="es-ES_tradnl" w:eastAsia="es-ES"/>
        </w:rPr>
      </w:pPr>
    </w:p>
    <w:p w14:paraId="746830C7" w14:textId="2556DBAE" w:rsidR="00D6696D" w:rsidRPr="00062207" w:rsidRDefault="00D6696D" w:rsidP="00DD1859">
      <w:pPr>
        <w:pStyle w:val="Prrafodelista"/>
        <w:ind w:left="0"/>
        <w:jc w:val="both"/>
        <w:rPr>
          <w:rFonts w:ascii="Times New Roman" w:eastAsiaTheme="majorEastAsia" w:hAnsi="Times New Roman" w:cs="Times New Roman"/>
          <w:b/>
          <w:bCs/>
          <w:sz w:val="24"/>
          <w:szCs w:val="26"/>
          <w:lang w:val="es-ES_tradnl" w:eastAsia="es-ES"/>
        </w:rPr>
      </w:pPr>
    </w:p>
    <w:p w14:paraId="10366F51" w14:textId="2CA5EAE8" w:rsidR="00D6696D" w:rsidRPr="00062207" w:rsidRDefault="00D6696D" w:rsidP="00DD1859">
      <w:pPr>
        <w:pStyle w:val="Prrafodelista"/>
        <w:ind w:left="0"/>
        <w:jc w:val="both"/>
        <w:rPr>
          <w:rFonts w:ascii="Times New Roman" w:eastAsiaTheme="majorEastAsia" w:hAnsi="Times New Roman" w:cs="Times New Roman"/>
          <w:b/>
          <w:bCs/>
          <w:sz w:val="24"/>
          <w:szCs w:val="26"/>
          <w:lang w:val="es-ES_tradnl" w:eastAsia="es-ES"/>
        </w:rPr>
      </w:pPr>
    </w:p>
    <w:p w14:paraId="74319135" w14:textId="54822FCA" w:rsidR="00D6696D" w:rsidRPr="00062207" w:rsidRDefault="00D6696D" w:rsidP="00DD1859">
      <w:pPr>
        <w:pStyle w:val="Prrafodelista"/>
        <w:ind w:left="0"/>
        <w:jc w:val="both"/>
        <w:rPr>
          <w:rFonts w:ascii="Times New Roman" w:eastAsiaTheme="majorEastAsia" w:hAnsi="Times New Roman" w:cs="Times New Roman"/>
          <w:b/>
          <w:bCs/>
          <w:sz w:val="24"/>
          <w:szCs w:val="26"/>
          <w:lang w:val="es-ES_tradnl" w:eastAsia="es-ES"/>
        </w:rPr>
      </w:pPr>
    </w:p>
    <w:p w14:paraId="21702FD4" w14:textId="23202113" w:rsidR="00D6696D" w:rsidRPr="00062207" w:rsidRDefault="00D6696D" w:rsidP="00DD1859">
      <w:pPr>
        <w:pStyle w:val="Prrafodelista"/>
        <w:ind w:left="0"/>
        <w:jc w:val="both"/>
        <w:rPr>
          <w:rFonts w:ascii="Times New Roman" w:eastAsiaTheme="majorEastAsia" w:hAnsi="Times New Roman" w:cs="Times New Roman"/>
          <w:b/>
          <w:bCs/>
          <w:sz w:val="24"/>
          <w:szCs w:val="26"/>
          <w:lang w:val="es-ES_tradnl" w:eastAsia="es-ES"/>
        </w:rPr>
      </w:pPr>
    </w:p>
    <w:p w14:paraId="22A18EB3" w14:textId="5566CF0D" w:rsidR="00D6696D" w:rsidRPr="00062207" w:rsidRDefault="00D6696D" w:rsidP="00DD1859">
      <w:pPr>
        <w:pStyle w:val="Prrafodelista"/>
        <w:ind w:left="0"/>
        <w:jc w:val="both"/>
        <w:rPr>
          <w:rFonts w:ascii="Times New Roman" w:eastAsiaTheme="majorEastAsia" w:hAnsi="Times New Roman" w:cs="Times New Roman"/>
          <w:b/>
          <w:bCs/>
          <w:sz w:val="24"/>
          <w:szCs w:val="26"/>
          <w:lang w:val="es-ES_tradnl" w:eastAsia="es-ES"/>
        </w:rPr>
      </w:pPr>
    </w:p>
    <w:p w14:paraId="642210A5" w14:textId="23F25F52" w:rsidR="00D6696D" w:rsidRPr="00062207" w:rsidRDefault="00D6696D" w:rsidP="00DD1859">
      <w:pPr>
        <w:pStyle w:val="Prrafodelista"/>
        <w:ind w:left="0"/>
        <w:jc w:val="both"/>
        <w:rPr>
          <w:rFonts w:ascii="Times New Roman" w:eastAsiaTheme="majorEastAsia" w:hAnsi="Times New Roman" w:cs="Times New Roman"/>
          <w:b/>
          <w:bCs/>
          <w:sz w:val="24"/>
          <w:szCs w:val="26"/>
          <w:lang w:val="es-ES_tradnl" w:eastAsia="es-ES"/>
        </w:rPr>
      </w:pPr>
    </w:p>
    <w:p w14:paraId="243F9A31" w14:textId="7FDFE580" w:rsidR="00D6696D" w:rsidRPr="00062207" w:rsidRDefault="00D6696D" w:rsidP="00DD1859">
      <w:pPr>
        <w:pStyle w:val="Prrafodelista"/>
        <w:ind w:left="0"/>
        <w:jc w:val="both"/>
        <w:rPr>
          <w:rFonts w:ascii="Times New Roman" w:eastAsiaTheme="majorEastAsia" w:hAnsi="Times New Roman" w:cs="Times New Roman"/>
          <w:b/>
          <w:bCs/>
          <w:sz w:val="24"/>
          <w:szCs w:val="26"/>
          <w:lang w:val="es-ES_tradnl" w:eastAsia="es-ES"/>
        </w:rPr>
      </w:pPr>
    </w:p>
    <w:p w14:paraId="4B746027" w14:textId="0BB9BDCE" w:rsidR="00D6696D" w:rsidRPr="00062207" w:rsidRDefault="00D6696D" w:rsidP="00DD1859">
      <w:pPr>
        <w:pStyle w:val="Prrafodelista"/>
        <w:ind w:left="0"/>
        <w:jc w:val="both"/>
        <w:rPr>
          <w:rFonts w:ascii="Times New Roman" w:eastAsiaTheme="majorEastAsia" w:hAnsi="Times New Roman" w:cs="Times New Roman"/>
          <w:b/>
          <w:bCs/>
          <w:sz w:val="24"/>
          <w:szCs w:val="26"/>
          <w:lang w:val="es-ES_tradnl" w:eastAsia="es-ES"/>
        </w:rPr>
      </w:pPr>
    </w:p>
    <w:p w14:paraId="6FB34A25" w14:textId="77777777" w:rsidR="00D6696D" w:rsidRPr="00062207" w:rsidRDefault="00D6696D" w:rsidP="00DD1859">
      <w:pPr>
        <w:pStyle w:val="Prrafodelista"/>
        <w:ind w:left="0"/>
        <w:jc w:val="both"/>
        <w:rPr>
          <w:rFonts w:ascii="Times New Roman" w:eastAsiaTheme="majorEastAsia" w:hAnsi="Times New Roman" w:cs="Times New Roman"/>
          <w:b/>
          <w:bCs/>
          <w:sz w:val="24"/>
          <w:szCs w:val="26"/>
          <w:lang w:val="es-ES_tradnl" w:eastAsia="es-ES"/>
        </w:rPr>
      </w:pPr>
    </w:p>
    <w:p w14:paraId="705CB7F8" w14:textId="77777777" w:rsidR="00DD1859" w:rsidRPr="00062207" w:rsidRDefault="00DD1859" w:rsidP="00DD1859">
      <w:pPr>
        <w:pStyle w:val="Prrafodelista"/>
        <w:ind w:left="0"/>
        <w:jc w:val="both"/>
        <w:rPr>
          <w:rFonts w:ascii="Times New Roman" w:eastAsiaTheme="majorEastAsia" w:hAnsi="Times New Roman" w:cs="Times New Roman"/>
          <w:b/>
          <w:bCs/>
          <w:sz w:val="24"/>
          <w:szCs w:val="26"/>
          <w:lang w:val="es-ES_tradnl" w:eastAsia="es-ES"/>
        </w:rPr>
      </w:pPr>
    </w:p>
    <w:p w14:paraId="300AA36D" w14:textId="77777777" w:rsidR="00DD1859" w:rsidRPr="00062207" w:rsidRDefault="00DD1859" w:rsidP="00DD1859">
      <w:pPr>
        <w:pStyle w:val="Prrafodelista"/>
        <w:ind w:left="0"/>
        <w:jc w:val="both"/>
        <w:rPr>
          <w:rFonts w:ascii="Times New Roman" w:eastAsiaTheme="majorEastAsia" w:hAnsi="Times New Roman" w:cs="Times New Roman"/>
          <w:b/>
          <w:bCs/>
          <w:sz w:val="24"/>
          <w:szCs w:val="26"/>
          <w:lang w:val="es-ES_tradnl" w:eastAsia="es-ES"/>
        </w:rPr>
      </w:pPr>
    </w:p>
    <w:p w14:paraId="232C49AB" w14:textId="77777777" w:rsidR="00DD1859" w:rsidRPr="00062207" w:rsidRDefault="00DD1859" w:rsidP="00DD1859">
      <w:pPr>
        <w:pStyle w:val="Prrafodelista"/>
        <w:ind w:left="0"/>
        <w:jc w:val="both"/>
        <w:rPr>
          <w:rFonts w:ascii="Times New Roman" w:eastAsiaTheme="majorEastAsia" w:hAnsi="Times New Roman" w:cs="Times New Roman"/>
          <w:b/>
          <w:bCs/>
          <w:sz w:val="24"/>
          <w:szCs w:val="26"/>
          <w:lang w:val="es-ES_tradnl" w:eastAsia="es-ES"/>
        </w:rPr>
      </w:pPr>
    </w:p>
    <w:p w14:paraId="7512DA04" w14:textId="77777777" w:rsidR="00DD1859" w:rsidRPr="00062207" w:rsidRDefault="00DD1859" w:rsidP="00DD1859">
      <w:pPr>
        <w:pStyle w:val="Prrafodelista"/>
        <w:ind w:left="0"/>
        <w:jc w:val="both"/>
        <w:rPr>
          <w:rFonts w:ascii="Times New Roman" w:eastAsiaTheme="majorEastAsia" w:hAnsi="Times New Roman" w:cs="Times New Roman"/>
          <w:b/>
          <w:bCs/>
          <w:sz w:val="24"/>
          <w:szCs w:val="26"/>
          <w:lang w:val="es-ES_tradnl" w:eastAsia="es-ES"/>
        </w:rPr>
      </w:pPr>
    </w:p>
    <w:p w14:paraId="6F42D4CB" w14:textId="77777777" w:rsidR="00DD1859" w:rsidRPr="00062207" w:rsidRDefault="00DD1859" w:rsidP="00DD1859">
      <w:pPr>
        <w:pStyle w:val="Prrafodelista"/>
        <w:ind w:left="0"/>
        <w:jc w:val="both"/>
        <w:rPr>
          <w:rFonts w:ascii="Times New Roman" w:eastAsiaTheme="majorEastAsia" w:hAnsi="Times New Roman" w:cs="Times New Roman"/>
          <w:b/>
          <w:bCs/>
          <w:sz w:val="24"/>
          <w:szCs w:val="26"/>
          <w:lang w:val="es-ES_tradnl" w:eastAsia="es-ES"/>
        </w:rPr>
      </w:pPr>
    </w:p>
    <w:p w14:paraId="71EA6DFF" w14:textId="77777777" w:rsidR="00DD1859" w:rsidRPr="00062207" w:rsidRDefault="00DD1859" w:rsidP="00DD1859">
      <w:pPr>
        <w:pStyle w:val="Prrafodelista"/>
        <w:ind w:left="0"/>
        <w:jc w:val="both"/>
        <w:rPr>
          <w:rFonts w:ascii="Times New Roman" w:eastAsiaTheme="majorEastAsia" w:hAnsi="Times New Roman" w:cs="Times New Roman"/>
          <w:b/>
          <w:bCs/>
          <w:sz w:val="24"/>
          <w:szCs w:val="26"/>
          <w:lang w:val="es-ES_tradnl" w:eastAsia="es-ES"/>
        </w:rPr>
      </w:pPr>
    </w:p>
    <w:p w14:paraId="498AD263" w14:textId="77777777" w:rsidR="00DD1859" w:rsidRPr="00062207" w:rsidRDefault="00DD1859" w:rsidP="00DD1859">
      <w:pPr>
        <w:pStyle w:val="Prrafodelista"/>
        <w:ind w:left="0"/>
        <w:jc w:val="both"/>
        <w:rPr>
          <w:rFonts w:ascii="Times New Roman" w:eastAsiaTheme="majorEastAsia" w:hAnsi="Times New Roman" w:cs="Times New Roman"/>
          <w:b/>
          <w:bCs/>
          <w:sz w:val="24"/>
          <w:szCs w:val="26"/>
          <w:lang w:val="es-ES_tradnl" w:eastAsia="es-ES"/>
        </w:rPr>
      </w:pPr>
    </w:p>
    <w:p w14:paraId="6DB5F874" w14:textId="77777777" w:rsidR="00DD1859" w:rsidRPr="00062207" w:rsidRDefault="00DD1859" w:rsidP="00DD1859">
      <w:pPr>
        <w:pStyle w:val="Prrafodelista"/>
        <w:ind w:left="0"/>
        <w:jc w:val="both"/>
        <w:rPr>
          <w:rFonts w:ascii="Times New Roman" w:eastAsiaTheme="majorEastAsia" w:hAnsi="Times New Roman" w:cs="Times New Roman"/>
          <w:b/>
          <w:bCs/>
          <w:sz w:val="24"/>
          <w:szCs w:val="26"/>
          <w:lang w:val="es-ES_tradnl" w:eastAsia="es-ES"/>
        </w:rPr>
      </w:pPr>
    </w:p>
    <w:p w14:paraId="790967D5" w14:textId="77777777" w:rsidR="00DD1859" w:rsidRPr="00062207" w:rsidRDefault="00DD1859" w:rsidP="00DD1859">
      <w:pPr>
        <w:pStyle w:val="Prrafodelista"/>
        <w:ind w:left="0"/>
        <w:jc w:val="both"/>
        <w:rPr>
          <w:rFonts w:ascii="Times New Roman" w:eastAsiaTheme="majorEastAsia" w:hAnsi="Times New Roman" w:cs="Times New Roman"/>
          <w:b/>
          <w:bCs/>
          <w:sz w:val="24"/>
          <w:szCs w:val="26"/>
          <w:lang w:val="es-ES_tradnl" w:eastAsia="es-ES"/>
        </w:rPr>
      </w:pPr>
    </w:p>
    <w:p w14:paraId="78E15395" w14:textId="77777777" w:rsidR="00DD1859" w:rsidRPr="00062207" w:rsidRDefault="00DD1859" w:rsidP="00DD1859">
      <w:pPr>
        <w:pStyle w:val="Prrafodelista"/>
        <w:ind w:left="0"/>
        <w:jc w:val="both"/>
        <w:rPr>
          <w:rFonts w:ascii="Times New Roman" w:eastAsiaTheme="majorEastAsia" w:hAnsi="Times New Roman" w:cs="Times New Roman"/>
          <w:b/>
          <w:bCs/>
          <w:sz w:val="24"/>
          <w:szCs w:val="26"/>
          <w:lang w:val="es-ES_tradnl" w:eastAsia="es-ES"/>
        </w:rPr>
      </w:pPr>
    </w:p>
    <w:p w14:paraId="7750690C" w14:textId="77777777" w:rsidR="00DD1859" w:rsidRPr="00062207" w:rsidRDefault="00DD1859" w:rsidP="00DD1859">
      <w:pPr>
        <w:pStyle w:val="Prrafodelista"/>
        <w:ind w:left="0"/>
        <w:jc w:val="both"/>
        <w:rPr>
          <w:rFonts w:ascii="Times New Roman" w:eastAsiaTheme="majorEastAsia" w:hAnsi="Times New Roman" w:cs="Times New Roman"/>
          <w:b/>
          <w:bCs/>
          <w:sz w:val="24"/>
          <w:szCs w:val="26"/>
          <w:lang w:val="es-ES_tradnl" w:eastAsia="es-ES"/>
        </w:rPr>
      </w:pPr>
    </w:p>
    <w:p w14:paraId="62DADD2E" w14:textId="77777777" w:rsidR="00DD1859" w:rsidRPr="00062207" w:rsidRDefault="00DD1859" w:rsidP="00DD1859">
      <w:pPr>
        <w:pStyle w:val="Prrafodelista"/>
        <w:ind w:left="0"/>
        <w:jc w:val="both"/>
        <w:rPr>
          <w:rFonts w:ascii="Times New Roman" w:eastAsiaTheme="majorEastAsia" w:hAnsi="Times New Roman" w:cs="Times New Roman"/>
          <w:b/>
          <w:bCs/>
          <w:sz w:val="24"/>
          <w:szCs w:val="26"/>
          <w:lang w:val="es-ES_tradnl" w:eastAsia="es-ES"/>
        </w:rPr>
      </w:pPr>
    </w:p>
    <w:p w14:paraId="0164163D" w14:textId="77777777" w:rsidR="00DD1859" w:rsidRPr="00062207" w:rsidRDefault="00DD1859" w:rsidP="00DD1859">
      <w:pPr>
        <w:pStyle w:val="Prrafodelista"/>
        <w:ind w:left="0"/>
        <w:jc w:val="both"/>
        <w:rPr>
          <w:rFonts w:ascii="Times New Roman" w:eastAsiaTheme="majorEastAsia" w:hAnsi="Times New Roman" w:cs="Times New Roman"/>
          <w:b/>
          <w:bCs/>
          <w:sz w:val="24"/>
          <w:szCs w:val="26"/>
          <w:lang w:val="es-ES_tradnl" w:eastAsia="es-ES"/>
        </w:rPr>
      </w:pPr>
    </w:p>
    <w:p w14:paraId="77B5E48B" w14:textId="77777777" w:rsidR="00DD1859" w:rsidRPr="00062207" w:rsidRDefault="00DD1859" w:rsidP="00DD1859">
      <w:pPr>
        <w:pStyle w:val="Prrafodelista"/>
        <w:ind w:left="0"/>
        <w:jc w:val="both"/>
        <w:rPr>
          <w:rFonts w:ascii="Times New Roman" w:eastAsiaTheme="majorEastAsia" w:hAnsi="Times New Roman" w:cs="Times New Roman"/>
          <w:b/>
          <w:bCs/>
          <w:sz w:val="24"/>
          <w:szCs w:val="26"/>
          <w:lang w:val="es-ES_tradnl" w:eastAsia="es-ES"/>
        </w:rPr>
      </w:pPr>
    </w:p>
    <w:p w14:paraId="180DA628" w14:textId="4D822FA4" w:rsidR="00DD1859" w:rsidRPr="00062207" w:rsidRDefault="00DD1859" w:rsidP="00DD1859">
      <w:pPr>
        <w:pStyle w:val="Prrafodelista"/>
        <w:ind w:left="0"/>
        <w:jc w:val="both"/>
        <w:rPr>
          <w:rFonts w:ascii="Times New Roman" w:eastAsiaTheme="majorEastAsia" w:hAnsi="Times New Roman" w:cs="Times New Roman"/>
          <w:b/>
          <w:bCs/>
          <w:sz w:val="24"/>
          <w:szCs w:val="26"/>
          <w:lang w:val="es-ES_tradnl" w:eastAsia="es-ES"/>
        </w:rPr>
      </w:pPr>
    </w:p>
    <w:p w14:paraId="166A80B8" w14:textId="77777777" w:rsidR="00257574" w:rsidRPr="00062207" w:rsidRDefault="00257574" w:rsidP="00DD1859">
      <w:pPr>
        <w:pStyle w:val="Prrafodelista"/>
        <w:ind w:left="0"/>
        <w:jc w:val="both"/>
        <w:rPr>
          <w:rFonts w:ascii="Times New Roman" w:eastAsiaTheme="majorEastAsia" w:hAnsi="Times New Roman" w:cs="Times New Roman"/>
          <w:b/>
          <w:bCs/>
          <w:sz w:val="24"/>
          <w:szCs w:val="26"/>
          <w:lang w:val="es-ES_tradnl" w:eastAsia="es-ES"/>
        </w:rPr>
      </w:pPr>
    </w:p>
    <w:bookmarkEnd w:id="0"/>
    <w:bookmarkEnd w:id="1"/>
    <w:p w14:paraId="796DD4C4" w14:textId="359D3F12" w:rsidR="00884123" w:rsidRPr="00062207" w:rsidRDefault="00884123" w:rsidP="00D43598">
      <w:pPr>
        <w:rPr>
          <w:rFonts w:ascii="Times New Roman" w:hAnsi="Times New Roman" w:cs="Times New Roman"/>
          <w:lang w:val="es-MX"/>
        </w:rPr>
      </w:pPr>
    </w:p>
    <w:p w14:paraId="6C895932" w14:textId="77777777" w:rsidR="00532772" w:rsidRPr="00062207" w:rsidRDefault="00532772" w:rsidP="00D43598">
      <w:pPr>
        <w:rPr>
          <w:rFonts w:ascii="Times New Roman" w:hAnsi="Times New Roman" w:cs="Times New Roman"/>
          <w:lang w:val="es-MX"/>
        </w:rPr>
      </w:pPr>
    </w:p>
    <w:p w14:paraId="477C7FFE" w14:textId="77777777" w:rsidR="00DB2D0A" w:rsidRPr="00062207" w:rsidRDefault="00DB2D0A" w:rsidP="00DB2D0A">
      <w:pPr>
        <w:pStyle w:val="Prrafodelista"/>
        <w:numPr>
          <w:ilvl w:val="0"/>
          <w:numId w:val="11"/>
        </w:numPr>
        <w:ind w:left="284" w:hanging="284"/>
        <w:jc w:val="both"/>
        <w:outlineLvl w:val="0"/>
        <w:rPr>
          <w:rFonts w:ascii="Times New Roman" w:eastAsiaTheme="majorEastAsia" w:hAnsi="Times New Roman" w:cs="Times New Roman"/>
          <w:b/>
          <w:bCs/>
          <w:sz w:val="26"/>
          <w:szCs w:val="26"/>
          <w:lang w:val="es-ES_tradnl" w:eastAsia="es-ES"/>
        </w:rPr>
      </w:pPr>
      <w:bookmarkStart w:id="4" w:name="_Toc64025418"/>
      <w:bookmarkStart w:id="5" w:name="_Toc94259618"/>
      <w:bookmarkStart w:id="6" w:name="_Toc62724275"/>
      <w:r w:rsidRPr="00062207">
        <w:rPr>
          <w:rFonts w:ascii="Times New Roman" w:eastAsiaTheme="majorEastAsia" w:hAnsi="Times New Roman" w:cs="Times New Roman"/>
          <w:b/>
          <w:bCs/>
          <w:sz w:val="26"/>
          <w:szCs w:val="26"/>
          <w:lang w:val="es-ES_tradnl" w:eastAsia="es-ES"/>
        </w:rPr>
        <w:lastRenderedPageBreak/>
        <w:t>Ingresos Fiscales</w:t>
      </w:r>
      <w:bookmarkEnd w:id="4"/>
      <w:bookmarkEnd w:id="5"/>
    </w:p>
    <w:p w14:paraId="0E4709D2" w14:textId="77777777" w:rsidR="00DB2D0A" w:rsidRPr="00062207" w:rsidRDefault="00DB2D0A" w:rsidP="00DB2D0A">
      <w:pPr>
        <w:pStyle w:val="Prrafodelista"/>
        <w:ind w:left="709"/>
        <w:jc w:val="both"/>
        <w:rPr>
          <w:rFonts w:ascii="Times New Roman" w:eastAsiaTheme="majorEastAsia" w:hAnsi="Times New Roman" w:cs="Times New Roman"/>
          <w:b/>
          <w:bCs/>
          <w:szCs w:val="26"/>
          <w:lang w:val="es-ES_tradnl" w:eastAsia="es-ES"/>
        </w:rPr>
      </w:pPr>
      <w:r w:rsidRPr="00062207">
        <w:rPr>
          <w:rFonts w:ascii="Times New Roman" w:eastAsiaTheme="majorEastAsia" w:hAnsi="Times New Roman" w:cs="Times New Roman"/>
          <w:b/>
          <w:bCs/>
          <w:sz w:val="24"/>
          <w:szCs w:val="26"/>
          <w:lang w:val="es-ES_tradnl" w:eastAsia="es-ES"/>
        </w:rPr>
        <w:t xml:space="preserve"> </w:t>
      </w:r>
    </w:p>
    <w:p w14:paraId="565068E5" w14:textId="77777777" w:rsidR="00DB2D0A" w:rsidRPr="00062207" w:rsidRDefault="00DB2D0A" w:rsidP="00DB2D0A">
      <w:pPr>
        <w:pStyle w:val="Prrafodelista"/>
        <w:keepNext/>
        <w:keepLines/>
        <w:numPr>
          <w:ilvl w:val="0"/>
          <w:numId w:val="12"/>
        </w:numPr>
        <w:spacing w:before="200"/>
        <w:contextualSpacing w:val="0"/>
        <w:outlineLvl w:val="1"/>
        <w:rPr>
          <w:rFonts w:ascii="Times New Roman" w:eastAsiaTheme="majorEastAsia" w:hAnsi="Times New Roman" w:cs="Times New Roman"/>
          <w:b/>
          <w:bCs/>
          <w:vanish/>
          <w:sz w:val="24"/>
          <w:szCs w:val="26"/>
          <w:lang w:val="es-ES_tradnl" w:eastAsia="es-ES"/>
        </w:rPr>
      </w:pPr>
      <w:bookmarkStart w:id="7" w:name="_Toc471986924"/>
      <w:bookmarkStart w:id="8" w:name="_Toc471987059"/>
      <w:bookmarkStart w:id="9" w:name="_Toc471987107"/>
      <w:bookmarkStart w:id="10" w:name="_Toc471987129"/>
      <w:bookmarkStart w:id="11" w:name="_Toc472082158"/>
      <w:bookmarkStart w:id="12" w:name="_Toc472082190"/>
      <w:bookmarkStart w:id="13" w:name="_Toc472089905"/>
      <w:bookmarkStart w:id="14" w:name="_Toc472089928"/>
      <w:bookmarkStart w:id="15" w:name="_Toc505346056"/>
      <w:bookmarkStart w:id="16" w:name="_Toc505349869"/>
      <w:bookmarkStart w:id="17" w:name="_Toc534985827"/>
      <w:bookmarkStart w:id="18" w:name="_Toc534988220"/>
      <w:bookmarkStart w:id="19" w:name="_Toc31611540"/>
      <w:bookmarkStart w:id="20" w:name="_Toc31612756"/>
      <w:bookmarkStart w:id="21" w:name="_Toc31612788"/>
      <w:bookmarkStart w:id="22" w:name="_Toc31614814"/>
      <w:bookmarkStart w:id="23" w:name="_Toc31614846"/>
      <w:bookmarkStart w:id="24" w:name="_Toc31618683"/>
      <w:bookmarkStart w:id="25" w:name="_Toc31618716"/>
      <w:bookmarkStart w:id="26" w:name="_Toc31624492"/>
      <w:bookmarkStart w:id="27" w:name="_Toc62724040"/>
      <w:bookmarkStart w:id="28" w:name="_Toc62724103"/>
      <w:bookmarkStart w:id="29" w:name="_Toc62724187"/>
      <w:bookmarkStart w:id="30" w:name="_Toc62724261"/>
      <w:bookmarkStart w:id="31" w:name="_Toc64025419"/>
      <w:bookmarkStart w:id="32" w:name="_Toc94250333"/>
      <w:bookmarkStart w:id="33" w:name="_Toc94250401"/>
      <w:bookmarkStart w:id="34" w:name="_Toc94251041"/>
      <w:bookmarkStart w:id="35" w:name="_Toc94257703"/>
      <w:bookmarkStart w:id="36" w:name="_Toc94259619"/>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p>
    <w:p w14:paraId="65D50E74" w14:textId="39E2E602" w:rsidR="00DB2D0A" w:rsidRPr="00062207" w:rsidRDefault="0061510B" w:rsidP="00C864CF">
      <w:pPr>
        <w:pStyle w:val="Ttulo2"/>
        <w:numPr>
          <w:ilvl w:val="1"/>
          <w:numId w:val="12"/>
        </w:numPr>
        <w:spacing w:before="0"/>
        <w:ind w:left="567" w:hanging="283"/>
        <w:rPr>
          <w:rFonts w:ascii="Times New Roman" w:hAnsi="Times New Roman" w:cs="Times New Roman"/>
          <w:color w:val="auto"/>
          <w:sz w:val="22"/>
        </w:rPr>
      </w:pPr>
      <w:bookmarkStart w:id="37" w:name="_Toc471987131"/>
      <w:bookmarkStart w:id="38" w:name="_Toc64025420"/>
      <w:r w:rsidRPr="00062207">
        <w:rPr>
          <w:rFonts w:ascii="Times New Roman" w:hAnsi="Times New Roman" w:cs="Times New Roman"/>
          <w:color w:val="auto"/>
          <w:sz w:val="22"/>
        </w:rPr>
        <w:t xml:space="preserve"> </w:t>
      </w:r>
      <w:bookmarkStart w:id="39" w:name="_Toc94259620"/>
      <w:r w:rsidR="00DB2D0A" w:rsidRPr="00062207">
        <w:rPr>
          <w:rFonts w:ascii="Times New Roman" w:hAnsi="Times New Roman" w:cs="Times New Roman"/>
          <w:color w:val="auto"/>
          <w:sz w:val="22"/>
        </w:rPr>
        <w:t>Recaudación tributaria inicia</w:t>
      </w:r>
      <w:bookmarkEnd w:id="37"/>
      <w:r w:rsidR="00DB2D0A" w:rsidRPr="00062207">
        <w:rPr>
          <w:rFonts w:ascii="Times New Roman" w:hAnsi="Times New Roman" w:cs="Times New Roman"/>
          <w:color w:val="auto"/>
          <w:sz w:val="22"/>
        </w:rPr>
        <w:t xml:space="preserve"> con buen dinamismo</w:t>
      </w:r>
      <w:bookmarkEnd w:id="38"/>
      <w:bookmarkEnd w:id="39"/>
    </w:p>
    <w:p w14:paraId="39985C3F" w14:textId="77777777" w:rsidR="00DB2D0A" w:rsidRPr="00062207" w:rsidRDefault="00DB2D0A" w:rsidP="00DB2D0A">
      <w:pPr>
        <w:jc w:val="both"/>
        <w:rPr>
          <w:rFonts w:ascii="Times New Roman" w:hAnsi="Times New Roman" w:cs="Times New Roman"/>
          <w:b/>
          <w:sz w:val="22"/>
          <w:lang w:val="es-MX"/>
        </w:rPr>
      </w:pPr>
    </w:p>
    <w:p w14:paraId="59BCC57E" w14:textId="77777777" w:rsidR="00062207" w:rsidRPr="00062207" w:rsidRDefault="00062207" w:rsidP="00062207">
      <w:pPr>
        <w:jc w:val="both"/>
        <w:rPr>
          <w:rFonts w:ascii="Times New Roman" w:hAnsi="Times New Roman" w:cs="Times New Roman"/>
          <w:sz w:val="22"/>
          <w:szCs w:val="22"/>
        </w:rPr>
      </w:pPr>
      <w:r w:rsidRPr="00062207">
        <w:rPr>
          <w:rFonts w:ascii="Times New Roman" w:hAnsi="Times New Roman" w:cs="Times New Roman"/>
          <w:sz w:val="22"/>
          <w:szCs w:val="22"/>
        </w:rPr>
        <w:t xml:space="preserve">Luego de declarada la pandemia en 2020 y la apertura gradual de la economía nacional a partir de agosto de dicho año, el ejercicio fiscal 2021 se enmarca como un año de recuperación y con cambios importantes en materia de recaudación tributaria.  Un escenario macroeconómico proporcionado por el Banco de Guatemala el 9 diciembre de 2020, enmarcaba mayor dinámica para 2021, un crecimiento de la economía en torno a 3.5% ± 1%, PIB nominal de 6.2% ± 1% y un crecimiento en las importaciones de 9.5% ± 1.5%. </w:t>
      </w:r>
    </w:p>
    <w:p w14:paraId="39F156BA" w14:textId="77777777" w:rsidR="00062207" w:rsidRPr="00062207" w:rsidRDefault="00062207" w:rsidP="00062207">
      <w:pPr>
        <w:jc w:val="both"/>
        <w:rPr>
          <w:rFonts w:ascii="Times New Roman" w:hAnsi="Times New Roman" w:cs="Times New Roman"/>
          <w:sz w:val="22"/>
          <w:szCs w:val="22"/>
        </w:rPr>
      </w:pPr>
    </w:p>
    <w:p w14:paraId="7A99033F" w14:textId="77777777" w:rsidR="00062207" w:rsidRPr="00062207" w:rsidRDefault="00062207" w:rsidP="00062207">
      <w:pPr>
        <w:jc w:val="both"/>
        <w:rPr>
          <w:rFonts w:ascii="Times New Roman" w:hAnsi="Times New Roman" w:cs="Times New Roman"/>
          <w:sz w:val="22"/>
          <w:szCs w:val="22"/>
        </w:rPr>
      </w:pPr>
      <w:r w:rsidRPr="00062207">
        <w:rPr>
          <w:rFonts w:ascii="Times New Roman" w:hAnsi="Times New Roman" w:cs="Times New Roman"/>
          <w:sz w:val="22"/>
          <w:szCs w:val="22"/>
        </w:rPr>
        <w:t>La recaudación tributaria del primer trimestre de 2021 marcó una brecha positiva de Q3,377.7 millones respecto a lo observado en 2020 (23.3%), aunque vale indicar que en marzo de ese año cobró vigencia la Resolución SAT 280-2020 la cual declaró días inhábiles del 24 de marzo al 14 de abril inclusive y fijó el 15 de abril para realizar la liquidación anual del impuesto sobre la renta y el vencimiento mensual del IVA asociado al consumo interno, con lo cual hay un desfase intertemporal en la comparabilidad.  El resultado de esta resolución fue el traslado de Q1,383.6 millones de recaudación de marzo para abril, por lo que, al hacer el ajuste a la recaudación, la brecha sigue siendo positiva, pero, en un nivel de Q1,994.1 millones (12.6%).  En este primer trimestre se observaron eventos importantes tales como la liquidación anual del Impuesto Sobre la Renta y el segundo pago trimestral del Impuesto de Solidaridad los cuales en conjunto superaron la meta establecida en presupuesto por Q508.1 millones, aunado a ello también se observa una mejora en la recaudación tributaria asociada al comercio exterior por Q358.4 millones y una brecha positiva de Q90 millones en el Impuesto al Valor Agregado asociado al consumo interno.</w:t>
      </w:r>
    </w:p>
    <w:p w14:paraId="5B1E7462" w14:textId="77777777" w:rsidR="00062207" w:rsidRPr="00062207" w:rsidRDefault="00062207" w:rsidP="00062207">
      <w:pPr>
        <w:jc w:val="both"/>
        <w:rPr>
          <w:rFonts w:ascii="Times New Roman" w:hAnsi="Times New Roman" w:cs="Times New Roman"/>
          <w:sz w:val="22"/>
          <w:szCs w:val="22"/>
        </w:rPr>
      </w:pPr>
    </w:p>
    <w:p w14:paraId="40675D59" w14:textId="1F75A556" w:rsidR="009D6295" w:rsidRPr="00062207" w:rsidRDefault="00062207" w:rsidP="00062207">
      <w:pPr>
        <w:jc w:val="both"/>
        <w:rPr>
          <w:rFonts w:ascii="Times New Roman" w:hAnsi="Times New Roman" w:cs="Times New Roman"/>
          <w:sz w:val="22"/>
          <w:szCs w:val="22"/>
        </w:rPr>
      </w:pPr>
      <w:r w:rsidRPr="00062207">
        <w:rPr>
          <w:rFonts w:ascii="Times New Roman" w:hAnsi="Times New Roman" w:cs="Times New Roman"/>
          <w:sz w:val="22"/>
          <w:szCs w:val="22"/>
        </w:rPr>
        <w:t>Para abril 2021, el Banco de Guatemala estimó un cambio en las variables macroeconómicas respecto a lo observado en diciembre de 2020 y ahora las expectativas son: un crecimiento de la economía en torno a 4% ± 1%, PIB nominal de 7.2% ± 1% y un crecimiento en las importaciones de 11% ± 1.5%.  Con este nuevo entorno macroeconómico la recaudación alcanzó Q36,019.3 millones en el segundo trimestre, monto superior en Q 7,554.2 millones respecto a lo recaudado en el mismo periodo del año anterior; lo que fue equivalente a un aumento de 26.5%. Dicho aumento está influenciado por la recuperación en impuestos como el de Sobre la Renta, el de Solidaridad, el Impuesto al Valor Agregado, los Derechos Arancelarios a la Importación, Derivados del Petróleo, entre otros, y principalmente por los efectos provocados por la pandemia COVID-19 en el año 2020, que mantuvieron la economía cerrada.</w:t>
      </w:r>
    </w:p>
    <w:p w14:paraId="7F5494C0" w14:textId="77777777" w:rsidR="00062207" w:rsidRPr="00062207" w:rsidRDefault="00062207" w:rsidP="00062207">
      <w:pPr>
        <w:jc w:val="both"/>
        <w:rPr>
          <w:rFonts w:ascii="Times New Roman" w:hAnsi="Times New Roman" w:cs="Times New Roman"/>
          <w:sz w:val="22"/>
          <w:szCs w:val="22"/>
        </w:rPr>
      </w:pPr>
    </w:p>
    <w:p w14:paraId="53D4D15D" w14:textId="6D859483" w:rsidR="00DB2D0A" w:rsidRPr="00062207" w:rsidRDefault="00DB2D0A" w:rsidP="00DB2D0A">
      <w:pPr>
        <w:jc w:val="center"/>
        <w:rPr>
          <w:rFonts w:ascii="Times New Roman" w:hAnsi="Times New Roman" w:cs="Times New Roman"/>
          <w:b/>
          <w:bCs/>
        </w:rPr>
      </w:pPr>
      <w:r w:rsidRPr="00062207">
        <w:rPr>
          <w:rFonts w:ascii="Times New Roman" w:hAnsi="Times New Roman" w:cs="Times New Roman"/>
          <w:b/>
          <w:bCs/>
        </w:rPr>
        <w:t>Recaudación Tributaria Acumulada al 30 de junio</w:t>
      </w:r>
    </w:p>
    <w:p w14:paraId="2670CDA1" w14:textId="77777777" w:rsidR="00DB2D0A" w:rsidRPr="00062207" w:rsidRDefault="00DB2D0A" w:rsidP="00DB2D0A">
      <w:pPr>
        <w:jc w:val="center"/>
        <w:rPr>
          <w:rFonts w:ascii="Times New Roman" w:hAnsi="Times New Roman" w:cs="Times New Roman"/>
          <w:bCs/>
          <w:sz w:val="22"/>
        </w:rPr>
      </w:pPr>
      <w:r w:rsidRPr="00062207">
        <w:rPr>
          <w:rFonts w:ascii="Times New Roman" w:hAnsi="Times New Roman" w:cs="Times New Roman"/>
          <w:bCs/>
          <w:sz w:val="22"/>
        </w:rPr>
        <w:t>Millones de quetzales</w:t>
      </w:r>
    </w:p>
    <w:p w14:paraId="508D6218" w14:textId="77777777" w:rsidR="00DB2D0A" w:rsidRPr="00062207" w:rsidRDefault="00DB2D0A" w:rsidP="00DB2D0A">
      <w:pPr>
        <w:jc w:val="center"/>
        <w:rPr>
          <w:rFonts w:ascii="Times New Roman" w:hAnsi="Times New Roman" w:cs="Times New Roman"/>
        </w:rPr>
      </w:pPr>
      <w:r w:rsidRPr="00062207">
        <w:rPr>
          <w:b/>
          <w:noProof/>
          <w:sz w:val="20"/>
          <w:lang w:val="es-GT" w:eastAsia="es-GT"/>
        </w:rPr>
        <w:drawing>
          <wp:inline distT="0" distB="0" distL="0" distR="0" wp14:anchorId="029EB35C" wp14:editId="41D6A8A2">
            <wp:extent cx="4763135" cy="2355494"/>
            <wp:effectExtent l="0" t="0" r="0" b="6985"/>
            <wp:docPr id="75" name="Gráfico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69BB0A27" w14:textId="60FF82AF" w:rsidR="00515C74" w:rsidRPr="00062207" w:rsidRDefault="00DB2D0A" w:rsidP="009D6295">
      <w:pPr>
        <w:ind w:left="1416" w:firstLine="708"/>
        <w:jc w:val="both"/>
        <w:rPr>
          <w:rFonts w:ascii="Times New Roman" w:hAnsi="Times New Roman" w:cs="Times New Roman"/>
          <w:sz w:val="18"/>
          <w:szCs w:val="20"/>
        </w:rPr>
      </w:pPr>
      <w:r w:rsidRPr="00062207">
        <w:rPr>
          <w:rFonts w:ascii="Times New Roman" w:hAnsi="Times New Roman" w:cs="Times New Roman"/>
          <w:sz w:val="18"/>
          <w:szCs w:val="20"/>
        </w:rPr>
        <w:t>Fuente: Ministerio de Finanzas Públicas</w:t>
      </w:r>
      <w:r w:rsidR="006D725A" w:rsidRPr="00062207">
        <w:rPr>
          <w:rFonts w:ascii="Times New Roman" w:hAnsi="Times New Roman" w:cs="Times New Roman"/>
          <w:sz w:val="18"/>
          <w:szCs w:val="20"/>
        </w:rPr>
        <w:t>.</w:t>
      </w:r>
    </w:p>
    <w:p w14:paraId="452AB8CC" w14:textId="77777777" w:rsidR="00062207" w:rsidRPr="00062207" w:rsidRDefault="00062207" w:rsidP="00062207">
      <w:pPr>
        <w:jc w:val="both"/>
        <w:rPr>
          <w:rFonts w:ascii="Times New Roman" w:hAnsi="Times New Roman" w:cs="Times New Roman"/>
          <w:noProof/>
          <w:sz w:val="22"/>
          <w:szCs w:val="22"/>
          <w:lang w:eastAsia="es-GT"/>
        </w:rPr>
      </w:pPr>
      <w:r w:rsidRPr="00062207">
        <w:rPr>
          <w:rFonts w:ascii="Times New Roman" w:hAnsi="Times New Roman" w:cs="Times New Roman"/>
          <w:noProof/>
          <w:sz w:val="22"/>
          <w:szCs w:val="22"/>
          <w:lang w:eastAsia="es-GT"/>
        </w:rPr>
        <w:lastRenderedPageBreak/>
        <w:t>La Superintendencia de Administración Tributaria, en 2021 implementó una serie de acciones para aumentar la recaudación tributaria.  A través de la Intendencia de Recaudación aumentó el número de contribuyentes inscritos al RTU (afiliaciones al IVA e ISR), aumentó numero de emisores de documentos tributarios electrónicos, recuperaciones por cumplimiento de control tributario, mejoras al sistema de facilidades de pago entre otras.  En el ramo de aduanas también se realizaron acciones en pro de la recaudación para combatir la defraudación y contrabando mediante la realización de ajustes a través de rectificaciones, ajustes por conceptos de medidas administrativas, medidas de control en materia de riesgo, mejoras en tiempos de despacho y gestión, mayor simplificación y automatización en la transmisión de declaraciones y controles aduaneros y el establecimiento de puestos de control interinstitucional, entre otras medidas.</w:t>
      </w:r>
    </w:p>
    <w:p w14:paraId="1300448D" w14:textId="77777777" w:rsidR="00062207" w:rsidRPr="00062207" w:rsidRDefault="00062207" w:rsidP="00062207">
      <w:pPr>
        <w:jc w:val="both"/>
        <w:rPr>
          <w:rFonts w:ascii="Times New Roman" w:hAnsi="Times New Roman" w:cs="Times New Roman"/>
          <w:noProof/>
          <w:sz w:val="22"/>
          <w:szCs w:val="22"/>
          <w:lang w:eastAsia="es-GT"/>
        </w:rPr>
      </w:pPr>
    </w:p>
    <w:p w14:paraId="0C5291EB" w14:textId="77777777" w:rsidR="00062207" w:rsidRPr="00062207" w:rsidRDefault="00062207" w:rsidP="00062207">
      <w:pPr>
        <w:jc w:val="both"/>
        <w:rPr>
          <w:rFonts w:ascii="Times New Roman" w:hAnsi="Times New Roman" w:cs="Times New Roman"/>
          <w:noProof/>
          <w:sz w:val="22"/>
          <w:szCs w:val="22"/>
          <w:lang w:eastAsia="es-GT"/>
        </w:rPr>
      </w:pPr>
      <w:r w:rsidRPr="00062207">
        <w:rPr>
          <w:rFonts w:ascii="Times New Roman" w:hAnsi="Times New Roman" w:cs="Times New Roman"/>
          <w:noProof/>
          <w:sz w:val="22"/>
          <w:szCs w:val="22"/>
          <w:lang w:eastAsia="es-GT"/>
        </w:rPr>
        <w:t>Otros factores que influyen en el crecimiento interanual de 26.5% en la recaudación tributaria neta  se explican por el buen desempeño del Impuesto Sobre la Renta y el IVA total, sobresaliendo en esta comparación la recuperación de la recaudación asociada al comercio internacional la cual creció en 41.2% (Q3,085.4 millones), de los cuales el IVA de Importaciones supera lo observado a junio de 2020 en Q2,628.8 millones y los Derechos Arancelarios en Q456.7 millones, estos crecimientos se explican en gran medida a la contracción que se observó en 2020 producto de las medidas de confinamiento y cierres que realizaron los socios comerciales de Guatemala en prevención de contagios y a los efectos del precio internacional del petróleo que pasó de US38.31 dólares por barril en junio 2020 a US71.35 dólares por barril a junio de 2021. Según el Banco de Guatemala, a este mes se observa que el valor de las importaciones de combustibles y lubricantes creció en 67.2%, el volumen en 10.6% y 51.2% el precio, y las importaciones gravadas totales crecen en 37.8%, en 2020 se observó una caída de 9.5%.</w:t>
      </w:r>
    </w:p>
    <w:p w14:paraId="56B49CCB" w14:textId="77777777" w:rsidR="00062207" w:rsidRPr="00062207" w:rsidRDefault="00062207" w:rsidP="00062207">
      <w:pPr>
        <w:jc w:val="both"/>
        <w:rPr>
          <w:rFonts w:ascii="Times New Roman" w:hAnsi="Times New Roman" w:cs="Times New Roman"/>
          <w:noProof/>
          <w:sz w:val="22"/>
          <w:szCs w:val="22"/>
          <w:lang w:eastAsia="es-GT"/>
        </w:rPr>
      </w:pPr>
    </w:p>
    <w:p w14:paraId="41449FC9" w14:textId="69EFE8F7" w:rsidR="00DB2D0A" w:rsidRPr="00062207" w:rsidRDefault="00062207" w:rsidP="00062207">
      <w:pPr>
        <w:jc w:val="both"/>
        <w:rPr>
          <w:rFonts w:ascii="Times New Roman" w:hAnsi="Times New Roman" w:cs="Times New Roman"/>
          <w:sz w:val="22"/>
          <w:szCs w:val="22"/>
        </w:rPr>
      </w:pPr>
      <w:r w:rsidRPr="00062207">
        <w:rPr>
          <w:rFonts w:ascii="Times New Roman" w:hAnsi="Times New Roman" w:cs="Times New Roman"/>
          <w:noProof/>
          <w:sz w:val="22"/>
          <w:szCs w:val="22"/>
          <w:lang w:eastAsia="es-GT"/>
        </w:rPr>
        <w:t>A junio</w:t>
      </w:r>
      <w:r w:rsidRPr="00062207">
        <w:rPr>
          <w:rFonts w:ascii="Times New Roman" w:hAnsi="Times New Roman" w:cs="Times New Roman"/>
          <w:sz w:val="22"/>
          <w:szCs w:val="22"/>
        </w:rPr>
        <w:t xml:space="preserve"> la brecha fiscal respecto a presupuesto fue positiva en Q5,348.8 millones, el IVA asociado a las importaciones superó la meta en Q 1,591.2 millones, este resultado puede estar explicado por el valor de las importaciones gravadas que, a junio crecieron en 37.8% en gran medida debido al precio de combustibles.  La recaudación tributaria en las aduanas que más aportan a la recaudación asociada al comercio exterior vieron resultados positivos, a junio el Puerto Quetzal (aporta el 37.6%) creció 50.3%, Express Aéreo (aporta el 15.4%) creció en 29.7%, Santo Tomás (aporta el 13%) creció en 32.9%, todas medidas respecto a 2020.  A los resultados anteriores hay que agregar el movimiento de contenedores en la Empresa Portuaria Quetzal -EPQ- y la Terminal de Contenedores Quetzal -TCQ- el cual a junio muestra un crecimiento de 32.6%, este resultado nos indica que en 2021 se movieron 12,214 contenedores más que los reportados en junio de 2020, este resultado positivo afecta de manera directa a la recaudación tributaria.</w:t>
      </w:r>
    </w:p>
    <w:tbl>
      <w:tblPr>
        <w:tblStyle w:val="Tablaconcuadrcula"/>
        <w:tblpPr w:leftFromText="141" w:rightFromText="141" w:vertAnchor="text" w:horzAnchor="margin" w:tblpXSpec="center" w:tblpY="254"/>
        <w:tblW w:w="94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85"/>
        <w:gridCol w:w="4948"/>
      </w:tblGrid>
      <w:tr w:rsidR="00062207" w:rsidRPr="00062207" w14:paraId="7E4FEE63" w14:textId="77777777" w:rsidTr="0061510B">
        <w:trPr>
          <w:trHeight w:val="947"/>
        </w:trPr>
        <w:tc>
          <w:tcPr>
            <w:tcW w:w="4485" w:type="dxa"/>
          </w:tcPr>
          <w:p w14:paraId="00B2ABAE" w14:textId="77777777" w:rsidR="00DB2D0A" w:rsidRPr="00062207" w:rsidRDefault="00DB2D0A" w:rsidP="00A963D6">
            <w:pPr>
              <w:jc w:val="center"/>
              <w:rPr>
                <w:rFonts w:ascii="Times New Roman" w:hAnsi="Times New Roman" w:cs="Times New Roman"/>
                <w:b/>
                <w:bCs/>
                <w:sz w:val="22"/>
                <w:szCs w:val="22"/>
              </w:rPr>
            </w:pPr>
            <w:r w:rsidRPr="00062207">
              <w:rPr>
                <w:rFonts w:ascii="Times New Roman" w:hAnsi="Times New Roman" w:cs="Times New Roman"/>
                <w:b/>
                <w:bCs/>
                <w:sz w:val="22"/>
                <w:szCs w:val="22"/>
              </w:rPr>
              <w:t>Importaciones Gravadas y Movimiento de Contenedores</w:t>
            </w:r>
          </w:p>
          <w:p w14:paraId="6170D487" w14:textId="77777777" w:rsidR="00DB2D0A" w:rsidRPr="00062207" w:rsidRDefault="00DB2D0A" w:rsidP="00A963D6">
            <w:pPr>
              <w:jc w:val="center"/>
              <w:rPr>
                <w:rFonts w:ascii="Times New Roman" w:hAnsi="Times New Roman" w:cs="Times New Roman"/>
                <w:b/>
                <w:bCs/>
                <w:sz w:val="22"/>
                <w:szCs w:val="22"/>
              </w:rPr>
            </w:pPr>
            <w:r w:rsidRPr="00062207">
              <w:rPr>
                <w:rFonts w:ascii="Times New Roman" w:hAnsi="Times New Roman" w:cs="Times New Roman"/>
                <w:b/>
                <w:bCs/>
                <w:sz w:val="22"/>
                <w:szCs w:val="22"/>
              </w:rPr>
              <w:t>Enero – junio 2021</w:t>
            </w:r>
          </w:p>
          <w:p w14:paraId="4096203A" w14:textId="77777777" w:rsidR="00DB2D0A" w:rsidRPr="00062207" w:rsidRDefault="00DB2D0A" w:rsidP="00A963D6">
            <w:pPr>
              <w:jc w:val="center"/>
              <w:rPr>
                <w:rFonts w:ascii="Times New Roman" w:hAnsi="Times New Roman" w:cs="Times New Roman"/>
                <w:sz w:val="22"/>
                <w:szCs w:val="22"/>
              </w:rPr>
            </w:pPr>
            <w:r w:rsidRPr="00062207">
              <w:rPr>
                <w:rFonts w:ascii="Times New Roman" w:hAnsi="Times New Roman" w:cs="Times New Roman"/>
                <w:bCs/>
                <w:sz w:val="20"/>
                <w:szCs w:val="22"/>
              </w:rPr>
              <w:t>Variación interanual</w:t>
            </w:r>
          </w:p>
        </w:tc>
        <w:tc>
          <w:tcPr>
            <w:tcW w:w="4948" w:type="dxa"/>
          </w:tcPr>
          <w:p w14:paraId="5A5F2690" w14:textId="77777777" w:rsidR="00DB2D0A" w:rsidRPr="00062207" w:rsidRDefault="00DB2D0A" w:rsidP="00A963D6">
            <w:pPr>
              <w:jc w:val="center"/>
              <w:rPr>
                <w:rFonts w:ascii="Times New Roman" w:hAnsi="Times New Roman" w:cs="Times New Roman"/>
                <w:b/>
                <w:bCs/>
                <w:sz w:val="22"/>
                <w:szCs w:val="22"/>
              </w:rPr>
            </w:pPr>
            <w:r w:rsidRPr="00062207">
              <w:rPr>
                <w:rFonts w:ascii="Times New Roman" w:hAnsi="Times New Roman" w:cs="Times New Roman"/>
                <w:b/>
                <w:bCs/>
                <w:sz w:val="22"/>
                <w:szCs w:val="22"/>
              </w:rPr>
              <w:t>Brechas de Recaudación Tributaria acumulada</w:t>
            </w:r>
          </w:p>
          <w:p w14:paraId="0F5745D2" w14:textId="77777777" w:rsidR="00DB2D0A" w:rsidRPr="00062207" w:rsidRDefault="00DB2D0A" w:rsidP="00A963D6">
            <w:pPr>
              <w:jc w:val="center"/>
              <w:rPr>
                <w:rFonts w:ascii="Times New Roman" w:hAnsi="Times New Roman" w:cs="Times New Roman"/>
                <w:b/>
                <w:bCs/>
                <w:sz w:val="22"/>
                <w:szCs w:val="22"/>
              </w:rPr>
            </w:pPr>
            <w:r w:rsidRPr="00062207">
              <w:rPr>
                <w:rFonts w:ascii="Times New Roman" w:hAnsi="Times New Roman" w:cs="Times New Roman"/>
                <w:b/>
                <w:bCs/>
                <w:sz w:val="22"/>
                <w:szCs w:val="22"/>
              </w:rPr>
              <w:t>Enero – junio 2021</w:t>
            </w:r>
          </w:p>
          <w:p w14:paraId="221E4529" w14:textId="77777777" w:rsidR="00DB2D0A" w:rsidRPr="00062207" w:rsidRDefault="00DB2D0A" w:rsidP="00A963D6">
            <w:pPr>
              <w:jc w:val="center"/>
              <w:rPr>
                <w:rFonts w:ascii="Times New Roman" w:hAnsi="Times New Roman" w:cs="Times New Roman"/>
                <w:bCs/>
                <w:sz w:val="22"/>
                <w:szCs w:val="22"/>
              </w:rPr>
            </w:pPr>
            <w:r w:rsidRPr="00062207">
              <w:rPr>
                <w:rFonts w:ascii="Times New Roman" w:hAnsi="Times New Roman" w:cs="Times New Roman"/>
                <w:bCs/>
                <w:sz w:val="20"/>
                <w:szCs w:val="22"/>
              </w:rPr>
              <w:t>En millones de quetzales</w:t>
            </w:r>
          </w:p>
        </w:tc>
      </w:tr>
      <w:tr w:rsidR="00062207" w:rsidRPr="00062207" w14:paraId="6657DFE9" w14:textId="77777777" w:rsidTr="0061510B">
        <w:trPr>
          <w:trHeight w:val="3086"/>
        </w:trPr>
        <w:tc>
          <w:tcPr>
            <w:tcW w:w="4485" w:type="dxa"/>
          </w:tcPr>
          <w:p w14:paraId="5B794A84" w14:textId="77777777" w:rsidR="00DB2D0A" w:rsidRPr="00062207" w:rsidRDefault="00DB2D0A" w:rsidP="00A963D6">
            <w:pPr>
              <w:jc w:val="both"/>
              <w:rPr>
                <w:rFonts w:ascii="Times New Roman" w:hAnsi="Times New Roman" w:cs="Times New Roman"/>
                <w:sz w:val="22"/>
                <w:szCs w:val="22"/>
              </w:rPr>
            </w:pPr>
            <w:r w:rsidRPr="00062207">
              <w:rPr>
                <w:rFonts w:ascii="Times New Roman" w:hAnsi="Times New Roman" w:cs="Times New Roman"/>
                <w:noProof/>
                <w:sz w:val="22"/>
                <w:szCs w:val="22"/>
                <w:lang w:val="es-GT" w:eastAsia="es-GT"/>
              </w:rPr>
              <w:drawing>
                <wp:anchor distT="0" distB="0" distL="114300" distR="114300" simplePos="0" relativeHeight="251804672" behindDoc="0" locked="0" layoutInCell="1" allowOverlap="1" wp14:anchorId="288799C4" wp14:editId="3BC746EB">
                  <wp:simplePos x="0" y="0"/>
                  <wp:positionH relativeFrom="margin">
                    <wp:posOffset>-24130</wp:posOffset>
                  </wp:positionH>
                  <wp:positionV relativeFrom="paragraph">
                    <wp:posOffset>0</wp:posOffset>
                  </wp:positionV>
                  <wp:extent cx="2752725" cy="1868170"/>
                  <wp:effectExtent l="0" t="0" r="0" b="0"/>
                  <wp:wrapSquare wrapText="bothSides"/>
                  <wp:docPr id="61" name="Gráfico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margin">
                    <wp14:pctWidth>0</wp14:pctWidth>
                  </wp14:sizeRelH>
                  <wp14:sizeRelV relativeFrom="margin">
                    <wp14:pctHeight>0</wp14:pctHeight>
                  </wp14:sizeRelV>
                </wp:anchor>
              </w:drawing>
            </w:r>
          </w:p>
        </w:tc>
        <w:tc>
          <w:tcPr>
            <w:tcW w:w="4948" w:type="dxa"/>
          </w:tcPr>
          <w:p w14:paraId="572CA236" w14:textId="77777777" w:rsidR="00DB2D0A" w:rsidRPr="00062207" w:rsidRDefault="00DB2D0A" w:rsidP="00A963D6">
            <w:pPr>
              <w:jc w:val="both"/>
              <w:rPr>
                <w:rFonts w:ascii="Times New Roman" w:hAnsi="Times New Roman" w:cs="Times New Roman"/>
                <w:sz w:val="22"/>
                <w:szCs w:val="22"/>
              </w:rPr>
            </w:pPr>
            <w:r w:rsidRPr="00062207">
              <w:rPr>
                <w:rFonts w:ascii="Times New Roman" w:hAnsi="Times New Roman" w:cs="Times New Roman"/>
                <w:noProof/>
                <w:sz w:val="22"/>
                <w:szCs w:val="22"/>
                <w:lang w:val="es-GT" w:eastAsia="es-GT"/>
              </w:rPr>
              <w:drawing>
                <wp:anchor distT="0" distB="0" distL="114300" distR="114300" simplePos="0" relativeHeight="251803648" behindDoc="0" locked="0" layoutInCell="1" allowOverlap="1" wp14:anchorId="4EC6A187" wp14:editId="41F6DBFC">
                  <wp:simplePos x="0" y="0"/>
                  <wp:positionH relativeFrom="margin">
                    <wp:posOffset>66730</wp:posOffset>
                  </wp:positionH>
                  <wp:positionV relativeFrom="paragraph">
                    <wp:posOffset>387</wp:posOffset>
                  </wp:positionV>
                  <wp:extent cx="2806700" cy="1891499"/>
                  <wp:effectExtent l="0" t="0" r="0" b="0"/>
                  <wp:wrapSquare wrapText="bothSides"/>
                  <wp:docPr id="62" name="Gráfico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margin">
                    <wp14:pctWidth>0</wp14:pctWidth>
                  </wp14:sizeRelH>
                  <wp14:sizeRelV relativeFrom="margin">
                    <wp14:pctHeight>0</wp14:pctHeight>
                  </wp14:sizeRelV>
                </wp:anchor>
              </w:drawing>
            </w:r>
          </w:p>
        </w:tc>
      </w:tr>
      <w:tr w:rsidR="00062207" w:rsidRPr="00062207" w14:paraId="1EA8243E" w14:textId="77777777" w:rsidTr="0061510B">
        <w:trPr>
          <w:trHeight w:val="258"/>
        </w:trPr>
        <w:tc>
          <w:tcPr>
            <w:tcW w:w="9433" w:type="dxa"/>
            <w:gridSpan w:val="2"/>
          </w:tcPr>
          <w:p w14:paraId="305A98E4" w14:textId="08525098" w:rsidR="00DB2D0A" w:rsidRPr="00062207" w:rsidRDefault="00DB2D0A" w:rsidP="00A963D6">
            <w:pPr>
              <w:jc w:val="both"/>
              <w:rPr>
                <w:rFonts w:ascii="Times New Roman" w:hAnsi="Times New Roman" w:cs="Times New Roman"/>
                <w:sz w:val="16"/>
                <w:szCs w:val="22"/>
              </w:rPr>
            </w:pPr>
            <w:r w:rsidRPr="00062207">
              <w:rPr>
                <w:rFonts w:ascii="Times New Roman" w:hAnsi="Times New Roman" w:cs="Times New Roman"/>
                <w:bCs/>
                <w:sz w:val="16"/>
                <w:szCs w:val="22"/>
              </w:rPr>
              <w:t>Fuente:</w:t>
            </w:r>
            <w:r w:rsidRPr="00062207">
              <w:rPr>
                <w:rFonts w:ascii="Times New Roman" w:hAnsi="Times New Roman" w:cs="Times New Roman"/>
                <w:sz w:val="16"/>
                <w:szCs w:val="22"/>
              </w:rPr>
              <w:t xml:space="preserve"> Dirección de Análisis y Política Fiscal, con información del Banco de Guatemala y Empresa Portuaria Quetzal.</w:t>
            </w:r>
          </w:p>
        </w:tc>
      </w:tr>
    </w:tbl>
    <w:p w14:paraId="2A11A8C9" w14:textId="77777777" w:rsidR="00515C74" w:rsidRPr="00062207" w:rsidRDefault="00515C74" w:rsidP="00DB2D0A">
      <w:pPr>
        <w:jc w:val="both"/>
        <w:rPr>
          <w:rFonts w:ascii="Times New Roman" w:hAnsi="Times New Roman" w:cs="Times New Roman"/>
          <w:noProof/>
          <w:sz w:val="22"/>
          <w:szCs w:val="22"/>
          <w:lang w:eastAsia="es-GT"/>
        </w:rPr>
      </w:pPr>
    </w:p>
    <w:p w14:paraId="19D1C5A2" w14:textId="77777777" w:rsidR="00515C74" w:rsidRPr="00062207" w:rsidRDefault="00515C74" w:rsidP="00DB2D0A">
      <w:pPr>
        <w:jc w:val="both"/>
        <w:rPr>
          <w:rFonts w:ascii="Times New Roman" w:hAnsi="Times New Roman" w:cs="Times New Roman"/>
          <w:noProof/>
          <w:sz w:val="22"/>
          <w:szCs w:val="22"/>
          <w:lang w:eastAsia="es-GT"/>
        </w:rPr>
      </w:pPr>
    </w:p>
    <w:p w14:paraId="5D5576CB" w14:textId="77777777" w:rsidR="00062207" w:rsidRPr="00062207" w:rsidRDefault="00062207" w:rsidP="00062207">
      <w:pPr>
        <w:jc w:val="both"/>
        <w:rPr>
          <w:rFonts w:ascii="Times New Roman" w:hAnsi="Times New Roman" w:cs="Times New Roman"/>
          <w:sz w:val="22"/>
          <w:szCs w:val="22"/>
        </w:rPr>
      </w:pPr>
      <w:r w:rsidRPr="00062207">
        <w:rPr>
          <w:rFonts w:ascii="Times New Roman" w:hAnsi="Times New Roman" w:cs="Times New Roman"/>
          <w:noProof/>
          <w:sz w:val="22"/>
          <w:szCs w:val="22"/>
          <w:lang w:eastAsia="es-GT"/>
        </w:rPr>
        <w:t xml:space="preserve">Las expectativas de crecimiento para el segundo semestre de 2021 marcó la recuperación de la economía nacional luego del efecto de la confinación en 2020 producto de la pandemia y la reapertura gradual de la economía nacional, las estimaciones realizadas por el Banco de Guatemala en el mes de julio marcan un crecimiento de la economía </w:t>
      </w:r>
      <w:r w:rsidRPr="00062207">
        <w:rPr>
          <w:rFonts w:ascii="Times New Roman" w:hAnsi="Times New Roman" w:cs="Times New Roman"/>
          <w:sz w:val="22"/>
          <w:szCs w:val="22"/>
        </w:rPr>
        <w:t xml:space="preserve">5% ± 1%, </w:t>
      </w:r>
      <w:r w:rsidRPr="00062207">
        <w:rPr>
          <w:rFonts w:ascii="Times New Roman" w:hAnsi="Times New Roman" w:cs="Times New Roman"/>
          <w:noProof/>
          <w:sz w:val="22"/>
          <w:szCs w:val="22"/>
          <w:lang w:eastAsia="es-GT"/>
        </w:rPr>
        <w:t>una inflación de 4% ± 1%, una dinámica del comercio exterior en las que las importaciones pueden oscilar entre 20%</w:t>
      </w:r>
      <w:r w:rsidRPr="00062207">
        <w:rPr>
          <w:rFonts w:ascii="Times New Roman" w:hAnsi="Times New Roman" w:cs="Times New Roman"/>
          <w:sz w:val="22"/>
          <w:szCs w:val="22"/>
        </w:rPr>
        <w:t xml:space="preserve"> ± 1.5% </w:t>
      </w:r>
      <w:r w:rsidRPr="00062207">
        <w:rPr>
          <w:rFonts w:ascii="Times New Roman" w:hAnsi="Times New Roman" w:cs="Times New Roman"/>
          <w:noProof/>
          <w:sz w:val="22"/>
          <w:szCs w:val="22"/>
          <w:lang w:eastAsia="es-GT"/>
        </w:rPr>
        <w:t>y las exportaciones entre 12%</w:t>
      </w:r>
      <w:r w:rsidRPr="00062207">
        <w:rPr>
          <w:rFonts w:ascii="Times New Roman" w:hAnsi="Times New Roman" w:cs="Times New Roman"/>
          <w:sz w:val="22"/>
          <w:szCs w:val="22"/>
        </w:rPr>
        <w:t xml:space="preserve"> ± 1.5%.</w:t>
      </w:r>
    </w:p>
    <w:p w14:paraId="32BB3FE9" w14:textId="77777777" w:rsidR="00062207" w:rsidRPr="00062207" w:rsidRDefault="00062207" w:rsidP="00062207">
      <w:pPr>
        <w:jc w:val="both"/>
        <w:rPr>
          <w:rFonts w:ascii="Times New Roman" w:hAnsi="Times New Roman" w:cs="Times New Roman"/>
          <w:sz w:val="22"/>
          <w:szCs w:val="22"/>
        </w:rPr>
      </w:pPr>
    </w:p>
    <w:p w14:paraId="6AFFB780" w14:textId="548F9247" w:rsidR="00DB2D0A" w:rsidRPr="00062207" w:rsidRDefault="00062207" w:rsidP="00062207">
      <w:pPr>
        <w:jc w:val="both"/>
        <w:rPr>
          <w:rFonts w:ascii="Times New Roman" w:hAnsi="Times New Roman" w:cs="Times New Roman"/>
          <w:sz w:val="22"/>
          <w:szCs w:val="22"/>
        </w:rPr>
      </w:pPr>
      <w:r w:rsidRPr="00062207">
        <w:rPr>
          <w:rFonts w:ascii="Times New Roman" w:hAnsi="Times New Roman" w:cs="Times New Roman"/>
          <w:sz w:val="22"/>
          <w:szCs w:val="22"/>
        </w:rPr>
        <w:t>A julio la brecha fiscal siguió ampliándose respecto a lo programado en presupuesto ubicándose en Q7,412.5 millones respecto a la meta de presupuesto en este mes se observó la liquidación del segundo pago trimestral de ISR y el tercero del ISO la brecha positiva de estos dos impuestos respecto a presupuesto siguió ampliándose a Q3,290.6 millones, luego de un año de la reapertura gradual de la economía  (agosto 2020) la nueva normalidad cobro relevancia, la recaudación marcó un incremento respecto a lo programado en presupuesto de 20.2% (Q8,441.3 millones) y con relación al año 2020 un incremento de 30.3% (11,692.9 millones) ya en el último mes de este tercer trimestre la velocidad de la recaudación era diferente a lo que reflejaban las estimaciones de BANGUAT en el ámbito del comercio internacional, la recaudación tributaria asociada al comercio exterior a esa fecha reflejaba un crecimiento de 45.7%, el impuesto al valor agregado asociado al consumo interno de igual manera que el resto de impuestos generó brecha positiva de Q1,017.1 millones, los derivados del petróleo de igual manera superan en Q470 millones la meta y los derechos arancelarios a la importación Q588.9 millones, las principales variables macroeconómicas que se pueden asociar a recaudación dan muestras de recuperación, las remesas familiares acumuladas a septiembre crecen 36.6%, el índice mensual de la actividad económica -IMAE- luego de crecer a dos dígitos a septiembre da muestra de normalidad en su comportamiento, las exportaciones y las importaciones gravadas dan señales también de recuperación.</w:t>
      </w:r>
    </w:p>
    <w:p w14:paraId="58FEB80F" w14:textId="4DDBE030" w:rsidR="00EE3A5F" w:rsidRPr="00062207" w:rsidRDefault="00EE3A5F" w:rsidP="00DB2D0A">
      <w:pPr>
        <w:jc w:val="both"/>
        <w:rPr>
          <w:rFonts w:ascii="Times New Roman" w:hAnsi="Times New Roman" w:cs="Times New Roman"/>
          <w:sz w:val="18"/>
          <w:szCs w:val="22"/>
        </w:rPr>
      </w:pPr>
    </w:p>
    <w:p w14:paraId="073464E9" w14:textId="6F14B395" w:rsidR="00EE3A5F" w:rsidRPr="00062207" w:rsidRDefault="00EE3A5F" w:rsidP="00EE3A5F">
      <w:pPr>
        <w:jc w:val="center"/>
        <w:rPr>
          <w:rFonts w:ascii="Times New Roman" w:hAnsi="Times New Roman" w:cs="Times New Roman"/>
          <w:b/>
          <w:sz w:val="22"/>
          <w:szCs w:val="22"/>
        </w:rPr>
      </w:pPr>
      <w:r w:rsidRPr="00062207">
        <w:rPr>
          <w:rFonts w:ascii="Times New Roman" w:hAnsi="Times New Roman" w:cs="Times New Roman"/>
          <w:b/>
          <w:sz w:val="22"/>
          <w:szCs w:val="22"/>
        </w:rPr>
        <w:t>Principales indicadores de Guatemala</w:t>
      </w:r>
    </w:p>
    <w:tbl>
      <w:tblPr>
        <w:tblStyle w:val="Tablaconcuadrcula"/>
        <w:tblpPr w:leftFromText="141" w:rightFromText="141" w:vertAnchor="text" w:horzAnchor="margin" w:tblpY="254"/>
        <w:tblW w:w="9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52"/>
        <w:gridCol w:w="2504"/>
        <w:gridCol w:w="2210"/>
        <w:gridCol w:w="2360"/>
      </w:tblGrid>
      <w:tr w:rsidR="00062207" w:rsidRPr="00062207" w14:paraId="608A37DD" w14:textId="77777777" w:rsidTr="00A963D6">
        <w:trPr>
          <w:trHeight w:val="353"/>
        </w:trPr>
        <w:tc>
          <w:tcPr>
            <w:tcW w:w="2352" w:type="dxa"/>
          </w:tcPr>
          <w:p w14:paraId="6F2F91DF" w14:textId="77777777" w:rsidR="00DB2D0A" w:rsidRPr="00062207" w:rsidRDefault="00DB2D0A" w:rsidP="00A963D6">
            <w:pPr>
              <w:jc w:val="center"/>
              <w:rPr>
                <w:rFonts w:ascii="Times New Roman" w:hAnsi="Times New Roman" w:cs="Times New Roman"/>
                <w:b/>
                <w:bCs/>
                <w:sz w:val="20"/>
                <w:szCs w:val="18"/>
              </w:rPr>
            </w:pPr>
            <w:r w:rsidRPr="00062207">
              <w:rPr>
                <w:rFonts w:ascii="Times New Roman" w:hAnsi="Times New Roman" w:cs="Times New Roman"/>
                <w:b/>
                <w:bCs/>
                <w:sz w:val="20"/>
                <w:szCs w:val="18"/>
              </w:rPr>
              <w:t>Remesas Familiares</w:t>
            </w:r>
          </w:p>
          <w:p w14:paraId="0EFC1944" w14:textId="77777777" w:rsidR="00DB2D0A" w:rsidRPr="00062207" w:rsidRDefault="00DB2D0A" w:rsidP="00A963D6">
            <w:pPr>
              <w:jc w:val="center"/>
              <w:rPr>
                <w:rFonts w:ascii="Times New Roman" w:hAnsi="Times New Roman" w:cs="Times New Roman"/>
                <w:sz w:val="18"/>
                <w:szCs w:val="18"/>
              </w:rPr>
            </w:pPr>
            <w:r w:rsidRPr="00062207">
              <w:rPr>
                <w:rFonts w:ascii="Times New Roman" w:hAnsi="Times New Roman" w:cs="Times New Roman"/>
                <w:bCs/>
                <w:sz w:val="14"/>
                <w:szCs w:val="14"/>
              </w:rPr>
              <w:t>Variación interanual</w:t>
            </w:r>
          </w:p>
        </w:tc>
        <w:tc>
          <w:tcPr>
            <w:tcW w:w="2504" w:type="dxa"/>
          </w:tcPr>
          <w:p w14:paraId="786205EA" w14:textId="77777777" w:rsidR="00DB2D0A" w:rsidRPr="00062207" w:rsidRDefault="00DB2D0A" w:rsidP="00A963D6">
            <w:pPr>
              <w:jc w:val="center"/>
              <w:rPr>
                <w:rFonts w:ascii="Times New Roman" w:hAnsi="Times New Roman" w:cs="Times New Roman"/>
                <w:b/>
                <w:bCs/>
                <w:sz w:val="20"/>
                <w:szCs w:val="18"/>
              </w:rPr>
            </w:pPr>
            <w:r w:rsidRPr="00062207">
              <w:rPr>
                <w:rFonts w:ascii="Times New Roman" w:hAnsi="Times New Roman" w:cs="Times New Roman"/>
                <w:b/>
                <w:bCs/>
                <w:sz w:val="20"/>
                <w:szCs w:val="18"/>
              </w:rPr>
              <w:t>Exportaciones</w:t>
            </w:r>
          </w:p>
          <w:p w14:paraId="6389D565" w14:textId="77777777" w:rsidR="00DB2D0A" w:rsidRPr="00062207" w:rsidRDefault="00DB2D0A" w:rsidP="00A963D6">
            <w:pPr>
              <w:jc w:val="center"/>
              <w:rPr>
                <w:rFonts w:ascii="Times New Roman" w:hAnsi="Times New Roman" w:cs="Times New Roman"/>
                <w:sz w:val="18"/>
                <w:szCs w:val="18"/>
              </w:rPr>
            </w:pPr>
            <w:r w:rsidRPr="00062207">
              <w:rPr>
                <w:rFonts w:ascii="Times New Roman" w:hAnsi="Times New Roman" w:cs="Times New Roman"/>
                <w:bCs/>
                <w:sz w:val="14"/>
                <w:szCs w:val="14"/>
              </w:rPr>
              <w:t>Variación interanual</w:t>
            </w:r>
          </w:p>
        </w:tc>
        <w:tc>
          <w:tcPr>
            <w:tcW w:w="2210" w:type="dxa"/>
          </w:tcPr>
          <w:p w14:paraId="39CC7968" w14:textId="77777777" w:rsidR="00DB2D0A" w:rsidRPr="00062207" w:rsidRDefault="00DB2D0A" w:rsidP="00A963D6">
            <w:pPr>
              <w:jc w:val="center"/>
              <w:rPr>
                <w:rFonts w:ascii="Times New Roman" w:hAnsi="Times New Roman" w:cs="Times New Roman"/>
                <w:b/>
                <w:bCs/>
                <w:sz w:val="19"/>
                <w:szCs w:val="19"/>
              </w:rPr>
            </w:pPr>
            <w:r w:rsidRPr="00062207">
              <w:rPr>
                <w:rFonts w:ascii="Times New Roman" w:hAnsi="Times New Roman" w:cs="Times New Roman"/>
                <w:b/>
                <w:bCs/>
                <w:sz w:val="19"/>
                <w:szCs w:val="19"/>
              </w:rPr>
              <w:t>Importaciones gravadas</w:t>
            </w:r>
          </w:p>
          <w:p w14:paraId="745A4BF7" w14:textId="77777777" w:rsidR="00DB2D0A" w:rsidRPr="00062207" w:rsidRDefault="00DB2D0A" w:rsidP="00A963D6">
            <w:pPr>
              <w:jc w:val="center"/>
              <w:rPr>
                <w:rFonts w:ascii="Times New Roman" w:hAnsi="Times New Roman" w:cs="Times New Roman"/>
                <w:sz w:val="18"/>
                <w:szCs w:val="18"/>
              </w:rPr>
            </w:pPr>
            <w:r w:rsidRPr="00062207">
              <w:rPr>
                <w:rFonts w:ascii="Times New Roman" w:hAnsi="Times New Roman" w:cs="Times New Roman"/>
                <w:bCs/>
                <w:sz w:val="14"/>
                <w:szCs w:val="14"/>
              </w:rPr>
              <w:t>Variación interanual</w:t>
            </w:r>
          </w:p>
        </w:tc>
        <w:tc>
          <w:tcPr>
            <w:tcW w:w="2358" w:type="dxa"/>
          </w:tcPr>
          <w:p w14:paraId="472143FB" w14:textId="77777777" w:rsidR="00DB2D0A" w:rsidRPr="00062207" w:rsidRDefault="00DB2D0A" w:rsidP="00A963D6">
            <w:pPr>
              <w:jc w:val="center"/>
              <w:rPr>
                <w:rFonts w:ascii="Times New Roman" w:hAnsi="Times New Roman" w:cs="Times New Roman"/>
                <w:b/>
                <w:bCs/>
                <w:sz w:val="20"/>
                <w:szCs w:val="20"/>
              </w:rPr>
            </w:pPr>
            <w:r w:rsidRPr="00062207">
              <w:rPr>
                <w:rFonts w:ascii="Times New Roman" w:hAnsi="Times New Roman" w:cs="Times New Roman"/>
                <w:b/>
                <w:bCs/>
                <w:sz w:val="20"/>
                <w:szCs w:val="20"/>
              </w:rPr>
              <w:t>IMAE</w:t>
            </w:r>
          </w:p>
          <w:p w14:paraId="6239DAC2" w14:textId="77777777" w:rsidR="00DB2D0A" w:rsidRPr="00062207" w:rsidRDefault="00DB2D0A" w:rsidP="00A963D6">
            <w:pPr>
              <w:jc w:val="center"/>
              <w:rPr>
                <w:rFonts w:ascii="Times New Roman" w:hAnsi="Times New Roman" w:cs="Times New Roman"/>
                <w:bCs/>
                <w:sz w:val="18"/>
                <w:szCs w:val="18"/>
              </w:rPr>
            </w:pPr>
            <w:r w:rsidRPr="00062207">
              <w:rPr>
                <w:rFonts w:ascii="Times New Roman" w:hAnsi="Times New Roman" w:cs="Times New Roman"/>
                <w:bCs/>
                <w:sz w:val="14"/>
                <w:szCs w:val="14"/>
              </w:rPr>
              <w:t>Variación de tendencia ciclo</w:t>
            </w:r>
          </w:p>
        </w:tc>
      </w:tr>
      <w:tr w:rsidR="00062207" w:rsidRPr="00062207" w14:paraId="47C2A117" w14:textId="77777777" w:rsidTr="00A963D6">
        <w:trPr>
          <w:trHeight w:val="2619"/>
        </w:trPr>
        <w:tc>
          <w:tcPr>
            <w:tcW w:w="2352" w:type="dxa"/>
          </w:tcPr>
          <w:p w14:paraId="318E0F00" w14:textId="77777777" w:rsidR="00DB2D0A" w:rsidRPr="00062207" w:rsidRDefault="00DB2D0A" w:rsidP="00A963D6">
            <w:pPr>
              <w:jc w:val="both"/>
              <w:rPr>
                <w:rFonts w:ascii="Times New Roman" w:hAnsi="Times New Roman" w:cs="Times New Roman"/>
              </w:rPr>
            </w:pPr>
            <w:r w:rsidRPr="00062207">
              <w:rPr>
                <w:noProof/>
                <w:lang w:val="es-GT" w:eastAsia="es-GT"/>
              </w:rPr>
              <w:drawing>
                <wp:anchor distT="0" distB="0" distL="114300" distR="114300" simplePos="0" relativeHeight="251805696" behindDoc="0" locked="0" layoutInCell="1" allowOverlap="1" wp14:anchorId="7D5E185F" wp14:editId="63D665B0">
                  <wp:simplePos x="0" y="0"/>
                  <wp:positionH relativeFrom="margin">
                    <wp:posOffset>-68580</wp:posOffset>
                  </wp:positionH>
                  <wp:positionV relativeFrom="page">
                    <wp:posOffset>128905</wp:posOffset>
                  </wp:positionV>
                  <wp:extent cx="1367155" cy="1740535"/>
                  <wp:effectExtent l="0" t="0" r="4445" b="0"/>
                  <wp:wrapSquare wrapText="bothSides"/>
                  <wp:docPr id="63" name="Gráfico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margin">
                    <wp14:pctWidth>0</wp14:pctWidth>
                  </wp14:sizeRelH>
                  <wp14:sizeRelV relativeFrom="margin">
                    <wp14:pctHeight>0</wp14:pctHeight>
                  </wp14:sizeRelV>
                </wp:anchor>
              </w:drawing>
            </w:r>
          </w:p>
        </w:tc>
        <w:tc>
          <w:tcPr>
            <w:tcW w:w="2504" w:type="dxa"/>
          </w:tcPr>
          <w:p w14:paraId="31E23430" w14:textId="77777777" w:rsidR="00DB2D0A" w:rsidRPr="00062207" w:rsidRDefault="00DB2D0A" w:rsidP="00A963D6">
            <w:pPr>
              <w:jc w:val="both"/>
              <w:rPr>
                <w:rFonts w:ascii="Times New Roman" w:hAnsi="Times New Roman" w:cs="Times New Roman"/>
                <w:sz w:val="14"/>
              </w:rPr>
            </w:pPr>
            <w:r w:rsidRPr="00062207">
              <w:rPr>
                <w:noProof/>
                <w:lang w:val="es-GT" w:eastAsia="es-GT"/>
              </w:rPr>
              <w:drawing>
                <wp:anchor distT="0" distB="0" distL="114300" distR="114300" simplePos="0" relativeHeight="251806720" behindDoc="0" locked="0" layoutInCell="1" allowOverlap="1" wp14:anchorId="4F7C4BFC" wp14:editId="6EA636D4">
                  <wp:simplePos x="0" y="0"/>
                  <wp:positionH relativeFrom="margin">
                    <wp:posOffset>-19685</wp:posOffset>
                  </wp:positionH>
                  <wp:positionV relativeFrom="page">
                    <wp:posOffset>121920</wp:posOffset>
                  </wp:positionV>
                  <wp:extent cx="1423035" cy="1689735"/>
                  <wp:effectExtent l="0" t="0" r="5715" b="5715"/>
                  <wp:wrapSquare wrapText="bothSides"/>
                  <wp:docPr id="64" name="Gráfico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margin">
                    <wp14:pctWidth>0</wp14:pctWidth>
                  </wp14:sizeRelH>
                  <wp14:sizeRelV relativeFrom="margin">
                    <wp14:pctHeight>0</wp14:pctHeight>
                  </wp14:sizeRelV>
                </wp:anchor>
              </w:drawing>
            </w:r>
          </w:p>
        </w:tc>
        <w:tc>
          <w:tcPr>
            <w:tcW w:w="2210" w:type="dxa"/>
          </w:tcPr>
          <w:p w14:paraId="4DF8F053" w14:textId="77777777" w:rsidR="00DB2D0A" w:rsidRPr="00062207" w:rsidRDefault="00DB2D0A" w:rsidP="00A963D6">
            <w:pPr>
              <w:jc w:val="both"/>
              <w:rPr>
                <w:rFonts w:ascii="Times New Roman" w:hAnsi="Times New Roman" w:cs="Times New Roman"/>
              </w:rPr>
            </w:pPr>
            <w:r w:rsidRPr="00062207">
              <w:rPr>
                <w:noProof/>
                <w:lang w:val="es-GT" w:eastAsia="es-GT"/>
              </w:rPr>
              <w:drawing>
                <wp:anchor distT="0" distB="0" distL="114300" distR="114300" simplePos="0" relativeHeight="251807744" behindDoc="0" locked="0" layoutInCell="1" allowOverlap="1" wp14:anchorId="1EFF47F1" wp14:editId="699BCF80">
                  <wp:simplePos x="0" y="0"/>
                  <wp:positionH relativeFrom="margin">
                    <wp:posOffset>-66040</wp:posOffset>
                  </wp:positionH>
                  <wp:positionV relativeFrom="page">
                    <wp:posOffset>128905</wp:posOffset>
                  </wp:positionV>
                  <wp:extent cx="1398905" cy="1682115"/>
                  <wp:effectExtent l="0" t="0" r="0" b="0"/>
                  <wp:wrapSquare wrapText="bothSides"/>
                  <wp:docPr id="65" name="Gráfico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p>
        </w:tc>
        <w:tc>
          <w:tcPr>
            <w:tcW w:w="2358" w:type="dxa"/>
          </w:tcPr>
          <w:p w14:paraId="622886A7" w14:textId="77777777" w:rsidR="00DB2D0A" w:rsidRPr="00062207" w:rsidRDefault="00DB2D0A" w:rsidP="00A963D6">
            <w:pPr>
              <w:jc w:val="both"/>
              <w:rPr>
                <w:rFonts w:ascii="Times New Roman" w:hAnsi="Times New Roman" w:cs="Times New Roman"/>
              </w:rPr>
            </w:pPr>
            <w:r w:rsidRPr="00062207">
              <w:rPr>
                <w:noProof/>
                <w:lang w:val="es-GT" w:eastAsia="es-GT"/>
              </w:rPr>
              <w:drawing>
                <wp:anchor distT="0" distB="0" distL="114300" distR="114300" simplePos="0" relativeHeight="251808768" behindDoc="0" locked="0" layoutInCell="1" allowOverlap="1" wp14:anchorId="06949193" wp14:editId="6DBACD58">
                  <wp:simplePos x="0" y="0"/>
                  <wp:positionH relativeFrom="margin">
                    <wp:posOffset>37465</wp:posOffset>
                  </wp:positionH>
                  <wp:positionV relativeFrom="page">
                    <wp:posOffset>55880</wp:posOffset>
                  </wp:positionV>
                  <wp:extent cx="1359535" cy="1813560"/>
                  <wp:effectExtent l="0" t="0" r="0" b="0"/>
                  <wp:wrapSquare wrapText="bothSides"/>
                  <wp:docPr id="66" name="Gráfico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p>
        </w:tc>
      </w:tr>
      <w:tr w:rsidR="00062207" w:rsidRPr="00062207" w14:paraId="7B63466C" w14:textId="77777777" w:rsidTr="00A963D6">
        <w:trPr>
          <w:trHeight w:val="281"/>
        </w:trPr>
        <w:tc>
          <w:tcPr>
            <w:tcW w:w="9426" w:type="dxa"/>
            <w:gridSpan w:val="4"/>
          </w:tcPr>
          <w:p w14:paraId="10AAC2D4" w14:textId="77777777" w:rsidR="00DB2D0A" w:rsidRPr="00062207" w:rsidRDefault="00DB2D0A" w:rsidP="00A963D6">
            <w:pPr>
              <w:jc w:val="both"/>
              <w:rPr>
                <w:rFonts w:ascii="Times New Roman" w:hAnsi="Times New Roman" w:cs="Times New Roman"/>
                <w:sz w:val="18"/>
                <w:szCs w:val="22"/>
              </w:rPr>
            </w:pPr>
            <w:r w:rsidRPr="00062207">
              <w:rPr>
                <w:rFonts w:ascii="Times New Roman" w:hAnsi="Times New Roman" w:cs="Times New Roman"/>
                <w:bCs/>
                <w:sz w:val="18"/>
                <w:szCs w:val="14"/>
              </w:rPr>
              <w:t>Fuente</w:t>
            </w:r>
            <w:r w:rsidRPr="00062207">
              <w:rPr>
                <w:rFonts w:ascii="Times New Roman" w:hAnsi="Times New Roman" w:cs="Times New Roman"/>
                <w:b/>
                <w:bCs/>
                <w:sz w:val="18"/>
                <w:szCs w:val="22"/>
              </w:rPr>
              <w:t>:</w:t>
            </w:r>
            <w:r w:rsidRPr="00062207">
              <w:rPr>
                <w:rFonts w:ascii="Times New Roman" w:hAnsi="Times New Roman" w:cs="Times New Roman"/>
                <w:sz w:val="18"/>
                <w:szCs w:val="22"/>
              </w:rPr>
              <w:t xml:space="preserve"> Dirección de Análisis y Política Fiscal con información del Banco de Guatemala.</w:t>
            </w:r>
          </w:p>
          <w:p w14:paraId="0200FFD5" w14:textId="77777777" w:rsidR="00DB2D0A" w:rsidRPr="00062207" w:rsidRDefault="00DB2D0A" w:rsidP="00A963D6">
            <w:pPr>
              <w:jc w:val="both"/>
              <w:rPr>
                <w:rFonts w:ascii="Times New Roman" w:hAnsi="Times New Roman" w:cs="Times New Roman"/>
                <w:sz w:val="22"/>
              </w:rPr>
            </w:pPr>
          </w:p>
        </w:tc>
      </w:tr>
    </w:tbl>
    <w:p w14:paraId="2A919858" w14:textId="77777777" w:rsidR="00DB2D0A" w:rsidRPr="00062207" w:rsidRDefault="00DB2D0A" w:rsidP="00C864CF">
      <w:pPr>
        <w:pStyle w:val="Ttulo2"/>
        <w:numPr>
          <w:ilvl w:val="1"/>
          <w:numId w:val="12"/>
        </w:numPr>
        <w:spacing w:before="0"/>
        <w:ind w:left="567" w:hanging="283"/>
        <w:jc w:val="both"/>
        <w:rPr>
          <w:rFonts w:ascii="Times New Roman" w:hAnsi="Times New Roman" w:cs="Times New Roman"/>
          <w:color w:val="auto"/>
          <w:sz w:val="24"/>
        </w:rPr>
      </w:pPr>
      <w:bookmarkStart w:id="40" w:name="_Toc64025422"/>
      <w:bookmarkStart w:id="41" w:name="_Toc94259621"/>
      <w:r w:rsidRPr="00062207">
        <w:rPr>
          <w:rFonts w:ascii="Times New Roman" w:hAnsi="Times New Roman" w:cs="Times New Roman"/>
          <w:color w:val="auto"/>
          <w:sz w:val="24"/>
        </w:rPr>
        <w:t>En el último trimestre</w:t>
      </w:r>
      <w:bookmarkEnd w:id="40"/>
      <w:r w:rsidRPr="00062207">
        <w:rPr>
          <w:rFonts w:ascii="Times New Roman" w:hAnsi="Times New Roman" w:cs="Times New Roman"/>
          <w:color w:val="auto"/>
          <w:sz w:val="24"/>
        </w:rPr>
        <w:t xml:space="preserve"> la recaudación tributaria genera brecha positiva</w:t>
      </w:r>
      <w:bookmarkEnd w:id="41"/>
    </w:p>
    <w:p w14:paraId="2E8E4328" w14:textId="77777777" w:rsidR="00DB2D0A" w:rsidRPr="00062207" w:rsidRDefault="00DB2D0A" w:rsidP="00DB2D0A"/>
    <w:p w14:paraId="628C7921" w14:textId="77777777" w:rsidR="00062207" w:rsidRPr="00062207" w:rsidRDefault="00062207" w:rsidP="00062207">
      <w:pPr>
        <w:jc w:val="both"/>
        <w:rPr>
          <w:rFonts w:ascii="Times New Roman" w:hAnsi="Times New Roman" w:cs="Times New Roman"/>
          <w:sz w:val="22"/>
          <w:szCs w:val="22"/>
        </w:rPr>
      </w:pPr>
      <w:r w:rsidRPr="00062207">
        <w:rPr>
          <w:rFonts w:ascii="Times New Roman" w:hAnsi="Times New Roman" w:cs="Times New Roman"/>
          <w:sz w:val="22"/>
          <w:szCs w:val="22"/>
        </w:rPr>
        <w:t>En los últimos tres meses del ejercicio fiscal 2021 se observaron eventos importantes como el vencimiento del tercer trimestre del Impuesto Sobre la Renta y el cuarto pago trimestral del Impuesto de Solidaridad, aunado a ello también se observó un ingreso extraordinario por concepto de venta de activos de una empresa vinculada con el sector de comunicaciones, un pago en disputa y otras acciones administrativas que realizó la SAT, además las importaciones y exportaciones siguieron el ritmo creciente mostrado en meses anteriores.</w:t>
      </w:r>
    </w:p>
    <w:p w14:paraId="420FE2FF" w14:textId="77777777" w:rsidR="00062207" w:rsidRPr="00062207" w:rsidRDefault="00062207" w:rsidP="00062207">
      <w:pPr>
        <w:jc w:val="both"/>
        <w:rPr>
          <w:rFonts w:ascii="Times New Roman" w:hAnsi="Times New Roman" w:cs="Times New Roman"/>
          <w:sz w:val="22"/>
          <w:szCs w:val="22"/>
          <w:u w:val="single"/>
        </w:rPr>
      </w:pPr>
    </w:p>
    <w:p w14:paraId="0F58E04C" w14:textId="76841BB6" w:rsidR="00DB2D0A" w:rsidRPr="00062207" w:rsidRDefault="00062207" w:rsidP="00062207">
      <w:pPr>
        <w:jc w:val="both"/>
        <w:rPr>
          <w:rFonts w:ascii="Times New Roman" w:hAnsi="Times New Roman" w:cs="Times New Roman"/>
          <w:sz w:val="22"/>
          <w:szCs w:val="22"/>
        </w:rPr>
      </w:pPr>
      <w:r w:rsidRPr="00062207">
        <w:rPr>
          <w:rFonts w:ascii="Times New Roman" w:hAnsi="Times New Roman" w:cs="Times New Roman"/>
          <w:sz w:val="22"/>
          <w:szCs w:val="22"/>
        </w:rPr>
        <w:t>Luego de los vencimientos indicados del mes de octubre se observa que la brecha positiva sigue siendo creciente a pesar de que de manera mensual se observó una menor dinámica en la recaudación tributaria, el Impuesto al Valor Agregado asociado al consumo interno y el ISO no alcanzaron la meta de presupuesto, generando una brecha negativa de Q55.2 millones.  Impuestos que compensaron esta merma en recaudación fueron el ISR que superó en Q914.7 millones la meta de presupuesto, para noviembre la brecha acumulada superaba lo programado en Q11,444.1 millones, impuestos que contribuyeron en mayor cuantía para generar la brecha positiva fueron: el ISR, ISO, IVA de importaciones y DAI principalmente.  Impuestos que generaron brecha negativa en el año fueron los no administrados por SAT que al mes de noviembre significo Q194.4 millones.</w:t>
      </w:r>
    </w:p>
    <w:p w14:paraId="5FA17656" w14:textId="77777777" w:rsidR="00DB2D0A" w:rsidRPr="00062207" w:rsidRDefault="00DB2D0A" w:rsidP="00DB2D0A">
      <w:pPr>
        <w:jc w:val="both"/>
        <w:rPr>
          <w:rFonts w:ascii="Times New Roman" w:hAnsi="Times New Roman" w:cs="Times New Roman"/>
          <w:b/>
          <w:highlight w:val="yellow"/>
        </w:rPr>
      </w:pPr>
    </w:p>
    <w:p w14:paraId="504599F5" w14:textId="77777777" w:rsidR="00DB2D0A" w:rsidRPr="00062207" w:rsidRDefault="00DB2D0A" w:rsidP="00DB2D0A">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center"/>
        <w:rPr>
          <w:rFonts w:ascii="Times New Roman" w:hAnsi="Times New Roman" w:cs="Times New Roman"/>
          <w:b/>
          <w:szCs w:val="22"/>
          <w:lang w:val="es-MX"/>
        </w:rPr>
      </w:pPr>
      <w:r w:rsidRPr="00062207">
        <w:rPr>
          <w:rFonts w:ascii="Times New Roman" w:hAnsi="Times New Roman" w:cs="Times New Roman"/>
          <w:b/>
          <w:szCs w:val="22"/>
          <w:lang w:val="es-MX"/>
        </w:rPr>
        <w:t>Impuestos no administrados por SAT</w:t>
      </w:r>
    </w:p>
    <w:p w14:paraId="1930283E" w14:textId="77777777" w:rsidR="00DB2D0A" w:rsidRPr="00062207" w:rsidRDefault="00DB2D0A" w:rsidP="00DB2D0A">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bCs/>
          <w:sz w:val="22"/>
          <w:szCs w:val="22"/>
          <w:lang w:val="es-MX"/>
        </w:rPr>
      </w:pPr>
    </w:p>
    <w:p w14:paraId="6587F7F8" w14:textId="132F6AF0" w:rsidR="00DB2D0A" w:rsidRPr="00062207" w:rsidRDefault="00062207" w:rsidP="00DB2D0A">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bCs/>
          <w:sz w:val="22"/>
          <w:szCs w:val="22"/>
          <w:lang w:val="es-MX"/>
        </w:rPr>
      </w:pPr>
      <w:r w:rsidRPr="00062207">
        <w:rPr>
          <w:rFonts w:ascii="Times New Roman" w:hAnsi="Times New Roman" w:cs="Times New Roman"/>
          <w:bCs/>
          <w:sz w:val="22"/>
          <w:szCs w:val="22"/>
          <w:lang w:val="es-MX"/>
        </w:rPr>
        <w:t>Información publicada por el Instituto Guatemalteco de Turismo -INGUAT- da cuenta de la recuperación interanual en el número de visitantes no residentes acumulados a diciembre de 2021 (12%), si la comparación se realiza respecto a 2019 (año sin pandemia) se observa una caída de 74%, otro factor importante a destacar es que de conformidad a las estadísticas del INGUAT al mes de diciembre se reporta que se tuvieron 3,908 excursionistas por cruceros, en 2020 no se registró ningún visitante por esta vía.</w:t>
      </w:r>
    </w:p>
    <w:p w14:paraId="1D26332F" w14:textId="77777777" w:rsidR="00062207" w:rsidRPr="00062207" w:rsidRDefault="00062207" w:rsidP="00DB2D0A">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bCs/>
          <w:sz w:val="22"/>
          <w:szCs w:val="22"/>
          <w:lang w:val="es-MX"/>
        </w:rPr>
      </w:pPr>
    </w:p>
    <w:p w14:paraId="2C40BF4F" w14:textId="7EE8B383" w:rsidR="00DB2D0A" w:rsidRPr="00062207" w:rsidRDefault="00062207" w:rsidP="00DB2D0A">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center"/>
        <w:rPr>
          <w:rFonts w:ascii="Times New Roman" w:hAnsi="Times New Roman" w:cs="Times New Roman"/>
          <w:bCs/>
          <w:sz w:val="22"/>
          <w:szCs w:val="22"/>
          <w:lang w:val="es-MX"/>
        </w:rPr>
      </w:pPr>
      <w:r w:rsidRPr="00062207">
        <w:rPr>
          <w:rFonts w:ascii="Times New Roman" w:hAnsi="Times New Roman" w:cs="Times New Roman"/>
          <w:bCs/>
          <w:noProof/>
          <w:sz w:val="22"/>
          <w:szCs w:val="22"/>
          <w:lang w:val="es-GT" w:eastAsia="es-GT"/>
        </w:rPr>
        <w:drawing>
          <wp:inline distT="0" distB="0" distL="0" distR="0" wp14:anchorId="403BB621" wp14:editId="4DC6EE79">
            <wp:extent cx="4031615" cy="1784908"/>
            <wp:effectExtent l="0" t="0" r="6985" b="6350"/>
            <wp:docPr id="67" name="Gráfico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4AF807D9" w14:textId="5ADE55D5" w:rsidR="00DB2D0A" w:rsidRPr="00062207" w:rsidRDefault="003810EA" w:rsidP="003810EA">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firstLine="424"/>
        <w:jc w:val="both"/>
        <w:rPr>
          <w:rFonts w:ascii="Times New Roman" w:hAnsi="Times New Roman" w:cs="Times New Roman"/>
          <w:bCs/>
          <w:sz w:val="18"/>
          <w:szCs w:val="18"/>
          <w:lang w:val="es-MX"/>
        </w:rPr>
      </w:pPr>
      <w:r w:rsidRPr="00062207">
        <w:rPr>
          <w:rFonts w:ascii="Times New Roman" w:hAnsi="Times New Roman" w:cs="Times New Roman"/>
          <w:bCs/>
          <w:sz w:val="18"/>
          <w:szCs w:val="18"/>
          <w:lang w:val="es-MX"/>
        </w:rPr>
        <w:t xml:space="preserve">                    Fuente: Instituto Guatemalteco de Turismo.</w:t>
      </w:r>
    </w:p>
    <w:p w14:paraId="196BF8CF" w14:textId="77777777" w:rsidR="003810EA" w:rsidRPr="00062207" w:rsidRDefault="003810EA" w:rsidP="00DB2D0A">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bCs/>
          <w:sz w:val="22"/>
          <w:szCs w:val="22"/>
          <w:lang w:val="es-MX"/>
        </w:rPr>
      </w:pPr>
    </w:p>
    <w:p w14:paraId="28C7B2EB" w14:textId="77777777" w:rsidR="00062207" w:rsidRPr="00062207" w:rsidRDefault="00062207" w:rsidP="00062207">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bCs/>
          <w:sz w:val="22"/>
          <w:szCs w:val="22"/>
          <w:lang w:val="es-MX"/>
        </w:rPr>
      </w:pPr>
      <w:r w:rsidRPr="00062207">
        <w:rPr>
          <w:rFonts w:ascii="Times New Roman" w:hAnsi="Times New Roman" w:cs="Times New Roman"/>
          <w:bCs/>
          <w:sz w:val="22"/>
          <w:szCs w:val="22"/>
          <w:lang w:val="es-MX"/>
        </w:rPr>
        <w:t>Para el caso de las regalías e hidrocarburos compartibles según cifras del Ministerio de Energía y Minas se observa que el volumen exportado de petróleo y sus derivados a diciembre tiene un crecimiento del 10.5% respecto a lo observado en 2020, si la comparación se realiza respecto a 2019 se observa una caída del 11.4% en el volumen exportado.</w:t>
      </w:r>
    </w:p>
    <w:p w14:paraId="6C163F48" w14:textId="77777777" w:rsidR="00DB2D0A" w:rsidRPr="00062207" w:rsidRDefault="00DB2D0A" w:rsidP="00DB2D0A">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bCs/>
          <w:sz w:val="22"/>
          <w:szCs w:val="22"/>
          <w:lang w:val="es-MX"/>
        </w:rPr>
      </w:pPr>
    </w:p>
    <w:p w14:paraId="2C868DAA" w14:textId="77777777" w:rsidR="00DB2D0A" w:rsidRPr="00062207" w:rsidRDefault="00DB2D0A" w:rsidP="00DB2D0A">
      <w:pPr>
        <w:jc w:val="both"/>
        <w:rPr>
          <w:rFonts w:ascii="Times New Roman" w:hAnsi="Times New Roman" w:cs="Times New Roman"/>
          <w:highlight w:val="yellow"/>
        </w:rPr>
      </w:pPr>
    </w:p>
    <w:p w14:paraId="5CCCF786" w14:textId="139A0E3E" w:rsidR="00515C74" w:rsidRPr="00062207" w:rsidRDefault="00062207" w:rsidP="00515C74">
      <w:pPr>
        <w:jc w:val="both"/>
        <w:rPr>
          <w:rFonts w:ascii="Times New Roman" w:hAnsi="Times New Roman" w:cs="Times New Roman"/>
          <w:sz w:val="22"/>
          <w:szCs w:val="22"/>
        </w:rPr>
      </w:pPr>
      <w:r w:rsidRPr="00062207">
        <w:rPr>
          <w:rFonts w:ascii="Times New Roman" w:hAnsi="Times New Roman" w:cs="Times New Roman"/>
          <w:sz w:val="22"/>
          <w:szCs w:val="22"/>
        </w:rPr>
        <w:t>La recaudación tributaria acumulada a diciembre genera una brecha positiva de Q13,991.4 millones respecto a la meta de presupuesto</w:t>
      </w:r>
      <w:r w:rsidRPr="00062207">
        <w:rPr>
          <w:rStyle w:val="Refdenotaalpie"/>
          <w:rFonts w:ascii="Times New Roman" w:hAnsi="Times New Roman" w:cs="Times New Roman"/>
          <w:sz w:val="22"/>
          <w:szCs w:val="22"/>
        </w:rPr>
        <w:footnoteReference w:id="1"/>
      </w:r>
      <w:r w:rsidRPr="00062207">
        <w:rPr>
          <w:rFonts w:ascii="Times New Roman" w:hAnsi="Times New Roman" w:cs="Times New Roman"/>
          <w:sz w:val="22"/>
          <w:szCs w:val="22"/>
        </w:rPr>
        <w:t>.  Aspectos importantes que generan resultados positivos son la recuperación de los impuestos asociados al comercio exterior; el consumo interno, a través del IVA; y, el impuesto a la distribución de derivados del petróleo y el impuesto sobre la renta.</w:t>
      </w:r>
    </w:p>
    <w:p w14:paraId="2BF9F8A1" w14:textId="4001BB09" w:rsidR="00DB2D0A" w:rsidRPr="00062207" w:rsidRDefault="00062207" w:rsidP="00515C74">
      <w:pPr>
        <w:jc w:val="both"/>
        <w:rPr>
          <w:rFonts w:ascii="Times New Roman" w:hAnsi="Times New Roman" w:cs="Times New Roman"/>
          <w:sz w:val="22"/>
          <w:szCs w:val="22"/>
        </w:rPr>
      </w:pPr>
      <w:r w:rsidRPr="00062207">
        <w:rPr>
          <w:rFonts w:ascii="Times New Roman" w:hAnsi="Times New Roman" w:cs="Times New Roman"/>
          <w:sz w:val="22"/>
          <w:szCs w:val="22"/>
        </w:rPr>
        <w:lastRenderedPageBreak/>
        <w:t>En la comparación interanual acumulada destaca también la recuperación de la recaudación asociada al comercio internacional, la cual crece a diciembre en 43.1% (Q7,144.4 millones) respecto a lo observado en 2020, si la comparación se realiza contra el año 2019 el crecimiento es menor (31.6%).  El IVA de importaciones supera lo observado en 2020 en Q6,146.4 millones y los derechos arancelarios en Q998.0 millones. Este crecimiento en las cifras de comercio para el ejercicio 2021 se ve influenciado primero, por el efecto de la pandemia del virus SARS-COV2 en 2020, año en el cual se contrajeron las negociaciones comerciales producto de las medidas adoptadas por los gobiernos, segundo, por el esfuerzo y trabajo realizado por la Superintendencia de Administración Tributaria en el ramo de aduanas, en donde siguen implementado acciones para combatir la defraudación y el contrabando tales como, mayor eficiencia del control aduanero, seguimiento del plan de combate al contrabando aduanero mediante la puesta en marcha de puestos de control interinstitucional (a la fecha van 6) a la simplificación, automatización y transparencia en el ingreso y salida de la carga vía aérea, fortalecimiento de la gestión de riesgo, operativos interinstitucionales en aduanas aéreas, terrestres, marítimas, puestos fronterizos, depósitos aduaneros y zonas francas, fortalecimiento del intercambio de información con otros Estados Partes, fortalecimiento de la valoración aduanera  y a las mejoras en el tiempo de atención de solicitudes entre otras.</w:t>
      </w:r>
      <w:r w:rsidR="00DB2D0A" w:rsidRPr="00062207">
        <w:rPr>
          <w:rFonts w:ascii="Times New Roman" w:hAnsi="Times New Roman" w:cs="Times New Roman"/>
          <w:sz w:val="22"/>
          <w:szCs w:val="22"/>
        </w:rPr>
        <w:t xml:space="preserve"> </w:t>
      </w:r>
    </w:p>
    <w:p w14:paraId="72D23BFA" w14:textId="3482533A" w:rsidR="00515C74" w:rsidRPr="00062207" w:rsidRDefault="00515C74" w:rsidP="00DB2D0A">
      <w:pPr>
        <w:jc w:val="both"/>
        <w:rPr>
          <w:rFonts w:ascii="Times New Roman" w:hAnsi="Times New Roman" w:cs="Times New Roman"/>
          <w:sz w:val="22"/>
          <w:szCs w:val="22"/>
        </w:rPr>
      </w:pPr>
    </w:p>
    <w:p w14:paraId="17667EC4" w14:textId="77777777" w:rsidR="00515C74" w:rsidRPr="00062207" w:rsidRDefault="00515C74" w:rsidP="00DB2D0A">
      <w:pPr>
        <w:jc w:val="both"/>
        <w:rPr>
          <w:rFonts w:ascii="Times New Roman" w:hAnsi="Times New Roman" w:cs="Times New Roman"/>
          <w:sz w:val="22"/>
          <w:szCs w:val="22"/>
        </w:rPr>
      </w:pPr>
    </w:p>
    <w:p w14:paraId="0CE975C1" w14:textId="77777777" w:rsidR="00DB2D0A" w:rsidRPr="00062207" w:rsidRDefault="00DB2D0A" w:rsidP="00DB2D0A">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center"/>
        <w:rPr>
          <w:rFonts w:ascii="Times New Roman" w:hAnsi="Times New Roman" w:cs="Times New Roman"/>
          <w:b/>
          <w:szCs w:val="22"/>
          <w:lang w:val="es-MX"/>
        </w:rPr>
      </w:pPr>
      <w:r w:rsidRPr="00062207">
        <w:rPr>
          <w:rFonts w:ascii="Times New Roman" w:hAnsi="Times New Roman" w:cs="Times New Roman"/>
          <w:b/>
          <w:szCs w:val="22"/>
          <w:lang w:val="es-MX"/>
        </w:rPr>
        <w:t>Acciones realizadas por SAT</w:t>
      </w:r>
    </w:p>
    <w:p w14:paraId="735734E4" w14:textId="77777777" w:rsidR="00DB2D0A" w:rsidRPr="00062207" w:rsidRDefault="00DB2D0A" w:rsidP="00DB2D0A">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bCs/>
          <w:sz w:val="22"/>
          <w:szCs w:val="22"/>
          <w:lang w:val="es-MX"/>
        </w:rPr>
      </w:pPr>
    </w:p>
    <w:p w14:paraId="73950F7A" w14:textId="4BA2D92A" w:rsidR="00DB2D0A" w:rsidRPr="00062207" w:rsidRDefault="00DB2D0A" w:rsidP="00DB2D0A">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bCs/>
          <w:sz w:val="22"/>
          <w:szCs w:val="22"/>
          <w:lang w:val="es-MX"/>
        </w:rPr>
      </w:pPr>
      <w:r w:rsidRPr="00062207">
        <w:rPr>
          <w:rFonts w:ascii="Times New Roman" w:hAnsi="Times New Roman" w:cs="Times New Roman"/>
          <w:bCs/>
          <w:sz w:val="22"/>
          <w:szCs w:val="22"/>
          <w:lang w:val="es-MX"/>
        </w:rPr>
        <w:t>Facilitación y simplificación sobre una base de soluciones tecnológicas</w:t>
      </w:r>
    </w:p>
    <w:p w14:paraId="387FB6E1" w14:textId="4171F78D" w:rsidR="00DB2D0A" w:rsidRPr="00062207" w:rsidRDefault="008C3540" w:rsidP="00DB2D0A">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bCs/>
          <w:sz w:val="22"/>
          <w:szCs w:val="22"/>
          <w:lang w:val="es-MX"/>
        </w:rPr>
      </w:pPr>
      <w:r w:rsidRPr="00062207">
        <w:rPr>
          <w:rFonts w:ascii="Times New Roman" w:hAnsi="Times New Roman" w:cs="Times New Roman"/>
          <w:bCs/>
          <w:noProof/>
          <w:sz w:val="22"/>
          <w:szCs w:val="22"/>
          <w:lang w:val="es-GT" w:eastAsia="es-GT"/>
        </w:rPr>
        <w:drawing>
          <wp:anchor distT="0" distB="0" distL="114300" distR="114300" simplePos="0" relativeHeight="251811840" behindDoc="0" locked="0" layoutInCell="1" allowOverlap="1" wp14:anchorId="6F650481" wp14:editId="25E13802">
            <wp:simplePos x="0" y="0"/>
            <wp:positionH relativeFrom="column">
              <wp:posOffset>656811</wp:posOffset>
            </wp:positionH>
            <wp:positionV relativeFrom="paragraph">
              <wp:posOffset>59498</wp:posOffset>
            </wp:positionV>
            <wp:extent cx="4678045" cy="1852551"/>
            <wp:effectExtent l="0" t="0" r="0" b="0"/>
            <wp:wrapNone/>
            <wp:docPr id="68" name="Imagen 8" descr="Escala de tiempo&#10;&#10;Descripción generada automáticamente">
              <a:extLst xmlns:a="http://schemas.openxmlformats.org/drawingml/2006/main">
                <a:ext uri="{FF2B5EF4-FFF2-40B4-BE49-F238E27FC236}">
                  <a16:creationId xmlns:a16="http://schemas.microsoft.com/office/drawing/2014/main" id="{9BBB89C6-48C2-4F19-A5E5-2CED9C44A7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8" descr="Escala de tiempo&#10;&#10;Descripción generada automáticamente">
                      <a:extLst>
                        <a:ext uri="{FF2B5EF4-FFF2-40B4-BE49-F238E27FC236}">
                          <a16:creationId xmlns:a16="http://schemas.microsoft.com/office/drawing/2014/main" id="{9BBB89C6-48C2-4F19-A5E5-2CED9C44A735}"/>
                        </a:ext>
                      </a:extLst>
                    </pic:cNvPr>
                    <pic:cNvPicPr>
                      <a:picLocks noChangeAspect="1"/>
                    </pic:cNvPicPr>
                  </pic:nvPicPr>
                  <pic:blipFill rotWithShape="1">
                    <a:blip r:embed="rId17"/>
                    <a:srcRect t="9603" b="13554"/>
                    <a:stretch/>
                  </pic:blipFill>
                  <pic:spPr bwMode="auto">
                    <a:xfrm>
                      <a:off x="0" y="0"/>
                      <a:ext cx="4678045" cy="185255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979D73" w14:textId="77777777" w:rsidR="00DB2D0A" w:rsidRPr="00062207" w:rsidRDefault="00DB2D0A" w:rsidP="00DB2D0A">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bCs/>
          <w:sz w:val="22"/>
          <w:szCs w:val="22"/>
          <w:lang w:val="es-MX"/>
        </w:rPr>
      </w:pPr>
    </w:p>
    <w:p w14:paraId="517FF1BC" w14:textId="77777777" w:rsidR="00DB2D0A" w:rsidRPr="00062207" w:rsidRDefault="00DB2D0A" w:rsidP="00DB2D0A">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bCs/>
          <w:sz w:val="22"/>
          <w:szCs w:val="22"/>
          <w:lang w:val="es-MX"/>
        </w:rPr>
      </w:pPr>
    </w:p>
    <w:p w14:paraId="3469928A" w14:textId="77777777" w:rsidR="00DB2D0A" w:rsidRPr="00062207" w:rsidRDefault="00DB2D0A" w:rsidP="00DB2D0A">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bCs/>
          <w:sz w:val="22"/>
          <w:szCs w:val="22"/>
          <w:lang w:val="es-MX"/>
        </w:rPr>
      </w:pPr>
    </w:p>
    <w:p w14:paraId="5127786C" w14:textId="77777777" w:rsidR="00DB2D0A" w:rsidRPr="00062207" w:rsidRDefault="00DB2D0A" w:rsidP="00DB2D0A">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bCs/>
          <w:sz w:val="22"/>
          <w:szCs w:val="22"/>
          <w:lang w:val="es-MX"/>
        </w:rPr>
      </w:pPr>
    </w:p>
    <w:p w14:paraId="72439B3A" w14:textId="77777777" w:rsidR="00DB2D0A" w:rsidRPr="00062207" w:rsidRDefault="00DB2D0A" w:rsidP="00DB2D0A">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bCs/>
          <w:sz w:val="22"/>
          <w:szCs w:val="22"/>
          <w:lang w:val="es-MX"/>
        </w:rPr>
      </w:pPr>
    </w:p>
    <w:p w14:paraId="26A6F1AA" w14:textId="77777777" w:rsidR="00DB2D0A" w:rsidRPr="00062207" w:rsidRDefault="00DB2D0A" w:rsidP="00DB2D0A">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bCs/>
          <w:sz w:val="22"/>
          <w:szCs w:val="22"/>
          <w:lang w:val="es-MX"/>
        </w:rPr>
      </w:pPr>
    </w:p>
    <w:p w14:paraId="6D91C851" w14:textId="4D277518" w:rsidR="00DB2D0A" w:rsidRPr="00062207" w:rsidRDefault="00DB2D0A" w:rsidP="00DB2D0A">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bCs/>
          <w:sz w:val="22"/>
          <w:szCs w:val="22"/>
          <w:lang w:val="es-MX"/>
        </w:rPr>
      </w:pPr>
    </w:p>
    <w:p w14:paraId="7DC3E684" w14:textId="54CC02DF" w:rsidR="003810EA" w:rsidRPr="00062207" w:rsidRDefault="003810EA" w:rsidP="00DB2D0A">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bCs/>
          <w:sz w:val="22"/>
          <w:szCs w:val="22"/>
          <w:lang w:val="es-MX"/>
        </w:rPr>
      </w:pPr>
    </w:p>
    <w:p w14:paraId="31970CF0" w14:textId="4BBAB24C" w:rsidR="003810EA" w:rsidRPr="00062207" w:rsidRDefault="003810EA" w:rsidP="00DB2D0A">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bCs/>
          <w:sz w:val="22"/>
          <w:szCs w:val="22"/>
          <w:lang w:val="es-MX"/>
        </w:rPr>
      </w:pPr>
    </w:p>
    <w:p w14:paraId="5456E4FA" w14:textId="323611AB" w:rsidR="003810EA" w:rsidRPr="00062207" w:rsidRDefault="003810EA" w:rsidP="00DB2D0A">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bCs/>
          <w:sz w:val="22"/>
          <w:szCs w:val="22"/>
          <w:lang w:val="es-MX"/>
        </w:rPr>
      </w:pPr>
    </w:p>
    <w:p w14:paraId="5F50A336" w14:textId="77777777" w:rsidR="003810EA" w:rsidRPr="00062207" w:rsidRDefault="003810EA" w:rsidP="00DB2D0A">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bCs/>
          <w:sz w:val="22"/>
          <w:szCs w:val="22"/>
          <w:lang w:val="es-MX"/>
        </w:rPr>
      </w:pPr>
    </w:p>
    <w:p w14:paraId="0CBEC929" w14:textId="77777777" w:rsidR="00DB2D0A" w:rsidRPr="00062207" w:rsidRDefault="00DB2D0A" w:rsidP="00DB2D0A">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bCs/>
          <w:sz w:val="22"/>
          <w:szCs w:val="22"/>
          <w:lang w:val="es-MX"/>
        </w:rPr>
      </w:pPr>
      <w:r w:rsidRPr="00062207">
        <w:rPr>
          <w:rFonts w:ascii="Times New Roman" w:hAnsi="Times New Roman" w:cs="Times New Roman"/>
          <w:bCs/>
          <w:sz w:val="22"/>
          <w:szCs w:val="22"/>
          <w:lang w:val="es-MX"/>
        </w:rPr>
        <w:t>Acciones de mejora del control de la recaudación y del comercio exterior a través del Gobierno de Datos y el Riesgo Tributario.</w:t>
      </w:r>
    </w:p>
    <w:p w14:paraId="0E37D595" w14:textId="1B744343" w:rsidR="00DB2D0A" w:rsidRPr="00062207" w:rsidRDefault="008C3540" w:rsidP="00DB2D0A">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bCs/>
          <w:sz w:val="22"/>
          <w:szCs w:val="22"/>
          <w:lang w:val="es-MX"/>
        </w:rPr>
      </w:pPr>
      <w:r w:rsidRPr="00062207">
        <w:rPr>
          <w:noProof/>
          <w:lang w:val="es-GT" w:eastAsia="es-GT"/>
        </w:rPr>
        <w:t xml:space="preserve">          </w:t>
      </w:r>
      <w:r w:rsidR="00DB2D0A" w:rsidRPr="00062207">
        <w:rPr>
          <w:noProof/>
          <w:lang w:val="es-GT" w:eastAsia="es-GT"/>
        </w:rPr>
        <w:drawing>
          <wp:inline distT="0" distB="0" distL="0" distR="0" wp14:anchorId="4637FF60" wp14:editId="6D4CD825">
            <wp:extent cx="5017092" cy="2200629"/>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4725"/>
                    <a:stretch/>
                  </pic:blipFill>
                  <pic:spPr bwMode="auto">
                    <a:xfrm>
                      <a:off x="0" y="0"/>
                      <a:ext cx="5018488" cy="2201241"/>
                    </a:xfrm>
                    <a:prstGeom prst="rect">
                      <a:avLst/>
                    </a:prstGeom>
                    <a:noFill/>
                    <a:ln>
                      <a:noFill/>
                    </a:ln>
                    <a:extLst>
                      <a:ext uri="{53640926-AAD7-44D8-BBD7-CCE9431645EC}">
                        <a14:shadowObscured xmlns:a14="http://schemas.microsoft.com/office/drawing/2010/main"/>
                      </a:ext>
                    </a:extLst>
                  </pic:spPr>
                </pic:pic>
              </a:graphicData>
            </a:graphic>
          </wp:inline>
        </w:drawing>
      </w:r>
    </w:p>
    <w:p w14:paraId="0F0964A3" w14:textId="3B84E501" w:rsidR="00DB2D0A" w:rsidRPr="00062207" w:rsidRDefault="00DB2D0A" w:rsidP="00DB2D0A">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18"/>
          <w:szCs w:val="16"/>
          <w:lang w:val="es-MX"/>
        </w:rPr>
      </w:pPr>
      <w:r w:rsidRPr="00062207">
        <w:rPr>
          <w:rFonts w:ascii="Times New Roman" w:hAnsi="Times New Roman" w:cs="Times New Roman"/>
          <w:sz w:val="18"/>
          <w:szCs w:val="16"/>
          <w:lang w:val="es-MX"/>
        </w:rPr>
        <w:t>Fuente: Superintendencia de Administración Tributaria</w:t>
      </w:r>
      <w:r w:rsidR="003810EA" w:rsidRPr="00062207">
        <w:rPr>
          <w:rFonts w:ascii="Times New Roman" w:hAnsi="Times New Roman" w:cs="Times New Roman"/>
          <w:sz w:val="18"/>
          <w:szCs w:val="16"/>
          <w:lang w:val="es-MX"/>
        </w:rPr>
        <w:t>.</w:t>
      </w:r>
      <w:r w:rsidRPr="00062207">
        <w:rPr>
          <w:rFonts w:ascii="Times New Roman" w:hAnsi="Times New Roman" w:cs="Times New Roman"/>
          <w:sz w:val="18"/>
          <w:szCs w:val="16"/>
          <w:lang w:val="es-MX"/>
        </w:rPr>
        <w:t xml:space="preserve"> </w:t>
      </w:r>
    </w:p>
    <w:p w14:paraId="76667AD5" w14:textId="77777777" w:rsidR="00DB2D0A" w:rsidRPr="00062207" w:rsidRDefault="00DB2D0A" w:rsidP="00DB2D0A">
      <w:pPr>
        <w:pStyle w:val="Prrafodelista"/>
        <w:ind w:left="862"/>
        <w:jc w:val="both"/>
        <w:outlineLvl w:val="2"/>
        <w:rPr>
          <w:rFonts w:ascii="Times New Roman" w:hAnsi="Times New Roman" w:cs="Times New Roman"/>
          <w:b/>
          <w:lang w:val="es-MX"/>
        </w:rPr>
      </w:pPr>
      <w:bookmarkStart w:id="42" w:name="_Toc31612759"/>
      <w:bookmarkStart w:id="43" w:name="_Toc31612791"/>
      <w:bookmarkStart w:id="44" w:name="_Toc31614817"/>
      <w:bookmarkStart w:id="45" w:name="_Toc31614849"/>
      <w:bookmarkStart w:id="46" w:name="_Toc31618686"/>
      <w:bookmarkStart w:id="47" w:name="_Toc31618719"/>
      <w:bookmarkStart w:id="48" w:name="_Toc31624495"/>
      <w:bookmarkStart w:id="49" w:name="_Toc62724045"/>
      <w:bookmarkStart w:id="50" w:name="_Toc62724108"/>
      <w:bookmarkStart w:id="51" w:name="_Toc62724192"/>
      <w:bookmarkStart w:id="52" w:name="_Toc62724266"/>
      <w:bookmarkStart w:id="53" w:name="_Toc64025423"/>
      <w:bookmarkStart w:id="54" w:name="_Toc62724046"/>
      <w:bookmarkStart w:id="55" w:name="_Toc62724109"/>
      <w:bookmarkStart w:id="56" w:name="_Toc62724193"/>
      <w:bookmarkStart w:id="57" w:name="_Toc62724267"/>
      <w:bookmarkStart w:id="58" w:name="_Toc64025424"/>
      <w:bookmarkStart w:id="59" w:name="_Toc62724047"/>
      <w:bookmarkStart w:id="60" w:name="_Toc62724110"/>
      <w:bookmarkStart w:id="61" w:name="_Toc62724194"/>
      <w:bookmarkStart w:id="62" w:name="_Toc62724268"/>
      <w:bookmarkStart w:id="63" w:name="_Toc64025425"/>
      <w:bookmarkStart w:id="64" w:name="_Toc62724048"/>
      <w:bookmarkStart w:id="65" w:name="_Toc62724111"/>
      <w:bookmarkStart w:id="66" w:name="_Toc62724195"/>
      <w:bookmarkStart w:id="67" w:name="_Toc62724269"/>
      <w:bookmarkStart w:id="68" w:name="_Toc64025426"/>
      <w:bookmarkStart w:id="69" w:name="_Toc62724049"/>
      <w:bookmarkStart w:id="70" w:name="_Toc62724112"/>
      <w:bookmarkStart w:id="71" w:name="_Toc62724196"/>
      <w:bookmarkStart w:id="72" w:name="_Toc62724270"/>
      <w:bookmarkStart w:id="73" w:name="_Toc64025427"/>
      <w:bookmarkStart w:id="74" w:name="_Toc64025428"/>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p>
    <w:p w14:paraId="5483315E" w14:textId="77777777" w:rsidR="00DB2D0A" w:rsidRPr="00062207" w:rsidRDefault="00DB2D0A" w:rsidP="00C864CF">
      <w:pPr>
        <w:pStyle w:val="Ttulo2"/>
        <w:numPr>
          <w:ilvl w:val="2"/>
          <w:numId w:val="12"/>
        </w:numPr>
        <w:tabs>
          <w:tab w:val="left" w:pos="1134"/>
        </w:tabs>
        <w:spacing w:before="0"/>
        <w:ind w:left="709" w:hanging="283"/>
        <w:jc w:val="both"/>
        <w:rPr>
          <w:rFonts w:ascii="Times New Roman" w:hAnsi="Times New Roman" w:cs="Times New Roman"/>
          <w:color w:val="auto"/>
          <w:sz w:val="24"/>
        </w:rPr>
      </w:pPr>
      <w:bookmarkStart w:id="75" w:name="_Toc94259622"/>
      <w:r w:rsidRPr="00062207">
        <w:rPr>
          <w:rFonts w:ascii="Times New Roman" w:hAnsi="Times New Roman" w:cs="Times New Roman"/>
          <w:color w:val="auto"/>
          <w:sz w:val="24"/>
        </w:rPr>
        <w:lastRenderedPageBreak/>
        <w:t>Impuesto sobre la renta -ISR-</w:t>
      </w:r>
      <w:bookmarkEnd w:id="74"/>
      <w:bookmarkEnd w:id="75"/>
    </w:p>
    <w:p w14:paraId="4809C3E1" w14:textId="77777777" w:rsidR="00DB2D0A" w:rsidRPr="00062207" w:rsidRDefault="00DB2D0A" w:rsidP="00DB2D0A">
      <w:pPr>
        <w:jc w:val="both"/>
        <w:rPr>
          <w:rFonts w:ascii="Times New Roman" w:hAnsi="Times New Roman" w:cs="Times New Roman"/>
          <w:lang w:val="es-MX"/>
        </w:rPr>
      </w:pPr>
    </w:p>
    <w:p w14:paraId="28AEB939" w14:textId="77777777" w:rsidR="00062207" w:rsidRPr="00062207" w:rsidRDefault="00062207" w:rsidP="00062207">
      <w:pPr>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t>El ISR luego de vencimientos importantes como la liquidación anual en marzo y los pagos trimestrales percibidos en el año, y los efectos de la pandemia, este impuesto mostró recuperación creciendo en 39.0% respecto a lo observado a finales de 2020, el régimen de actividades lucrativas se recuperó creciendo en 35.2% respecto a 2020 siendo el régimen sobre ingresos el que más aportó a este resultado, los otros regímenes (relación de dependencia, retención a no domiciliados, productos financieros y otros ingresos) mostraron resultados positivos, es importante hacer notar que si la comparación se realiza respecto al año 2019 (año sin pandemia) el ISR creció en 36.2%.</w:t>
      </w:r>
    </w:p>
    <w:p w14:paraId="52048F94" w14:textId="77777777" w:rsidR="00062207" w:rsidRPr="00062207" w:rsidRDefault="00062207" w:rsidP="00062207">
      <w:pPr>
        <w:jc w:val="both"/>
        <w:rPr>
          <w:rFonts w:ascii="Times New Roman" w:hAnsi="Times New Roman" w:cs="Times New Roman"/>
          <w:sz w:val="22"/>
          <w:szCs w:val="22"/>
          <w:lang w:val="es-MX"/>
        </w:rPr>
      </w:pPr>
    </w:p>
    <w:p w14:paraId="6ADFC29E" w14:textId="233D456E" w:rsidR="00DB2D0A" w:rsidRPr="00062207" w:rsidRDefault="00062207" w:rsidP="00062207">
      <w:pPr>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t>La SAT ha implementado mecanismos que permitieran aumentar la percepción de riesgo de los contribuyentes, a la facilitación de suscripción de convenios de pago, mejoras en el RTU, mejoras en la gestión de fiscalización y gestión judicial han permitido que los resultados en el ISR sean evidentes.</w:t>
      </w:r>
    </w:p>
    <w:p w14:paraId="009D5CB0" w14:textId="77777777" w:rsidR="00062207" w:rsidRPr="00062207" w:rsidRDefault="00062207" w:rsidP="00062207">
      <w:pPr>
        <w:jc w:val="both"/>
        <w:rPr>
          <w:rFonts w:ascii="Times New Roman" w:hAnsi="Times New Roman" w:cs="Times New Roman"/>
          <w:b/>
          <w:bCs/>
          <w:sz w:val="22"/>
          <w:szCs w:val="22"/>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9"/>
        <w:gridCol w:w="4549"/>
      </w:tblGrid>
      <w:tr w:rsidR="00062207" w:rsidRPr="00062207" w14:paraId="51FE4260" w14:textId="77777777" w:rsidTr="00A963D6">
        <w:tc>
          <w:tcPr>
            <w:tcW w:w="4419" w:type="dxa"/>
          </w:tcPr>
          <w:p w14:paraId="253A1B2A" w14:textId="77777777" w:rsidR="00DB2D0A" w:rsidRPr="00062207" w:rsidRDefault="00DB2D0A" w:rsidP="00A963D6">
            <w:pPr>
              <w:jc w:val="center"/>
              <w:rPr>
                <w:rFonts w:ascii="Times New Roman" w:hAnsi="Times New Roman" w:cs="Times New Roman"/>
                <w:b/>
                <w:sz w:val="22"/>
                <w:szCs w:val="20"/>
                <w:lang w:val="es-MX"/>
              </w:rPr>
            </w:pPr>
            <w:r w:rsidRPr="00062207">
              <w:rPr>
                <w:rFonts w:ascii="Times New Roman" w:hAnsi="Times New Roman" w:cs="Times New Roman"/>
                <w:b/>
                <w:sz w:val="22"/>
                <w:szCs w:val="20"/>
                <w:lang w:val="es-MX"/>
              </w:rPr>
              <w:t>Variación del ISR de actividades lucrativas</w:t>
            </w:r>
          </w:p>
          <w:p w14:paraId="4130E629" w14:textId="77777777" w:rsidR="00DB2D0A" w:rsidRPr="00062207" w:rsidRDefault="00DB2D0A" w:rsidP="00A963D6">
            <w:pPr>
              <w:jc w:val="center"/>
              <w:rPr>
                <w:rFonts w:ascii="Times New Roman" w:hAnsi="Times New Roman" w:cs="Times New Roman"/>
                <w:sz w:val="22"/>
                <w:szCs w:val="22"/>
                <w:lang w:val="es-MX"/>
              </w:rPr>
            </w:pPr>
            <w:r w:rsidRPr="00062207">
              <w:rPr>
                <w:rFonts w:ascii="Times New Roman" w:hAnsi="Times New Roman" w:cs="Times New Roman"/>
                <w:sz w:val="22"/>
                <w:szCs w:val="22"/>
                <w:lang w:val="es-MX"/>
              </w:rPr>
              <w:t>Porcentajes</w:t>
            </w:r>
          </w:p>
        </w:tc>
        <w:tc>
          <w:tcPr>
            <w:tcW w:w="4419" w:type="dxa"/>
          </w:tcPr>
          <w:p w14:paraId="0BFA8CD0" w14:textId="77777777" w:rsidR="00DB2D0A" w:rsidRPr="00062207" w:rsidRDefault="00DB2D0A" w:rsidP="00A963D6">
            <w:pPr>
              <w:jc w:val="center"/>
              <w:rPr>
                <w:rFonts w:ascii="Times New Roman" w:hAnsi="Times New Roman" w:cs="Times New Roman"/>
                <w:b/>
                <w:sz w:val="22"/>
                <w:szCs w:val="20"/>
                <w:lang w:val="es-MX"/>
              </w:rPr>
            </w:pPr>
            <w:r w:rsidRPr="00062207">
              <w:rPr>
                <w:rFonts w:ascii="Times New Roman" w:hAnsi="Times New Roman" w:cs="Times New Roman"/>
                <w:b/>
                <w:sz w:val="22"/>
                <w:szCs w:val="20"/>
                <w:lang w:val="es-MX"/>
              </w:rPr>
              <w:t>Variación del ISR en relación de dependencia</w:t>
            </w:r>
          </w:p>
          <w:p w14:paraId="25F8B9D7" w14:textId="77777777" w:rsidR="00DB2D0A" w:rsidRPr="00062207" w:rsidRDefault="00DB2D0A" w:rsidP="00A963D6">
            <w:pPr>
              <w:jc w:val="center"/>
              <w:rPr>
                <w:rFonts w:ascii="Times New Roman" w:hAnsi="Times New Roman" w:cs="Times New Roman"/>
                <w:sz w:val="22"/>
                <w:szCs w:val="22"/>
                <w:lang w:val="es-MX"/>
              </w:rPr>
            </w:pPr>
            <w:r w:rsidRPr="00062207">
              <w:rPr>
                <w:rFonts w:ascii="Times New Roman" w:hAnsi="Times New Roman" w:cs="Times New Roman"/>
                <w:sz w:val="22"/>
                <w:szCs w:val="22"/>
                <w:lang w:val="es-MX"/>
              </w:rPr>
              <w:t>Porcentajes</w:t>
            </w:r>
          </w:p>
        </w:tc>
      </w:tr>
      <w:tr w:rsidR="00062207" w:rsidRPr="00062207" w14:paraId="1FD891F6" w14:textId="77777777" w:rsidTr="00A963D6">
        <w:tc>
          <w:tcPr>
            <w:tcW w:w="4419" w:type="dxa"/>
          </w:tcPr>
          <w:p w14:paraId="22452B7A" w14:textId="77777777" w:rsidR="00DB2D0A" w:rsidRPr="00062207" w:rsidRDefault="00DB2D0A" w:rsidP="00A963D6">
            <w:pPr>
              <w:jc w:val="both"/>
              <w:rPr>
                <w:rFonts w:ascii="Times New Roman" w:hAnsi="Times New Roman" w:cs="Times New Roman"/>
                <w:sz w:val="22"/>
                <w:szCs w:val="22"/>
                <w:lang w:val="es-MX"/>
              </w:rPr>
            </w:pPr>
            <w:r w:rsidRPr="00062207">
              <w:rPr>
                <w:rFonts w:ascii="Times New Roman" w:hAnsi="Times New Roman" w:cs="Times New Roman"/>
                <w:noProof/>
                <w:sz w:val="22"/>
                <w:szCs w:val="22"/>
                <w:lang w:val="es-GT" w:eastAsia="es-GT"/>
              </w:rPr>
              <w:drawing>
                <wp:inline distT="0" distB="0" distL="0" distR="0" wp14:anchorId="380CEE37" wp14:editId="2F2BEF43">
                  <wp:extent cx="2751455" cy="2106778"/>
                  <wp:effectExtent l="0" t="0" r="0" b="8255"/>
                  <wp:docPr id="70" name="Gráfico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c>
        <w:tc>
          <w:tcPr>
            <w:tcW w:w="4419" w:type="dxa"/>
          </w:tcPr>
          <w:p w14:paraId="52A1AF8D" w14:textId="77777777" w:rsidR="00DB2D0A" w:rsidRPr="00062207" w:rsidRDefault="00DB2D0A" w:rsidP="00A963D6">
            <w:pPr>
              <w:jc w:val="both"/>
              <w:rPr>
                <w:rFonts w:ascii="Times New Roman" w:hAnsi="Times New Roman" w:cs="Times New Roman"/>
                <w:sz w:val="22"/>
                <w:szCs w:val="22"/>
                <w:lang w:val="es-MX"/>
              </w:rPr>
            </w:pPr>
            <w:r w:rsidRPr="00062207">
              <w:rPr>
                <w:rFonts w:ascii="Times New Roman" w:hAnsi="Times New Roman" w:cs="Times New Roman"/>
                <w:noProof/>
                <w:sz w:val="22"/>
                <w:szCs w:val="22"/>
                <w:lang w:val="es-GT" w:eastAsia="es-GT"/>
              </w:rPr>
              <w:drawing>
                <wp:inline distT="0" distB="0" distL="0" distR="0" wp14:anchorId="3230CD91" wp14:editId="09A2DFFF">
                  <wp:extent cx="2751455" cy="2106295"/>
                  <wp:effectExtent l="0" t="0" r="0" b="8255"/>
                  <wp:docPr id="71" name="Gráfico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c>
      </w:tr>
    </w:tbl>
    <w:p w14:paraId="526446C2" w14:textId="0D516DE1" w:rsidR="00DB2D0A" w:rsidRPr="00062207" w:rsidRDefault="003810EA" w:rsidP="00DB2D0A">
      <w:pPr>
        <w:jc w:val="both"/>
        <w:rPr>
          <w:rFonts w:ascii="Times New Roman" w:hAnsi="Times New Roman" w:cs="Times New Roman"/>
          <w:sz w:val="18"/>
          <w:szCs w:val="16"/>
          <w:lang w:val="es-MX"/>
        </w:rPr>
      </w:pPr>
      <w:r w:rsidRPr="00062207">
        <w:rPr>
          <w:rFonts w:ascii="Times New Roman" w:hAnsi="Times New Roman" w:cs="Times New Roman"/>
          <w:sz w:val="18"/>
          <w:szCs w:val="16"/>
          <w:lang w:val="es-MX"/>
        </w:rPr>
        <w:t xml:space="preserve">        </w:t>
      </w:r>
      <w:r w:rsidR="00DB2D0A" w:rsidRPr="00062207">
        <w:rPr>
          <w:rFonts w:ascii="Times New Roman" w:hAnsi="Times New Roman" w:cs="Times New Roman"/>
          <w:sz w:val="18"/>
          <w:szCs w:val="16"/>
          <w:lang w:val="es-MX"/>
        </w:rPr>
        <w:t>Fuente: Dirección de Análisis y Política Fiscal.</w:t>
      </w:r>
    </w:p>
    <w:p w14:paraId="6BFB69C0" w14:textId="77777777" w:rsidR="00DB2D0A" w:rsidRPr="00062207" w:rsidRDefault="00DB2D0A" w:rsidP="00DB2D0A">
      <w:pPr>
        <w:jc w:val="both"/>
        <w:rPr>
          <w:rFonts w:ascii="Times New Roman" w:hAnsi="Times New Roman" w:cs="Times New Roman"/>
          <w:lang w:val="es-MX"/>
        </w:rPr>
      </w:pPr>
    </w:p>
    <w:p w14:paraId="2714CC75" w14:textId="77777777" w:rsidR="00DB2D0A" w:rsidRPr="00062207" w:rsidRDefault="00DB2D0A" w:rsidP="00C864CF">
      <w:pPr>
        <w:pStyle w:val="Ttulo2"/>
        <w:numPr>
          <w:ilvl w:val="2"/>
          <w:numId w:val="12"/>
        </w:numPr>
        <w:tabs>
          <w:tab w:val="left" w:pos="993"/>
        </w:tabs>
        <w:spacing w:before="0"/>
        <w:ind w:hanging="294"/>
        <w:jc w:val="both"/>
        <w:rPr>
          <w:rFonts w:ascii="Times New Roman" w:hAnsi="Times New Roman" w:cs="Times New Roman"/>
          <w:color w:val="auto"/>
          <w:sz w:val="24"/>
        </w:rPr>
      </w:pPr>
      <w:bookmarkStart w:id="76" w:name="_Toc64025429"/>
      <w:bookmarkStart w:id="77" w:name="_Toc94259623"/>
      <w:r w:rsidRPr="00062207">
        <w:rPr>
          <w:rFonts w:ascii="Times New Roman" w:hAnsi="Times New Roman" w:cs="Times New Roman"/>
          <w:color w:val="auto"/>
          <w:sz w:val="24"/>
        </w:rPr>
        <w:t>Impuesto al valor agregado</w:t>
      </w:r>
      <w:bookmarkEnd w:id="76"/>
      <w:bookmarkEnd w:id="77"/>
      <w:r w:rsidRPr="00062207">
        <w:rPr>
          <w:rFonts w:ascii="Times New Roman" w:hAnsi="Times New Roman" w:cs="Times New Roman"/>
          <w:color w:val="auto"/>
          <w:sz w:val="24"/>
        </w:rPr>
        <w:t xml:space="preserve"> </w:t>
      </w:r>
    </w:p>
    <w:p w14:paraId="63F478F2" w14:textId="77777777" w:rsidR="00DB2D0A" w:rsidRPr="00062207" w:rsidRDefault="00DB2D0A" w:rsidP="00DB2D0A">
      <w:pPr>
        <w:jc w:val="both"/>
        <w:rPr>
          <w:rFonts w:ascii="Times New Roman" w:hAnsi="Times New Roman" w:cs="Times New Roman"/>
          <w:sz w:val="22"/>
          <w:lang w:val="es-MX"/>
        </w:rPr>
      </w:pPr>
    </w:p>
    <w:p w14:paraId="34D0D0F4" w14:textId="27649574" w:rsidR="00DB2D0A" w:rsidRPr="00062207" w:rsidRDefault="00062207" w:rsidP="00DB2D0A">
      <w:pPr>
        <w:jc w:val="both"/>
        <w:rPr>
          <w:rFonts w:ascii="Times New Roman" w:hAnsi="Times New Roman" w:cs="Times New Roman"/>
          <w:sz w:val="22"/>
          <w:szCs w:val="22"/>
        </w:rPr>
      </w:pPr>
      <w:r w:rsidRPr="00062207">
        <w:rPr>
          <w:rFonts w:ascii="Times New Roman" w:hAnsi="Times New Roman" w:cs="Times New Roman"/>
          <w:sz w:val="22"/>
          <w:szCs w:val="22"/>
        </w:rPr>
        <w:t>El IVA total mensual en el último trimestre de 2021 no alcanzó la meta de presupuesto y generó una brecha negativa acumulada del trimestre de Q208 millones, esto inclusive con recaudación proveniente del no acreditamiento al fondo de crédito fiscal a los exportadores que acumularía al final del año, ingresos por aproximadamente Q837.8 millones por ese concepto.  La brecha negativa de este impuesto incluyendo el no acreditamiento pasaría a ser cercana a Q1,045.8 millones.</w:t>
      </w:r>
    </w:p>
    <w:p w14:paraId="21B9E4B9" w14:textId="4476E851" w:rsidR="00DB2D0A" w:rsidRPr="00062207" w:rsidRDefault="00DB2D0A" w:rsidP="00DB2D0A">
      <w:pPr>
        <w:jc w:val="both"/>
        <w:rPr>
          <w:rFonts w:ascii="Times New Roman" w:hAnsi="Times New Roman" w:cs="Times New Roman"/>
          <w:sz w:val="22"/>
        </w:rPr>
      </w:pPr>
    </w:p>
    <w:p w14:paraId="20BB49D6" w14:textId="41AEDF1A" w:rsidR="009D6295" w:rsidRPr="00062207" w:rsidRDefault="009D6295" w:rsidP="00DB2D0A">
      <w:pPr>
        <w:jc w:val="both"/>
        <w:rPr>
          <w:rFonts w:ascii="Times New Roman" w:hAnsi="Times New Roman" w:cs="Times New Roman"/>
          <w:sz w:val="22"/>
        </w:rPr>
      </w:pPr>
    </w:p>
    <w:p w14:paraId="6CB1CC9F" w14:textId="59CD7F98" w:rsidR="009D6295" w:rsidRPr="00062207" w:rsidRDefault="009D6295" w:rsidP="00DB2D0A">
      <w:pPr>
        <w:jc w:val="both"/>
        <w:rPr>
          <w:rFonts w:ascii="Times New Roman" w:hAnsi="Times New Roman" w:cs="Times New Roman"/>
          <w:sz w:val="22"/>
        </w:rPr>
      </w:pPr>
    </w:p>
    <w:p w14:paraId="3BA4CB7A" w14:textId="4D4C509B" w:rsidR="009D6295" w:rsidRPr="00062207" w:rsidRDefault="009D6295" w:rsidP="00DB2D0A">
      <w:pPr>
        <w:jc w:val="both"/>
        <w:rPr>
          <w:rFonts w:ascii="Times New Roman" w:hAnsi="Times New Roman" w:cs="Times New Roman"/>
          <w:sz w:val="22"/>
        </w:rPr>
      </w:pPr>
    </w:p>
    <w:p w14:paraId="03BD1970" w14:textId="68A89425" w:rsidR="009D6295" w:rsidRPr="00062207" w:rsidRDefault="009D6295" w:rsidP="00DB2D0A">
      <w:pPr>
        <w:jc w:val="both"/>
        <w:rPr>
          <w:rFonts w:ascii="Times New Roman" w:hAnsi="Times New Roman" w:cs="Times New Roman"/>
          <w:sz w:val="22"/>
        </w:rPr>
      </w:pPr>
    </w:p>
    <w:p w14:paraId="2648441B" w14:textId="39D07F04" w:rsidR="009D6295" w:rsidRPr="00062207" w:rsidRDefault="009D6295" w:rsidP="00DB2D0A">
      <w:pPr>
        <w:jc w:val="both"/>
        <w:rPr>
          <w:rFonts w:ascii="Times New Roman" w:hAnsi="Times New Roman" w:cs="Times New Roman"/>
          <w:sz w:val="22"/>
        </w:rPr>
      </w:pPr>
    </w:p>
    <w:p w14:paraId="0EA59A31" w14:textId="4045A55A" w:rsidR="009D6295" w:rsidRPr="00062207" w:rsidRDefault="009D6295" w:rsidP="00DB2D0A">
      <w:pPr>
        <w:jc w:val="both"/>
        <w:rPr>
          <w:rFonts w:ascii="Times New Roman" w:hAnsi="Times New Roman" w:cs="Times New Roman"/>
          <w:sz w:val="22"/>
        </w:rPr>
      </w:pPr>
    </w:p>
    <w:p w14:paraId="4AE55313" w14:textId="658417E9" w:rsidR="009D6295" w:rsidRPr="00062207" w:rsidRDefault="009D6295" w:rsidP="00DB2D0A">
      <w:pPr>
        <w:jc w:val="both"/>
        <w:rPr>
          <w:rFonts w:ascii="Times New Roman" w:hAnsi="Times New Roman" w:cs="Times New Roman"/>
          <w:sz w:val="22"/>
        </w:rPr>
      </w:pPr>
    </w:p>
    <w:p w14:paraId="17962315" w14:textId="5EC7E05F" w:rsidR="009D6295" w:rsidRPr="00062207" w:rsidRDefault="009D6295" w:rsidP="00DB2D0A">
      <w:pPr>
        <w:jc w:val="both"/>
        <w:rPr>
          <w:rFonts w:ascii="Times New Roman" w:hAnsi="Times New Roman" w:cs="Times New Roman"/>
          <w:sz w:val="22"/>
        </w:rPr>
      </w:pPr>
    </w:p>
    <w:p w14:paraId="34F78F87" w14:textId="2F0C68BD" w:rsidR="009D6295" w:rsidRPr="00062207" w:rsidRDefault="009D6295" w:rsidP="00DB2D0A">
      <w:pPr>
        <w:jc w:val="both"/>
        <w:rPr>
          <w:rFonts w:ascii="Times New Roman" w:hAnsi="Times New Roman" w:cs="Times New Roman"/>
          <w:sz w:val="22"/>
        </w:rPr>
      </w:pPr>
    </w:p>
    <w:p w14:paraId="0A1ADD6D" w14:textId="4DEEA3F8" w:rsidR="009D6295" w:rsidRPr="00062207" w:rsidRDefault="009D6295" w:rsidP="00DB2D0A">
      <w:pPr>
        <w:jc w:val="both"/>
        <w:rPr>
          <w:rFonts w:ascii="Times New Roman" w:hAnsi="Times New Roman" w:cs="Times New Roman"/>
          <w:sz w:val="22"/>
        </w:rPr>
      </w:pPr>
    </w:p>
    <w:p w14:paraId="571551A3" w14:textId="77777777" w:rsidR="009D6295" w:rsidRPr="00062207" w:rsidRDefault="009D6295" w:rsidP="00DB2D0A">
      <w:pPr>
        <w:jc w:val="both"/>
        <w:rPr>
          <w:rFonts w:ascii="Times New Roman" w:hAnsi="Times New Roman" w:cs="Times New Roman"/>
          <w:sz w:val="22"/>
        </w:rPr>
      </w:pPr>
    </w:p>
    <w:p w14:paraId="738849F9" w14:textId="1C3787B1" w:rsidR="00DB2D0A" w:rsidRPr="00062207" w:rsidRDefault="00DB2D0A" w:rsidP="00DB2D0A">
      <w:pPr>
        <w:jc w:val="center"/>
        <w:rPr>
          <w:rFonts w:ascii="Times New Roman" w:hAnsi="Times New Roman" w:cs="Times New Roman"/>
          <w:b/>
          <w:bCs/>
        </w:rPr>
      </w:pPr>
      <w:r w:rsidRPr="00062207">
        <w:rPr>
          <w:rFonts w:ascii="Times New Roman" w:hAnsi="Times New Roman" w:cs="Times New Roman"/>
          <w:b/>
          <w:bCs/>
        </w:rPr>
        <w:lastRenderedPageBreak/>
        <w:t>Brecha del impuesto al valor agregado doméstico respecto a presupuesto</w:t>
      </w:r>
    </w:p>
    <w:p w14:paraId="4E8ABB36" w14:textId="77777777" w:rsidR="00DB2D0A" w:rsidRPr="00062207" w:rsidRDefault="00DB2D0A" w:rsidP="00DB2D0A">
      <w:pPr>
        <w:jc w:val="center"/>
        <w:rPr>
          <w:rFonts w:ascii="Times New Roman" w:hAnsi="Times New Roman" w:cs="Times New Roman"/>
          <w:sz w:val="22"/>
        </w:rPr>
      </w:pPr>
      <w:r w:rsidRPr="00062207">
        <w:rPr>
          <w:rFonts w:ascii="Times New Roman" w:hAnsi="Times New Roman" w:cs="Times New Roman"/>
          <w:sz w:val="22"/>
        </w:rPr>
        <w:t>Millones de quetzales</w:t>
      </w:r>
    </w:p>
    <w:p w14:paraId="3B3CD3DE" w14:textId="77777777" w:rsidR="00DB2D0A" w:rsidRPr="00062207" w:rsidRDefault="00DB2D0A" w:rsidP="00DB2D0A">
      <w:pPr>
        <w:jc w:val="center"/>
        <w:rPr>
          <w:rFonts w:ascii="Times New Roman" w:hAnsi="Times New Roman" w:cs="Times New Roman"/>
        </w:rPr>
      </w:pPr>
      <w:r w:rsidRPr="00062207">
        <w:rPr>
          <w:rFonts w:ascii="Times New Roman" w:hAnsi="Times New Roman" w:cs="Times New Roman"/>
          <w:noProof/>
          <w:lang w:val="es-GT" w:eastAsia="es-GT"/>
        </w:rPr>
        <w:drawing>
          <wp:inline distT="0" distB="0" distL="0" distR="0" wp14:anchorId="7A276012" wp14:editId="74AC88A4">
            <wp:extent cx="5410200" cy="2392070"/>
            <wp:effectExtent l="0" t="0" r="0" b="8255"/>
            <wp:docPr id="72" name="Gráfico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798CFE8" w14:textId="77777777" w:rsidR="00DB2D0A" w:rsidRPr="00062207" w:rsidRDefault="00DB2D0A" w:rsidP="00C864CF">
      <w:pPr>
        <w:ind w:firstLine="708"/>
        <w:jc w:val="both"/>
        <w:rPr>
          <w:rFonts w:ascii="Times New Roman" w:hAnsi="Times New Roman" w:cs="Times New Roman"/>
          <w:sz w:val="18"/>
        </w:rPr>
      </w:pPr>
      <w:r w:rsidRPr="00062207">
        <w:rPr>
          <w:rFonts w:ascii="Times New Roman" w:hAnsi="Times New Roman" w:cs="Times New Roman"/>
          <w:sz w:val="18"/>
        </w:rPr>
        <w:t>Fuente: Ministerio de Finanzas Públicas.</w:t>
      </w:r>
    </w:p>
    <w:p w14:paraId="2C6CAC1B" w14:textId="77777777" w:rsidR="00DB2D0A" w:rsidRPr="00062207" w:rsidRDefault="00DB2D0A" w:rsidP="00DB2D0A">
      <w:pPr>
        <w:jc w:val="both"/>
        <w:rPr>
          <w:rFonts w:ascii="Times New Roman" w:hAnsi="Times New Roman" w:cs="Times New Roman"/>
          <w:sz w:val="18"/>
        </w:rPr>
      </w:pPr>
    </w:p>
    <w:p w14:paraId="35549EBF" w14:textId="77777777" w:rsidR="00062207" w:rsidRPr="00062207" w:rsidRDefault="00062207" w:rsidP="00062207">
      <w:pPr>
        <w:jc w:val="both"/>
        <w:rPr>
          <w:rFonts w:ascii="Times New Roman" w:hAnsi="Times New Roman" w:cs="Times New Roman"/>
          <w:sz w:val="22"/>
          <w:szCs w:val="22"/>
        </w:rPr>
      </w:pPr>
      <w:r w:rsidRPr="00062207">
        <w:rPr>
          <w:rFonts w:ascii="Times New Roman" w:hAnsi="Times New Roman" w:cs="Times New Roman"/>
          <w:sz w:val="22"/>
          <w:szCs w:val="22"/>
        </w:rPr>
        <w:t>De manera acumulada a diciembre, el IVA total genera brecha positiva de Q5,305.4 millones respecto a la meta de presupuesto y de Q8,225.6 millones respecto a 2020.</w:t>
      </w:r>
    </w:p>
    <w:p w14:paraId="0A5ACD79" w14:textId="77777777" w:rsidR="00062207" w:rsidRPr="00062207" w:rsidRDefault="00062207" w:rsidP="00062207">
      <w:pPr>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t xml:space="preserve"> </w:t>
      </w:r>
    </w:p>
    <w:p w14:paraId="58894464" w14:textId="77777777" w:rsidR="00062207" w:rsidRPr="00062207" w:rsidRDefault="00062207" w:rsidP="00062207">
      <w:pPr>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t>De acuerdo con información publicada por el Banco de Guatemala, las importaciones de bienes de consumo acumuladas a diciembre crecieron en 36.6% respecto a lo observado en 2020, a lo interno de los bienes de consumo se observa que los bienes no duraderos en los que se encuentran productos alimenticios, bebidas, tabacos, productos farmacéuticos y vestuario entre otros tienen crecimiento de 24.5%, y los bienes de consumo duradero y semiduraderos, generaron incrementos interanuales de 59.2% y 52.4%, mientras las importaciones de materiales de construcción crecieron en 51.7%.</w:t>
      </w:r>
    </w:p>
    <w:p w14:paraId="25119B54" w14:textId="77777777" w:rsidR="00062207" w:rsidRPr="00062207" w:rsidRDefault="00062207" w:rsidP="00062207">
      <w:pPr>
        <w:jc w:val="both"/>
        <w:rPr>
          <w:rFonts w:ascii="Times New Roman" w:hAnsi="Times New Roman" w:cs="Times New Roman"/>
          <w:sz w:val="22"/>
          <w:szCs w:val="22"/>
          <w:lang w:val="es-MX"/>
        </w:rPr>
      </w:pPr>
    </w:p>
    <w:p w14:paraId="346936EC" w14:textId="2F80A7AE" w:rsidR="00DB2D0A" w:rsidRPr="00062207" w:rsidRDefault="00062207" w:rsidP="00062207">
      <w:pPr>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t>El comercio, medido a través del movimiento de contenedores en las portuarias Empresa Portuaria Quetzal –EPQ- y Terminal de Contenedores Quetzal –TCQ-, muestran que a partir de agosto hay un cambio en la tendencia, aunque la variación sigue siendo positiva a diciembre en 5.7% por mayor movimiento de TEUS</w:t>
      </w:r>
      <w:r w:rsidRPr="00062207">
        <w:rPr>
          <w:rStyle w:val="Refdenotaalpie"/>
          <w:rFonts w:ascii="Times New Roman" w:hAnsi="Times New Roman" w:cs="Times New Roman"/>
          <w:sz w:val="22"/>
          <w:szCs w:val="22"/>
          <w:lang w:val="es-MX"/>
        </w:rPr>
        <w:footnoteReference w:id="2"/>
      </w:r>
      <w:r w:rsidRPr="00062207">
        <w:rPr>
          <w:rFonts w:ascii="Times New Roman" w:hAnsi="Times New Roman" w:cs="Times New Roman"/>
          <w:sz w:val="22"/>
          <w:szCs w:val="22"/>
          <w:lang w:val="es-MX"/>
        </w:rPr>
        <w:t>.</w:t>
      </w:r>
    </w:p>
    <w:p w14:paraId="5F91A40E" w14:textId="77777777" w:rsidR="00C864CF" w:rsidRPr="00062207" w:rsidRDefault="00C864CF" w:rsidP="00DB2D0A">
      <w:pPr>
        <w:jc w:val="both"/>
        <w:rPr>
          <w:rFonts w:ascii="Times New Roman" w:hAnsi="Times New Roman" w:cs="Times New Roman"/>
          <w:sz w:val="22"/>
          <w:szCs w:val="22"/>
          <w:lang w:val="es-MX"/>
        </w:rPr>
      </w:pPr>
    </w:p>
    <w:p w14:paraId="436CD7F9" w14:textId="3E145DD4" w:rsidR="00DB2D0A" w:rsidRPr="00062207" w:rsidRDefault="00DB2D0A" w:rsidP="00DB2D0A">
      <w:pPr>
        <w:jc w:val="center"/>
        <w:rPr>
          <w:rFonts w:ascii="Times New Roman" w:hAnsi="Times New Roman" w:cs="Times New Roman"/>
          <w:b/>
          <w:bCs/>
          <w:sz w:val="22"/>
          <w:szCs w:val="22"/>
          <w:lang w:val="es-MX"/>
        </w:rPr>
      </w:pPr>
      <w:r w:rsidRPr="00062207">
        <w:rPr>
          <w:rFonts w:ascii="Times New Roman" w:hAnsi="Times New Roman" w:cs="Times New Roman"/>
          <w:b/>
          <w:bCs/>
          <w:lang w:val="es-MX"/>
        </w:rPr>
        <w:t>Movimiento de contenedores en EPQ+TCQ</w:t>
      </w:r>
    </w:p>
    <w:p w14:paraId="41A635F0" w14:textId="77777777" w:rsidR="00DB2D0A" w:rsidRPr="00062207" w:rsidRDefault="00DB2D0A" w:rsidP="00DB2D0A">
      <w:pPr>
        <w:jc w:val="center"/>
        <w:rPr>
          <w:rFonts w:ascii="Times New Roman" w:hAnsi="Times New Roman" w:cs="Times New Roman"/>
          <w:bCs/>
          <w:sz w:val="22"/>
          <w:lang w:val="es-MX"/>
        </w:rPr>
      </w:pPr>
      <w:r w:rsidRPr="00062207">
        <w:rPr>
          <w:rFonts w:ascii="Times New Roman" w:hAnsi="Times New Roman" w:cs="Times New Roman"/>
          <w:bCs/>
          <w:sz w:val="22"/>
          <w:lang w:val="es-MX"/>
        </w:rPr>
        <w:t>Porcentaje de variación</w:t>
      </w:r>
    </w:p>
    <w:p w14:paraId="207000CC" w14:textId="77777777" w:rsidR="00DB2D0A" w:rsidRPr="00062207" w:rsidRDefault="00DB2D0A" w:rsidP="00DB2D0A">
      <w:pPr>
        <w:jc w:val="center"/>
        <w:rPr>
          <w:rFonts w:ascii="Times New Roman" w:hAnsi="Times New Roman" w:cs="Times New Roman"/>
          <w:lang w:val="es-MX"/>
        </w:rPr>
      </w:pPr>
      <w:r w:rsidRPr="00062207">
        <w:rPr>
          <w:rFonts w:ascii="Times New Roman" w:hAnsi="Times New Roman" w:cs="Times New Roman"/>
          <w:noProof/>
          <w:lang w:val="es-GT" w:eastAsia="es-GT"/>
        </w:rPr>
        <w:drawing>
          <wp:inline distT="0" distB="0" distL="0" distR="0" wp14:anchorId="5FFF0A2A" wp14:editId="08ED6830">
            <wp:extent cx="5219700" cy="2114093"/>
            <wp:effectExtent l="0" t="0" r="0" b="635"/>
            <wp:docPr id="73" name="Gráfico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3DB45F7" w14:textId="7457EAD6" w:rsidR="00DB2D0A" w:rsidRPr="00062207" w:rsidRDefault="00EE3A5F" w:rsidP="00EE3A5F">
      <w:pPr>
        <w:jc w:val="both"/>
        <w:rPr>
          <w:rFonts w:ascii="Times New Roman" w:hAnsi="Times New Roman" w:cs="Times New Roman"/>
          <w:sz w:val="18"/>
          <w:szCs w:val="22"/>
        </w:rPr>
      </w:pPr>
      <w:r w:rsidRPr="00062207">
        <w:rPr>
          <w:rFonts w:ascii="Times New Roman" w:hAnsi="Times New Roman" w:cs="Times New Roman"/>
          <w:sz w:val="18"/>
          <w:lang w:val="es-MX"/>
        </w:rPr>
        <w:t xml:space="preserve">                </w:t>
      </w:r>
      <w:r w:rsidR="00DB2D0A" w:rsidRPr="00062207">
        <w:rPr>
          <w:rFonts w:ascii="Times New Roman" w:hAnsi="Times New Roman" w:cs="Times New Roman"/>
          <w:sz w:val="18"/>
          <w:lang w:val="es-MX"/>
        </w:rPr>
        <w:t>Fuente</w:t>
      </w:r>
      <w:r w:rsidR="00DB2D0A" w:rsidRPr="00062207">
        <w:rPr>
          <w:rFonts w:ascii="Times New Roman" w:hAnsi="Times New Roman" w:cs="Times New Roman"/>
          <w:b/>
          <w:bCs/>
          <w:sz w:val="18"/>
          <w:szCs w:val="22"/>
        </w:rPr>
        <w:t>:</w:t>
      </w:r>
      <w:r w:rsidR="00DB2D0A" w:rsidRPr="00062207">
        <w:rPr>
          <w:rFonts w:ascii="Times New Roman" w:hAnsi="Times New Roman" w:cs="Times New Roman"/>
          <w:sz w:val="18"/>
          <w:szCs w:val="22"/>
        </w:rPr>
        <w:t xml:space="preserve"> Dirección de Análisis y Política Fiscal con información de la Empresa Portuaria Quetzal.</w:t>
      </w:r>
    </w:p>
    <w:p w14:paraId="0E17BC85" w14:textId="77777777" w:rsidR="00DB2D0A" w:rsidRPr="00062207" w:rsidRDefault="00DB2D0A" w:rsidP="00DB2D0A">
      <w:pPr>
        <w:ind w:left="708" w:firstLine="708"/>
        <w:jc w:val="both"/>
        <w:rPr>
          <w:rFonts w:ascii="Times New Roman" w:hAnsi="Times New Roman" w:cs="Times New Roman"/>
          <w:sz w:val="22"/>
        </w:rPr>
      </w:pPr>
    </w:p>
    <w:p w14:paraId="2C8FBE99" w14:textId="77777777" w:rsidR="00062207" w:rsidRPr="00062207" w:rsidRDefault="00062207" w:rsidP="00062207">
      <w:pPr>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t>Del IVA asociado al consumo interno es preciso indicar que refleja un crecimiento de 14.2% (Q 2,079.2 millones) respecto al año anterior y crecimiento de 5.1% (Q809.0 millones) respecto a la meta de presupuesto, factores que pueden estar determinando este comportamiento obedecen a esfuerzos que ha realizado la superintendencia de administración tributaria mediante sistemas y herramientas de facilitación y control, y a un monto de aproximadamente Q837.8 millones adicionales que se registraron en este impuesto por el no aprovisionamiento al fondo de crédito fiscal a los exportadores.</w:t>
      </w:r>
    </w:p>
    <w:p w14:paraId="4B2B9E10" w14:textId="66F7737F" w:rsidR="003810EA" w:rsidRPr="00062207" w:rsidRDefault="003810EA" w:rsidP="00DB2D0A">
      <w:pPr>
        <w:jc w:val="both"/>
        <w:rPr>
          <w:rFonts w:ascii="Times New Roman" w:hAnsi="Times New Roman" w:cs="Times New Roman"/>
          <w:sz w:val="22"/>
          <w:lang w:val="es-MX"/>
        </w:rPr>
      </w:pPr>
    </w:p>
    <w:p w14:paraId="2E3BAD01" w14:textId="77777777" w:rsidR="00DB2D0A" w:rsidRPr="00062207" w:rsidRDefault="00DB2D0A" w:rsidP="00DB2D0A">
      <w:pPr>
        <w:jc w:val="center"/>
        <w:rPr>
          <w:rFonts w:ascii="Times New Roman" w:hAnsi="Times New Roman" w:cs="Times New Roman"/>
          <w:b/>
          <w:bCs/>
          <w:lang w:val="es-MX"/>
        </w:rPr>
      </w:pPr>
      <w:r w:rsidRPr="00062207">
        <w:rPr>
          <w:rFonts w:ascii="Times New Roman" w:hAnsi="Times New Roman" w:cs="Times New Roman"/>
          <w:b/>
          <w:bCs/>
          <w:lang w:val="es-MX"/>
        </w:rPr>
        <w:t>Sistemas y herramientas de facilitación y control</w:t>
      </w:r>
    </w:p>
    <w:p w14:paraId="4268D767" w14:textId="77777777" w:rsidR="00DB2D0A" w:rsidRPr="00062207" w:rsidRDefault="00DB2D0A" w:rsidP="00DB2D0A">
      <w:pPr>
        <w:jc w:val="center"/>
        <w:rPr>
          <w:rFonts w:ascii="Times New Roman" w:hAnsi="Times New Roman" w:cs="Times New Roman"/>
          <w:sz w:val="22"/>
          <w:lang w:val="es-MX"/>
        </w:rPr>
      </w:pPr>
      <w:r w:rsidRPr="00062207">
        <w:rPr>
          <w:noProof/>
          <w:lang w:val="es-GT" w:eastAsia="es-GT"/>
        </w:rPr>
        <w:drawing>
          <wp:inline distT="0" distB="0" distL="0" distR="0" wp14:anchorId="6A37A3D4" wp14:editId="130C0ED2">
            <wp:extent cx="5841831" cy="3291840"/>
            <wp:effectExtent l="0" t="0" r="6985" b="381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a:extLst>
                        <a:ext uri="{28A0092B-C50C-407E-A947-70E740481C1C}">
                          <a14:useLocalDpi xmlns:a14="http://schemas.microsoft.com/office/drawing/2010/main" val="0"/>
                        </a:ext>
                      </a:extLst>
                    </a:blip>
                    <a:srcRect l="1445" t="4163" r="2612" b="2350"/>
                    <a:stretch/>
                  </pic:blipFill>
                  <pic:spPr bwMode="auto">
                    <a:xfrm>
                      <a:off x="0" y="0"/>
                      <a:ext cx="5866015" cy="3305468"/>
                    </a:xfrm>
                    <a:prstGeom prst="rect">
                      <a:avLst/>
                    </a:prstGeom>
                    <a:noFill/>
                    <a:ln>
                      <a:noFill/>
                    </a:ln>
                    <a:extLst>
                      <a:ext uri="{53640926-AAD7-44D8-BBD7-CCE9431645EC}">
                        <a14:shadowObscured xmlns:a14="http://schemas.microsoft.com/office/drawing/2010/main"/>
                      </a:ext>
                    </a:extLst>
                  </pic:spPr>
                </pic:pic>
              </a:graphicData>
            </a:graphic>
          </wp:inline>
        </w:drawing>
      </w:r>
    </w:p>
    <w:p w14:paraId="4B1C74AA" w14:textId="6D356AB1" w:rsidR="00DB2D0A" w:rsidRPr="00062207" w:rsidRDefault="003810EA" w:rsidP="003810EA">
      <w:pPr>
        <w:rPr>
          <w:rFonts w:ascii="Times New Roman" w:hAnsi="Times New Roman" w:cs="Times New Roman"/>
          <w:sz w:val="18"/>
          <w:szCs w:val="22"/>
        </w:rPr>
      </w:pPr>
      <w:r w:rsidRPr="00062207">
        <w:rPr>
          <w:rFonts w:ascii="Times New Roman" w:hAnsi="Times New Roman" w:cs="Times New Roman"/>
          <w:sz w:val="18"/>
          <w:lang w:val="es-MX"/>
        </w:rPr>
        <w:t xml:space="preserve">                        </w:t>
      </w:r>
      <w:r w:rsidR="00DB2D0A" w:rsidRPr="00062207">
        <w:rPr>
          <w:rFonts w:ascii="Times New Roman" w:hAnsi="Times New Roman" w:cs="Times New Roman"/>
          <w:sz w:val="18"/>
          <w:lang w:val="es-MX"/>
        </w:rPr>
        <w:t>Fuente</w:t>
      </w:r>
      <w:r w:rsidR="00DB2D0A" w:rsidRPr="00062207">
        <w:rPr>
          <w:rFonts w:ascii="Times New Roman" w:hAnsi="Times New Roman" w:cs="Times New Roman"/>
          <w:b/>
          <w:bCs/>
          <w:sz w:val="18"/>
          <w:szCs w:val="22"/>
        </w:rPr>
        <w:t>:</w:t>
      </w:r>
      <w:r w:rsidR="00DB2D0A" w:rsidRPr="00062207">
        <w:rPr>
          <w:rFonts w:ascii="Times New Roman" w:hAnsi="Times New Roman" w:cs="Times New Roman"/>
          <w:sz w:val="18"/>
          <w:szCs w:val="22"/>
        </w:rPr>
        <w:t xml:space="preserve"> Superintendencia de Administración Tributaria SAT.</w:t>
      </w:r>
    </w:p>
    <w:p w14:paraId="1DB48D54" w14:textId="77777777" w:rsidR="00DB2D0A" w:rsidRPr="00062207" w:rsidRDefault="00DB2D0A" w:rsidP="00DB2D0A">
      <w:pPr>
        <w:jc w:val="both"/>
        <w:rPr>
          <w:rFonts w:ascii="Times New Roman" w:hAnsi="Times New Roman" w:cs="Times New Roman"/>
          <w:sz w:val="22"/>
          <w:lang w:val="es-MX"/>
        </w:rPr>
      </w:pPr>
    </w:p>
    <w:p w14:paraId="329E94C0" w14:textId="646B1072" w:rsidR="00DB2D0A" w:rsidRPr="00062207" w:rsidRDefault="00062207" w:rsidP="00DB2D0A">
      <w:pPr>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t>En términos de productividad del impuesto al valor agregado neto observado sin descontar los ingresos provenientes por el no aprovisionamiento de crédito fiscal a los exportadores muestra desaceleración en este impuesto a partir de 2013 hasta 2016. Luego de acciones tales como adeudos tributarios, exoneraciones, el esfuerzo de la SAT para aumentar la percepción de riesgo de los contribuyentes y la implementación de otros mecanismos como la implementación del nuevo régimen de la factura electrónica en línea permitieron el cambio en la tendencia de la productividad, en 2020 se observa nuevamente desaceleración producto de la pandemia, en 2021 luego de la apertura gradual de la economía se observa de nuevo recuperación en este impuesto tal como se muestra en los gráficos siguientes, la apertura de sus dos componentes “IVA asociado al consumo interno e IVA asociado al comercio exterior” se observa que el que tiene más dinámica es el asociado al comercio exterior esto producto del alza en los precios internacionales del petróleo que de conformidad a datos de SAT, se observó un alza en la recaudación tributaria por Q1,403.1 millones el cual está asociado por el cambio de precio en las importaciones.</w:t>
      </w:r>
    </w:p>
    <w:p w14:paraId="63B0F464" w14:textId="50240A89" w:rsidR="00DB2D0A" w:rsidRPr="00062207" w:rsidRDefault="00DB2D0A" w:rsidP="00DB2D0A">
      <w:pPr>
        <w:jc w:val="both"/>
        <w:rPr>
          <w:rFonts w:ascii="Times New Roman" w:hAnsi="Times New Roman" w:cs="Times New Roman"/>
          <w:sz w:val="22"/>
          <w:lang w:val="es-MX"/>
        </w:rPr>
      </w:pPr>
    </w:p>
    <w:p w14:paraId="11B51BD0" w14:textId="2F289F0D" w:rsidR="009D6295" w:rsidRPr="00062207" w:rsidRDefault="009D6295" w:rsidP="00DB2D0A">
      <w:pPr>
        <w:jc w:val="both"/>
        <w:rPr>
          <w:rFonts w:ascii="Times New Roman" w:hAnsi="Times New Roman" w:cs="Times New Roman"/>
          <w:sz w:val="22"/>
          <w:lang w:val="es-MX"/>
        </w:rPr>
      </w:pPr>
    </w:p>
    <w:p w14:paraId="446A8479" w14:textId="6365EE4B" w:rsidR="009D6295" w:rsidRPr="00062207" w:rsidRDefault="009D6295" w:rsidP="00DB2D0A">
      <w:pPr>
        <w:jc w:val="both"/>
        <w:rPr>
          <w:rFonts w:ascii="Times New Roman" w:hAnsi="Times New Roman" w:cs="Times New Roman"/>
          <w:sz w:val="22"/>
          <w:lang w:val="es-MX"/>
        </w:rPr>
      </w:pPr>
    </w:p>
    <w:p w14:paraId="5873939A" w14:textId="6336967E" w:rsidR="009D6295" w:rsidRPr="00062207" w:rsidRDefault="009D6295" w:rsidP="00DB2D0A">
      <w:pPr>
        <w:jc w:val="both"/>
        <w:rPr>
          <w:rFonts w:ascii="Times New Roman" w:hAnsi="Times New Roman" w:cs="Times New Roman"/>
          <w:sz w:val="22"/>
          <w:lang w:val="es-MX"/>
        </w:rPr>
      </w:pPr>
    </w:p>
    <w:p w14:paraId="403842D4" w14:textId="1F40B6AD" w:rsidR="009D6295" w:rsidRPr="00062207" w:rsidRDefault="009D6295" w:rsidP="00DB2D0A">
      <w:pPr>
        <w:jc w:val="both"/>
        <w:rPr>
          <w:rFonts w:ascii="Times New Roman" w:hAnsi="Times New Roman" w:cs="Times New Roman"/>
          <w:sz w:val="22"/>
          <w:lang w:val="es-MX"/>
        </w:rPr>
      </w:pPr>
    </w:p>
    <w:p w14:paraId="10ACC140" w14:textId="145F6819" w:rsidR="009D6295" w:rsidRPr="00062207" w:rsidRDefault="009D6295" w:rsidP="00DB2D0A">
      <w:pPr>
        <w:jc w:val="both"/>
        <w:rPr>
          <w:rFonts w:ascii="Times New Roman" w:hAnsi="Times New Roman" w:cs="Times New Roman"/>
          <w:sz w:val="22"/>
          <w:lang w:val="es-MX"/>
        </w:rPr>
      </w:pPr>
    </w:p>
    <w:p w14:paraId="2B29383D" w14:textId="77777777" w:rsidR="009D6295" w:rsidRPr="00062207" w:rsidRDefault="009D6295" w:rsidP="00DB2D0A">
      <w:pPr>
        <w:jc w:val="both"/>
        <w:rPr>
          <w:rFonts w:ascii="Times New Roman" w:hAnsi="Times New Roman" w:cs="Times New Roman"/>
          <w:sz w:val="22"/>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27"/>
        <w:gridCol w:w="4370"/>
      </w:tblGrid>
      <w:tr w:rsidR="00062207" w:rsidRPr="00062207" w14:paraId="23316760" w14:textId="77777777" w:rsidTr="00A963D6">
        <w:tc>
          <w:tcPr>
            <w:tcW w:w="4527" w:type="dxa"/>
          </w:tcPr>
          <w:p w14:paraId="169C7A9F" w14:textId="77777777" w:rsidR="00DB2D0A" w:rsidRPr="00062207" w:rsidRDefault="00DB2D0A" w:rsidP="00A963D6">
            <w:pPr>
              <w:jc w:val="center"/>
              <w:rPr>
                <w:rFonts w:ascii="Times New Roman" w:hAnsi="Times New Roman" w:cs="Times New Roman"/>
                <w:b/>
                <w:sz w:val="22"/>
                <w:szCs w:val="20"/>
                <w:lang w:val="es-MX"/>
              </w:rPr>
            </w:pPr>
            <w:r w:rsidRPr="00062207">
              <w:rPr>
                <w:rFonts w:ascii="Times New Roman" w:hAnsi="Times New Roman" w:cs="Times New Roman"/>
                <w:b/>
                <w:sz w:val="22"/>
                <w:szCs w:val="20"/>
                <w:lang w:val="es-MX"/>
              </w:rPr>
              <w:lastRenderedPageBreak/>
              <w:t>Productividad de cada año</w:t>
            </w:r>
          </w:p>
          <w:p w14:paraId="0C18D485" w14:textId="77777777" w:rsidR="00DB2D0A" w:rsidRPr="00062207" w:rsidRDefault="00DB2D0A" w:rsidP="00A963D6">
            <w:pPr>
              <w:jc w:val="center"/>
              <w:rPr>
                <w:rFonts w:ascii="Times New Roman" w:hAnsi="Times New Roman" w:cs="Times New Roman"/>
                <w:b/>
                <w:sz w:val="22"/>
                <w:szCs w:val="20"/>
                <w:lang w:val="es-MX"/>
              </w:rPr>
            </w:pPr>
            <w:r w:rsidRPr="00062207">
              <w:rPr>
                <w:rFonts w:ascii="Times New Roman" w:hAnsi="Times New Roman" w:cs="Times New Roman"/>
                <w:b/>
                <w:sz w:val="22"/>
                <w:szCs w:val="20"/>
                <w:lang w:val="es-MX"/>
              </w:rPr>
              <w:t xml:space="preserve">IVA total </w:t>
            </w:r>
          </w:p>
          <w:p w14:paraId="2F9DB2FB" w14:textId="77777777" w:rsidR="00DB2D0A" w:rsidRPr="00062207" w:rsidRDefault="00DB2D0A" w:rsidP="00A963D6">
            <w:pPr>
              <w:jc w:val="center"/>
              <w:rPr>
                <w:rFonts w:ascii="Times New Roman" w:hAnsi="Times New Roman" w:cs="Times New Roman"/>
                <w:lang w:val="es-MX"/>
              </w:rPr>
            </w:pPr>
            <w:r w:rsidRPr="00062207">
              <w:rPr>
                <w:rFonts w:ascii="Times New Roman" w:hAnsi="Times New Roman" w:cs="Times New Roman"/>
                <w:sz w:val="20"/>
                <w:lang w:val="es-MX"/>
              </w:rPr>
              <w:t>Porcentajes</w:t>
            </w:r>
          </w:p>
        </w:tc>
        <w:tc>
          <w:tcPr>
            <w:tcW w:w="4370" w:type="dxa"/>
          </w:tcPr>
          <w:p w14:paraId="4FE817A8" w14:textId="77777777" w:rsidR="00DB2D0A" w:rsidRPr="00062207" w:rsidRDefault="00DB2D0A" w:rsidP="00A963D6">
            <w:pPr>
              <w:jc w:val="center"/>
              <w:rPr>
                <w:rFonts w:ascii="Times New Roman" w:hAnsi="Times New Roman" w:cs="Times New Roman"/>
                <w:b/>
                <w:sz w:val="22"/>
                <w:szCs w:val="20"/>
                <w:lang w:val="es-MX"/>
              </w:rPr>
            </w:pPr>
            <w:r w:rsidRPr="00062207">
              <w:rPr>
                <w:rFonts w:ascii="Times New Roman" w:hAnsi="Times New Roman" w:cs="Times New Roman"/>
                <w:b/>
                <w:sz w:val="22"/>
                <w:szCs w:val="20"/>
                <w:lang w:val="es-MX"/>
              </w:rPr>
              <w:t>Productividad de cada año</w:t>
            </w:r>
          </w:p>
          <w:p w14:paraId="15E06505" w14:textId="77777777" w:rsidR="00DB2D0A" w:rsidRPr="00062207" w:rsidRDefault="00DB2D0A" w:rsidP="00A963D6">
            <w:pPr>
              <w:jc w:val="center"/>
              <w:rPr>
                <w:rFonts w:ascii="Times New Roman" w:hAnsi="Times New Roman" w:cs="Times New Roman"/>
                <w:b/>
                <w:sz w:val="22"/>
                <w:szCs w:val="20"/>
                <w:lang w:val="es-MX"/>
              </w:rPr>
            </w:pPr>
            <w:r w:rsidRPr="00062207">
              <w:rPr>
                <w:rFonts w:ascii="Times New Roman" w:hAnsi="Times New Roman" w:cs="Times New Roman"/>
                <w:b/>
                <w:sz w:val="22"/>
                <w:szCs w:val="20"/>
                <w:lang w:val="es-MX"/>
              </w:rPr>
              <w:t>IVA importaciones e IVA doméstico</w:t>
            </w:r>
          </w:p>
          <w:p w14:paraId="5C903440" w14:textId="77777777" w:rsidR="00DB2D0A" w:rsidRPr="00062207" w:rsidRDefault="00DB2D0A" w:rsidP="00A963D6">
            <w:pPr>
              <w:jc w:val="center"/>
              <w:rPr>
                <w:rFonts w:ascii="Times New Roman" w:hAnsi="Times New Roman" w:cs="Times New Roman"/>
                <w:lang w:val="es-MX"/>
              </w:rPr>
            </w:pPr>
            <w:r w:rsidRPr="00062207">
              <w:rPr>
                <w:rFonts w:ascii="Times New Roman" w:hAnsi="Times New Roman" w:cs="Times New Roman"/>
                <w:sz w:val="20"/>
                <w:lang w:val="es-MX"/>
              </w:rPr>
              <w:t>Porcentajes</w:t>
            </w:r>
          </w:p>
        </w:tc>
      </w:tr>
      <w:tr w:rsidR="00062207" w:rsidRPr="00062207" w14:paraId="6B4F4E86" w14:textId="77777777" w:rsidTr="00A963D6">
        <w:tc>
          <w:tcPr>
            <w:tcW w:w="4527" w:type="dxa"/>
          </w:tcPr>
          <w:p w14:paraId="39578579" w14:textId="77777777" w:rsidR="00DB2D0A" w:rsidRPr="00062207" w:rsidRDefault="00DB2D0A" w:rsidP="00A963D6">
            <w:pPr>
              <w:jc w:val="both"/>
              <w:rPr>
                <w:rFonts w:ascii="Times New Roman" w:hAnsi="Times New Roman" w:cs="Times New Roman"/>
                <w:lang w:val="es-MX"/>
              </w:rPr>
            </w:pPr>
            <w:r w:rsidRPr="00062207">
              <w:rPr>
                <w:rFonts w:ascii="Times New Roman" w:hAnsi="Times New Roman" w:cs="Times New Roman"/>
                <w:noProof/>
                <w:lang w:val="es-GT" w:eastAsia="es-GT"/>
              </w:rPr>
              <w:drawing>
                <wp:inline distT="0" distB="0" distL="0" distR="0" wp14:anchorId="30869C9A" wp14:editId="28D95C29">
                  <wp:extent cx="2809875" cy="2000250"/>
                  <wp:effectExtent l="0" t="0" r="0" b="0"/>
                  <wp:docPr id="76" name="Gráfico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c>
        <w:tc>
          <w:tcPr>
            <w:tcW w:w="4370" w:type="dxa"/>
          </w:tcPr>
          <w:p w14:paraId="6DA84440" w14:textId="77777777" w:rsidR="00DB2D0A" w:rsidRPr="00062207" w:rsidRDefault="00DB2D0A" w:rsidP="00A963D6">
            <w:pPr>
              <w:jc w:val="both"/>
              <w:rPr>
                <w:rFonts w:ascii="Times New Roman" w:hAnsi="Times New Roman" w:cs="Times New Roman"/>
                <w:lang w:val="es-MX"/>
              </w:rPr>
            </w:pPr>
            <w:r w:rsidRPr="00062207">
              <w:rPr>
                <w:rFonts w:ascii="Times New Roman" w:hAnsi="Times New Roman" w:cs="Times New Roman"/>
                <w:noProof/>
                <w:lang w:val="es-GT" w:eastAsia="es-GT"/>
              </w:rPr>
              <w:drawing>
                <wp:inline distT="0" distB="0" distL="0" distR="0" wp14:anchorId="2942DCB7" wp14:editId="1B124928">
                  <wp:extent cx="2686050" cy="2000250"/>
                  <wp:effectExtent l="0" t="0" r="0" b="0"/>
                  <wp:docPr id="77" name="Gráfico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tc>
      </w:tr>
    </w:tbl>
    <w:p w14:paraId="5C844D82" w14:textId="77777777" w:rsidR="00DB2D0A" w:rsidRPr="00062207" w:rsidRDefault="00DB2D0A" w:rsidP="00DB2D0A">
      <w:pPr>
        <w:jc w:val="both"/>
        <w:rPr>
          <w:rFonts w:ascii="Times New Roman" w:hAnsi="Times New Roman" w:cs="Times New Roman"/>
          <w:sz w:val="18"/>
          <w:lang w:val="es-MX"/>
        </w:rPr>
      </w:pPr>
      <w:r w:rsidRPr="00062207">
        <w:rPr>
          <w:rFonts w:ascii="Times New Roman" w:hAnsi="Times New Roman" w:cs="Times New Roman"/>
          <w:sz w:val="18"/>
          <w:lang w:val="es-MX"/>
        </w:rPr>
        <w:t>Fuente: Dirección de Análisis y Política Fiscal.</w:t>
      </w:r>
    </w:p>
    <w:p w14:paraId="09840D0E" w14:textId="1F4BC4E1" w:rsidR="00DB2D0A" w:rsidRPr="00062207" w:rsidRDefault="00DB2D0A" w:rsidP="00DB2D0A">
      <w:pPr>
        <w:jc w:val="both"/>
        <w:rPr>
          <w:rFonts w:ascii="Times New Roman" w:hAnsi="Times New Roman" w:cs="Times New Roman"/>
          <w:lang w:val="es-MX"/>
        </w:rPr>
      </w:pPr>
    </w:p>
    <w:p w14:paraId="29F57C6C" w14:textId="77777777" w:rsidR="00DB2D0A" w:rsidRPr="00062207" w:rsidRDefault="00DB2D0A" w:rsidP="00C864CF">
      <w:pPr>
        <w:pStyle w:val="Ttulo2"/>
        <w:numPr>
          <w:ilvl w:val="1"/>
          <w:numId w:val="12"/>
        </w:numPr>
        <w:tabs>
          <w:tab w:val="left" w:pos="851"/>
        </w:tabs>
        <w:spacing w:before="0"/>
        <w:ind w:left="709" w:hanging="283"/>
        <w:rPr>
          <w:rFonts w:ascii="Times New Roman" w:hAnsi="Times New Roman" w:cs="Times New Roman"/>
          <w:color w:val="auto"/>
          <w:sz w:val="24"/>
        </w:rPr>
      </w:pPr>
      <w:bookmarkStart w:id="78" w:name="_Toc471987134"/>
      <w:bookmarkStart w:id="79" w:name="_Toc64025430"/>
      <w:bookmarkStart w:id="80" w:name="_Toc94259624"/>
      <w:r w:rsidRPr="00062207">
        <w:rPr>
          <w:rFonts w:ascii="Times New Roman" w:hAnsi="Times New Roman" w:cs="Times New Roman"/>
          <w:color w:val="auto"/>
          <w:sz w:val="24"/>
        </w:rPr>
        <w:t>Esfuerzos administrativos y crecimiento económico logran cambiar la caída en la carga tributaria</w:t>
      </w:r>
      <w:bookmarkEnd w:id="78"/>
      <w:bookmarkEnd w:id="79"/>
      <w:bookmarkEnd w:id="80"/>
    </w:p>
    <w:p w14:paraId="49B306C3" w14:textId="77777777" w:rsidR="00DB2D0A" w:rsidRPr="00062207" w:rsidRDefault="00DB2D0A" w:rsidP="00DB2D0A">
      <w:pPr>
        <w:jc w:val="both"/>
        <w:rPr>
          <w:rFonts w:ascii="Times New Roman" w:hAnsi="Times New Roman" w:cs="Times New Roman"/>
          <w:sz w:val="22"/>
          <w:szCs w:val="22"/>
        </w:rPr>
      </w:pPr>
    </w:p>
    <w:p w14:paraId="07C295C8" w14:textId="77777777" w:rsidR="00062207" w:rsidRPr="00062207" w:rsidRDefault="00062207" w:rsidP="00062207">
      <w:pPr>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t>Luego de la apertura gradual de la economía en agosto de 2020 se empezó a observar aumento en la recaudación tributaria, esto también producto de esfuerzos que realizó la SAT mediante la implementación de medidas contenidas en el plan Estratégico Institucional 2021-2025, cuyos objetivos se fundamentan en:</w:t>
      </w:r>
    </w:p>
    <w:p w14:paraId="4EF8D945" w14:textId="77777777" w:rsidR="00062207" w:rsidRPr="00062207" w:rsidRDefault="00062207" w:rsidP="00062207">
      <w:pPr>
        <w:jc w:val="both"/>
        <w:rPr>
          <w:rFonts w:ascii="Times New Roman" w:hAnsi="Times New Roman" w:cs="Times New Roman"/>
          <w:sz w:val="22"/>
          <w:szCs w:val="22"/>
          <w:lang w:val="es-MX"/>
        </w:rPr>
      </w:pPr>
    </w:p>
    <w:p w14:paraId="3BB40E13" w14:textId="77777777" w:rsidR="00062207" w:rsidRPr="00062207" w:rsidRDefault="00062207" w:rsidP="00062207">
      <w:pPr>
        <w:pStyle w:val="Prrafodelista"/>
        <w:numPr>
          <w:ilvl w:val="0"/>
          <w:numId w:val="13"/>
        </w:numPr>
        <w:jc w:val="both"/>
        <w:rPr>
          <w:rFonts w:ascii="Times New Roman" w:hAnsi="Times New Roman" w:cs="Times New Roman"/>
          <w:lang w:val="es-MX"/>
        </w:rPr>
      </w:pPr>
      <w:r w:rsidRPr="00062207">
        <w:rPr>
          <w:rFonts w:ascii="Times New Roman" w:hAnsi="Times New Roman" w:cs="Times New Roman"/>
          <w:lang w:val="es-MX"/>
        </w:rPr>
        <w:t xml:space="preserve">Aumentar la recaudación tributaria de manera sostenida y reducir la brecha del incumplimiento tributario, </w:t>
      </w:r>
    </w:p>
    <w:p w14:paraId="058CB8DC" w14:textId="77777777" w:rsidR="00062207" w:rsidRPr="00062207" w:rsidRDefault="00062207" w:rsidP="00062207">
      <w:pPr>
        <w:pStyle w:val="Prrafodelista"/>
        <w:numPr>
          <w:ilvl w:val="0"/>
          <w:numId w:val="13"/>
        </w:numPr>
        <w:jc w:val="both"/>
        <w:rPr>
          <w:rFonts w:ascii="Times New Roman" w:hAnsi="Times New Roman" w:cs="Times New Roman"/>
          <w:lang w:val="es-MX"/>
        </w:rPr>
      </w:pPr>
      <w:r w:rsidRPr="00062207">
        <w:rPr>
          <w:rFonts w:ascii="Times New Roman" w:hAnsi="Times New Roman" w:cs="Times New Roman"/>
          <w:lang w:val="es-MX"/>
        </w:rPr>
        <w:t>Facilitar a los contribuyentes el cumplimiento el pago se sus obligaciones tributarias y aduaneras</w:t>
      </w:r>
    </w:p>
    <w:p w14:paraId="029C8E1E" w14:textId="77777777" w:rsidR="00062207" w:rsidRPr="00062207" w:rsidRDefault="00062207" w:rsidP="00062207">
      <w:pPr>
        <w:pStyle w:val="Prrafodelista"/>
        <w:numPr>
          <w:ilvl w:val="0"/>
          <w:numId w:val="13"/>
        </w:numPr>
        <w:jc w:val="both"/>
        <w:rPr>
          <w:rFonts w:ascii="Times New Roman" w:hAnsi="Times New Roman" w:cs="Times New Roman"/>
          <w:lang w:val="es-MX"/>
        </w:rPr>
      </w:pPr>
      <w:r w:rsidRPr="00062207">
        <w:rPr>
          <w:rFonts w:ascii="Times New Roman" w:hAnsi="Times New Roman" w:cs="Times New Roman"/>
          <w:lang w:val="es-MX"/>
        </w:rPr>
        <w:t xml:space="preserve">Propiciar fiscalizaciones asertivas </w:t>
      </w:r>
    </w:p>
    <w:p w14:paraId="4B04BF3C" w14:textId="77777777" w:rsidR="00062207" w:rsidRPr="00062207" w:rsidRDefault="00062207" w:rsidP="00062207">
      <w:pPr>
        <w:pStyle w:val="Prrafodelista"/>
        <w:numPr>
          <w:ilvl w:val="0"/>
          <w:numId w:val="13"/>
        </w:numPr>
        <w:jc w:val="both"/>
        <w:rPr>
          <w:rFonts w:ascii="Times New Roman" w:hAnsi="Times New Roman" w:cs="Times New Roman"/>
          <w:lang w:val="es-MX"/>
        </w:rPr>
      </w:pPr>
      <w:r w:rsidRPr="00062207">
        <w:rPr>
          <w:rFonts w:ascii="Times New Roman" w:hAnsi="Times New Roman" w:cs="Times New Roman"/>
          <w:lang w:val="es-MX"/>
        </w:rPr>
        <w:t>Eficientar el cobro administrativo</w:t>
      </w:r>
    </w:p>
    <w:p w14:paraId="10292C55" w14:textId="77777777" w:rsidR="00062207" w:rsidRPr="00062207" w:rsidRDefault="00062207" w:rsidP="00062207">
      <w:pPr>
        <w:pStyle w:val="Prrafodelista"/>
        <w:numPr>
          <w:ilvl w:val="0"/>
          <w:numId w:val="13"/>
        </w:numPr>
        <w:jc w:val="both"/>
        <w:rPr>
          <w:rFonts w:ascii="Times New Roman" w:hAnsi="Times New Roman" w:cs="Times New Roman"/>
          <w:lang w:val="es-MX"/>
        </w:rPr>
      </w:pPr>
      <w:r w:rsidRPr="00062207">
        <w:rPr>
          <w:rFonts w:ascii="Times New Roman" w:hAnsi="Times New Roman" w:cs="Times New Roman"/>
          <w:lang w:val="es-MX"/>
        </w:rPr>
        <w:t xml:space="preserve">Modernizar de manera integral el servicio aduanero y </w:t>
      </w:r>
    </w:p>
    <w:p w14:paraId="16966098" w14:textId="77777777" w:rsidR="00062207" w:rsidRPr="00062207" w:rsidRDefault="00062207" w:rsidP="00062207">
      <w:pPr>
        <w:pStyle w:val="Prrafodelista"/>
        <w:numPr>
          <w:ilvl w:val="0"/>
          <w:numId w:val="13"/>
        </w:numPr>
        <w:jc w:val="both"/>
        <w:rPr>
          <w:rFonts w:ascii="Times New Roman" w:hAnsi="Times New Roman" w:cs="Times New Roman"/>
          <w:lang w:val="es-MX"/>
        </w:rPr>
      </w:pPr>
      <w:r w:rsidRPr="00062207">
        <w:rPr>
          <w:rFonts w:ascii="Times New Roman" w:hAnsi="Times New Roman" w:cs="Times New Roman"/>
          <w:lang w:val="es-MX"/>
        </w:rPr>
        <w:t xml:space="preserve">Fortalecer las capacidades de gestión y transparencia institucional. </w:t>
      </w:r>
    </w:p>
    <w:p w14:paraId="22046509" w14:textId="77777777" w:rsidR="00062207" w:rsidRPr="00062207" w:rsidRDefault="00062207" w:rsidP="00062207">
      <w:pPr>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t xml:space="preserve"> </w:t>
      </w:r>
    </w:p>
    <w:p w14:paraId="1DA4DE7E" w14:textId="77777777" w:rsidR="00062207" w:rsidRPr="00062207" w:rsidRDefault="00062207" w:rsidP="00062207">
      <w:pPr>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t>Algunos aspectos importantes a destacar en el desempeño de la SAT y que tienen impacto directo en la recaudación son: el avance en las etapas complementarias a la modernización del RTU digital, avances en el gobierno de datos, seguimiento del modelo de atención de factura electrónica en línea, activación de agencia virtual a distancia y las mejoras al sistema de cita previa, y a programas y acciones como la implementación de auditorías seleccionadas a través de un nuevo modelo de fiscalización mediante la segregación por sector económico, verificación de tributos internos y externos y a la verificación de obligaciones formales aunado a los nuevos proyectos que se encuentra realizando SAT como el nuevo sistema de retenciones WEB.</w:t>
      </w:r>
    </w:p>
    <w:p w14:paraId="58F8418B" w14:textId="77777777" w:rsidR="00062207" w:rsidRPr="00062207" w:rsidRDefault="00062207" w:rsidP="00062207">
      <w:pPr>
        <w:jc w:val="both"/>
        <w:rPr>
          <w:rFonts w:ascii="Times New Roman" w:hAnsi="Times New Roman" w:cs="Times New Roman"/>
          <w:sz w:val="22"/>
          <w:szCs w:val="22"/>
          <w:lang w:val="es-MX"/>
        </w:rPr>
      </w:pPr>
    </w:p>
    <w:p w14:paraId="51BE164E" w14:textId="46F74D0F" w:rsidR="00DB2D0A" w:rsidRPr="00062207" w:rsidRDefault="00062207" w:rsidP="00062207">
      <w:pPr>
        <w:jc w:val="both"/>
        <w:rPr>
          <w:rFonts w:ascii="Times New Roman" w:hAnsi="Times New Roman" w:cs="Times New Roman"/>
          <w:sz w:val="22"/>
          <w:szCs w:val="22"/>
        </w:rPr>
      </w:pPr>
      <w:r w:rsidRPr="00062207">
        <w:rPr>
          <w:rFonts w:ascii="Times New Roman" w:hAnsi="Times New Roman" w:cs="Times New Roman"/>
          <w:sz w:val="22"/>
          <w:szCs w:val="22"/>
          <w:lang w:val="es-MX"/>
        </w:rPr>
        <w:t>La</w:t>
      </w:r>
      <w:r w:rsidRPr="00062207">
        <w:rPr>
          <w:rFonts w:ascii="Times New Roman" w:hAnsi="Times New Roman" w:cs="Times New Roman"/>
          <w:sz w:val="22"/>
          <w:szCs w:val="22"/>
        </w:rPr>
        <w:t xml:space="preserve"> Superintendencia de Administración Tributaria en el ramo de aduanas, realizó esfuerzos con la implementación de acciones para combatir la defraudación y el contrabando tales como, mayor eficiencia del control aduanero, seguimiento del plan de combate al contrabando aduanero mediante la puesta en marcha de puestos de control interinstitucional (a la fecha van 6), a la simplificación, automatización y transparencia en el ingreso y salida de la carga vía aérea, fortalecimiento de la gestión de riesgo, operativos interinstitucionales en aduanas aéreas, terrestres, marítimas, puestos fronterizos, depósitos aduaneros y zonas francas, fortalecimiento del intercambio de información con otros Estados Partes, fortalecimiento de la valoración aduanera  y a las mejoras en el tiempo de atención de solicitudes entre otras.</w:t>
      </w:r>
    </w:p>
    <w:p w14:paraId="6074A8E0" w14:textId="77777777" w:rsidR="003810EA" w:rsidRPr="00062207" w:rsidRDefault="003810EA" w:rsidP="00DB2D0A">
      <w:pPr>
        <w:jc w:val="both"/>
        <w:rPr>
          <w:rFonts w:ascii="Times New Roman" w:hAnsi="Times New Roman" w:cs="Times New Roman"/>
          <w:sz w:val="22"/>
          <w:szCs w:val="22"/>
        </w:rPr>
      </w:pPr>
    </w:p>
    <w:p w14:paraId="08B45878" w14:textId="620C34DA" w:rsidR="00DB2D0A" w:rsidRPr="00062207" w:rsidRDefault="00DB2D0A" w:rsidP="00062207">
      <w:pPr>
        <w:jc w:val="both"/>
        <w:rPr>
          <w:rFonts w:ascii="Times New Roman" w:hAnsi="Times New Roman" w:cs="Times New Roman"/>
          <w:sz w:val="22"/>
          <w:szCs w:val="22"/>
          <w:lang w:val="es-MX"/>
        </w:rPr>
      </w:pPr>
      <w:r w:rsidRPr="00062207">
        <w:rPr>
          <w:rFonts w:ascii="Times New Roman" w:hAnsi="Times New Roman" w:cs="Times New Roman"/>
          <w:noProof/>
          <w:lang w:val="es-GT" w:eastAsia="es-GT"/>
        </w:rPr>
        <w:lastRenderedPageBreak/>
        <w:drawing>
          <wp:anchor distT="0" distB="0" distL="114300" distR="114300" simplePos="0" relativeHeight="251809792" behindDoc="0" locked="0" layoutInCell="1" allowOverlap="1" wp14:anchorId="53EA806F" wp14:editId="30AD8A0D">
            <wp:simplePos x="0" y="0"/>
            <wp:positionH relativeFrom="column">
              <wp:posOffset>2661920</wp:posOffset>
            </wp:positionH>
            <wp:positionV relativeFrom="paragraph">
              <wp:posOffset>55880</wp:posOffset>
            </wp:positionV>
            <wp:extent cx="3342005" cy="2164715"/>
            <wp:effectExtent l="0" t="0" r="0" b="6985"/>
            <wp:wrapSquare wrapText="bothSides"/>
            <wp:docPr id="78" name="Gráfico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r w:rsidR="00515C74" w:rsidRPr="00062207">
        <w:rPr>
          <w:rFonts w:ascii="Times New Roman" w:hAnsi="Times New Roman" w:cs="Times New Roman"/>
          <w:noProof/>
          <w:lang w:val="es-GT" w:eastAsia="es-GT"/>
        </w:rPr>
        <w:t xml:space="preserve"> </w:t>
      </w:r>
      <w:r w:rsidR="00062207" w:rsidRPr="00062207">
        <w:rPr>
          <w:rFonts w:ascii="Times New Roman" w:hAnsi="Times New Roman" w:cs="Times New Roman"/>
          <w:noProof/>
          <w:lang w:val="es-GT" w:eastAsia="es-GT"/>
        </w:rPr>
        <w:t>L</w:t>
      </w:r>
      <w:r w:rsidR="00062207" w:rsidRPr="00062207">
        <w:rPr>
          <w:rFonts w:ascii="Times New Roman" w:hAnsi="Times New Roman" w:cs="Times New Roman"/>
          <w:sz w:val="22"/>
          <w:szCs w:val="22"/>
          <w:lang w:val="es-MX"/>
        </w:rPr>
        <w:t>os esfuerzos realizados por SAT para contener la caída en la recaudación tributaria observada en 2020 producto de la pandemia se fortalecieron para el ejercicio fiscal 2021, el impacto de esas medidas se observa a través del indicador de carga tributaria la cual paso del 10.1% del año anterior a un 11.7%, mayor incluso al observado en 2013, y lejos del observado en 2015 año en que se suscitó la crisis institucional de SAT, el resultado observado en 2021 si bien recoge el esfuerzo realizado por SAT a través de medidas administrativas el cual significó cerca de Q1,945.3 millones que se obtuvieron mediante programas realizados por las intendencias de recaudación, de fiscalización, jurídico y aduanas también tiene otros detonantes como el ingreso adicional por la venta de una empresa de telefonía, efecto del precio de los combustibles, el de tipo de cambio, el de no acreditación al fondo del crédito fiscal a los exportadores en los meses de octubre a diciembre y otros extraordinarios, si se realiza un ajuste restando esta recaudación adicional al monto observado y sumando el monto de exoneraciones que el Presidente de la República otorgo en este ejercicio el resultado de este indicador sería menor.</w:t>
      </w:r>
    </w:p>
    <w:p w14:paraId="09B29E88" w14:textId="77777777" w:rsidR="00DB2D0A" w:rsidRPr="00062207" w:rsidRDefault="00DB2D0A" w:rsidP="00DB2D0A">
      <w:pPr>
        <w:jc w:val="both"/>
        <w:rPr>
          <w:rFonts w:ascii="Times New Roman" w:hAnsi="Times New Roman" w:cs="Times New Roman"/>
          <w:sz w:val="22"/>
          <w:szCs w:val="22"/>
          <w:lang w:val="es-MX"/>
        </w:rPr>
      </w:pPr>
    </w:p>
    <w:p w14:paraId="24787DF5" w14:textId="77777777" w:rsidR="00DB2D0A" w:rsidRPr="00062207" w:rsidRDefault="00DB2D0A" w:rsidP="0074529E">
      <w:pPr>
        <w:pStyle w:val="Ttulo2"/>
        <w:numPr>
          <w:ilvl w:val="1"/>
          <w:numId w:val="12"/>
        </w:numPr>
        <w:tabs>
          <w:tab w:val="left" w:pos="851"/>
          <w:tab w:val="left" w:pos="993"/>
        </w:tabs>
        <w:spacing w:before="0"/>
        <w:ind w:left="709" w:hanging="283"/>
        <w:rPr>
          <w:rFonts w:ascii="Times New Roman" w:hAnsi="Times New Roman" w:cs="Times New Roman"/>
          <w:color w:val="auto"/>
          <w:sz w:val="24"/>
        </w:rPr>
      </w:pPr>
      <w:bookmarkStart w:id="81" w:name="_Toc64025431"/>
      <w:bookmarkStart w:id="82" w:name="_Toc94259625"/>
      <w:r w:rsidRPr="00062207">
        <w:rPr>
          <w:rFonts w:ascii="Times New Roman" w:hAnsi="Times New Roman" w:cs="Times New Roman"/>
          <w:color w:val="auto"/>
          <w:sz w:val="24"/>
        </w:rPr>
        <w:t>Recaudación no tributaria</w:t>
      </w:r>
      <w:bookmarkEnd w:id="81"/>
      <w:bookmarkEnd w:id="82"/>
    </w:p>
    <w:p w14:paraId="3D84DC79" w14:textId="77777777" w:rsidR="00DB2D0A" w:rsidRPr="00062207" w:rsidRDefault="00DB2D0A" w:rsidP="00DB2D0A">
      <w:pPr>
        <w:rPr>
          <w:rFonts w:ascii="Times New Roman" w:hAnsi="Times New Roman" w:cs="Times New Roman"/>
        </w:rPr>
      </w:pPr>
    </w:p>
    <w:p w14:paraId="14070A55" w14:textId="43FE4983" w:rsidR="00DB2D0A" w:rsidRPr="00062207" w:rsidRDefault="00062207" w:rsidP="00DB2D0A">
      <w:pPr>
        <w:jc w:val="both"/>
        <w:rPr>
          <w:rFonts w:ascii="Times New Roman" w:hAnsi="Times New Roman" w:cs="Times New Roman"/>
          <w:sz w:val="22"/>
          <w:szCs w:val="22"/>
        </w:rPr>
      </w:pPr>
      <w:r w:rsidRPr="00062207">
        <w:rPr>
          <w:rFonts w:ascii="Times New Roman" w:hAnsi="Times New Roman" w:cs="Times New Roman"/>
          <w:sz w:val="22"/>
          <w:szCs w:val="22"/>
        </w:rPr>
        <w:t>Los recursos que se perciben son de fuentes no impositivas, estos de igual manera que los ingresos tributarios reflejaron resultado positivo, el cierre preliminar del ejercicio 2021 denota que se percibieron Q4,088.6 millones por concepto de ingresos no tributarios lo que significó un incremento de 8% respecto a lo observado en 2020, las contribuciones a la seguridad y previsión social  representan el 65.3% del total de ingresos no tributarios, seguido por los ingresos de tasas, derechos, arrendamientos, multas, intereses por mora y otros ingresos no tributarios que representan el 16.9% y la venta de bienes y servicios de la administración pública que conforman el 10.5%, el 7.3% restante está distribuido en rentas de la propiedad y transferencias corrientes.</w:t>
      </w:r>
    </w:p>
    <w:p w14:paraId="0D56F5F1" w14:textId="77777777" w:rsidR="00062207" w:rsidRPr="00062207" w:rsidRDefault="00062207" w:rsidP="00DB2D0A">
      <w:pPr>
        <w:jc w:val="both"/>
        <w:rPr>
          <w:rFonts w:ascii="Times New Roman" w:hAnsi="Times New Roman" w:cs="Times New Roman"/>
          <w:sz w:val="22"/>
          <w:szCs w:val="22"/>
        </w:rPr>
      </w:pPr>
    </w:p>
    <w:p w14:paraId="59D878B4" w14:textId="4FF2131E" w:rsidR="001D4B49" w:rsidRPr="00062207" w:rsidRDefault="001D4B49" w:rsidP="001D4B49">
      <w:pPr>
        <w:jc w:val="center"/>
        <w:rPr>
          <w:rFonts w:ascii="Times New Roman" w:hAnsi="Times New Roman" w:cs="Times New Roman"/>
          <w:b/>
          <w:szCs w:val="22"/>
        </w:rPr>
      </w:pPr>
      <w:r w:rsidRPr="00062207">
        <w:rPr>
          <w:rFonts w:ascii="Times New Roman" w:hAnsi="Times New Roman" w:cs="Times New Roman"/>
          <w:b/>
          <w:szCs w:val="22"/>
        </w:rPr>
        <w:t>Estructura de ingresos no tributarios</w:t>
      </w:r>
    </w:p>
    <w:p w14:paraId="14D454B8" w14:textId="6A7D6461" w:rsidR="001D4B49" w:rsidRPr="00062207" w:rsidRDefault="001D4B49" w:rsidP="001D4B49">
      <w:pPr>
        <w:jc w:val="center"/>
        <w:rPr>
          <w:rFonts w:ascii="Times New Roman" w:hAnsi="Times New Roman" w:cs="Times New Roman"/>
          <w:sz w:val="22"/>
          <w:szCs w:val="22"/>
        </w:rPr>
      </w:pPr>
      <w:r w:rsidRPr="00062207">
        <w:rPr>
          <w:rFonts w:ascii="Times New Roman" w:hAnsi="Times New Roman" w:cs="Times New Roman"/>
          <w:sz w:val="22"/>
          <w:szCs w:val="22"/>
        </w:rPr>
        <w:t>Porcentaje</w:t>
      </w:r>
    </w:p>
    <w:p w14:paraId="2B7A6540" w14:textId="6780D8F1" w:rsidR="001D4B49" w:rsidRPr="00062207" w:rsidRDefault="001D4B49" w:rsidP="00DB2D0A">
      <w:pPr>
        <w:jc w:val="both"/>
        <w:rPr>
          <w:rFonts w:ascii="Times New Roman" w:hAnsi="Times New Roman" w:cs="Times New Roman"/>
          <w:sz w:val="22"/>
          <w:szCs w:val="22"/>
        </w:rPr>
      </w:pPr>
      <w:r w:rsidRPr="00062207">
        <w:rPr>
          <w:rFonts w:ascii="Times New Roman" w:hAnsi="Times New Roman" w:cs="Times New Roman"/>
          <w:noProof/>
          <w:sz w:val="22"/>
          <w:lang w:val="es-GT" w:eastAsia="es-GT"/>
        </w:rPr>
        <w:drawing>
          <wp:anchor distT="0" distB="0" distL="114300" distR="114300" simplePos="0" relativeHeight="251810816" behindDoc="0" locked="0" layoutInCell="1" allowOverlap="1" wp14:anchorId="58A76ABD" wp14:editId="5CE03E16">
            <wp:simplePos x="0" y="0"/>
            <wp:positionH relativeFrom="column">
              <wp:posOffset>1315720</wp:posOffset>
            </wp:positionH>
            <wp:positionV relativeFrom="paragraph">
              <wp:posOffset>7620</wp:posOffset>
            </wp:positionV>
            <wp:extent cx="3408680" cy="2077085"/>
            <wp:effectExtent l="0" t="0" r="1270" b="0"/>
            <wp:wrapSquare wrapText="bothSides"/>
            <wp:docPr id="79" name="Gráfico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p>
    <w:p w14:paraId="24EFB92D" w14:textId="28176D36" w:rsidR="001D4B49" w:rsidRPr="00062207" w:rsidRDefault="001D4B49" w:rsidP="00DB2D0A">
      <w:pPr>
        <w:jc w:val="both"/>
        <w:rPr>
          <w:rFonts w:ascii="Times New Roman" w:hAnsi="Times New Roman" w:cs="Times New Roman"/>
          <w:sz w:val="22"/>
          <w:szCs w:val="22"/>
        </w:rPr>
      </w:pPr>
    </w:p>
    <w:p w14:paraId="7D7A9A02" w14:textId="7E749C91" w:rsidR="001D4B49" w:rsidRPr="00062207" w:rsidRDefault="001D4B49" w:rsidP="00DB2D0A">
      <w:pPr>
        <w:jc w:val="both"/>
        <w:rPr>
          <w:rFonts w:ascii="Times New Roman" w:hAnsi="Times New Roman" w:cs="Times New Roman"/>
          <w:sz w:val="22"/>
          <w:szCs w:val="22"/>
        </w:rPr>
      </w:pPr>
    </w:p>
    <w:p w14:paraId="202D6DF0" w14:textId="6DF2A371" w:rsidR="001D4B49" w:rsidRPr="00062207" w:rsidRDefault="001D4B49" w:rsidP="00DB2D0A">
      <w:pPr>
        <w:jc w:val="both"/>
        <w:rPr>
          <w:rFonts w:ascii="Times New Roman" w:hAnsi="Times New Roman" w:cs="Times New Roman"/>
          <w:sz w:val="22"/>
          <w:szCs w:val="22"/>
        </w:rPr>
      </w:pPr>
    </w:p>
    <w:p w14:paraId="619D39C6" w14:textId="09772168" w:rsidR="001D4B49" w:rsidRPr="00062207" w:rsidRDefault="001D4B49" w:rsidP="00DB2D0A">
      <w:pPr>
        <w:jc w:val="both"/>
        <w:rPr>
          <w:rFonts w:ascii="Times New Roman" w:hAnsi="Times New Roman" w:cs="Times New Roman"/>
          <w:sz w:val="22"/>
          <w:szCs w:val="22"/>
        </w:rPr>
      </w:pPr>
    </w:p>
    <w:p w14:paraId="3A49382C" w14:textId="6D3D77AF" w:rsidR="001D4B49" w:rsidRPr="00062207" w:rsidRDefault="001D4B49" w:rsidP="00DB2D0A">
      <w:pPr>
        <w:jc w:val="both"/>
        <w:rPr>
          <w:rFonts w:ascii="Times New Roman" w:hAnsi="Times New Roman" w:cs="Times New Roman"/>
          <w:sz w:val="22"/>
          <w:szCs w:val="22"/>
        </w:rPr>
      </w:pPr>
    </w:p>
    <w:p w14:paraId="6A256E8E" w14:textId="56124C33" w:rsidR="001D4B49" w:rsidRPr="00062207" w:rsidRDefault="001D4B49" w:rsidP="00DB2D0A">
      <w:pPr>
        <w:jc w:val="both"/>
        <w:rPr>
          <w:rFonts w:ascii="Times New Roman" w:hAnsi="Times New Roman" w:cs="Times New Roman"/>
          <w:sz w:val="22"/>
          <w:szCs w:val="22"/>
        </w:rPr>
      </w:pPr>
    </w:p>
    <w:p w14:paraId="170221F0" w14:textId="0BB7FFA1" w:rsidR="001D4B49" w:rsidRPr="00062207" w:rsidRDefault="001D4B49" w:rsidP="00DB2D0A">
      <w:pPr>
        <w:jc w:val="both"/>
        <w:rPr>
          <w:rFonts w:ascii="Times New Roman" w:hAnsi="Times New Roman" w:cs="Times New Roman"/>
          <w:sz w:val="22"/>
          <w:szCs w:val="22"/>
        </w:rPr>
      </w:pPr>
    </w:p>
    <w:p w14:paraId="2CD66BE0" w14:textId="4DB7C8D3" w:rsidR="001D4B49" w:rsidRPr="00062207" w:rsidRDefault="001D4B49" w:rsidP="00DB2D0A">
      <w:pPr>
        <w:jc w:val="both"/>
        <w:rPr>
          <w:rFonts w:ascii="Times New Roman" w:hAnsi="Times New Roman" w:cs="Times New Roman"/>
          <w:sz w:val="22"/>
          <w:szCs w:val="22"/>
        </w:rPr>
      </w:pPr>
    </w:p>
    <w:p w14:paraId="1EA029B6" w14:textId="271F4B70" w:rsidR="001D4B49" w:rsidRPr="00062207" w:rsidRDefault="001D4B49" w:rsidP="00DB2D0A">
      <w:pPr>
        <w:jc w:val="both"/>
        <w:rPr>
          <w:rFonts w:ascii="Times New Roman" w:hAnsi="Times New Roman" w:cs="Times New Roman"/>
          <w:sz w:val="22"/>
          <w:szCs w:val="22"/>
        </w:rPr>
      </w:pPr>
    </w:p>
    <w:p w14:paraId="769DDF6D" w14:textId="712CF8D7" w:rsidR="001D4B49" w:rsidRPr="00062207" w:rsidRDefault="001D4B49" w:rsidP="00DB2D0A">
      <w:pPr>
        <w:jc w:val="both"/>
        <w:rPr>
          <w:rFonts w:ascii="Times New Roman" w:hAnsi="Times New Roman" w:cs="Times New Roman"/>
          <w:sz w:val="22"/>
          <w:szCs w:val="22"/>
        </w:rPr>
      </w:pPr>
    </w:p>
    <w:p w14:paraId="65534F7B" w14:textId="0A9CE054" w:rsidR="001D4B49" w:rsidRPr="00062207" w:rsidRDefault="001D4B49" w:rsidP="00DB2D0A">
      <w:pPr>
        <w:jc w:val="both"/>
        <w:rPr>
          <w:rFonts w:ascii="Times New Roman" w:hAnsi="Times New Roman" w:cs="Times New Roman"/>
          <w:sz w:val="22"/>
          <w:szCs w:val="22"/>
        </w:rPr>
      </w:pPr>
    </w:p>
    <w:p w14:paraId="4C8BC32A" w14:textId="4097C67C" w:rsidR="001D4B49" w:rsidRPr="00062207" w:rsidRDefault="001D4B49" w:rsidP="001D4B49">
      <w:pPr>
        <w:jc w:val="both"/>
        <w:rPr>
          <w:rFonts w:ascii="Times New Roman" w:hAnsi="Times New Roman" w:cs="Times New Roman"/>
          <w:sz w:val="22"/>
          <w:szCs w:val="22"/>
          <w:lang w:val="es-GT"/>
        </w:rPr>
      </w:pPr>
    </w:p>
    <w:p w14:paraId="6A9521EB" w14:textId="722C32D7" w:rsidR="001D4B49" w:rsidRPr="00062207" w:rsidRDefault="001D4B49" w:rsidP="00DB2D0A">
      <w:pPr>
        <w:jc w:val="both"/>
        <w:rPr>
          <w:rFonts w:ascii="Times New Roman" w:hAnsi="Times New Roman" w:cs="Times New Roman"/>
          <w:sz w:val="18"/>
          <w:szCs w:val="22"/>
          <w:lang w:val="es-GT"/>
        </w:rPr>
      </w:pPr>
      <w:r w:rsidRPr="00062207">
        <w:rPr>
          <w:rFonts w:ascii="Times New Roman" w:hAnsi="Times New Roman" w:cs="Times New Roman"/>
          <w:sz w:val="18"/>
          <w:szCs w:val="22"/>
          <w:lang w:val="es-GT"/>
        </w:rPr>
        <w:t xml:space="preserve">                                                 Fuente: Dirección de Análisis y Política Fiscal.</w:t>
      </w:r>
    </w:p>
    <w:p w14:paraId="10ABD28C" w14:textId="77777777" w:rsidR="00062207" w:rsidRPr="00062207" w:rsidRDefault="00062207" w:rsidP="00DB2D0A">
      <w:pPr>
        <w:jc w:val="both"/>
        <w:rPr>
          <w:rFonts w:ascii="Times New Roman" w:hAnsi="Times New Roman" w:cs="Times New Roman"/>
          <w:sz w:val="22"/>
        </w:rPr>
      </w:pPr>
    </w:p>
    <w:p w14:paraId="1842102F" w14:textId="77777777" w:rsidR="00062207" w:rsidRPr="00062207" w:rsidRDefault="00062207" w:rsidP="00062207">
      <w:pPr>
        <w:jc w:val="both"/>
        <w:rPr>
          <w:rFonts w:ascii="Times New Roman" w:hAnsi="Times New Roman" w:cs="Times New Roman"/>
          <w:sz w:val="22"/>
          <w:szCs w:val="22"/>
        </w:rPr>
      </w:pPr>
      <w:r w:rsidRPr="00062207">
        <w:rPr>
          <w:rFonts w:ascii="Times New Roman" w:hAnsi="Times New Roman" w:cs="Times New Roman"/>
          <w:sz w:val="22"/>
        </w:rPr>
        <w:lastRenderedPageBreak/>
        <w:t>En los resultados preliminares de 2021 sobresale que en el rubro de contribuciones a la seguridad y previsión social creció en 4.3% respecto a lo observado en 2020, monto menor al registrado en ese año cuando creció de manera interanual en 9.7%, la diferencia puede estar explicada por el aumento en la nómina que se dio en 2020.</w:t>
      </w:r>
    </w:p>
    <w:p w14:paraId="15FE3D77" w14:textId="6E6CF334" w:rsidR="001D4B49" w:rsidRPr="00062207" w:rsidRDefault="001D4B49" w:rsidP="00DB2D0A">
      <w:pPr>
        <w:rPr>
          <w:rFonts w:ascii="Times New Roman" w:hAnsi="Times New Roman" w:cs="Times New Roman"/>
          <w:sz w:val="16"/>
        </w:rPr>
      </w:pPr>
    </w:p>
    <w:p w14:paraId="697A2475" w14:textId="74C95CB8" w:rsidR="008C0B31" w:rsidRPr="00062207" w:rsidRDefault="00351803" w:rsidP="00A963D6">
      <w:pPr>
        <w:pStyle w:val="Prrafodelista"/>
        <w:ind w:left="0"/>
        <w:jc w:val="both"/>
        <w:outlineLvl w:val="0"/>
        <w:rPr>
          <w:rFonts w:ascii="Times New Roman" w:eastAsiaTheme="majorEastAsia" w:hAnsi="Times New Roman" w:cs="Times New Roman"/>
          <w:b/>
          <w:bCs/>
          <w:sz w:val="26"/>
          <w:szCs w:val="26"/>
        </w:rPr>
      </w:pPr>
      <w:bookmarkStart w:id="83" w:name="_Toc94259626"/>
      <w:r w:rsidRPr="00062207">
        <w:rPr>
          <w:rFonts w:ascii="Times New Roman" w:eastAsiaTheme="majorEastAsia" w:hAnsi="Times New Roman" w:cs="Times New Roman"/>
          <w:b/>
          <w:bCs/>
          <w:sz w:val="26"/>
          <w:szCs w:val="26"/>
          <w:lang w:val="es-ES_tradnl" w:eastAsia="es-ES"/>
        </w:rPr>
        <w:t xml:space="preserve">II. </w:t>
      </w:r>
      <w:r w:rsidR="008C0B31" w:rsidRPr="00062207">
        <w:rPr>
          <w:rFonts w:ascii="Times New Roman" w:eastAsiaTheme="majorEastAsia" w:hAnsi="Times New Roman" w:cs="Times New Roman"/>
          <w:b/>
          <w:bCs/>
          <w:sz w:val="26"/>
          <w:szCs w:val="26"/>
          <w:lang w:val="es-ES_tradnl" w:eastAsia="es-ES"/>
        </w:rPr>
        <w:t>Gasto Público</w:t>
      </w:r>
      <w:bookmarkEnd w:id="6"/>
      <w:bookmarkEnd w:id="83"/>
    </w:p>
    <w:p w14:paraId="0DD58089" w14:textId="77777777" w:rsidR="00770433" w:rsidRPr="00062207" w:rsidRDefault="00770433" w:rsidP="0064104D">
      <w:pPr>
        <w:pStyle w:val="Prrafodelista"/>
        <w:keepNext/>
        <w:keepLines/>
        <w:numPr>
          <w:ilvl w:val="0"/>
          <w:numId w:val="1"/>
        </w:numPr>
        <w:spacing w:before="200"/>
        <w:contextualSpacing w:val="0"/>
        <w:outlineLvl w:val="1"/>
        <w:rPr>
          <w:rFonts w:ascii="Times New Roman" w:eastAsiaTheme="majorEastAsia" w:hAnsi="Times New Roman" w:cs="Times New Roman"/>
          <w:b/>
          <w:bCs/>
          <w:vanish/>
          <w:sz w:val="24"/>
          <w:szCs w:val="26"/>
          <w:lang w:val="es-ES_tradnl" w:eastAsia="es-ES"/>
        </w:rPr>
      </w:pPr>
      <w:bookmarkStart w:id="84" w:name="_Toc471986932"/>
      <w:bookmarkStart w:id="85" w:name="_Toc471987067"/>
      <w:bookmarkStart w:id="86" w:name="_Toc471987115"/>
      <w:bookmarkStart w:id="87" w:name="_Toc471987137"/>
      <w:bookmarkStart w:id="88" w:name="_Toc472082165"/>
      <w:bookmarkStart w:id="89" w:name="_Toc472082197"/>
      <w:bookmarkStart w:id="90" w:name="_Toc472089913"/>
      <w:bookmarkStart w:id="91" w:name="_Toc472089936"/>
      <w:bookmarkStart w:id="92" w:name="_Toc505346063"/>
      <w:bookmarkStart w:id="93" w:name="_Toc505349878"/>
      <w:bookmarkStart w:id="94" w:name="_Toc534985836"/>
      <w:bookmarkStart w:id="95" w:name="_Toc534988229"/>
      <w:bookmarkStart w:id="96" w:name="_Toc31611549"/>
      <w:bookmarkStart w:id="97" w:name="_Toc31612768"/>
      <w:bookmarkStart w:id="98" w:name="_Toc31612800"/>
      <w:bookmarkStart w:id="99" w:name="_Toc31614826"/>
      <w:bookmarkStart w:id="100" w:name="_Toc31614858"/>
      <w:bookmarkStart w:id="101" w:name="_Toc31618695"/>
      <w:bookmarkStart w:id="102" w:name="_Toc31618728"/>
      <w:bookmarkStart w:id="103" w:name="_Toc31624504"/>
      <w:bookmarkStart w:id="104" w:name="_Toc62724055"/>
      <w:bookmarkStart w:id="105" w:name="_Toc62724118"/>
      <w:bookmarkStart w:id="106" w:name="_Toc62724202"/>
      <w:bookmarkStart w:id="107" w:name="_Toc62724276"/>
      <w:bookmarkStart w:id="108" w:name="_Toc94250341"/>
      <w:bookmarkStart w:id="109" w:name="_Toc94250409"/>
      <w:bookmarkStart w:id="110" w:name="_Toc94251049"/>
      <w:bookmarkStart w:id="111" w:name="_Toc94257711"/>
      <w:bookmarkStart w:id="112" w:name="_Toc94259627"/>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p>
    <w:p w14:paraId="52B0CE0D" w14:textId="77777777" w:rsidR="00770433" w:rsidRPr="00062207" w:rsidRDefault="00770433" w:rsidP="0064104D">
      <w:pPr>
        <w:pStyle w:val="Prrafodelista"/>
        <w:keepNext/>
        <w:keepLines/>
        <w:numPr>
          <w:ilvl w:val="0"/>
          <w:numId w:val="1"/>
        </w:numPr>
        <w:spacing w:before="200"/>
        <w:contextualSpacing w:val="0"/>
        <w:outlineLvl w:val="1"/>
        <w:rPr>
          <w:rFonts w:ascii="Times New Roman" w:eastAsiaTheme="majorEastAsia" w:hAnsi="Times New Roman" w:cs="Times New Roman"/>
          <w:b/>
          <w:bCs/>
          <w:vanish/>
          <w:sz w:val="24"/>
          <w:szCs w:val="26"/>
          <w:lang w:val="es-ES_tradnl" w:eastAsia="es-ES"/>
        </w:rPr>
      </w:pPr>
      <w:bookmarkStart w:id="113" w:name="_Toc472082166"/>
      <w:bookmarkStart w:id="114" w:name="_Toc472082198"/>
      <w:bookmarkStart w:id="115" w:name="_Toc472089914"/>
      <w:bookmarkStart w:id="116" w:name="_Toc472089937"/>
      <w:bookmarkStart w:id="117" w:name="_Toc505346064"/>
      <w:bookmarkStart w:id="118" w:name="_Toc505349879"/>
      <w:bookmarkStart w:id="119" w:name="_Toc534985837"/>
      <w:bookmarkStart w:id="120" w:name="_Toc534988230"/>
      <w:bookmarkStart w:id="121" w:name="_Toc31611550"/>
      <w:bookmarkStart w:id="122" w:name="_Toc31612769"/>
      <w:bookmarkStart w:id="123" w:name="_Toc31612801"/>
      <w:bookmarkStart w:id="124" w:name="_Toc31614827"/>
      <w:bookmarkStart w:id="125" w:name="_Toc31614859"/>
      <w:bookmarkStart w:id="126" w:name="_Toc31618696"/>
      <w:bookmarkStart w:id="127" w:name="_Toc31618729"/>
      <w:bookmarkStart w:id="128" w:name="_Toc31624505"/>
      <w:bookmarkStart w:id="129" w:name="_Toc62724056"/>
      <w:bookmarkStart w:id="130" w:name="_Toc62724119"/>
      <w:bookmarkStart w:id="131" w:name="_Toc62724203"/>
      <w:bookmarkStart w:id="132" w:name="_Toc62724277"/>
      <w:bookmarkStart w:id="133" w:name="_Toc94250342"/>
      <w:bookmarkStart w:id="134" w:name="_Toc94250410"/>
      <w:bookmarkStart w:id="135" w:name="_Toc94251050"/>
      <w:bookmarkStart w:id="136" w:name="_Toc94257712"/>
      <w:bookmarkStart w:id="137" w:name="_Toc94259628"/>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p>
    <w:p w14:paraId="34D00883" w14:textId="77777777" w:rsidR="00A963D6" w:rsidRPr="00062207" w:rsidRDefault="00A963D6" w:rsidP="00A963D6">
      <w:pPr>
        <w:rPr>
          <w:rFonts w:ascii="Times New Roman" w:hAnsi="Times New Roman" w:cs="Times New Roman"/>
          <w:sz w:val="22"/>
        </w:rPr>
      </w:pPr>
      <w:bookmarkStart w:id="138" w:name="_Toc62724278"/>
    </w:p>
    <w:p w14:paraId="63DDB119" w14:textId="38086323" w:rsidR="000B5E1C" w:rsidRPr="00062207" w:rsidRDefault="00351803" w:rsidP="00A963D6">
      <w:pPr>
        <w:pStyle w:val="Ttulo2"/>
        <w:spacing w:before="0"/>
        <w:ind w:left="567" w:hanging="283"/>
        <w:jc w:val="both"/>
        <w:rPr>
          <w:rFonts w:ascii="Times New Roman" w:hAnsi="Times New Roman" w:cs="Times New Roman"/>
          <w:color w:val="auto"/>
          <w:sz w:val="24"/>
        </w:rPr>
      </w:pPr>
      <w:bookmarkStart w:id="139" w:name="_Toc94259629"/>
      <w:r w:rsidRPr="00062207">
        <w:rPr>
          <w:rFonts w:ascii="Times New Roman" w:hAnsi="Times New Roman" w:cs="Times New Roman"/>
          <w:color w:val="auto"/>
          <w:sz w:val="24"/>
        </w:rPr>
        <w:t xml:space="preserve">2.1 </w:t>
      </w:r>
      <w:r w:rsidR="005808C5" w:rsidRPr="00062207">
        <w:rPr>
          <w:rFonts w:ascii="Times New Roman" w:hAnsi="Times New Roman" w:cs="Times New Roman"/>
          <w:color w:val="auto"/>
          <w:sz w:val="24"/>
        </w:rPr>
        <w:t>L</w:t>
      </w:r>
      <w:r w:rsidR="004675CE" w:rsidRPr="00062207">
        <w:rPr>
          <w:rFonts w:ascii="Times New Roman" w:hAnsi="Times New Roman" w:cs="Times New Roman"/>
          <w:color w:val="auto"/>
          <w:sz w:val="24"/>
        </w:rPr>
        <w:t>a no a</w:t>
      </w:r>
      <w:r w:rsidR="006924C1" w:rsidRPr="00062207">
        <w:rPr>
          <w:rFonts w:ascii="Times New Roman" w:hAnsi="Times New Roman" w:cs="Times New Roman"/>
          <w:color w:val="auto"/>
          <w:sz w:val="24"/>
        </w:rPr>
        <w:t>probación</w:t>
      </w:r>
      <w:r w:rsidR="005808C5" w:rsidRPr="00062207">
        <w:rPr>
          <w:rFonts w:ascii="Times New Roman" w:hAnsi="Times New Roman" w:cs="Times New Roman"/>
          <w:color w:val="auto"/>
          <w:sz w:val="24"/>
        </w:rPr>
        <w:t xml:space="preserve"> del presupuesto</w:t>
      </w:r>
      <w:r w:rsidR="00310CF0" w:rsidRPr="00062207">
        <w:rPr>
          <w:rFonts w:ascii="Times New Roman" w:hAnsi="Times New Roman" w:cs="Times New Roman"/>
          <w:color w:val="auto"/>
          <w:sz w:val="24"/>
        </w:rPr>
        <w:t xml:space="preserve"> por se</w:t>
      </w:r>
      <w:r w:rsidR="003C2C64" w:rsidRPr="00062207">
        <w:rPr>
          <w:rFonts w:ascii="Times New Roman" w:hAnsi="Times New Roman" w:cs="Times New Roman"/>
          <w:color w:val="auto"/>
          <w:sz w:val="24"/>
        </w:rPr>
        <w:t>gundo año consecutivo se da por primera vez en la historia democrática del país</w:t>
      </w:r>
      <w:bookmarkEnd w:id="139"/>
      <w:r w:rsidR="003C2C64" w:rsidRPr="00062207">
        <w:rPr>
          <w:rFonts w:ascii="Times New Roman" w:hAnsi="Times New Roman" w:cs="Times New Roman"/>
          <w:color w:val="auto"/>
          <w:sz w:val="24"/>
        </w:rPr>
        <w:t xml:space="preserve"> </w:t>
      </w:r>
      <w:bookmarkEnd w:id="138"/>
    </w:p>
    <w:p w14:paraId="4ADFE6E5" w14:textId="77777777" w:rsidR="000B5E1C" w:rsidRPr="00062207" w:rsidRDefault="000B5E1C" w:rsidP="000B5E1C">
      <w:pPr>
        <w:pStyle w:val="Sinespaciado"/>
        <w:jc w:val="both"/>
        <w:rPr>
          <w:rFonts w:ascii="Times New Roman" w:hAnsi="Times New Roman" w:cs="Times New Roman"/>
          <w:lang w:val="es-ES_tradnl"/>
        </w:rPr>
      </w:pPr>
    </w:p>
    <w:p w14:paraId="31C4C606" w14:textId="091FBD70" w:rsidR="00240FF1" w:rsidRPr="00062207" w:rsidRDefault="003C2C64" w:rsidP="006924C1">
      <w:pPr>
        <w:jc w:val="both"/>
        <w:rPr>
          <w:rFonts w:ascii="Times New Roman" w:hAnsi="Times New Roman" w:cs="Times New Roman"/>
          <w:sz w:val="22"/>
          <w:szCs w:val="22"/>
        </w:rPr>
      </w:pPr>
      <w:r w:rsidRPr="00062207">
        <w:rPr>
          <w:rFonts w:ascii="Times New Roman" w:hAnsi="Times New Roman" w:cs="Times New Roman"/>
          <w:sz w:val="22"/>
          <w:szCs w:val="22"/>
        </w:rPr>
        <w:t>En los últimos 22</w:t>
      </w:r>
      <w:r w:rsidR="009273D9" w:rsidRPr="00062207">
        <w:rPr>
          <w:rFonts w:ascii="Times New Roman" w:hAnsi="Times New Roman" w:cs="Times New Roman"/>
          <w:sz w:val="22"/>
          <w:szCs w:val="22"/>
        </w:rPr>
        <w:t xml:space="preserve"> años, en </w:t>
      </w:r>
      <w:r w:rsidRPr="00062207">
        <w:rPr>
          <w:rFonts w:ascii="Times New Roman" w:hAnsi="Times New Roman" w:cs="Times New Roman"/>
          <w:sz w:val="22"/>
          <w:szCs w:val="22"/>
        </w:rPr>
        <w:t>7</w:t>
      </w:r>
      <w:r w:rsidR="009273D9" w:rsidRPr="00062207">
        <w:rPr>
          <w:rFonts w:ascii="Times New Roman" w:hAnsi="Times New Roman" w:cs="Times New Roman"/>
          <w:sz w:val="22"/>
          <w:szCs w:val="22"/>
        </w:rPr>
        <w:t xml:space="preserve"> oportunidades no ha sido aprobado el presupuesto del Estado por par</w:t>
      </w:r>
      <w:r w:rsidR="00240FF1" w:rsidRPr="00062207">
        <w:rPr>
          <w:rFonts w:ascii="Times New Roman" w:hAnsi="Times New Roman" w:cs="Times New Roman"/>
          <w:sz w:val="22"/>
          <w:szCs w:val="22"/>
        </w:rPr>
        <w:t xml:space="preserve">te del Congreso de la República, pero únicamente en 2021 se presenta </w:t>
      </w:r>
      <w:r w:rsidR="005808C5" w:rsidRPr="00062207">
        <w:rPr>
          <w:rFonts w:ascii="Times New Roman" w:hAnsi="Times New Roman" w:cs="Times New Roman"/>
          <w:sz w:val="22"/>
          <w:szCs w:val="22"/>
        </w:rPr>
        <w:t xml:space="preserve">el caso </w:t>
      </w:r>
      <w:r w:rsidR="00240FF1" w:rsidRPr="00062207">
        <w:rPr>
          <w:rFonts w:ascii="Times New Roman" w:hAnsi="Times New Roman" w:cs="Times New Roman"/>
          <w:sz w:val="22"/>
          <w:szCs w:val="22"/>
        </w:rPr>
        <w:t>inédito en la historia democrática del país, al no ser aprobado el Proyecto de Presupuesto General de Ingresos y Egresos del Estado por segunda vez consecutiva. Nuevamente la administración del Partido Vamos arranca un ejercicio fiscal con un presupuesto que corresponde a las necesidades y requerimientos de</w:t>
      </w:r>
      <w:r w:rsidR="00FD2B37" w:rsidRPr="00062207">
        <w:rPr>
          <w:rFonts w:ascii="Times New Roman" w:hAnsi="Times New Roman" w:cs="Times New Roman"/>
          <w:sz w:val="22"/>
          <w:szCs w:val="22"/>
        </w:rPr>
        <w:t xml:space="preserve"> otro ejercicio fiscal y </w:t>
      </w:r>
      <w:r w:rsidR="004139E4" w:rsidRPr="00062207">
        <w:rPr>
          <w:rFonts w:ascii="Times New Roman" w:hAnsi="Times New Roman" w:cs="Times New Roman"/>
          <w:sz w:val="22"/>
          <w:szCs w:val="22"/>
        </w:rPr>
        <w:t xml:space="preserve">que </w:t>
      </w:r>
      <w:r w:rsidR="00FD2B37" w:rsidRPr="00062207">
        <w:rPr>
          <w:rFonts w:ascii="Times New Roman" w:hAnsi="Times New Roman" w:cs="Times New Roman"/>
          <w:sz w:val="22"/>
          <w:szCs w:val="22"/>
        </w:rPr>
        <w:t>no se</w:t>
      </w:r>
      <w:r w:rsidR="004139E4" w:rsidRPr="00062207">
        <w:rPr>
          <w:rFonts w:ascii="Times New Roman" w:hAnsi="Times New Roman" w:cs="Times New Roman"/>
          <w:sz w:val="22"/>
          <w:szCs w:val="22"/>
        </w:rPr>
        <w:t xml:space="preserve"> encontraba </w:t>
      </w:r>
      <w:r w:rsidR="00FD2B37" w:rsidRPr="00062207">
        <w:rPr>
          <w:rFonts w:ascii="Times New Roman" w:hAnsi="Times New Roman" w:cs="Times New Roman"/>
          <w:sz w:val="22"/>
          <w:szCs w:val="22"/>
        </w:rPr>
        <w:t>alinea</w:t>
      </w:r>
      <w:r w:rsidR="004139E4" w:rsidRPr="00062207">
        <w:rPr>
          <w:rFonts w:ascii="Times New Roman" w:hAnsi="Times New Roman" w:cs="Times New Roman"/>
          <w:sz w:val="22"/>
          <w:szCs w:val="22"/>
        </w:rPr>
        <w:t>do</w:t>
      </w:r>
      <w:r w:rsidR="00FD2B37" w:rsidRPr="00062207">
        <w:rPr>
          <w:rFonts w:ascii="Times New Roman" w:hAnsi="Times New Roman" w:cs="Times New Roman"/>
          <w:sz w:val="22"/>
          <w:szCs w:val="22"/>
        </w:rPr>
        <w:t xml:space="preserve"> con la realidad</w:t>
      </w:r>
      <w:r w:rsidR="001A0AC9" w:rsidRPr="00062207">
        <w:rPr>
          <w:rFonts w:ascii="Times New Roman" w:hAnsi="Times New Roman" w:cs="Times New Roman"/>
          <w:sz w:val="22"/>
          <w:szCs w:val="22"/>
        </w:rPr>
        <w:t xml:space="preserve"> existente</w:t>
      </w:r>
      <w:r w:rsidR="00FD2B37" w:rsidRPr="00062207">
        <w:rPr>
          <w:rFonts w:ascii="Times New Roman" w:hAnsi="Times New Roman" w:cs="Times New Roman"/>
          <w:sz w:val="22"/>
          <w:szCs w:val="22"/>
        </w:rPr>
        <w:t xml:space="preserve"> del país</w:t>
      </w:r>
      <w:r w:rsidR="001A0AC9" w:rsidRPr="00062207">
        <w:rPr>
          <w:rFonts w:ascii="Times New Roman" w:hAnsi="Times New Roman" w:cs="Times New Roman"/>
          <w:sz w:val="22"/>
          <w:szCs w:val="22"/>
        </w:rPr>
        <w:t xml:space="preserve"> en ese momento</w:t>
      </w:r>
      <w:r w:rsidR="00FD2B37" w:rsidRPr="00062207">
        <w:rPr>
          <w:rFonts w:ascii="Times New Roman" w:hAnsi="Times New Roman" w:cs="Times New Roman"/>
          <w:sz w:val="22"/>
          <w:szCs w:val="22"/>
        </w:rPr>
        <w:t xml:space="preserve">. </w:t>
      </w:r>
    </w:p>
    <w:p w14:paraId="4F603938" w14:textId="77777777" w:rsidR="00FD2B37" w:rsidRPr="00062207" w:rsidRDefault="00FD2B37" w:rsidP="00B228D4">
      <w:pPr>
        <w:pStyle w:val="Sinespaciado"/>
        <w:jc w:val="center"/>
        <w:rPr>
          <w:rFonts w:ascii="Times New Roman" w:hAnsi="Times New Roman" w:cs="Times New Roman"/>
          <w:b/>
        </w:rPr>
      </w:pPr>
    </w:p>
    <w:p w14:paraId="443C279E" w14:textId="77777777" w:rsidR="001A0AC9" w:rsidRPr="00062207" w:rsidRDefault="009273D9" w:rsidP="00B228D4">
      <w:pPr>
        <w:pStyle w:val="Sinespaciado"/>
        <w:jc w:val="center"/>
        <w:rPr>
          <w:rFonts w:ascii="Times New Roman" w:hAnsi="Times New Roman" w:cs="Times New Roman"/>
          <w:b/>
          <w:sz w:val="24"/>
        </w:rPr>
      </w:pPr>
      <w:r w:rsidRPr="00062207">
        <w:rPr>
          <w:rFonts w:ascii="Times New Roman" w:hAnsi="Times New Roman" w:cs="Times New Roman"/>
          <w:b/>
          <w:sz w:val="24"/>
        </w:rPr>
        <w:t>Proyectos de Presupuesto General de Ingresos y Egresos aprobados/no aprob</w:t>
      </w:r>
      <w:r w:rsidR="00B228D4" w:rsidRPr="00062207">
        <w:rPr>
          <w:rFonts w:ascii="Times New Roman" w:hAnsi="Times New Roman" w:cs="Times New Roman"/>
          <w:b/>
          <w:sz w:val="24"/>
        </w:rPr>
        <w:t>ados</w:t>
      </w:r>
    </w:p>
    <w:p w14:paraId="74912BD8" w14:textId="67A51C50" w:rsidR="009273D9" w:rsidRPr="00062207" w:rsidRDefault="00B228D4" w:rsidP="00B228D4">
      <w:pPr>
        <w:pStyle w:val="Sinespaciado"/>
        <w:jc w:val="center"/>
        <w:rPr>
          <w:rFonts w:ascii="Times New Roman" w:hAnsi="Times New Roman" w:cs="Times New Roman"/>
          <w:b/>
          <w:sz w:val="24"/>
        </w:rPr>
      </w:pPr>
      <w:r w:rsidRPr="00062207">
        <w:rPr>
          <w:rFonts w:ascii="Times New Roman" w:hAnsi="Times New Roman" w:cs="Times New Roman"/>
          <w:b/>
          <w:sz w:val="24"/>
        </w:rPr>
        <w:t xml:space="preserve">   </w:t>
      </w:r>
      <w:r w:rsidR="009D1F8C" w:rsidRPr="00062207">
        <w:rPr>
          <w:rFonts w:ascii="Times New Roman" w:hAnsi="Times New Roman" w:cs="Times New Roman"/>
          <w:b/>
          <w:sz w:val="24"/>
        </w:rPr>
        <w:t>2004 – 2021</w:t>
      </w:r>
    </w:p>
    <w:p w14:paraId="455DE36D" w14:textId="38A32928" w:rsidR="00D6696D" w:rsidRPr="00062207" w:rsidRDefault="009273D9" w:rsidP="009273D9">
      <w:pPr>
        <w:pStyle w:val="Sinespaciado"/>
        <w:jc w:val="center"/>
        <w:rPr>
          <w:rFonts w:ascii="Times New Roman" w:hAnsi="Times New Roman" w:cs="Times New Roman"/>
          <w:sz w:val="20"/>
        </w:rPr>
      </w:pPr>
      <w:r w:rsidRPr="00062207">
        <w:rPr>
          <w:rFonts w:ascii="Times New Roman" w:hAnsi="Times New Roman" w:cs="Times New Roman"/>
          <w:sz w:val="20"/>
        </w:rPr>
        <w:t>-Millones de quetzales y porcentajes-</w:t>
      </w:r>
    </w:p>
    <w:tbl>
      <w:tblPr>
        <w:tblpPr w:leftFromText="141" w:rightFromText="141" w:vertAnchor="text" w:horzAnchor="margin" w:tblpXSpec="center" w:tblpY="107"/>
        <w:tblW w:w="8006" w:type="dxa"/>
        <w:tblCellMar>
          <w:left w:w="70" w:type="dxa"/>
          <w:right w:w="70" w:type="dxa"/>
        </w:tblCellMar>
        <w:tblLook w:val="04A0" w:firstRow="1" w:lastRow="0" w:firstColumn="1" w:lastColumn="0" w:noHBand="0" w:noVBand="1"/>
      </w:tblPr>
      <w:tblGrid>
        <w:gridCol w:w="1016"/>
        <w:gridCol w:w="2626"/>
        <w:gridCol w:w="4364"/>
      </w:tblGrid>
      <w:tr w:rsidR="00062207" w:rsidRPr="00062207" w14:paraId="30C51063" w14:textId="77777777" w:rsidTr="00FC4984">
        <w:trPr>
          <w:trHeight w:val="294"/>
        </w:trPr>
        <w:tc>
          <w:tcPr>
            <w:tcW w:w="1016"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7B168645" w14:textId="77777777" w:rsidR="009273D9" w:rsidRPr="00062207" w:rsidRDefault="009273D9" w:rsidP="00B63DA6">
            <w:pPr>
              <w:jc w:val="center"/>
              <w:rPr>
                <w:rFonts w:ascii="Times New Roman" w:eastAsia="Times New Roman" w:hAnsi="Times New Roman" w:cs="Times New Roman"/>
                <w:b/>
                <w:bCs/>
                <w:sz w:val="20"/>
                <w:szCs w:val="22"/>
                <w:lang w:eastAsia="es-GT"/>
              </w:rPr>
            </w:pPr>
            <w:r w:rsidRPr="00062207">
              <w:rPr>
                <w:rFonts w:ascii="Times New Roman" w:eastAsia="Times New Roman" w:hAnsi="Times New Roman" w:cs="Times New Roman"/>
                <w:b/>
                <w:bCs/>
                <w:sz w:val="20"/>
                <w:szCs w:val="22"/>
                <w:lang w:eastAsia="es-GT"/>
              </w:rPr>
              <w:t>Año</w:t>
            </w:r>
          </w:p>
        </w:tc>
        <w:tc>
          <w:tcPr>
            <w:tcW w:w="2626" w:type="dxa"/>
            <w:tcBorders>
              <w:top w:val="single" w:sz="8" w:space="0" w:color="auto"/>
              <w:left w:val="nil"/>
              <w:bottom w:val="single" w:sz="8" w:space="0" w:color="auto"/>
              <w:right w:val="nil"/>
            </w:tcBorders>
            <w:shd w:val="clear" w:color="auto" w:fill="auto"/>
            <w:noWrap/>
            <w:vAlign w:val="center"/>
            <w:hideMark/>
          </w:tcPr>
          <w:p w14:paraId="2A29FE4E" w14:textId="77777777" w:rsidR="009273D9" w:rsidRPr="00062207" w:rsidRDefault="009273D9" w:rsidP="00B63DA6">
            <w:pPr>
              <w:jc w:val="center"/>
              <w:rPr>
                <w:rFonts w:ascii="Times New Roman" w:eastAsia="Times New Roman" w:hAnsi="Times New Roman" w:cs="Times New Roman"/>
                <w:b/>
                <w:bCs/>
                <w:sz w:val="20"/>
                <w:szCs w:val="22"/>
                <w:lang w:eastAsia="es-GT"/>
              </w:rPr>
            </w:pPr>
            <w:r w:rsidRPr="00062207">
              <w:rPr>
                <w:rFonts w:ascii="Times New Roman" w:eastAsia="Times New Roman" w:hAnsi="Times New Roman" w:cs="Times New Roman"/>
                <w:b/>
                <w:bCs/>
                <w:sz w:val="20"/>
                <w:szCs w:val="22"/>
                <w:lang w:eastAsia="es-GT"/>
              </w:rPr>
              <w:t>Proyecto de presupuesto</w:t>
            </w:r>
          </w:p>
        </w:tc>
        <w:tc>
          <w:tcPr>
            <w:tcW w:w="4364"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14:paraId="280DB427" w14:textId="77777777" w:rsidR="009273D9" w:rsidRPr="00062207" w:rsidRDefault="009273D9" w:rsidP="00B63DA6">
            <w:pPr>
              <w:jc w:val="center"/>
              <w:rPr>
                <w:rFonts w:ascii="Times New Roman" w:eastAsia="Times New Roman" w:hAnsi="Times New Roman" w:cs="Times New Roman"/>
                <w:b/>
                <w:bCs/>
                <w:sz w:val="20"/>
                <w:szCs w:val="22"/>
                <w:lang w:eastAsia="es-GT"/>
              </w:rPr>
            </w:pPr>
            <w:r w:rsidRPr="00062207">
              <w:rPr>
                <w:rFonts w:ascii="Times New Roman" w:eastAsia="Times New Roman" w:hAnsi="Times New Roman" w:cs="Times New Roman"/>
                <w:b/>
                <w:bCs/>
                <w:sz w:val="20"/>
                <w:szCs w:val="22"/>
                <w:lang w:eastAsia="es-GT"/>
              </w:rPr>
              <w:t>Administración</w:t>
            </w:r>
          </w:p>
        </w:tc>
      </w:tr>
      <w:tr w:rsidR="00062207" w:rsidRPr="00062207" w14:paraId="3D36FBA8" w14:textId="77777777" w:rsidTr="00FC4984">
        <w:trPr>
          <w:trHeight w:val="234"/>
        </w:trPr>
        <w:tc>
          <w:tcPr>
            <w:tcW w:w="1016" w:type="dxa"/>
            <w:tcBorders>
              <w:top w:val="nil"/>
              <w:left w:val="single" w:sz="8" w:space="0" w:color="auto"/>
              <w:bottom w:val="nil"/>
              <w:right w:val="single" w:sz="4" w:space="0" w:color="auto"/>
            </w:tcBorders>
            <w:shd w:val="clear" w:color="auto" w:fill="244061" w:themeFill="accent1" w:themeFillShade="80"/>
            <w:noWrap/>
            <w:vAlign w:val="center"/>
            <w:hideMark/>
          </w:tcPr>
          <w:p w14:paraId="1312861A" w14:textId="77777777" w:rsidR="009273D9" w:rsidRPr="00062207" w:rsidRDefault="009273D9" w:rsidP="00B63DA6">
            <w:pPr>
              <w:jc w:val="center"/>
              <w:rPr>
                <w:rFonts w:ascii="Times New Roman" w:eastAsia="Times New Roman" w:hAnsi="Times New Roman" w:cs="Times New Roman"/>
                <w:b/>
                <w:bCs/>
                <w:sz w:val="16"/>
                <w:szCs w:val="18"/>
                <w:lang w:eastAsia="es-GT"/>
              </w:rPr>
            </w:pPr>
            <w:r w:rsidRPr="00062207">
              <w:rPr>
                <w:rFonts w:ascii="Times New Roman" w:eastAsia="Times New Roman" w:hAnsi="Times New Roman" w:cs="Times New Roman"/>
                <w:b/>
                <w:bCs/>
                <w:sz w:val="16"/>
                <w:szCs w:val="18"/>
                <w:lang w:eastAsia="es-GT"/>
              </w:rPr>
              <w:t>2004</w:t>
            </w:r>
          </w:p>
        </w:tc>
        <w:tc>
          <w:tcPr>
            <w:tcW w:w="2626" w:type="dxa"/>
            <w:tcBorders>
              <w:top w:val="nil"/>
              <w:left w:val="nil"/>
              <w:bottom w:val="nil"/>
              <w:right w:val="single" w:sz="4" w:space="0" w:color="auto"/>
            </w:tcBorders>
            <w:shd w:val="clear" w:color="auto" w:fill="244061" w:themeFill="accent1" w:themeFillShade="80"/>
            <w:noWrap/>
            <w:vAlign w:val="center"/>
            <w:hideMark/>
          </w:tcPr>
          <w:p w14:paraId="48AF48A5" w14:textId="77777777" w:rsidR="009273D9" w:rsidRPr="00062207" w:rsidRDefault="009273D9" w:rsidP="00B63DA6">
            <w:pPr>
              <w:jc w:val="center"/>
              <w:rPr>
                <w:rFonts w:ascii="Times New Roman" w:eastAsia="Times New Roman" w:hAnsi="Times New Roman" w:cs="Times New Roman"/>
                <w:b/>
                <w:bCs/>
                <w:sz w:val="16"/>
                <w:szCs w:val="18"/>
                <w:lang w:eastAsia="es-GT"/>
              </w:rPr>
            </w:pPr>
            <w:r w:rsidRPr="00062207">
              <w:rPr>
                <w:rFonts w:ascii="Times New Roman" w:eastAsia="Times New Roman" w:hAnsi="Times New Roman" w:cs="Times New Roman"/>
                <w:b/>
                <w:bCs/>
                <w:sz w:val="16"/>
                <w:szCs w:val="18"/>
                <w:lang w:eastAsia="es-GT"/>
              </w:rPr>
              <w:t>NO APROBADO</w:t>
            </w:r>
          </w:p>
        </w:tc>
        <w:tc>
          <w:tcPr>
            <w:tcW w:w="4364" w:type="dxa"/>
            <w:tcBorders>
              <w:top w:val="nil"/>
              <w:left w:val="nil"/>
              <w:bottom w:val="nil"/>
              <w:right w:val="single" w:sz="8" w:space="0" w:color="auto"/>
            </w:tcBorders>
            <w:shd w:val="clear" w:color="auto" w:fill="244061" w:themeFill="accent1" w:themeFillShade="80"/>
            <w:noWrap/>
            <w:vAlign w:val="center"/>
            <w:hideMark/>
          </w:tcPr>
          <w:p w14:paraId="0782BA6F" w14:textId="77777777" w:rsidR="009273D9" w:rsidRPr="00062207" w:rsidRDefault="009273D9" w:rsidP="00B63DA6">
            <w:pPr>
              <w:jc w:val="center"/>
              <w:rPr>
                <w:rFonts w:ascii="Times New Roman" w:eastAsia="Times New Roman" w:hAnsi="Times New Roman" w:cs="Times New Roman"/>
                <w:b/>
                <w:bCs/>
                <w:sz w:val="16"/>
                <w:szCs w:val="18"/>
                <w:lang w:eastAsia="es-GT"/>
              </w:rPr>
            </w:pPr>
            <w:r w:rsidRPr="00062207">
              <w:rPr>
                <w:rFonts w:ascii="Times New Roman" w:eastAsia="Times New Roman" w:hAnsi="Times New Roman" w:cs="Times New Roman"/>
                <w:b/>
                <w:bCs/>
                <w:sz w:val="16"/>
                <w:szCs w:val="18"/>
                <w:lang w:eastAsia="es-GT"/>
              </w:rPr>
              <w:t>Gran Alianza Nacional (GANA)</w:t>
            </w:r>
          </w:p>
        </w:tc>
      </w:tr>
      <w:tr w:rsidR="00062207" w:rsidRPr="00062207" w14:paraId="260A0459" w14:textId="77777777" w:rsidTr="00FC4984">
        <w:trPr>
          <w:trHeight w:val="296"/>
        </w:trPr>
        <w:tc>
          <w:tcPr>
            <w:tcW w:w="1016" w:type="dxa"/>
            <w:tcBorders>
              <w:top w:val="nil"/>
              <w:left w:val="single" w:sz="8" w:space="0" w:color="auto"/>
              <w:bottom w:val="nil"/>
              <w:right w:val="single" w:sz="4" w:space="0" w:color="auto"/>
            </w:tcBorders>
            <w:shd w:val="clear" w:color="auto" w:fill="auto"/>
            <w:noWrap/>
            <w:vAlign w:val="center"/>
            <w:hideMark/>
          </w:tcPr>
          <w:p w14:paraId="016132E1" w14:textId="77777777" w:rsidR="009273D9" w:rsidRPr="00062207" w:rsidRDefault="009273D9" w:rsidP="00B63DA6">
            <w:pPr>
              <w:jc w:val="center"/>
              <w:rPr>
                <w:rFonts w:ascii="Times New Roman" w:eastAsia="Times New Roman" w:hAnsi="Times New Roman" w:cs="Times New Roman"/>
                <w:sz w:val="16"/>
                <w:szCs w:val="18"/>
                <w:lang w:eastAsia="es-GT"/>
              </w:rPr>
            </w:pPr>
            <w:r w:rsidRPr="00062207">
              <w:rPr>
                <w:rFonts w:ascii="Times New Roman" w:eastAsia="Times New Roman" w:hAnsi="Times New Roman" w:cs="Times New Roman"/>
                <w:sz w:val="16"/>
                <w:szCs w:val="18"/>
                <w:lang w:eastAsia="es-GT"/>
              </w:rPr>
              <w:t>2005</w:t>
            </w:r>
          </w:p>
        </w:tc>
        <w:tc>
          <w:tcPr>
            <w:tcW w:w="2626" w:type="dxa"/>
            <w:tcBorders>
              <w:top w:val="nil"/>
              <w:left w:val="nil"/>
              <w:bottom w:val="nil"/>
              <w:right w:val="single" w:sz="4" w:space="0" w:color="auto"/>
            </w:tcBorders>
            <w:shd w:val="clear" w:color="auto" w:fill="auto"/>
            <w:noWrap/>
            <w:vAlign w:val="center"/>
            <w:hideMark/>
          </w:tcPr>
          <w:p w14:paraId="08E982DC" w14:textId="77777777" w:rsidR="009273D9" w:rsidRPr="00062207" w:rsidRDefault="009273D9" w:rsidP="00B63DA6">
            <w:pPr>
              <w:jc w:val="center"/>
              <w:rPr>
                <w:rFonts w:ascii="Times New Roman" w:eastAsia="Times New Roman" w:hAnsi="Times New Roman" w:cs="Times New Roman"/>
                <w:sz w:val="16"/>
                <w:szCs w:val="18"/>
                <w:lang w:eastAsia="es-GT"/>
              </w:rPr>
            </w:pPr>
            <w:r w:rsidRPr="00062207">
              <w:rPr>
                <w:rFonts w:ascii="Times New Roman" w:eastAsia="Times New Roman" w:hAnsi="Times New Roman" w:cs="Times New Roman"/>
                <w:sz w:val="16"/>
                <w:szCs w:val="18"/>
                <w:lang w:eastAsia="es-GT"/>
              </w:rPr>
              <w:t>APROBADO</w:t>
            </w:r>
          </w:p>
        </w:tc>
        <w:tc>
          <w:tcPr>
            <w:tcW w:w="4364" w:type="dxa"/>
            <w:tcBorders>
              <w:top w:val="nil"/>
              <w:left w:val="nil"/>
              <w:bottom w:val="nil"/>
              <w:right w:val="single" w:sz="8" w:space="0" w:color="auto"/>
            </w:tcBorders>
            <w:shd w:val="clear" w:color="auto" w:fill="auto"/>
            <w:noWrap/>
            <w:vAlign w:val="center"/>
            <w:hideMark/>
          </w:tcPr>
          <w:p w14:paraId="014DF058" w14:textId="77777777" w:rsidR="009273D9" w:rsidRPr="00062207" w:rsidRDefault="009273D9" w:rsidP="00B63DA6">
            <w:pPr>
              <w:jc w:val="center"/>
              <w:rPr>
                <w:rFonts w:ascii="Times New Roman" w:eastAsia="Times New Roman" w:hAnsi="Times New Roman" w:cs="Times New Roman"/>
                <w:sz w:val="16"/>
                <w:szCs w:val="18"/>
                <w:lang w:eastAsia="es-GT"/>
              </w:rPr>
            </w:pPr>
            <w:r w:rsidRPr="00062207">
              <w:rPr>
                <w:rFonts w:ascii="Times New Roman" w:eastAsia="Times New Roman" w:hAnsi="Times New Roman" w:cs="Times New Roman"/>
                <w:sz w:val="16"/>
                <w:szCs w:val="18"/>
                <w:lang w:eastAsia="es-GT"/>
              </w:rPr>
              <w:t>Gran Alianza Nacional (GANA)</w:t>
            </w:r>
          </w:p>
        </w:tc>
      </w:tr>
      <w:tr w:rsidR="00062207" w:rsidRPr="00062207" w14:paraId="7B400621" w14:textId="77777777" w:rsidTr="00FC4984">
        <w:trPr>
          <w:trHeight w:val="150"/>
        </w:trPr>
        <w:tc>
          <w:tcPr>
            <w:tcW w:w="1016" w:type="dxa"/>
            <w:tcBorders>
              <w:top w:val="nil"/>
              <w:left w:val="single" w:sz="8" w:space="0" w:color="auto"/>
              <w:bottom w:val="nil"/>
              <w:right w:val="single" w:sz="4" w:space="0" w:color="auto"/>
            </w:tcBorders>
            <w:shd w:val="clear" w:color="auto" w:fill="auto"/>
            <w:noWrap/>
            <w:vAlign w:val="center"/>
            <w:hideMark/>
          </w:tcPr>
          <w:p w14:paraId="69559825" w14:textId="77777777" w:rsidR="009273D9" w:rsidRPr="00062207" w:rsidRDefault="009273D9" w:rsidP="00B63DA6">
            <w:pPr>
              <w:jc w:val="center"/>
              <w:rPr>
                <w:rFonts w:ascii="Times New Roman" w:eastAsia="Times New Roman" w:hAnsi="Times New Roman" w:cs="Times New Roman"/>
                <w:sz w:val="16"/>
                <w:szCs w:val="18"/>
                <w:lang w:eastAsia="es-GT"/>
              </w:rPr>
            </w:pPr>
            <w:r w:rsidRPr="00062207">
              <w:rPr>
                <w:rFonts w:ascii="Times New Roman" w:eastAsia="Times New Roman" w:hAnsi="Times New Roman" w:cs="Times New Roman"/>
                <w:sz w:val="16"/>
                <w:szCs w:val="18"/>
                <w:lang w:eastAsia="es-GT"/>
              </w:rPr>
              <w:t>2006</w:t>
            </w:r>
          </w:p>
        </w:tc>
        <w:tc>
          <w:tcPr>
            <w:tcW w:w="2626" w:type="dxa"/>
            <w:tcBorders>
              <w:top w:val="nil"/>
              <w:left w:val="nil"/>
              <w:bottom w:val="nil"/>
              <w:right w:val="single" w:sz="4" w:space="0" w:color="auto"/>
            </w:tcBorders>
            <w:shd w:val="clear" w:color="auto" w:fill="auto"/>
            <w:noWrap/>
            <w:vAlign w:val="center"/>
            <w:hideMark/>
          </w:tcPr>
          <w:p w14:paraId="13BAADEB" w14:textId="77777777" w:rsidR="009273D9" w:rsidRPr="00062207" w:rsidRDefault="009273D9" w:rsidP="00B63DA6">
            <w:pPr>
              <w:jc w:val="center"/>
              <w:rPr>
                <w:rFonts w:ascii="Times New Roman" w:eastAsia="Times New Roman" w:hAnsi="Times New Roman" w:cs="Times New Roman"/>
                <w:sz w:val="16"/>
                <w:szCs w:val="18"/>
                <w:lang w:eastAsia="es-GT"/>
              </w:rPr>
            </w:pPr>
            <w:r w:rsidRPr="00062207">
              <w:rPr>
                <w:rFonts w:ascii="Times New Roman" w:eastAsia="Times New Roman" w:hAnsi="Times New Roman" w:cs="Times New Roman"/>
                <w:sz w:val="16"/>
                <w:szCs w:val="18"/>
                <w:lang w:eastAsia="es-GT"/>
              </w:rPr>
              <w:t>APROBADO</w:t>
            </w:r>
          </w:p>
        </w:tc>
        <w:tc>
          <w:tcPr>
            <w:tcW w:w="4364" w:type="dxa"/>
            <w:tcBorders>
              <w:top w:val="nil"/>
              <w:left w:val="nil"/>
              <w:bottom w:val="nil"/>
              <w:right w:val="single" w:sz="8" w:space="0" w:color="auto"/>
            </w:tcBorders>
            <w:shd w:val="clear" w:color="auto" w:fill="auto"/>
            <w:noWrap/>
            <w:vAlign w:val="center"/>
            <w:hideMark/>
          </w:tcPr>
          <w:p w14:paraId="7BAEC81D" w14:textId="77777777" w:rsidR="009273D9" w:rsidRPr="00062207" w:rsidRDefault="009273D9" w:rsidP="00B63DA6">
            <w:pPr>
              <w:jc w:val="center"/>
              <w:rPr>
                <w:rFonts w:ascii="Times New Roman" w:eastAsia="Times New Roman" w:hAnsi="Times New Roman" w:cs="Times New Roman"/>
                <w:sz w:val="16"/>
                <w:szCs w:val="18"/>
                <w:lang w:eastAsia="es-GT"/>
              </w:rPr>
            </w:pPr>
            <w:r w:rsidRPr="00062207">
              <w:rPr>
                <w:rFonts w:ascii="Times New Roman" w:eastAsia="Times New Roman" w:hAnsi="Times New Roman" w:cs="Times New Roman"/>
                <w:sz w:val="16"/>
                <w:szCs w:val="18"/>
                <w:lang w:eastAsia="es-GT"/>
              </w:rPr>
              <w:t>Gran Alianza Nacional (GANA)</w:t>
            </w:r>
          </w:p>
        </w:tc>
      </w:tr>
      <w:tr w:rsidR="00062207" w:rsidRPr="00062207" w14:paraId="7CD040A8" w14:textId="77777777" w:rsidTr="00FC4984">
        <w:trPr>
          <w:trHeight w:val="221"/>
        </w:trPr>
        <w:tc>
          <w:tcPr>
            <w:tcW w:w="1016" w:type="dxa"/>
            <w:tcBorders>
              <w:top w:val="nil"/>
              <w:left w:val="single" w:sz="8" w:space="0" w:color="auto"/>
              <w:bottom w:val="nil"/>
              <w:right w:val="single" w:sz="4" w:space="0" w:color="auto"/>
            </w:tcBorders>
            <w:shd w:val="clear" w:color="auto" w:fill="244061" w:themeFill="accent1" w:themeFillShade="80"/>
            <w:noWrap/>
            <w:vAlign w:val="center"/>
            <w:hideMark/>
          </w:tcPr>
          <w:p w14:paraId="62381B18" w14:textId="77777777" w:rsidR="009273D9" w:rsidRPr="00062207" w:rsidRDefault="009273D9" w:rsidP="00B63DA6">
            <w:pPr>
              <w:jc w:val="center"/>
              <w:rPr>
                <w:rFonts w:ascii="Times New Roman" w:eastAsia="Times New Roman" w:hAnsi="Times New Roman" w:cs="Times New Roman"/>
                <w:b/>
                <w:bCs/>
                <w:sz w:val="16"/>
                <w:szCs w:val="18"/>
                <w:lang w:eastAsia="es-GT"/>
              </w:rPr>
            </w:pPr>
            <w:r w:rsidRPr="00062207">
              <w:rPr>
                <w:rFonts w:ascii="Times New Roman" w:eastAsia="Times New Roman" w:hAnsi="Times New Roman" w:cs="Times New Roman"/>
                <w:b/>
                <w:bCs/>
                <w:sz w:val="16"/>
                <w:szCs w:val="18"/>
                <w:lang w:eastAsia="es-GT"/>
              </w:rPr>
              <w:t>2007</w:t>
            </w:r>
          </w:p>
        </w:tc>
        <w:tc>
          <w:tcPr>
            <w:tcW w:w="2626" w:type="dxa"/>
            <w:tcBorders>
              <w:top w:val="nil"/>
              <w:left w:val="nil"/>
              <w:bottom w:val="nil"/>
              <w:right w:val="single" w:sz="4" w:space="0" w:color="auto"/>
            </w:tcBorders>
            <w:shd w:val="clear" w:color="auto" w:fill="244061" w:themeFill="accent1" w:themeFillShade="80"/>
            <w:noWrap/>
            <w:vAlign w:val="center"/>
            <w:hideMark/>
          </w:tcPr>
          <w:p w14:paraId="1D745258" w14:textId="77777777" w:rsidR="009273D9" w:rsidRPr="00062207" w:rsidRDefault="009273D9" w:rsidP="00B63DA6">
            <w:pPr>
              <w:jc w:val="center"/>
              <w:rPr>
                <w:rFonts w:ascii="Times New Roman" w:eastAsia="Times New Roman" w:hAnsi="Times New Roman" w:cs="Times New Roman"/>
                <w:b/>
                <w:bCs/>
                <w:sz w:val="16"/>
                <w:szCs w:val="18"/>
                <w:lang w:eastAsia="es-GT"/>
              </w:rPr>
            </w:pPr>
            <w:r w:rsidRPr="00062207">
              <w:rPr>
                <w:rFonts w:ascii="Times New Roman" w:eastAsia="Times New Roman" w:hAnsi="Times New Roman" w:cs="Times New Roman"/>
                <w:b/>
                <w:bCs/>
                <w:sz w:val="16"/>
                <w:szCs w:val="18"/>
                <w:lang w:eastAsia="es-GT"/>
              </w:rPr>
              <w:t>NO APROBADO</w:t>
            </w:r>
          </w:p>
        </w:tc>
        <w:tc>
          <w:tcPr>
            <w:tcW w:w="4364" w:type="dxa"/>
            <w:tcBorders>
              <w:top w:val="nil"/>
              <w:left w:val="nil"/>
              <w:bottom w:val="nil"/>
              <w:right w:val="single" w:sz="8" w:space="0" w:color="auto"/>
            </w:tcBorders>
            <w:shd w:val="clear" w:color="auto" w:fill="244061" w:themeFill="accent1" w:themeFillShade="80"/>
            <w:noWrap/>
            <w:vAlign w:val="center"/>
            <w:hideMark/>
          </w:tcPr>
          <w:p w14:paraId="1287BFA8" w14:textId="77777777" w:rsidR="009273D9" w:rsidRPr="00062207" w:rsidRDefault="009273D9" w:rsidP="00B63DA6">
            <w:pPr>
              <w:jc w:val="center"/>
              <w:rPr>
                <w:rFonts w:ascii="Times New Roman" w:eastAsia="Times New Roman" w:hAnsi="Times New Roman" w:cs="Times New Roman"/>
                <w:b/>
                <w:bCs/>
                <w:sz w:val="16"/>
                <w:szCs w:val="18"/>
                <w:lang w:eastAsia="es-GT"/>
              </w:rPr>
            </w:pPr>
            <w:r w:rsidRPr="00062207">
              <w:rPr>
                <w:rFonts w:ascii="Times New Roman" w:eastAsia="Times New Roman" w:hAnsi="Times New Roman" w:cs="Times New Roman"/>
                <w:b/>
                <w:bCs/>
                <w:sz w:val="16"/>
                <w:szCs w:val="18"/>
                <w:lang w:eastAsia="es-GT"/>
              </w:rPr>
              <w:t>Gran Alianza Nacional (GANA)</w:t>
            </w:r>
          </w:p>
        </w:tc>
      </w:tr>
      <w:tr w:rsidR="00062207" w:rsidRPr="00062207" w14:paraId="36E4C1CF" w14:textId="77777777" w:rsidTr="00FC4984">
        <w:trPr>
          <w:trHeight w:val="291"/>
        </w:trPr>
        <w:tc>
          <w:tcPr>
            <w:tcW w:w="1016" w:type="dxa"/>
            <w:tcBorders>
              <w:top w:val="nil"/>
              <w:left w:val="single" w:sz="8" w:space="0" w:color="auto"/>
              <w:bottom w:val="nil"/>
              <w:right w:val="single" w:sz="4" w:space="0" w:color="auto"/>
            </w:tcBorders>
            <w:shd w:val="clear" w:color="auto" w:fill="auto"/>
            <w:noWrap/>
            <w:vAlign w:val="center"/>
            <w:hideMark/>
          </w:tcPr>
          <w:p w14:paraId="5C4D68D0" w14:textId="77777777" w:rsidR="009273D9" w:rsidRPr="00062207" w:rsidRDefault="009273D9" w:rsidP="00B63DA6">
            <w:pPr>
              <w:jc w:val="center"/>
              <w:rPr>
                <w:rFonts w:ascii="Times New Roman" w:eastAsia="Times New Roman" w:hAnsi="Times New Roman" w:cs="Times New Roman"/>
                <w:sz w:val="16"/>
                <w:szCs w:val="18"/>
                <w:lang w:eastAsia="es-GT"/>
              </w:rPr>
            </w:pPr>
            <w:r w:rsidRPr="00062207">
              <w:rPr>
                <w:rFonts w:ascii="Times New Roman" w:eastAsia="Times New Roman" w:hAnsi="Times New Roman" w:cs="Times New Roman"/>
                <w:sz w:val="16"/>
                <w:szCs w:val="18"/>
                <w:lang w:eastAsia="es-GT"/>
              </w:rPr>
              <w:t>2008</w:t>
            </w:r>
          </w:p>
        </w:tc>
        <w:tc>
          <w:tcPr>
            <w:tcW w:w="2626" w:type="dxa"/>
            <w:tcBorders>
              <w:top w:val="nil"/>
              <w:left w:val="nil"/>
              <w:bottom w:val="nil"/>
              <w:right w:val="single" w:sz="4" w:space="0" w:color="auto"/>
            </w:tcBorders>
            <w:shd w:val="clear" w:color="auto" w:fill="auto"/>
            <w:noWrap/>
            <w:vAlign w:val="center"/>
            <w:hideMark/>
          </w:tcPr>
          <w:p w14:paraId="20BAD01A" w14:textId="77777777" w:rsidR="009273D9" w:rsidRPr="00062207" w:rsidRDefault="009273D9" w:rsidP="00B63DA6">
            <w:pPr>
              <w:jc w:val="center"/>
              <w:rPr>
                <w:rFonts w:ascii="Times New Roman" w:eastAsia="Times New Roman" w:hAnsi="Times New Roman" w:cs="Times New Roman"/>
                <w:sz w:val="16"/>
                <w:szCs w:val="18"/>
                <w:lang w:eastAsia="es-GT"/>
              </w:rPr>
            </w:pPr>
            <w:r w:rsidRPr="00062207">
              <w:rPr>
                <w:rFonts w:ascii="Times New Roman" w:eastAsia="Times New Roman" w:hAnsi="Times New Roman" w:cs="Times New Roman"/>
                <w:sz w:val="16"/>
                <w:szCs w:val="18"/>
                <w:lang w:eastAsia="es-GT"/>
              </w:rPr>
              <w:t>APROBADO</w:t>
            </w:r>
          </w:p>
        </w:tc>
        <w:tc>
          <w:tcPr>
            <w:tcW w:w="4364" w:type="dxa"/>
            <w:tcBorders>
              <w:top w:val="nil"/>
              <w:left w:val="nil"/>
              <w:bottom w:val="nil"/>
              <w:right w:val="single" w:sz="8" w:space="0" w:color="auto"/>
            </w:tcBorders>
            <w:shd w:val="clear" w:color="auto" w:fill="auto"/>
            <w:noWrap/>
            <w:vAlign w:val="center"/>
            <w:hideMark/>
          </w:tcPr>
          <w:p w14:paraId="39CE356F" w14:textId="77777777" w:rsidR="009273D9" w:rsidRPr="00062207" w:rsidRDefault="009273D9" w:rsidP="00B63DA6">
            <w:pPr>
              <w:jc w:val="center"/>
              <w:rPr>
                <w:rFonts w:ascii="Times New Roman" w:eastAsia="Times New Roman" w:hAnsi="Times New Roman" w:cs="Times New Roman"/>
                <w:sz w:val="16"/>
                <w:szCs w:val="18"/>
                <w:lang w:eastAsia="es-GT"/>
              </w:rPr>
            </w:pPr>
            <w:r w:rsidRPr="00062207">
              <w:rPr>
                <w:rFonts w:ascii="Times New Roman" w:eastAsia="Times New Roman" w:hAnsi="Times New Roman" w:cs="Times New Roman"/>
                <w:sz w:val="16"/>
                <w:szCs w:val="18"/>
                <w:lang w:eastAsia="es-GT"/>
              </w:rPr>
              <w:t>Unidad Nacional de la Esperanza (UNE)</w:t>
            </w:r>
          </w:p>
        </w:tc>
      </w:tr>
      <w:tr w:rsidR="00062207" w:rsidRPr="00062207" w14:paraId="3E62D867" w14:textId="77777777" w:rsidTr="00FC4984">
        <w:trPr>
          <w:trHeight w:val="328"/>
        </w:trPr>
        <w:tc>
          <w:tcPr>
            <w:tcW w:w="1016" w:type="dxa"/>
            <w:tcBorders>
              <w:top w:val="nil"/>
              <w:left w:val="single" w:sz="8" w:space="0" w:color="auto"/>
              <w:bottom w:val="nil"/>
              <w:right w:val="single" w:sz="4" w:space="0" w:color="auto"/>
            </w:tcBorders>
            <w:shd w:val="clear" w:color="auto" w:fill="auto"/>
            <w:noWrap/>
            <w:vAlign w:val="center"/>
            <w:hideMark/>
          </w:tcPr>
          <w:p w14:paraId="00EBFDEA" w14:textId="77777777" w:rsidR="009273D9" w:rsidRPr="00062207" w:rsidRDefault="009273D9" w:rsidP="00B63DA6">
            <w:pPr>
              <w:jc w:val="center"/>
              <w:rPr>
                <w:rFonts w:ascii="Times New Roman" w:eastAsia="Times New Roman" w:hAnsi="Times New Roman" w:cs="Times New Roman"/>
                <w:sz w:val="16"/>
                <w:szCs w:val="18"/>
                <w:lang w:eastAsia="es-GT"/>
              </w:rPr>
            </w:pPr>
            <w:r w:rsidRPr="00062207">
              <w:rPr>
                <w:rFonts w:ascii="Times New Roman" w:eastAsia="Times New Roman" w:hAnsi="Times New Roman" w:cs="Times New Roman"/>
                <w:sz w:val="16"/>
                <w:szCs w:val="18"/>
                <w:lang w:eastAsia="es-GT"/>
              </w:rPr>
              <w:t>2009</w:t>
            </w:r>
          </w:p>
        </w:tc>
        <w:tc>
          <w:tcPr>
            <w:tcW w:w="2626" w:type="dxa"/>
            <w:tcBorders>
              <w:top w:val="nil"/>
              <w:left w:val="nil"/>
              <w:bottom w:val="nil"/>
              <w:right w:val="single" w:sz="4" w:space="0" w:color="auto"/>
            </w:tcBorders>
            <w:shd w:val="clear" w:color="auto" w:fill="auto"/>
            <w:noWrap/>
            <w:vAlign w:val="center"/>
            <w:hideMark/>
          </w:tcPr>
          <w:p w14:paraId="7878BA12" w14:textId="77777777" w:rsidR="009273D9" w:rsidRPr="00062207" w:rsidRDefault="009273D9" w:rsidP="00B63DA6">
            <w:pPr>
              <w:jc w:val="center"/>
              <w:rPr>
                <w:rFonts w:ascii="Times New Roman" w:eastAsia="Times New Roman" w:hAnsi="Times New Roman" w:cs="Times New Roman"/>
                <w:sz w:val="16"/>
                <w:szCs w:val="18"/>
                <w:lang w:eastAsia="es-GT"/>
              </w:rPr>
            </w:pPr>
            <w:r w:rsidRPr="00062207">
              <w:rPr>
                <w:rFonts w:ascii="Times New Roman" w:eastAsia="Times New Roman" w:hAnsi="Times New Roman" w:cs="Times New Roman"/>
                <w:sz w:val="16"/>
                <w:szCs w:val="18"/>
                <w:lang w:eastAsia="es-GT"/>
              </w:rPr>
              <w:t>APROBADO</w:t>
            </w:r>
          </w:p>
        </w:tc>
        <w:tc>
          <w:tcPr>
            <w:tcW w:w="4364" w:type="dxa"/>
            <w:tcBorders>
              <w:top w:val="nil"/>
              <w:left w:val="nil"/>
              <w:bottom w:val="nil"/>
              <w:right w:val="single" w:sz="8" w:space="0" w:color="auto"/>
            </w:tcBorders>
            <w:shd w:val="clear" w:color="auto" w:fill="auto"/>
            <w:noWrap/>
            <w:vAlign w:val="center"/>
            <w:hideMark/>
          </w:tcPr>
          <w:p w14:paraId="4A8729FE" w14:textId="77777777" w:rsidR="009273D9" w:rsidRPr="00062207" w:rsidRDefault="009273D9" w:rsidP="00B63DA6">
            <w:pPr>
              <w:jc w:val="center"/>
              <w:rPr>
                <w:rFonts w:ascii="Times New Roman" w:eastAsia="Times New Roman" w:hAnsi="Times New Roman" w:cs="Times New Roman"/>
                <w:sz w:val="16"/>
                <w:szCs w:val="18"/>
                <w:lang w:eastAsia="es-GT"/>
              </w:rPr>
            </w:pPr>
            <w:r w:rsidRPr="00062207">
              <w:rPr>
                <w:rFonts w:ascii="Times New Roman" w:eastAsia="Times New Roman" w:hAnsi="Times New Roman" w:cs="Times New Roman"/>
                <w:sz w:val="16"/>
                <w:szCs w:val="18"/>
                <w:lang w:eastAsia="es-GT"/>
              </w:rPr>
              <w:t>Unidad Nacional de la Esperanza (UNE)</w:t>
            </w:r>
          </w:p>
        </w:tc>
      </w:tr>
      <w:tr w:rsidR="00062207" w:rsidRPr="00062207" w14:paraId="305F4200" w14:textId="77777777" w:rsidTr="00FC4984">
        <w:trPr>
          <w:trHeight w:val="334"/>
        </w:trPr>
        <w:tc>
          <w:tcPr>
            <w:tcW w:w="1016" w:type="dxa"/>
            <w:tcBorders>
              <w:top w:val="nil"/>
              <w:left w:val="single" w:sz="8" w:space="0" w:color="auto"/>
              <w:bottom w:val="nil"/>
              <w:right w:val="single" w:sz="4" w:space="0" w:color="auto"/>
            </w:tcBorders>
            <w:shd w:val="clear" w:color="auto" w:fill="244061" w:themeFill="accent1" w:themeFillShade="80"/>
            <w:noWrap/>
            <w:vAlign w:val="center"/>
            <w:hideMark/>
          </w:tcPr>
          <w:p w14:paraId="7114CD2B" w14:textId="77777777" w:rsidR="009273D9" w:rsidRPr="00062207" w:rsidRDefault="009273D9" w:rsidP="00B63DA6">
            <w:pPr>
              <w:jc w:val="center"/>
              <w:rPr>
                <w:rFonts w:ascii="Times New Roman" w:eastAsia="Times New Roman" w:hAnsi="Times New Roman" w:cs="Times New Roman"/>
                <w:b/>
                <w:bCs/>
                <w:sz w:val="16"/>
                <w:szCs w:val="18"/>
                <w:lang w:eastAsia="es-GT"/>
              </w:rPr>
            </w:pPr>
            <w:r w:rsidRPr="00062207">
              <w:rPr>
                <w:rFonts w:ascii="Times New Roman" w:eastAsia="Times New Roman" w:hAnsi="Times New Roman" w:cs="Times New Roman"/>
                <w:b/>
                <w:bCs/>
                <w:sz w:val="16"/>
                <w:szCs w:val="18"/>
                <w:lang w:eastAsia="es-GT"/>
              </w:rPr>
              <w:t>2010</w:t>
            </w:r>
          </w:p>
        </w:tc>
        <w:tc>
          <w:tcPr>
            <w:tcW w:w="2626" w:type="dxa"/>
            <w:tcBorders>
              <w:top w:val="nil"/>
              <w:left w:val="nil"/>
              <w:bottom w:val="nil"/>
              <w:right w:val="single" w:sz="4" w:space="0" w:color="auto"/>
            </w:tcBorders>
            <w:shd w:val="clear" w:color="auto" w:fill="244061" w:themeFill="accent1" w:themeFillShade="80"/>
            <w:noWrap/>
            <w:vAlign w:val="center"/>
            <w:hideMark/>
          </w:tcPr>
          <w:p w14:paraId="460FDE16" w14:textId="77777777" w:rsidR="009273D9" w:rsidRPr="00062207" w:rsidRDefault="009273D9" w:rsidP="00B63DA6">
            <w:pPr>
              <w:jc w:val="center"/>
              <w:rPr>
                <w:rFonts w:ascii="Times New Roman" w:eastAsia="Times New Roman" w:hAnsi="Times New Roman" w:cs="Times New Roman"/>
                <w:b/>
                <w:bCs/>
                <w:sz w:val="16"/>
                <w:szCs w:val="18"/>
                <w:lang w:eastAsia="es-GT"/>
              </w:rPr>
            </w:pPr>
            <w:r w:rsidRPr="00062207">
              <w:rPr>
                <w:rFonts w:ascii="Times New Roman" w:eastAsia="Times New Roman" w:hAnsi="Times New Roman" w:cs="Times New Roman"/>
                <w:b/>
                <w:bCs/>
                <w:sz w:val="16"/>
                <w:szCs w:val="18"/>
                <w:lang w:eastAsia="es-GT"/>
              </w:rPr>
              <w:t>NO APROBADO</w:t>
            </w:r>
          </w:p>
        </w:tc>
        <w:tc>
          <w:tcPr>
            <w:tcW w:w="4364" w:type="dxa"/>
            <w:tcBorders>
              <w:top w:val="nil"/>
              <w:left w:val="nil"/>
              <w:bottom w:val="nil"/>
              <w:right w:val="single" w:sz="8" w:space="0" w:color="auto"/>
            </w:tcBorders>
            <w:shd w:val="clear" w:color="auto" w:fill="244061" w:themeFill="accent1" w:themeFillShade="80"/>
            <w:noWrap/>
            <w:vAlign w:val="center"/>
            <w:hideMark/>
          </w:tcPr>
          <w:p w14:paraId="69C7C862" w14:textId="77777777" w:rsidR="009273D9" w:rsidRPr="00062207" w:rsidRDefault="009273D9" w:rsidP="00B63DA6">
            <w:pPr>
              <w:jc w:val="center"/>
              <w:rPr>
                <w:rFonts w:ascii="Times New Roman" w:eastAsia="Times New Roman" w:hAnsi="Times New Roman" w:cs="Times New Roman"/>
                <w:b/>
                <w:bCs/>
                <w:sz w:val="16"/>
                <w:szCs w:val="18"/>
                <w:lang w:eastAsia="es-GT"/>
              </w:rPr>
            </w:pPr>
            <w:r w:rsidRPr="00062207">
              <w:rPr>
                <w:rFonts w:ascii="Times New Roman" w:eastAsia="Times New Roman" w:hAnsi="Times New Roman" w:cs="Times New Roman"/>
                <w:b/>
                <w:bCs/>
                <w:sz w:val="16"/>
                <w:szCs w:val="18"/>
                <w:lang w:eastAsia="es-GT"/>
              </w:rPr>
              <w:t>Unidad Nacional de la Esperanza (UNE)</w:t>
            </w:r>
          </w:p>
        </w:tc>
      </w:tr>
      <w:tr w:rsidR="00062207" w:rsidRPr="00062207" w14:paraId="226A0F80" w14:textId="77777777" w:rsidTr="00FC4984">
        <w:trPr>
          <w:trHeight w:val="170"/>
        </w:trPr>
        <w:tc>
          <w:tcPr>
            <w:tcW w:w="1016" w:type="dxa"/>
            <w:tcBorders>
              <w:top w:val="nil"/>
              <w:left w:val="single" w:sz="8" w:space="0" w:color="auto"/>
              <w:bottom w:val="nil"/>
              <w:right w:val="single" w:sz="4" w:space="0" w:color="auto"/>
            </w:tcBorders>
            <w:shd w:val="clear" w:color="auto" w:fill="auto"/>
            <w:noWrap/>
            <w:vAlign w:val="center"/>
            <w:hideMark/>
          </w:tcPr>
          <w:p w14:paraId="5173D124" w14:textId="77777777" w:rsidR="009273D9" w:rsidRPr="00062207" w:rsidRDefault="009273D9" w:rsidP="00B63DA6">
            <w:pPr>
              <w:jc w:val="center"/>
              <w:rPr>
                <w:rFonts w:ascii="Times New Roman" w:eastAsia="Times New Roman" w:hAnsi="Times New Roman" w:cs="Times New Roman"/>
                <w:sz w:val="16"/>
                <w:szCs w:val="18"/>
                <w:lang w:eastAsia="es-GT"/>
              </w:rPr>
            </w:pPr>
            <w:r w:rsidRPr="00062207">
              <w:rPr>
                <w:rFonts w:ascii="Times New Roman" w:eastAsia="Times New Roman" w:hAnsi="Times New Roman" w:cs="Times New Roman"/>
                <w:sz w:val="16"/>
                <w:szCs w:val="18"/>
                <w:lang w:eastAsia="es-GT"/>
              </w:rPr>
              <w:t>2011</w:t>
            </w:r>
          </w:p>
        </w:tc>
        <w:tc>
          <w:tcPr>
            <w:tcW w:w="2626" w:type="dxa"/>
            <w:tcBorders>
              <w:top w:val="nil"/>
              <w:left w:val="nil"/>
              <w:bottom w:val="nil"/>
              <w:right w:val="single" w:sz="4" w:space="0" w:color="auto"/>
            </w:tcBorders>
            <w:shd w:val="clear" w:color="auto" w:fill="auto"/>
            <w:noWrap/>
            <w:vAlign w:val="center"/>
            <w:hideMark/>
          </w:tcPr>
          <w:p w14:paraId="632B356E" w14:textId="77777777" w:rsidR="009273D9" w:rsidRPr="00062207" w:rsidRDefault="009273D9" w:rsidP="00B63DA6">
            <w:pPr>
              <w:jc w:val="center"/>
              <w:rPr>
                <w:rFonts w:ascii="Times New Roman" w:eastAsia="Times New Roman" w:hAnsi="Times New Roman" w:cs="Times New Roman"/>
                <w:sz w:val="16"/>
                <w:szCs w:val="18"/>
                <w:lang w:eastAsia="es-GT"/>
              </w:rPr>
            </w:pPr>
            <w:r w:rsidRPr="00062207">
              <w:rPr>
                <w:rFonts w:ascii="Times New Roman" w:eastAsia="Times New Roman" w:hAnsi="Times New Roman" w:cs="Times New Roman"/>
                <w:sz w:val="16"/>
                <w:szCs w:val="18"/>
                <w:lang w:eastAsia="es-GT"/>
              </w:rPr>
              <w:t>APROBADO</w:t>
            </w:r>
          </w:p>
        </w:tc>
        <w:tc>
          <w:tcPr>
            <w:tcW w:w="4364" w:type="dxa"/>
            <w:tcBorders>
              <w:top w:val="nil"/>
              <w:left w:val="nil"/>
              <w:bottom w:val="nil"/>
              <w:right w:val="single" w:sz="8" w:space="0" w:color="auto"/>
            </w:tcBorders>
            <w:shd w:val="clear" w:color="auto" w:fill="auto"/>
            <w:noWrap/>
            <w:vAlign w:val="center"/>
            <w:hideMark/>
          </w:tcPr>
          <w:p w14:paraId="0BADB79F" w14:textId="77777777" w:rsidR="009273D9" w:rsidRPr="00062207" w:rsidRDefault="009273D9" w:rsidP="00B63DA6">
            <w:pPr>
              <w:jc w:val="center"/>
              <w:rPr>
                <w:rFonts w:ascii="Times New Roman" w:eastAsia="Times New Roman" w:hAnsi="Times New Roman" w:cs="Times New Roman"/>
                <w:sz w:val="16"/>
                <w:szCs w:val="18"/>
                <w:lang w:eastAsia="es-GT"/>
              </w:rPr>
            </w:pPr>
            <w:r w:rsidRPr="00062207">
              <w:rPr>
                <w:rFonts w:ascii="Times New Roman" w:eastAsia="Times New Roman" w:hAnsi="Times New Roman" w:cs="Times New Roman"/>
                <w:sz w:val="16"/>
                <w:szCs w:val="18"/>
                <w:lang w:eastAsia="es-GT"/>
              </w:rPr>
              <w:t>Unidad Nacional de la Esperanza (UNE)</w:t>
            </w:r>
          </w:p>
        </w:tc>
      </w:tr>
      <w:tr w:rsidR="00062207" w:rsidRPr="00062207" w14:paraId="131B95D0" w14:textId="77777777" w:rsidTr="00FC4984">
        <w:trPr>
          <w:trHeight w:val="225"/>
        </w:trPr>
        <w:tc>
          <w:tcPr>
            <w:tcW w:w="1016" w:type="dxa"/>
            <w:tcBorders>
              <w:top w:val="nil"/>
              <w:left w:val="single" w:sz="8" w:space="0" w:color="auto"/>
              <w:bottom w:val="nil"/>
              <w:right w:val="single" w:sz="4" w:space="0" w:color="auto"/>
            </w:tcBorders>
            <w:shd w:val="clear" w:color="auto" w:fill="auto"/>
            <w:noWrap/>
            <w:vAlign w:val="center"/>
            <w:hideMark/>
          </w:tcPr>
          <w:p w14:paraId="59E178F1" w14:textId="77777777" w:rsidR="009273D9" w:rsidRPr="00062207" w:rsidRDefault="009273D9" w:rsidP="00B63DA6">
            <w:pPr>
              <w:jc w:val="center"/>
              <w:rPr>
                <w:rFonts w:ascii="Times New Roman" w:eastAsia="Times New Roman" w:hAnsi="Times New Roman" w:cs="Times New Roman"/>
                <w:sz w:val="16"/>
                <w:szCs w:val="18"/>
                <w:lang w:eastAsia="es-GT"/>
              </w:rPr>
            </w:pPr>
            <w:r w:rsidRPr="00062207">
              <w:rPr>
                <w:rFonts w:ascii="Times New Roman" w:eastAsia="Times New Roman" w:hAnsi="Times New Roman" w:cs="Times New Roman"/>
                <w:sz w:val="16"/>
                <w:szCs w:val="18"/>
                <w:lang w:eastAsia="es-GT"/>
              </w:rPr>
              <w:t>2012</w:t>
            </w:r>
          </w:p>
        </w:tc>
        <w:tc>
          <w:tcPr>
            <w:tcW w:w="2626" w:type="dxa"/>
            <w:tcBorders>
              <w:top w:val="nil"/>
              <w:left w:val="nil"/>
              <w:bottom w:val="nil"/>
              <w:right w:val="single" w:sz="4" w:space="0" w:color="auto"/>
            </w:tcBorders>
            <w:shd w:val="clear" w:color="auto" w:fill="auto"/>
            <w:noWrap/>
            <w:vAlign w:val="center"/>
            <w:hideMark/>
          </w:tcPr>
          <w:p w14:paraId="39E98E6B" w14:textId="77777777" w:rsidR="009273D9" w:rsidRPr="00062207" w:rsidRDefault="009273D9" w:rsidP="00B63DA6">
            <w:pPr>
              <w:jc w:val="center"/>
              <w:rPr>
                <w:rFonts w:ascii="Times New Roman" w:eastAsia="Times New Roman" w:hAnsi="Times New Roman" w:cs="Times New Roman"/>
                <w:sz w:val="16"/>
                <w:szCs w:val="18"/>
                <w:lang w:eastAsia="es-GT"/>
              </w:rPr>
            </w:pPr>
            <w:r w:rsidRPr="00062207">
              <w:rPr>
                <w:rFonts w:ascii="Times New Roman" w:eastAsia="Times New Roman" w:hAnsi="Times New Roman" w:cs="Times New Roman"/>
                <w:sz w:val="16"/>
                <w:szCs w:val="18"/>
                <w:lang w:eastAsia="es-GT"/>
              </w:rPr>
              <w:t>APROBADO</w:t>
            </w:r>
          </w:p>
        </w:tc>
        <w:tc>
          <w:tcPr>
            <w:tcW w:w="4364" w:type="dxa"/>
            <w:tcBorders>
              <w:top w:val="nil"/>
              <w:left w:val="nil"/>
              <w:bottom w:val="nil"/>
              <w:right w:val="single" w:sz="8" w:space="0" w:color="auto"/>
            </w:tcBorders>
            <w:shd w:val="clear" w:color="auto" w:fill="auto"/>
            <w:noWrap/>
            <w:vAlign w:val="center"/>
            <w:hideMark/>
          </w:tcPr>
          <w:p w14:paraId="500962AE" w14:textId="77777777" w:rsidR="009273D9" w:rsidRPr="00062207" w:rsidRDefault="009273D9" w:rsidP="00B63DA6">
            <w:pPr>
              <w:jc w:val="center"/>
              <w:rPr>
                <w:rFonts w:ascii="Times New Roman" w:eastAsia="Times New Roman" w:hAnsi="Times New Roman" w:cs="Times New Roman"/>
                <w:sz w:val="16"/>
                <w:szCs w:val="18"/>
                <w:lang w:eastAsia="es-GT"/>
              </w:rPr>
            </w:pPr>
            <w:r w:rsidRPr="00062207">
              <w:rPr>
                <w:rFonts w:ascii="Times New Roman" w:eastAsia="Times New Roman" w:hAnsi="Times New Roman" w:cs="Times New Roman"/>
                <w:sz w:val="16"/>
                <w:szCs w:val="18"/>
                <w:lang w:eastAsia="es-GT"/>
              </w:rPr>
              <w:t>Partido Patriota (PP)</w:t>
            </w:r>
          </w:p>
        </w:tc>
      </w:tr>
      <w:tr w:rsidR="00062207" w:rsidRPr="00062207" w14:paraId="07098702" w14:textId="77777777" w:rsidTr="00FC4984">
        <w:trPr>
          <w:trHeight w:val="280"/>
        </w:trPr>
        <w:tc>
          <w:tcPr>
            <w:tcW w:w="1016" w:type="dxa"/>
            <w:tcBorders>
              <w:top w:val="nil"/>
              <w:left w:val="single" w:sz="8" w:space="0" w:color="auto"/>
              <w:bottom w:val="nil"/>
              <w:right w:val="single" w:sz="4" w:space="0" w:color="auto"/>
            </w:tcBorders>
            <w:shd w:val="clear" w:color="auto" w:fill="auto"/>
            <w:noWrap/>
            <w:vAlign w:val="center"/>
            <w:hideMark/>
          </w:tcPr>
          <w:p w14:paraId="244F15EB" w14:textId="77777777" w:rsidR="009273D9" w:rsidRPr="00062207" w:rsidRDefault="009273D9" w:rsidP="00B63DA6">
            <w:pPr>
              <w:jc w:val="center"/>
              <w:rPr>
                <w:rFonts w:ascii="Times New Roman" w:eastAsia="Times New Roman" w:hAnsi="Times New Roman" w:cs="Times New Roman"/>
                <w:sz w:val="16"/>
                <w:szCs w:val="18"/>
                <w:lang w:eastAsia="es-GT"/>
              </w:rPr>
            </w:pPr>
            <w:r w:rsidRPr="00062207">
              <w:rPr>
                <w:rFonts w:ascii="Times New Roman" w:eastAsia="Times New Roman" w:hAnsi="Times New Roman" w:cs="Times New Roman"/>
                <w:sz w:val="16"/>
                <w:szCs w:val="18"/>
                <w:lang w:eastAsia="es-GT"/>
              </w:rPr>
              <w:t>2013</w:t>
            </w:r>
          </w:p>
        </w:tc>
        <w:tc>
          <w:tcPr>
            <w:tcW w:w="2626" w:type="dxa"/>
            <w:tcBorders>
              <w:top w:val="nil"/>
              <w:left w:val="nil"/>
              <w:bottom w:val="nil"/>
              <w:right w:val="single" w:sz="4" w:space="0" w:color="auto"/>
            </w:tcBorders>
            <w:shd w:val="clear" w:color="auto" w:fill="auto"/>
            <w:noWrap/>
            <w:vAlign w:val="center"/>
            <w:hideMark/>
          </w:tcPr>
          <w:p w14:paraId="0908AB8C" w14:textId="77777777" w:rsidR="009273D9" w:rsidRPr="00062207" w:rsidRDefault="009273D9" w:rsidP="00B63DA6">
            <w:pPr>
              <w:jc w:val="center"/>
              <w:rPr>
                <w:rFonts w:ascii="Times New Roman" w:eastAsia="Times New Roman" w:hAnsi="Times New Roman" w:cs="Times New Roman"/>
                <w:sz w:val="16"/>
                <w:szCs w:val="18"/>
                <w:lang w:eastAsia="es-GT"/>
              </w:rPr>
            </w:pPr>
            <w:r w:rsidRPr="00062207">
              <w:rPr>
                <w:rFonts w:ascii="Times New Roman" w:eastAsia="Times New Roman" w:hAnsi="Times New Roman" w:cs="Times New Roman"/>
                <w:sz w:val="16"/>
                <w:szCs w:val="18"/>
                <w:lang w:eastAsia="es-GT"/>
              </w:rPr>
              <w:t>APROBADO</w:t>
            </w:r>
          </w:p>
        </w:tc>
        <w:tc>
          <w:tcPr>
            <w:tcW w:w="4364" w:type="dxa"/>
            <w:tcBorders>
              <w:top w:val="nil"/>
              <w:left w:val="nil"/>
              <w:bottom w:val="nil"/>
              <w:right w:val="single" w:sz="8" w:space="0" w:color="auto"/>
            </w:tcBorders>
            <w:shd w:val="clear" w:color="auto" w:fill="auto"/>
            <w:noWrap/>
            <w:vAlign w:val="center"/>
            <w:hideMark/>
          </w:tcPr>
          <w:p w14:paraId="2CA9BECD" w14:textId="77777777" w:rsidR="009273D9" w:rsidRPr="00062207" w:rsidRDefault="009273D9" w:rsidP="00B63DA6">
            <w:pPr>
              <w:jc w:val="center"/>
              <w:rPr>
                <w:rFonts w:ascii="Times New Roman" w:eastAsia="Times New Roman" w:hAnsi="Times New Roman" w:cs="Times New Roman"/>
                <w:sz w:val="16"/>
                <w:szCs w:val="18"/>
                <w:lang w:eastAsia="es-GT"/>
              </w:rPr>
            </w:pPr>
            <w:r w:rsidRPr="00062207">
              <w:rPr>
                <w:rFonts w:ascii="Times New Roman" w:eastAsia="Times New Roman" w:hAnsi="Times New Roman" w:cs="Times New Roman"/>
                <w:sz w:val="16"/>
                <w:szCs w:val="18"/>
                <w:lang w:eastAsia="es-GT"/>
              </w:rPr>
              <w:t>Partido Patriota (PP)</w:t>
            </w:r>
          </w:p>
        </w:tc>
      </w:tr>
      <w:tr w:rsidR="00062207" w:rsidRPr="00062207" w14:paraId="724F81C5" w14:textId="77777777" w:rsidTr="00FC4984">
        <w:trPr>
          <w:trHeight w:val="334"/>
        </w:trPr>
        <w:tc>
          <w:tcPr>
            <w:tcW w:w="1016" w:type="dxa"/>
            <w:tcBorders>
              <w:top w:val="nil"/>
              <w:left w:val="single" w:sz="8" w:space="0" w:color="auto"/>
              <w:bottom w:val="nil"/>
              <w:right w:val="single" w:sz="4" w:space="0" w:color="auto"/>
            </w:tcBorders>
            <w:shd w:val="clear" w:color="auto" w:fill="244061" w:themeFill="accent1" w:themeFillShade="80"/>
            <w:noWrap/>
            <w:vAlign w:val="center"/>
            <w:hideMark/>
          </w:tcPr>
          <w:p w14:paraId="138D049D" w14:textId="77777777" w:rsidR="009273D9" w:rsidRPr="00062207" w:rsidRDefault="009273D9" w:rsidP="00B63DA6">
            <w:pPr>
              <w:jc w:val="center"/>
              <w:rPr>
                <w:rFonts w:ascii="Times New Roman" w:eastAsia="Times New Roman" w:hAnsi="Times New Roman" w:cs="Times New Roman"/>
                <w:b/>
                <w:bCs/>
                <w:sz w:val="16"/>
                <w:szCs w:val="18"/>
                <w:lang w:eastAsia="es-GT"/>
              </w:rPr>
            </w:pPr>
            <w:r w:rsidRPr="00062207">
              <w:rPr>
                <w:rFonts w:ascii="Times New Roman" w:eastAsia="Times New Roman" w:hAnsi="Times New Roman" w:cs="Times New Roman"/>
                <w:b/>
                <w:bCs/>
                <w:sz w:val="16"/>
                <w:szCs w:val="18"/>
                <w:lang w:eastAsia="es-GT"/>
              </w:rPr>
              <w:t>2014</w:t>
            </w:r>
          </w:p>
        </w:tc>
        <w:tc>
          <w:tcPr>
            <w:tcW w:w="2626" w:type="dxa"/>
            <w:tcBorders>
              <w:top w:val="nil"/>
              <w:left w:val="nil"/>
              <w:bottom w:val="nil"/>
              <w:right w:val="nil"/>
            </w:tcBorders>
            <w:shd w:val="clear" w:color="auto" w:fill="244061" w:themeFill="accent1" w:themeFillShade="80"/>
            <w:noWrap/>
            <w:vAlign w:val="center"/>
            <w:hideMark/>
          </w:tcPr>
          <w:p w14:paraId="23F6A6F2" w14:textId="77777777" w:rsidR="009273D9" w:rsidRPr="00062207" w:rsidRDefault="009273D9" w:rsidP="00B63DA6">
            <w:pPr>
              <w:jc w:val="center"/>
              <w:rPr>
                <w:rFonts w:ascii="Times New Roman" w:eastAsia="Times New Roman" w:hAnsi="Times New Roman" w:cs="Times New Roman"/>
                <w:b/>
                <w:bCs/>
                <w:sz w:val="16"/>
                <w:szCs w:val="18"/>
                <w:lang w:eastAsia="es-GT"/>
              </w:rPr>
            </w:pPr>
            <w:r w:rsidRPr="00062207">
              <w:rPr>
                <w:rFonts w:ascii="Times New Roman" w:eastAsia="Times New Roman" w:hAnsi="Times New Roman" w:cs="Times New Roman"/>
                <w:b/>
                <w:bCs/>
                <w:sz w:val="16"/>
                <w:szCs w:val="18"/>
                <w:lang w:eastAsia="es-GT"/>
              </w:rPr>
              <w:t>NO APROBADO</w:t>
            </w:r>
          </w:p>
        </w:tc>
        <w:tc>
          <w:tcPr>
            <w:tcW w:w="4364" w:type="dxa"/>
            <w:tcBorders>
              <w:top w:val="nil"/>
              <w:left w:val="single" w:sz="4" w:space="0" w:color="auto"/>
              <w:bottom w:val="nil"/>
              <w:right w:val="single" w:sz="8" w:space="0" w:color="auto"/>
            </w:tcBorders>
            <w:shd w:val="clear" w:color="auto" w:fill="244061" w:themeFill="accent1" w:themeFillShade="80"/>
            <w:noWrap/>
            <w:vAlign w:val="center"/>
            <w:hideMark/>
          </w:tcPr>
          <w:p w14:paraId="486F5653" w14:textId="77777777" w:rsidR="009273D9" w:rsidRPr="00062207" w:rsidRDefault="009273D9" w:rsidP="00B63DA6">
            <w:pPr>
              <w:jc w:val="center"/>
              <w:rPr>
                <w:rFonts w:ascii="Times New Roman" w:eastAsia="Times New Roman" w:hAnsi="Times New Roman" w:cs="Times New Roman"/>
                <w:b/>
                <w:bCs/>
                <w:sz w:val="16"/>
                <w:szCs w:val="18"/>
                <w:lang w:eastAsia="es-GT"/>
              </w:rPr>
            </w:pPr>
            <w:r w:rsidRPr="00062207">
              <w:rPr>
                <w:rFonts w:ascii="Times New Roman" w:eastAsia="Times New Roman" w:hAnsi="Times New Roman" w:cs="Times New Roman"/>
                <w:b/>
                <w:bCs/>
                <w:sz w:val="16"/>
                <w:szCs w:val="18"/>
                <w:lang w:eastAsia="es-GT"/>
              </w:rPr>
              <w:t>Partido Patriota (PP)</w:t>
            </w:r>
          </w:p>
        </w:tc>
      </w:tr>
      <w:tr w:rsidR="00062207" w:rsidRPr="00062207" w14:paraId="09DCFD47" w14:textId="77777777" w:rsidTr="00FC4984">
        <w:trPr>
          <w:trHeight w:val="187"/>
        </w:trPr>
        <w:tc>
          <w:tcPr>
            <w:tcW w:w="1016" w:type="dxa"/>
            <w:tcBorders>
              <w:top w:val="nil"/>
              <w:left w:val="single" w:sz="8" w:space="0" w:color="auto"/>
              <w:bottom w:val="nil"/>
              <w:right w:val="single" w:sz="4" w:space="0" w:color="auto"/>
            </w:tcBorders>
            <w:shd w:val="clear" w:color="auto" w:fill="auto"/>
            <w:noWrap/>
            <w:vAlign w:val="center"/>
            <w:hideMark/>
          </w:tcPr>
          <w:p w14:paraId="6F3257AD" w14:textId="77777777" w:rsidR="009273D9" w:rsidRPr="00062207" w:rsidRDefault="009273D9" w:rsidP="00B63DA6">
            <w:pPr>
              <w:jc w:val="center"/>
              <w:rPr>
                <w:rFonts w:ascii="Times New Roman" w:eastAsia="Times New Roman" w:hAnsi="Times New Roman" w:cs="Times New Roman"/>
                <w:sz w:val="16"/>
                <w:szCs w:val="18"/>
                <w:lang w:eastAsia="es-GT"/>
              </w:rPr>
            </w:pPr>
            <w:r w:rsidRPr="00062207">
              <w:rPr>
                <w:rFonts w:ascii="Times New Roman" w:eastAsia="Times New Roman" w:hAnsi="Times New Roman" w:cs="Times New Roman"/>
                <w:sz w:val="16"/>
                <w:szCs w:val="18"/>
                <w:lang w:eastAsia="es-GT"/>
              </w:rPr>
              <w:t>2015</w:t>
            </w:r>
          </w:p>
        </w:tc>
        <w:tc>
          <w:tcPr>
            <w:tcW w:w="2626" w:type="dxa"/>
            <w:tcBorders>
              <w:top w:val="nil"/>
              <w:left w:val="nil"/>
              <w:bottom w:val="nil"/>
              <w:right w:val="single" w:sz="4" w:space="0" w:color="auto"/>
            </w:tcBorders>
            <w:shd w:val="clear" w:color="auto" w:fill="auto"/>
            <w:noWrap/>
            <w:vAlign w:val="center"/>
            <w:hideMark/>
          </w:tcPr>
          <w:p w14:paraId="795A8473" w14:textId="77777777" w:rsidR="009273D9" w:rsidRPr="00062207" w:rsidRDefault="009273D9" w:rsidP="00B63DA6">
            <w:pPr>
              <w:jc w:val="center"/>
              <w:rPr>
                <w:rFonts w:ascii="Times New Roman" w:eastAsia="Times New Roman" w:hAnsi="Times New Roman" w:cs="Times New Roman"/>
                <w:sz w:val="16"/>
                <w:szCs w:val="18"/>
                <w:lang w:eastAsia="es-GT"/>
              </w:rPr>
            </w:pPr>
            <w:r w:rsidRPr="00062207">
              <w:rPr>
                <w:rFonts w:ascii="Times New Roman" w:eastAsia="Times New Roman" w:hAnsi="Times New Roman" w:cs="Times New Roman"/>
                <w:sz w:val="16"/>
                <w:szCs w:val="18"/>
                <w:lang w:eastAsia="es-GT"/>
              </w:rPr>
              <w:t>APROBADO</w:t>
            </w:r>
          </w:p>
        </w:tc>
        <w:tc>
          <w:tcPr>
            <w:tcW w:w="4364" w:type="dxa"/>
            <w:tcBorders>
              <w:top w:val="nil"/>
              <w:left w:val="nil"/>
              <w:bottom w:val="nil"/>
              <w:right w:val="single" w:sz="8" w:space="0" w:color="auto"/>
            </w:tcBorders>
            <w:shd w:val="clear" w:color="auto" w:fill="auto"/>
            <w:noWrap/>
            <w:vAlign w:val="center"/>
            <w:hideMark/>
          </w:tcPr>
          <w:p w14:paraId="209832AE" w14:textId="77777777" w:rsidR="009273D9" w:rsidRPr="00062207" w:rsidRDefault="009273D9" w:rsidP="00B63DA6">
            <w:pPr>
              <w:jc w:val="center"/>
              <w:rPr>
                <w:rFonts w:ascii="Times New Roman" w:eastAsia="Times New Roman" w:hAnsi="Times New Roman" w:cs="Times New Roman"/>
                <w:sz w:val="16"/>
                <w:szCs w:val="18"/>
                <w:lang w:eastAsia="es-GT"/>
              </w:rPr>
            </w:pPr>
            <w:r w:rsidRPr="00062207">
              <w:rPr>
                <w:rFonts w:ascii="Times New Roman" w:eastAsia="Times New Roman" w:hAnsi="Times New Roman" w:cs="Times New Roman"/>
                <w:sz w:val="16"/>
                <w:szCs w:val="18"/>
                <w:lang w:eastAsia="es-GT"/>
              </w:rPr>
              <w:t>Partido Patriota (PP)</w:t>
            </w:r>
          </w:p>
        </w:tc>
      </w:tr>
      <w:tr w:rsidR="00062207" w:rsidRPr="00062207" w14:paraId="5A1BD43F" w14:textId="77777777" w:rsidTr="00FC4984">
        <w:trPr>
          <w:trHeight w:val="242"/>
        </w:trPr>
        <w:tc>
          <w:tcPr>
            <w:tcW w:w="1016" w:type="dxa"/>
            <w:tcBorders>
              <w:top w:val="nil"/>
              <w:left w:val="single" w:sz="8" w:space="0" w:color="auto"/>
              <w:bottom w:val="nil"/>
              <w:right w:val="single" w:sz="4" w:space="0" w:color="auto"/>
            </w:tcBorders>
            <w:shd w:val="clear" w:color="auto" w:fill="auto"/>
            <w:noWrap/>
            <w:vAlign w:val="center"/>
            <w:hideMark/>
          </w:tcPr>
          <w:p w14:paraId="7DED4BE1" w14:textId="77777777" w:rsidR="009273D9" w:rsidRPr="00062207" w:rsidRDefault="009273D9" w:rsidP="00B63DA6">
            <w:pPr>
              <w:jc w:val="center"/>
              <w:rPr>
                <w:rFonts w:ascii="Times New Roman" w:eastAsia="Times New Roman" w:hAnsi="Times New Roman" w:cs="Times New Roman"/>
                <w:sz w:val="16"/>
                <w:szCs w:val="18"/>
                <w:lang w:eastAsia="es-GT"/>
              </w:rPr>
            </w:pPr>
            <w:r w:rsidRPr="00062207">
              <w:rPr>
                <w:rFonts w:ascii="Times New Roman" w:eastAsia="Times New Roman" w:hAnsi="Times New Roman" w:cs="Times New Roman"/>
                <w:sz w:val="16"/>
                <w:szCs w:val="18"/>
                <w:lang w:eastAsia="es-GT"/>
              </w:rPr>
              <w:t>2016</w:t>
            </w:r>
          </w:p>
        </w:tc>
        <w:tc>
          <w:tcPr>
            <w:tcW w:w="2626" w:type="dxa"/>
            <w:tcBorders>
              <w:top w:val="nil"/>
              <w:left w:val="nil"/>
              <w:bottom w:val="nil"/>
              <w:right w:val="nil"/>
            </w:tcBorders>
            <w:shd w:val="clear" w:color="auto" w:fill="auto"/>
            <w:noWrap/>
            <w:vAlign w:val="center"/>
            <w:hideMark/>
          </w:tcPr>
          <w:p w14:paraId="1384F4B2" w14:textId="77777777" w:rsidR="009273D9" w:rsidRPr="00062207" w:rsidRDefault="009273D9" w:rsidP="00B63DA6">
            <w:pPr>
              <w:jc w:val="center"/>
              <w:rPr>
                <w:rFonts w:ascii="Times New Roman" w:eastAsia="Times New Roman" w:hAnsi="Times New Roman" w:cs="Times New Roman"/>
                <w:sz w:val="16"/>
                <w:szCs w:val="18"/>
                <w:lang w:eastAsia="es-GT"/>
              </w:rPr>
            </w:pPr>
            <w:r w:rsidRPr="00062207">
              <w:rPr>
                <w:rFonts w:ascii="Times New Roman" w:eastAsia="Times New Roman" w:hAnsi="Times New Roman" w:cs="Times New Roman"/>
                <w:sz w:val="16"/>
                <w:szCs w:val="18"/>
                <w:lang w:eastAsia="es-GT"/>
              </w:rPr>
              <w:t>APROBADO</w:t>
            </w:r>
          </w:p>
        </w:tc>
        <w:tc>
          <w:tcPr>
            <w:tcW w:w="4364" w:type="dxa"/>
            <w:tcBorders>
              <w:top w:val="nil"/>
              <w:left w:val="single" w:sz="4" w:space="0" w:color="auto"/>
              <w:bottom w:val="nil"/>
              <w:right w:val="single" w:sz="8" w:space="0" w:color="auto"/>
            </w:tcBorders>
            <w:shd w:val="clear" w:color="auto" w:fill="auto"/>
            <w:noWrap/>
            <w:vAlign w:val="center"/>
            <w:hideMark/>
          </w:tcPr>
          <w:p w14:paraId="6EAC112D" w14:textId="77777777" w:rsidR="009273D9" w:rsidRPr="00062207" w:rsidRDefault="009273D9" w:rsidP="00B63DA6">
            <w:pPr>
              <w:jc w:val="center"/>
              <w:rPr>
                <w:rFonts w:ascii="Times New Roman" w:eastAsia="Times New Roman" w:hAnsi="Times New Roman" w:cs="Times New Roman"/>
                <w:sz w:val="16"/>
                <w:szCs w:val="18"/>
                <w:lang w:eastAsia="es-GT"/>
              </w:rPr>
            </w:pPr>
            <w:r w:rsidRPr="00062207">
              <w:rPr>
                <w:rFonts w:ascii="Times New Roman" w:eastAsia="Times New Roman" w:hAnsi="Times New Roman" w:cs="Times New Roman"/>
                <w:sz w:val="16"/>
                <w:szCs w:val="18"/>
                <w:lang w:eastAsia="es-GT"/>
              </w:rPr>
              <w:t>Frente de Convergencia Nacional (FCN)</w:t>
            </w:r>
          </w:p>
        </w:tc>
      </w:tr>
      <w:tr w:rsidR="00062207" w:rsidRPr="00062207" w14:paraId="4FA573CB" w14:textId="77777777" w:rsidTr="00FC4984">
        <w:trPr>
          <w:trHeight w:val="312"/>
        </w:trPr>
        <w:tc>
          <w:tcPr>
            <w:tcW w:w="1016" w:type="dxa"/>
            <w:tcBorders>
              <w:top w:val="nil"/>
              <w:left w:val="single" w:sz="8" w:space="0" w:color="auto"/>
              <w:bottom w:val="nil"/>
              <w:right w:val="single" w:sz="4" w:space="0" w:color="auto"/>
            </w:tcBorders>
            <w:shd w:val="clear" w:color="auto" w:fill="auto"/>
            <w:noWrap/>
            <w:vAlign w:val="center"/>
            <w:hideMark/>
          </w:tcPr>
          <w:p w14:paraId="78AA5A1D" w14:textId="77777777" w:rsidR="009273D9" w:rsidRPr="00062207" w:rsidRDefault="009273D9" w:rsidP="00B63DA6">
            <w:pPr>
              <w:jc w:val="center"/>
              <w:rPr>
                <w:rFonts w:ascii="Times New Roman" w:eastAsia="Times New Roman" w:hAnsi="Times New Roman" w:cs="Times New Roman"/>
                <w:sz w:val="16"/>
                <w:szCs w:val="18"/>
                <w:lang w:eastAsia="es-GT"/>
              </w:rPr>
            </w:pPr>
            <w:r w:rsidRPr="00062207">
              <w:rPr>
                <w:rFonts w:ascii="Times New Roman" w:eastAsia="Times New Roman" w:hAnsi="Times New Roman" w:cs="Times New Roman"/>
                <w:sz w:val="16"/>
                <w:szCs w:val="18"/>
                <w:lang w:eastAsia="es-GT"/>
              </w:rPr>
              <w:t>2017</w:t>
            </w:r>
          </w:p>
        </w:tc>
        <w:tc>
          <w:tcPr>
            <w:tcW w:w="2626" w:type="dxa"/>
            <w:tcBorders>
              <w:top w:val="nil"/>
              <w:left w:val="nil"/>
              <w:bottom w:val="nil"/>
              <w:right w:val="nil"/>
            </w:tcBorders>
            <w:shd w:val="clear" w:color="auto" w:fill="auto"/>
            <w:noWrap/>
            <w:vAlign w:val="center"/>
            <w:hideMark/>
          </w:tcPr>
          <w:p w14:paraId="3A4FF396" w14:textId="77777777" w:rsidR="009273D9" w:rsidRPr="00062207" w:rsidRDefault="009273D9" w:rsidP="00B63DA6">
            <w:pPr>
              <w:jc w:val="center"/>
              <w:rPr>
                <w:rFonts w:ascii="Times New Roman" w:eastAsia="Times New Roman" w:hAnsi="Times New Roman" w:cs="Times New Roman"/>
                <w:sz w:val="16"/>
                <w:szCs w:val="18"/>
                <w:lang w:eastAsia="es-GT"/>
              </w:rPr>
            </w:pPr>
            <w:r w:rsidRPr="00062207">
              <w:rPr>
                <w:rFonts w:ascii="Times New Roman" w:eastAsia="Times New Roman" w:hAnsi="Times New Roman" w:cs="Times New Roman"/>
                <w:sz w:val="16"/>
                <w:szCs w:val="18"/>
                <w:lang w:eastAsia="es-GT"/>
              </w:rPr>
              <w:t>APROBADO</w:t>
            </w:r>
          </w:p>
        </w:tc>
        <w:tc>
          <w:tcPr>
            <w:tcW w:w="4364" w:type="dxa"/>
            <w:tcBorders>
              <w:top w:val="nil"/>
              <w:left w:val="single" w:sz="4" w:space="0" w:color="auto"/>
              <w:bottom w:val="nil"/>
              <w:right w:val="single" w:sz="8" w:space="0" w:color="auto"/>
            </w:tcBorders>
            <w:shd w:val="clear" w:color="auto" w:fill="auto"/>
            <w:noWrap/>
            <w:vAlign w:val="center"/>
            <w:hideMark/>
          </w:tcPr>
          <w:p w14:paraId="28408E72" w14:textId="77777777" w:rsidR="009273D9" w:rsidRPr="00062207" w:rsidRDefault="009273D9" w:rsidP="00B63DA6">
            <w:pPr>
              <w:jc w:val="center"/>
              <w:rPr>
                <w:rFonts w:ascii="Times New Roman" w:eastAsia="Times New Roman" w:hAnsi="Times New Roman" w:cs="Times New Roman"/>
                <w:sz w:val="16"/>
                <w:szCs w:val="18"/>
                <w:lang w:eastAsia="es-GT"/>
              </w:rPr>
            </w:pPr>
            <w:r w:rsidRPr="00062207">
              <w:rPr>
                <w:rFonts w:ascii="Times New Roman" w:eastAsia="Times New Roman" w:hAnsi="Times New Roman" w:cs="Times New Roman"/>
                <w:sz w:val="16"/>
                <w:szCs w:val="18"/>
                <w:lang w:eastAsia="es-GT"/>
              </w:rPr>
              <w:t>Frente de Convergencia Nacional (FCN)</w:t>
            </w:r>
          </w:p>
        </w:tc>
      </w:tr>
      <w:tr w:rsidR="00062207" w:rsidRPr="00062207" w14:paraId="174F3ACB" w14:textId="77777777" w:rsidTr="00FC4984">
        <w:trPr>
          <w:trHeight w:val="332"/>
        </w:trPr>
        <w:tc>
          <w:tcPr>
            <w:tcW w:w="1016" w:type="dxa"/>
            <w:tcBorders>
              <w:top w:val="nil"/>
              <w:left w:val="single" w:sz="8" w:space="0" w:color="auto"/>
              <w:bottom w:val="nil"/>
              <w:right w:val="single" w:sz="4" w:space="0" w:color="auto"/>
            </w:tcBorders>
            <w:shd w:val="clear" w:color="auto" w:fill="244061" w:themeFill="accent1" w:themeFillShade="80"/>
            <w:noWrap/>
            <w:vAlign w:val="center"/>
            <w:hideMark/>
          </w:tcPr>
          <w:p w14:paraId="19581E6C" w14:textId="77777777" w:rsidR="009273D9" w:rsidRPr="00062207" w:rsidRDefault="009273D9" w:rsidP="00B63DA6">
            <w:pPr>
              <w:jc w:val="center"/>
              <w:rPr>
                <w:rFonts w:ascii="Times New Roman" w:eastAsia="Times New Roman" w:hAnsi="Times New Roman" w:cs="Times New Roman"/>
                <w:b/>
                <w:bCs/>
                <w:sz w:val="16"/>
                <w:szCs w:val="18"/>
                <w:lang w:eastAsia="es-GT"/>
              </w:rPr>
            </w:pPr>
            <w:r w:rsidRPr="00062207">
              <w:rPr>
                <w:rFonts w:ascii="Times New Roman" w:eastAsia="Times New Roman" w:hAnsi="Times New Roman" w:cs="Times New Roman"/>
                <w:b/>
                <w:bCs/>
                <w:sz w:val="16"/>
                <w:szCs w:val="18"/>
                <w:lang w:eastAsia="es-GT"/>
              </w:rPr>
              <w:t>2018</w:t>
            </w:r>
          </w:p>
        </w:tc>
        <w:tc>
          <w:tcPr>
            <w:tcW w:w="2626" w:type="dxa"/>
            <w:tcBorders>
              <w:top w:val="nil"/>
              <w:left w:val="nil"/>
              <w:bottom w:val="nil"/>
              <w:right w:val="nil"/>
            </w:tcBorders>
            <w:shd w:val="clear" w:color="auto" w:fill="244061" w:themeFill="accent1" w:themeFillShade="80"/>
            <w:noWrap/>
            <w:vAlign w:val="center"/>
            <w:hideMark/>
          </w:tcPr>
          <w:p w14:paraId="6493C962" w14:textId="77777777" w:rsidR="009273D9" w:rsidRPr="00062207" w:rsidRDefault="009273D9" w:rsidP="00B63DA6">
            <w:pPr>
              <w:jc w:val="center"/>
              <w:rPr>
                <w:rFonts w:ascii="Times New Roman" w:eastAsia="Times New Roman" w:hAnsi="Times New Roman" w:cs="Times New Roman"/>
                <w:b/>
                <w:bCs/>
                <w:sz w:val="16"/>
                <w:szCs w:val="18"/>
                <w:lang w:eastAsia="es-GT"/>
              </w:rPr>
            </w:pPr>
            <w:r w:rsidRPr="00062207">
              <w:rPr>
                <w:rFonts w:ascii="Times New Roman" w:eastAsia="Times New Roman" w:hAnsi="Times New Roman" w:cs="Times New Roman"/>
                <w:b/>
                <w:bCs/>
                <w:sz w:val="16"/>
                <w:szCs w:val="18"/>
                <w:lang w:eastAsia="es-GT"/>
              </w:rPr>
              <w:t>NO APROBADO</w:t>
            </w:r>
          </w:p>
        </w:tc>
        <w:tc>
          <w:tcPr>
            <w:tcW w:w="4364" w:type="dxa"/>
            <w:tcBorders>
              <w:top w:val="nil"/>
              <w:left w:val="single" w:sz="4" w:space="0" w:color="auto"/>
              <w:bottom w:val="nil"/>
              <w:right w:val="single" w:sz="8" w:space="0" w:color="auto"/>
            </w:tcBorders>
            <w:shd w:val="clear" w:color="auto" w:fill="244061" w:themeFill="accent1" w:themeFillShade="80"/>
            <w:noWrap/>
            <w:vAlign w:val="center"/>
            <w:hideMark/>
          </w:tcPr>
          <w:p w14:paraId="14A19EA1" w14:textId="77777777" w:rsidR="009273D9" w:rsidRPr="00062207" w:rsidRDefault="009273D9" w:rsidP="00B63DA6">
            <w:pPr>
              <w:jc w:val="center"/>
              <w:rPr>
                <w:rFonts w:ascii="Times New Roman" w:eastAsia="Times New Roman" w:hAnsi="Times New Roman" w:cs="Times New Roman"/>
                <w:b/>
                <w:bCs/>
                <w:sz w:val="16"/>
                <w:szCs w:val="18"/>
                <w:lang w:eastAsia="es-GT"/>
              </w:rPr>
            </w:pPr>
            <w:r w:rsidRPr="00062207">
              <w:rPr>
                <w:rFonts w:ascii="Times New Roman" w:eastAsia="Times New Roman" w:hAnsi="Times New Roman" w:cs="Times New Roman"/>
                <w:b/>
                <w:bCs/>
                <w:sz w:val="16"/>
                <w:szCs w:val="18"/>
                <w:lang w:eastAsia="es-GT"/>
              </w:rPr>
              <w:t>Frente de Convergencia Nacional (FCN)</w:t>
            </w:r>
          </w:p>
        </w:tc>
      </w:tr>
      <w:tr w:rsidR="00062207" w:rsidRPr="00062207" w14:paraId="339E437C" w14:textId="77777777" w:rsidTr="00FC4984">
        <w:trPr>
          <w:trHeight w:val="322"/>
        </w:trPr>
        <w:tc>
          <w:tcPr>
            <w:tcW w:w="1016" w:type="dxa"/>
            <w:tcBorders>
              <w:top w:val="nil"/>
              <w:left w:val="single" w:sz="8" w:space="0" w:color="auto"/>
              <w:bottom w:val="nil"/>
              <w:right w:val="single" w:sz="4" w:space="0" w:color="auto"/>
            </w:tcBorders>
            <w:shd w:val="clear" w:color="auto" w:fill="auto"/>
            <w:noWrap/>
            <w:vAlign w:val="center"/>
            <w:hideMark/>
          </w:tcPr>
          <w:p w14:paraId="558F28FB" w14:textId="77777777" w:rsidR="009273D9" w:rsidRPr="00062207" w:rsidRDefault="009273D9" w:rsidP="00B63DA6">
            <w:pPr>
              <w:jc w:val="center"/>
              <w:rPr>
                <w:rFonts w:ascii="Times New Roman" w:eastAsia="Times New Roman" w:hAnsi="Times New Roman" w:cs="Times New Roman"/>
                <w:sz w:val="16"/>
                <w:szCs w:val="18"/>
                <w:lang w:eastAsia="es-GT"/>
              </w:rPr>
            </w:pPr>
            <w:r w:rsidRPr="00062207">
              <w:rPr>
                <w:rFonts w:ascii="Times New Roman" w:eastAsia="Times New Roman" w:hAnsi="Times New Roman" w:cs="Times New Roman"/>
                <w:sz w:val="16"/>
                <w:szCs w:val="18"/>
                <w:lang w:eastAsia="es-GT"/>
              </w:rPr>
              <w:t>2019</w:t>
            </w:r>
          </w:p>
        </w:tc>
        <w:tc>
          <w:tcPr>
            <w:tcW w:w="2626" w:type="dxa"/>
            <w:tcBorders>
              <w:top w:val="nil"/>
              <w:left w:val="nil"/>
              <w:bottom w:val="nil"/>
              <w:right w:val="single" w:sz="4" w:space="0" w:color="auto"/>
            </w:tcBorders>
            <w:shd w:val="clear" w:color="auto" w:fill="auto"/>
            <w:noWrap/>
            <w:vAlign w:val="center"/>
            <w:hideMark/>
          </w:tcPr>
          <w:p w14:paraId="7023F79A" w14:textId="77777777" w:rsidR="009273D9" w:rsidRPr="00062207" w:rsidRDefault="009273D9" w:rsidP="00B63DA6">
            <w:pPr>
              <w:jc w:val="center"/>
              <w:rPr>
                <w:rFonts w:ascii="Times New Roman" w:eastAsia="Times New Roman" w:hAnsi="Times New Roman" w:cs="Times New Roman"/>
                <w:sz w:val="16"/>
                <w:szCs w:val="18"/>
                <w:lang w:eastAsia="es-GT"/>
              </w:rPr>
            </w:pPr>
            <w:r w:rsidRPr="00062207">
              <w:rPr>
                <w:rFonts w:ascii="Times New Roman" w:eastAsia="Times New Roman" w:hAnsi="Times New Roman" w:cs="Times New Roman"/>
                <w:sz w:val="16"/>
                <w:szCs w:val="18"/>
                <w:lang w:eastAsia="es-GT"/>
              </w:rPr>
              <w:t>APROBADO</w:t>
            </w:r>
          </w:p>
        </w:tc>
        <w:tc>
          <w:tcPr>
            <w:tcW w:w="4364" w:type="dxa"/>
            <w:tcBorders>
              <w:top w:val="nil"/>
              <w:left w:val="nil"/>
              <w:bottom w:val="nil"/>
              <w:right w:val="single" w:sz="8" w:space="0" w:color="auto"/>
            </w:tcBorders>
            <w:shd w:val="clear" w:color="auto" w:fill="auto"/>
            <w:noWrap/>
            <w:vAlign w:val="center"/>
            <w:hideMark/>
          </w:tcPr>
          <w:p w14:paraId="2EDEC7A8" w14:textId="77777777" w:rsidR="009273D9" w:rsidRPr="00062207" w:rsidRDefault="009273D9" w:rsidP="00B63DA6">
            <w:pPr>
              <w:jc w:val="center"/>
              <w:rPr>
                <w:rFonts w:ascii="Times New Roman" w:eastAsia="Times New Roman" w:hAnsi="Times New Roman" w:cs="Times New Roman"/>
                <w:sz w:val="16"/>
                <w:szCs w:val="18"/>
                <w:lang w:eastAsia="es-GT"/>
              </w:rPr>
            </w:pPr>
            <w:r w:rsidRPr="00062207">
              <w:rPr>
                <w:rFonts w:ascii="Times New Roman" w:eastAsia="Times New Roman" w:hAnsi="Times New Roman" w:cs="Times New Roman"/>
                <w:sz w:val="16"/>
                <w:szCs w:val="18"/>
                <w:lang w:eastAsia="es-GT"/>
              </w:rPr>
              <w:t>Frente de Convergencia Nacional (FCN)</w:t>
            </w:r>
          </w:p>
        </w:tc>
      </w:tr>
      <w:tr w:rsidR="00062207" w:rsidRPr="00062207" w14:paraId="124457EA" w14:textId="77777777" w:rsidTr="00FC4984">
        <w:trPr>
          <w:trHeight w:val="158"/>
        </w:trPr>
        <w:tc>
          <w:tcPr>
            <w:tcW w:w="1016" w:type="dxa"/>
            <w:tcBorders>
              <w:top w:val="nil"/>
              <w:left w:val="single" w:sz="8" w:space="0" w:color="auto"/>
              <w:bottom w:val="nil"/>
              <w:right w:val="single" w:sz="4" w:space="0" w:color="auto"/>
            </w:tcBorders>
            <w:shd w:val="clear" w:color="auto" w:fill="244061" w:themeFill="accent1" w:themeFillShade="80"/>
            <w:noWrap/>
            <w:vAlign w:val="center"/>
            <w:hideMark/>
          </w:tcPr>
          <w:p w14:paraId="598FC283" w14:textId="77777777" w:rsidR="009273D9" w:rsidRPr="00062207" w:rsidRDefault="009273D9" w:rsidP="00B63DA6">
            <w:pPr>
              <w:jc w:val="center"/>
              <w:rPr>
                <w:rFonts w:ascii="Times New Roman" w:eastAsia="Times New Roman" w:hAnsi="Times New Roman" w:cs="Times New Roman"/>
                <w:b/>
                <w:bCs/>
                <w:sz w:val="16"/>
                <w:szCs w:val="18"/>
                <w:lang w:eastAsia="es-GT"/>
              </w:rPr>
            </w:pPr>
            <w:r w:rsidRPr="00062207">
              <w:rPr>
                <w:rFonts w:ascii="Times New Roman" w:eastAsia="Times New Roman" w:hAnsi="Times New Roman" w:cs="Times New Roman"/>
                <w:b/>
                <w:bCs/>
                <w:sz w:val="16"/>
                <w:szCs w:val="18"/>
                <w:lang w:eastAsia="es-GT"/>
              </w:rPr>
              <w:t>2020</w:t>
            </w:r>
          </w:p>
        </w:tc>
        <w:tc>
          <w:tcPr>
            <w:tcW w:w="2626" w:type="dxa"/>
            <w:tcBorders>
              <w:top w:val="nil"/>
              <w:left w:val="nil"/>
              <w:bottom w:val="nil"/>
              <w:right w:val="single" w:sz="4" w:space="0" w:color="auto"/>
            </w:tcBorders>
            <w:shd w:val="clear" w:color="auto" w:fill="244061" w:themeFill="accent1" w:themeFillShade="80"/>
            <w:noWrap/>
            <w:vAlign w:val="center"/>
            <w:hideMark/>
          </w:tcPr>
          <w:p w14:paraId="7B260CF4" w14:textId="77777777" w:rsidR="009273D9" w:rsidRPr="00062207" w:rsidRDefault="009273D9" w:rsidP="00B63DA6">
            <w:pPr>
              <w:jc w:val="center"/>
              <w:rPr>
                <w:rFonts w:ascii="Times New Roman" w:eastAsia="Times New Roman" w:hAnsi="Times New Roman" w:cs="Times New Roman"/>
                <w:b/>
                <w:bCs/>
                <w:sz w:val="16"/>
                <w:szCs w:val="18"/>
                <w:lang w:eastAsia="es-GT"/>
              </w:rPr>
            </w:pPr>
            <w:r w:rsidRPr="00062207">
              <w:rPr>
                <w:rFonts w:ascii="Times New Roman" w:eastAsia="Times New Roman" w:hAnsi="Times New Roman" w:cs="Times New Roman"/>
                <w:b/>
                <w:bCs/>
                <w:sz w:val="16"/>
                <w:szCs w:val="18"/>
                <w:lang w:eastAsia="es-GT"/>
              </w:rPr>
              <w:t>NO APROBADO</w:t>
            </w:r>
          </w:p>
        </w:tc>
        <w:tc>
          <w:tcPr>
            <w:tcW w:w="4364" w:type="dxa"/>
            <w:tcBorders>
              <w:top w:val="nil"/>
              <w:left w:val="nil"/>
              <w:bottom w:val="nil"/>
              <w:right w:val="single" w:sz="8" w:space="0" w:color="auto"/>
            </w:tcBorders>
            <w:shd w:val="clear" w:color="auto" w:fill="244061" w:themeFill="accent1" w:themeFillShade="80"/>
            <w:noWrap/>
            <w:vAlign w:val="center"/>
            <w:hideMark/>
          </w:tcPr>
          <w:p w14:paraId="7DCBE605" w14:textId="77777777" w:rsidR="009273D9" w:rsidRPr="00062207" w:rsidRDefault="009273D9" w:rsidP="00B63DA6">
            <w:pPr>
              <w:jc w:val="center"/>
              <w:rPr>
                <w:rFonts w:ascii="Times New Roman" w:eastAsia="Times New Roman" w:hAnsi="Times New Roman" w:cs="Times New Roman"/>
                <w:b/>
                <w:bCs/>
                <w:sz w:val="16"/>
                <w:szCs w:val="18"/>
                <w:lang w:eastAsia="es-GT"/>
              </w:rPr>
            </w:pPr>
            <w:r w:rsidRPr="00062207">
              <w:rPr>
                <w:rFonts w:ascii="Times New Roman" w:eastAsia="Times New Roman" w:hAnsi="Times New Roman" w:cs="Times New Roman"/>
                <w:b/>
                <w:bCs/>
                <w:sz w:val="16"/>
                <w:szCs w:val="18"/>
                <w:lang w:eastAsia="es-GT"/>
              </w:rPr>
              <w:t>Partido VAMOS</w:t>
            </w:r>
          </w:p>
        </w:tc>
      </w:tr>
      <w:tr w:rsidR="00062207" w:rsidRPr="00062207" w14:paraId="7475699D" w14:textId="77777777" w:rsidTr="00FC4984">
        <w:trPr>
          <w:trHeight w:val="89"/>
        </w:trPr>
        <w:tc>
          <w:tcPr>
            <w:tcW w:w="1016" w:type="dxa"/>
            <w:tcBorders>
              <w:top w:val="nil"/>
              <w:left w:val="single" w:sz="8" w:space="0" w:color="auto"/>
              <w:bottom w:val="single" w:sz="8" w:space="0" w:color="auto"/>
              <w:right w:val="single" w:sz="4" w:space="0" w:color="auto"/>
            </w:tcBorders>
            <w:shd w:val="clear" w:color="auto" w:fill="244061" w:themeFill="accent1" w:themeFillShade="80"/>
            <w:noWrap/>
            <w:vAlign w:val="center"/>
          </w:tcPr>
          <w:p w14:paraId="2D61604A" w14:textId="1D3D0830" w:rsidR="00690CCA" w:rsidRPr="00062207" w:rsidRDefault="00690CCA" w:rsidP="00B63DA6">
            <w:pPr>
              <w:jc w:val="center"/>
              <w:rPr>
                <w:rFonts w:ascii="Times New Roman" w:eastAsia="Times New Roman" w:hAnsi="Times New Roman" w:cs="Times New Roman"/>
                <w:b/>
                <w:bCs/>
                <w:sz w:val="16"/>
                <w:szCs w:val="18"/>
                <w:lang w:eastAsia="es-GT"/>
              </w:rPr>
            </w:pPr>
            <w:r w:rsidRPr="00062207">
              <w:rPr>
                <w:rFonts w:ascii="Times New Roman" w:eastAsia="Times New Roman" w:hAnsi="Times New Roman" w:cs="Times New Roman"/>
                <w:b/>
                <w:bCs/>
                <w:sz w:val="16"/>
                <w:szCs w:val="18"/>
                <w:lang w:eastAsia="es-GT"/>
              </w:rPr>
              <w:t>2021</w:t>
            </w:r>
          </w:p>
        </w:tc>
        <w:tc>
          <w:tcPr>
            <w:tcW w:w="2626" w:type="dxa"/>
            <w:tcBorders>
              <w:top w:val="nil"/>
              <w:left w:val="nil"/>
              <w:bottom w:val="single" w:sz="8" w:space="0" w:color="auto"/>
              <w:right w:val="single" w:sz="4" w:space="0" w:color="auto"/>
            </w:tcBorders>
            <w:shd w:val="clear" w:color="auto" w:fill="244061" w:themeFill="accent1" w:themeFillShade="80"/>
            <w:noWrap/>
            <w:vAlign w:val="center"/>
          </w:tcPr>
          <w:p w14:paraId="0BB7B65A" w14:textId="3CC15642" w:rsidR="00690CCA" w:rsidRPr="00062207" w:rsidRDefault="00690CCA" w:rsidP="00B63DA6">
            <w:pPr>
              <w:jc w:val="center"/>
              <w:rPr>
                <w:rFonts w:ascii="Times New Roman" w:eastAsia="Times New Roman" w:hAnsi="Times New Roman" w:cs="Times New Roman"/>
                <w:b/>
                <w:bCs/>
                <w:sz w:val="16"/>
                <w:szCs w:val="18"/>
                <w:lang w:eastAsia="es-GT"/>
              </w:rPr>
            </w:pPr>
            <w:r w:rsidRPr="00062207">
              <w:rPr>
                <w:rFonts w:ascii="Times New Roman" w:eastAsia="Times New Roman" w:hAnsi="Times New Roman" w:cs="Times New Roman"/>
                <w:b/>
                <w:bCs/>
                <w:sz w:val="16"/>
                <w:szCs w:val="18"/>
                <w:lang w:eastAsia="es-GT"/>
              </w:rPr>
              <w:t>NO APROBADO</w:t>
            </w:r>
          </w:p>
        </w:tc>
        <w:tc>
          <w:tcPr>
            <w:tcW w:w="4364" w:type="dxa"/>
            <w:tcBorders>
              <w:top w:val="nil"/>
              <w:left w:val="nil"/>
              <w:bottom w:val="single" w:sz="8" w:space="0" w:color="auto"/>
              <w:right w:val="single" w:sz="8" w:space="0" w:color="auto"/>
            </w:tcBorders>
            <w:shd w:val="clear" w:color="auto" w:fill="244061" w:themeFill="accent1" w:themeFillShade="80"/>
            <w:noWrap/>
            <w:vAlign w:val="center"/>
          </w:tcPr>
          <w:p w14:paraId="21DB4867" w14:textId="5CDCB1A9" w:rsidR="00690CCA" w:rsidRPr="00062207" w:rsidRDefault="00690CCA" w:rsidP="00B63DA6">
            <w:pPr>
              <w:jc w:val="center"/>
              <w:rPr>
                <w:rFonts w:ascii="Times New Roman" w:eastAsia="Times New Roman" w:hAnsi="Times New Roman" w:cs="Times New Roman"/>
                <w:b/>
                <w:bCs/>
                <w:sz w:val="16"/>
                <w:szCs w:val="18"/>
                <w:lang w:eastAsia="es-GT"/>
              </w:rPr>
            </w:pPr>
            <w:r w:rsidRPr="00062207">
              <w:rPr>
                <w:rFonts w:ascii="Times New Roman" w:eastAsia="Times New Roman" w:hAnsi="Times New Roman" w:cs="Times New Roman"/>
                <w:b/>
                <w:bCs/>
                <w:sz w:val="16"/>
                <w:szCs w:val="18"/>
                <w:lang w:eastAsia="es-GT"/>
              </w:rPr>
              <w:t>Partido VAMOS</w:t>
            </w:r>
          </w:p>
        </w:tc>
      </w:tr>
    </w:tbl>
    <w:p w14:paraId="62ED567E" w14:textId="77777777" w:rsidR="009273D9" w:rsidRPr="00062207" w:rsidRDefault="009273D9" w:rsidP="009273D9">
      <w:pPr>
        <w:pStyle w:val="Sinespaciado"/>
        <w:jc w:val="both"/>
        <w:rPr>
          <w:rFonts w:ascii="Times New Roman" w:hAnsi="Times New Roman" w:cs="Times New Roman"/>
        </w:rPr>
      </w:pPr>
    </w:p>
    <w:p w14:paraId="461BF93D" w14:textId="77777777" w:rsidR="009273D9" w:rsidRPr="00062207" w:rsidRDefault="009273D9" w:rsidP="009273D9">
      <w:pPr>
        <w:pStyle w:val="Sinespaciado"/>
        <w:jc w:val="both"/>
        <w:rPr>
          <w:rFonts w:ascii="Times New Roman" w:hAnsi="Times New Roman" w:cs="Times New Roman"/>
        </w:rPr>
      </w:pPr>
    </w:p>
    <w:p w14:paraId="3A356E5B" w14:textId="77777777" w:rsidR="009273D9" w:rsidRPr="00062207" w:rsidRDefault="009273D9" w:rsidP="009273D9">
      <w:pPr>
        <w:pStyle w:val="Sinespaciado"/>
        <w:jc w:val="both"/>
        <w:rPr>
          <w:rFonts w:ascii="Times New Roman" w:hAnsi="Times New Roman" w:cs="Times New Roman"/>
        </w:rPr>
      </w:pPr>
      <w:r w:rsidRPr="00062207">
        <w:rPr>
          <w:rFonts w:ascii="Times New Roman" w:hAnsi="Times New Roman" w:cs="Times New Roman"/>
        </w:rPr>
        <w:t xml:space="preserve"> </w:t>
      </w:r>
    </w:p>
    <w:p w14:paraId="2ED760B1" w14:textId="77777777" w:rsidR="009273D9" w:rsidRPr="00062207" w:rsidRDefault="009273D9" w:rsidP="009273D9">
      <w:pPr>
        <w:pStyle w:val="Sinespaciado"/>
        <w:jc w:val="both"/>
        <w:rPr>
          <w:rFonts w:ascii="Times New Roman" w:hAnsi="Times New Roman" w:cs="Times New Roman"/>
        </w:rPr>
      </w:pPr>
    </w:p>
    <w:p w14:paraId="17A532A8" w14:textId="77777777" w:rsidR="009273D9" w:rsidRPr="00062207" w:rsidRDefault="009273D9" w:rsidP="009273D9">
      <w:pPr>
        <w:pStyle w:val="Sinespaciado"/>
        <w:jc w:val="both"/>
        <w:rPr>
          <w:rFonts w:ascii="Times New Roman" w:hAnsi="Times New Roman" w:cs="Times New Roman"/>
        </w:rPr>
      </w:pPr>
    </w:p>
    <w:p w14:paraId="37950E08" w14:textId="77777777" w:rsidR="009273D9" w:rsidRPr="00062207" w:rsidRDefault="009273D9" w:rsidP="009273D9">
      <w:pPr>
        <w:pStyle w:val="Sinespaciado"/>
        <w:jc w:val="both"/>
        <w:rPr>
          <w:rFonts w:ascii="Times New Roman" w:hAnsi="Times New Roman" w:cs="Times New Roman"/>
        </w:rPr>
      </w:pPr>
    </w:p>
    <w:p w14:paraId="6C4808D1" w14:textId="77777777" w:rsidR="009273D9" w:rsidRPr="00062207" w:rsidRDefault="009273D9" w:rsidP="009273D9">
      <w:pPr>
        <w:pStyle w:val="Sinespaciado"/>
        <w:jc w:val="both"/>
        <w:rPr>
          <w:rFonts w:ascii="Times New Roman" w:hAnsi="Times New Roman" w:cs="Times New Roman"/>
        </w:rPr>
      </w:pPr>
    </w:p>
    <w:p w14:paraId="228737CF" w14:textId="77777777" w:rsidR="009273D9" w:rsidRPr="00062207" w:rsidRDefault="009273D9" w:rsidP="009273D9">
      <w:pPr>
        <w:pStyle w:val="Sinespaciado"/>
        <w:jc w:val="both"/>
        <w:rPr>
          <w:rFonts w:ascii="Times New Roman" w:hAnsi="Times New Roman" w:cs="Times New Roman"/>
        </w:rPr>
      </w:pPr>
    </w:p>
    <w:p w14:paraId="3874B9AC" w14:textId="77777777" w:rsidR="009273D9" w:rsidRPr="00062207" w:rsidRDefault="009273D9" w:rsidP="009273D9">
      <w:pPr>
        <w:pStyle w:val="Sinespaciado"/>
        <w:jc w:val="both"/>
        <w:rPr>
          <w:rFonts w:ascii="Times New Roman" w:hAnsi="Times New Roman" w:cs="Times New Roman"/>
        </w:rPr>
      </w:pPr>
    </w:p>
    <w:p w14:paraId="7103BB2C" w14:textId="77777777" w:rsidR="009273D9" w:rsidRPr="00062207" w:rsidRDefault="009273D9" w:rsidP="009273D9">
      <w:pPr>
        <w:rPr>
          <w:rFonts w:ascii="Times New Roman" w:hAnsi="Times New Roman" w:cs="Times New Roman"/>
          <w:b/>
          <w:sz w:val="22"/>
          <w:szCs w:val="22"/>
        </w:rPr>
      </w:pPr>
    </w:p>
    <w:p w14:paraId="37306FF6" w14:textId="77777777" w:rsidR="009273D9" w:rsidRPr="00062207" w:rsidRDefault="009273D9" w:rsidP="009273D9">
      <w:pPr>
        <w:rPr>
          <w:rFonts w:ascii="Times New Roman" w:hAnsi="Times New Roman" w:cs="Times New Roman"/>
          <w:b/>
          <w:sz w:val="22"/>
          <w:szCs w:val="22"/>
        </w:rPr>
      </w:pPr>
    </w:p>
    <w:p w14:paraId="5843F646" w14:textId="77777777" w:rsidR="009273D9" w:rsidRPr="00062207" w:rsidRDefault="009273D9" w:rsidP="009273D9">
      <w:pPr>
        <w:rPr>
          <w:rFonts w:ascii="Times New Roman" w:hAnsi="Times New Roman" w:cs="Times New Roman"/>
          <w:b/>
          <w:sz w:val="22"/>
          <w:szCs w:val="22"/>
        </w:rPr>
      </w:pPr>
    </w:p>
    <w:p w14:paraId="424BC754" w14:textId="77777777" w:rsidR="009273D9" w:rsidRPr="00062207" w:rsidRDefault="009273D9" w:rsidP="009273D9">
      <w:pPr>
        <w:rPr>
          <w:rFonts w:ascii="Times New Roman" w:hAnsi="Times New Roman" w:cs="Times New Roman"/>
          <w:b/>
          <w:sz w:val="22"/>
          <w:szCs w:val="22"/>
        </w:rPr>
      </w:pPr>
    </w:p>
    <w:p w14:paraId="702AAA91" w14:textId="77777777" w:rsidR="009273D9" w:rsidRPr="00062207" w:rsidRDefault="009273D9" w:rsidP="009273D9">
      <w:pPr>
        <w:rPr>
          <w:rFonts w:ascii="Times New Roman" w:hAnsi="Times New Roman" w:cs="Times New Roman"/>
          <w:b/>
          <w:sz w:val="22"/>
          <w:szCs w:val="22"/>
        </w:rPr>
      </w:pPr>
    </w:p>
    <w:p w14:paraId="2FDE80B3" w14:textId="77777777" w:rsidR="009273D9" w:rsidRPr="00062207" w:rsidRDefault="009273D9" w:rsidP="009273D9">
      <w:pPr>
        <w:rPr>
          <w:rFonts w:ascii="Times New Roman" w:hAnsi="Times New Roman" w:cs="Times New Roman"/>
          <w:b/>
          <w:sz w:val="22"/>
          <w:szCs w:val="22"/>
        </w:rPr>
      </w:pPr>
    </w:p>
    <w:p w14:paraId="05FC2EF8" w14:textId="77777777" w:rsidR="009273D9" w:rsidRPr="00062207" w:rsidRDefault="009273D9" w:rsidP="009273D9">
      <w:pPr>
        <w:rPr>
          <w:rFonts w:ascii="Times New Roman" w:hAnsi="Times New Roman" w:cs="Times New Roman"/>
          <w:b/>
          <w:sz w:val="22"/>
          <w:szCs w:val="22"/>
        </w:rPr>
      </w:pPr>
    </w:p>
    <w:p w14:paraId="36A28EB3" w14:textId="77777777" w:rsidR="009273D9" w:rsidRPr="00062207" w:rsidRDefault="009273D9" w:rsidP="009273D9">
      <w:pPr>
        <w:rPr>
          <w:rFonts w:ascii="Times New Roman" w:hAnsi="Times New Roman" w:cs="Times New Roman"/>
          <w:b/>
          <w:sz w:val="22"/>
          <w:szCs w:val="22"/>
        </w:rPr>
      </w:pPr>
    </w:p>
    <w:p w14:paraId="1549421F" w14:textId="77777777" w:rsidR="009273D9" w:rsidRPr="00062207" w:rsidRDefault="009273D9" w:rsidP="009273D9">
      <w:pPr>
        <w:rPr>
          <w:rFonts w:ascii="Times New Roman" w:hAnsi="Times New Roman" w:cs="Times New Roman"/>
          <w:b/>
          <w:sz w:val="22"/>
          <w:szCs w:val="22"/>
        </w:rPr>
      </w:pPr>
    </w:p>
    <w:p w14:paraId="367A519D" w14:textId="77777777" w:rsidR="009273D9" w:rsidRPr="00062207" w:rsidRDefault="009273D9" w:rsidP="009273D9">
      <w:pPr>
        <w:rPr>
          <w:rFonts w:ascii="Times New Roman" w:hAnsi="Times New Roman" w:cs="Times New Roman"/>
          <w:b/>
          <w:sz w:val="22"/>
          <w:szCs w:val="22"/>
        </w:rPr>
      </w:pPr>
    </w:p>
    <w:p w14:paraId="4876F1F5" w14:textId="77777777" w:rsidR="00905BB5" w:rsidRPr="00062207" w:rsidRDefault="00905BB5" w:rsidP="009273D9">
      <w:pPr>
        <w:jc w:val="both"/>
        <w:rPr>
          <w:rFonts w:ascii="Times New Roman" w:hAnsi="Times New Roman" w:cs="Times New Roman"/>
          <w:sz w:val="16"/>
          <w:szCs w:val="16"/>
        </w:rPr>
      </w:pPr>
    </w:p>
    <w:p w14:paraId="4C940489" w14:textId="77777777" w:rsidR="001D4B49" w:rsidRPr="00062207" w:rsidRDefault="001D4B49" w:rsidP="009273D9">
      <w:pPr>
        <w:jc w:val="both"/>
        <w:rPr>
          <w:rFonts w:ascii="Times New Roman" w:hAnsi="Times New Roman" w:cs="Times New Roman"/>
          <w:sz w:val="16"/>
          <w:szCs w:val="16"/>
        </w:rPr>
      </w:pPr>
    </w:p>
    <w:p w14:paraId="0D99D046" w14:textId="3D99B3D0" w:rsidR="009273D9" w:rsidRPr="00062207" w:rsidRDefault="009273D9" w:rsidP="009273D9">
      <w:pPr>
        <w:jc w:val="both"/>
        <w:rPr>
          <w:rFonts w:ascii="Times New Roman" w:hAnsi="Times New Roman" w:cs="Times New Roman"/>
          <w:sz w:val="18"/>
          <w:szCs w:val="16"/>
        </w:rPr>
      </w:pPr>
      <w:r w:rsidRPr="00062207">
        <w:rPr>
          <w:rFonts w:ascii="Times New Roman" w:hAnsi="Times New Roman" w:cs="Times New Roman"/>
          <w:sz w:val="18"/>
          <w:szCs w:val="16"/>
        </w:rPr>
        <w:t>Fuente: Ministerio de Finanzas Públicas/ Compendio de los proyectos aprobados de Presupuesto General de Ingresos y Egresos de la Nación desde el año 2001</w:t>
      </w:r>
    </w:p>
    <w:p w14:paraId="60D7D7E8" w14:textId="77777777" w:rsidR="009273D9" w:rsidRPr="00062207" w:rsidRDefault="009273D9" w:rsidP="009273D9">
      <w:pPr>
        <w:jc w:val="both"/>
        <w:rPr>
          <w:rFonts w:ascii="Times New Roman" w:hAnsi="Times New Roman" w:cs="Times New Roman"/>
          <w:b/>
          <w:sz w:val="22"/>
          <w:szCs w:val="22"/>
        </w:rPr>
      </w:pPr>
    </w:p>
    <w:p w14:paraId="591B1A22" w14:textId="2500DA73" w:rsidR="001A0AC9" w:rsidRPr="00062207" w:rsidRDefault="004139E4" w:rsidP="009273D9">
      <w:pPr>
        <w:jc w:val="both"/>
        <w:rPr>
          <w:rFonts w:ascii="Times New Roman" w:eastAsia="Times New Roman" w:hAnsi="Times New Roman" w:cs="Times New Roman"/>
          <w:sz w:val="22"/>
          <w:szCs w:val="22"/>
        </w:rPr>
      </w:pPr>
      <w:r w:rsidRPr="00062207">
        <w:rPr>
          <w:rFonts w:ascii="Times New Roman" w:eastAsia="Times New Roman" w:hAnsi="Times New Roman" w:cs="Times New Roman"/>
          <w:sz w:val="22"/>
          <w:szCs w:val="22"/>
        </w:rPr>
        <w:t xml:space="preserve">La Constitución Política de la República de Guatemala establece en el artículo 171 “Otras atribuciones del Congreso” que le corresponde al Congreso aprobar, modificar o improbar el Presupuesto de Ingresos y Egresos del Estado, si al momento de iniciarse un ejercicio fiscal, el presupuesto no hubiera sido aprobado por el Congreso, rige de nuevo el presupuesto en </w:t>
      </w:r>
      <w:r w:rsidRPr="00062207">
        <w:rPr>
          <w:rFonts w:ascii="Times New Roman" w:eastAsia="Times New Roman" w:hAnsi="Times New Roman" w:cs="Times New Roman"/>
          <w:sz w:val="22"/>
          <w:szCs w:val="22"/>
          <w:u w:val="single"/>
        </w:rPr>
        <w:t>vigencia</w:t>
      </w:r>
      <w:r w:rsidRPr="00062207">
        <w:rPr>
          <w:rFonts w:ascii="Times New Roman" w:eastAsia="Times New Roman" w:hAnsi="Times New Roman" w:cs="Times New Roman"/>
          <w:sz w:val="22"/>
          <w:szCs w:val="22"/>
        </w:rPr>
        <w:t xml:space="preserve"> </w:t>
      </w:r>
      <w:r w:rsidR="000A5D59" w:rsidRPr="00062207">
        <w:rPr>
          <w:rFonts w:ascii="Times New Roman" w:eastAsia="Times New Roman" w:hAnsi="Times New Roman" w:cs="Times New Roman"/>
          <w:sz w:val="22"/>
          <w:szCs w:val="22"/>
        </w:rPr>
        <w:t>d</w:t>
      </w:r>
      <w:r w:rsidRPr="00062207">
        <w:rPr>
          <w:rFonts w:ascii="Times New Roman" w:eastAsia="Times New Roman" w:hAnsi="Times New Roman" w:cs="Times New Roman"/>
          <w:sz w:val="22"/>
          <w:szCs w:val="22"/>
        </w:rPr>
        <w:t>el ejercicio anterior, el cual podrá ser modificado o ajustado por el Congreso.</w:t>
      </w:r>
    </w:p>
    <w:p w14:paraId="018997BD" w14:textId="0B2F1795" w:rsidR="007D5FA6" w:rsidRPr="00062207" w:rsidRDefault="007D5FA6" w:rsidP="009273D9">
      <w:pPr>
        <w:jc w:val="both"/>
        <w:rPr>
          <w:rFonts w:ascii="Times New Roman" w:eastAsia="Times New Roman" w:hAnsi="Times New Roman" w:cs="Times New Roman"/>
          <w:sz w:val="22"/>
          <w:szCs w:val="22"/>
        </w:rPr>
      </w:pPr>
    </w:p>
    <w:p w14:paraId="28A858F1" w14:textId="019F659F" w:rsidR="004139E4" w:rsidRPr="00062207" w:rsidRDefault="004139E4" w:rsidP="009273D9">
      <w:pPr>
        <w:jc w:val="both"/>
        <w:rPr>
          <w:rFonts w:ascii="Times New Roman" w:eastAsia="Times New Roman" w:hAnsi="Times New Roman" w:cs="Times New Roman"/>
          <w:sz w:val="22"/>
          <w:szCs w:val="22"/>
        </w:rPr>
      </w:pPr>
      <w:r w:rsidRPr="00062207">
        <w:rPr>
          <w:rFonts w:ascii="Times New Roman" w:eastAsia="Times New Roman" w:hAnsi="Times New Roman" w:cs="Times New Roman"/>
          <w:sz w:val="22"/>
          <w:szCs w:val="22"/>
        </w:rPr>
        <w:lastRenderedPageBreak/>
        <w:t>Por lo anterior, para el ejercicio fiscal 2021 entró en vigencia el último presupuesto aprobado siendo el Presupuesto General de Ingresos y Egresos del Estado para el ejercicio fiscal 2019, aprobado mediante el Decreto 25-2018, más las tres ampliaciones presupuestarias que fueron autorizadas mediante Decretos 12-2020, 13-2020 y 2</w:t>
      </w:r>
      <w:r w:rsidR="009717F7" w:rsidRPr="00062207">
        <w:rPr>
          <w:rFonts w:ascii="Times New Roman" w:eastAsia="Times New Roman" w:hAnsi="Times New Roman" w:cs="Times New Roman"/>
          <w:sz w:val="22"/>
          <w:szCs w:val="22"/>
        </w:rPr>
        <w:t>0-2020 del Organismo Legislativo, siendo finalmente el presupuesto en vigencia de Q107,521.0 millones</w:t>
      </w:r>
      <w:r w:rsidRPr="00062207">
        <w:rPr>
          <w:rFonts w:ascii="Times New Roman" w:eastAsia="Times New Roman" w:hAnsi="Times New Roman" w:cs="Times New Roman"/>
          <w:sz w:val="22"/>
          <w:szCs w:val="22"/>
        </w:rPr>
        <w:t>.</w:t>
      </w:r>
    </w:p>
    <w:p w14:paraId="5B0A481F" w14:textId="77777777" w:rsidR="001D08EE" w:rsidRPr="00062207" w:rsidRDefault="001D08EE" w:rsidP="009273D9">
      <w:pPr>
        <w:jc w:val="both"/>
        <w:rPr>
          <w:rFonts w:ascii="Times New Roman" w:eastAsia="Times New Roman" w:hAnsi="Times New Roman" w:cs="Times New Roman"/>
          <w:sz w:val="22"/>
          <w:szCs w:val="22"/>
        </w:rPr>
      </w:pPr>
    </w:p>
    <w:p w14:paraId="62602C22" w14:textId="3137FD54" w:rsidR="001D4B49" w:rsidRPr="00062207" w:rsidRDefault="001D4B49" w:rsidP="001D4B49">
      <w:pPr>
        <w:jc w:val="center"/>
        <w:rPr>
          <w:rFonts w:ascii="Times New Roman" w:eastAsia="Times New Roman" w:hAnsi="Times New Roman" w:cs="Times New Roman"/>
          <w:b/>
          <w:sz w:val="22"/>
          <w:szCs w:val="22"/>
        </w:rPr>
      </w:pPr>
      <w:r w:rsidRPr="00062207">
        <w:rPr>
          <w:rFonts w:ascii="Times New Roman" w:eastAsia="Times New Roman" w:hAnsi="Times New Roman" w:cs="Times New Roman"/>
          <w:b/>
          <w:sz w:val="22"/>
          <w:szCs w:val="22"/>
        </w:rPr>
        <w:t>Determinación del Presupuesto Vigente 2021</w:t>
      </w:r>
    </w:p>
    <w:p w14:paraId="38683414" w14:textId="7D1B4312" w:rsidR="009D1F8C" w:rsidRPr="00062207" w:rsidRDefault="001D4B49" w:rsidP="009273D9">
      <w:pPr>
        <w:jc w:val="both"/>
        <w:rPr>
          <w:rFonts w:ascii="Times New Roman" w:eastAsia="Times New Roman" w:hAnsi="Times New Roman" w:cs="Times New Roman"/>
          <w:sz w:val="22"/>
          <w:szCs w:val="22"/>
        </w:rPr>
      </w:pPr>
      <w:r w:rsidRPr="00062207">
        <w:rPr>
          <w:rFonts w:ascii="Times New Roman" w:eastAsia="Times New Roman" w:hAnsi="Times New Roman" w:cs="Times New Roman"/>
          <w:noProof/>
          <w:sz w:val="22"/>
          <w:szCs w:val="22"/>
          <w:lang w:val="es-GT" w:eastAsia="es-GT"/>
        </w:rPr>
        <mc:AlternateContent>
          <mc:Choice Requires="wpg">
            <w:drawing>
              <wp:anchor distT="0" distB="0" distL="114300" distR="114300" simplePos="0" relativeHeight="251796480" behindDoc="0" locked="0" layoutInCell="1" allowOverlap="1" wp14:anchorId="23044DA5" wp14:editId="54A3F21A">
                <wp:simplePos x="0" y="0"/>
                <wp:positionH relativeFrom="column">
                  <wp:posOffset>723900</wp:posOffset>
                </wp:positionH>
                <wp:positionV relativeFrom="paragraph">
                  <wp:posOffset>138430</wp:posOffset>
                </wp:positionV>
                <wp:extent cx="4770816" cy="2687313"/>
                <wp:effectExtent l="0" t="19050" r="29845" b="37465"/>
                <wp:wrapNone/>
                <wp:docPr id="20" name="Group 20"/>
                <wp:cNvGraphicFramePr/>
                <a:graphic xmlns:a="http://schemas.openxmlformats.org/drawingml/2006/main">
                  <a:graphicData uri="http://schemas.microsoft.com/office/word/2010/wordprocessingGroup">
                    <wpg:wgp>
                      <wpg:cNvGrpSpPr/>
                      <wpg:grpSpPr>
                        <a:xfrm>
                          <a:off x="0" y="0"/>
                          <a:ext cx="4770816" cy="2687313"/>
                          <a:chOff x="0" y="0"/>
                          <a:chExt cx="4770816" cy="2687313"/>
                        </a:xfrm>
                      </wpg:grpSpPr>
                      <wpg:grpSp>
                        <wpg:cNvPr id="45" name="Group 45"/>
                        <wpg:cNvGrpSpPr/>
                        <wpg:grpSpPr>
                          <a:xfrm>
                            <a:off x="0" y="0"/>
                            <a:ext cx="4770816" cy="2687313"/>
                            <a:chOff x="-7951" y="-8055"/>
                            <a:chExt cx="4770816" cy="2687313"/>
                          </a:xfrm>
                        </wpg:grpSpPr>
                        <wpg:grpSp>
                          <wpg:cNvPr id="40" name="Group 40"/>
                          <wpg:cNvGrpSpPr/>
                          <wpg:grpSpPr>
                            <a:xfrm>
                              <a:off x="-7951" y="-8055"/>
                              <a:ext cx="4770816" cy="2687313"/>
                              <a:chOff x="-7951" y="-8055"/>
                              <a:chExt cx="4770816" cy="2687313"/>
                            </a:xfrm>
                          </wpg:grpSpPr>
                          <wps:wsp>
                            <wps:cNvPr id="33" name="Text Box 33"/>
                            <wps:cNvSpPr txBox="1"/>
                            <wps:spPr>
                              <a:xfrm>
                                <a:off x="3729105" y="-8055"/>
                                <a:ext cx="966926" cy="278295"/>
                              </a:xfrm>
                              <a:prstGeom prst="rect">
                                <a:avLst/>
                              </a:prstGeom>
                              <a:solidFill>
                                <a:sysClr val="window" lastClr="FFFFFF"/>
                              </a:solidFill>
                              <a:ln w="6350">
                                <a:noFill/>
                              </a:ln>
                            </wps:spPr>
                            <wps:txbx>
                              <w:txbxContent>
                                <w:p w14:paraId="14DAFB09" w14:textId="621C5A35" w:rsidR="00062207" w:rsidRPr="005A49AA" w:rsidRDefault="00062207" w:rsidP="00DF3EEF">
                                  <w:pPr>
                                    <w:jc w:val="center"/>
                                    <w:rPr>
                                      <w:rFonts w:ascii="Times New Roman" w:hAnsi="Times New Roman" w:cs="Times New Roman"/>
                                      <w:b/>
                                    </w:rPr>
                                  </w:pPr>
                                  <w:r w:rsidRPr="005A49AA">
                                    <w:rPr>
                                      <w:rFonts w:ascii="Times New Roman" w:hAnsi="Times New Roman" w:cs="Times New Roman"/>
                                      <w:b/>
                                    </w:rPr>
                                    <w:t>Q107,521.0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9" name="Group 39"/>
                            <wpg:cNvGrpSpPr/>
                            <wpg:grpSpPr>
                              <a:xfrm>
                                <a:off x="-7951" y="294198"/>
                                <a:ext cx="4770816" cy="2385060"/>
                                <a:chOff x="-7951" y="0"/>
                                <a:chExt cx="4770816" cy="2385060"/>
                              </a:xfrm>
                            </wpg:grpSpPr>
                            <wps:wsp>
                              <wps:cNvPr id="255" name="Text Box 255"/>
                              <wps:cNvSpPr txBox="1"/>
                              <wps:spPr>
                                <a:xfrm>
                                  <a:off x="2555906" y="188028"/>
                                  <a:ext cx="1017270" cy="341810"/>
                                </a:xfrm>
                                <a:prstGeom prst="rect">
                                  <a:avLst/>
                                </a:prstGeom>
                                <a:solidFill>
                                  <a:sysClr val="window" lastClr="FFFFFF"/>
                                </a:solidFill>
                                <a:ln w="6350">
                                  <a:noFill/>
                                </a:ln>
                              </wps:spPr>
                              <wps:txbx>
                                <w:txbxContent>
                                  <w:p w14:paraId="5332727E" w14:textId="3C05160C" w:rsidR="00062207" w:rsidRPr="005A49AA" w:rsidRDefault="00062207" w:rsidP="00DF3EEF">
                                    <w:pPr>
                                      <w:jc w:val="center"/>
                                      <w:rPr>
                                        <w:rFonts w:ascii="Times New Roman" w:hAnsi="Times New Roman" w:cs="Times New Roman"/>
                                        <w:b/>
                                      </w:rPr>
                                    </w:pPr>
                                    <w:r w:rsidRPr="005A49AA">
                                      <w:rPr>
                                        <w:rFonts w:ascii="Times New Roman" w:hAnsi="Times New Roman" w:cs="Times New Roman"/>
                                        <w:b/>
                                      </w:rPr>
                                      <w:t>Q102,382.1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8" name="Group 38"/>
                              <wpg:cNvGrpSpPr/>
                              <wpg:grpSpPr>
                                <a:xfrm>
                                  <a:off x="-7951" y="0"/>
                                  <a:ext cx="4770816" cy="2385060"/>
                                  <a:chOff x="-7951" y="0"/>
                                  <a:chExt cx="4770816" cy="2385060"/>
                                </a:xfrm>
                              </wpg:grpSpPr>
                              <wps:wsp>
                                <wps:cNvPr id="15" name="Text Box 15"/>
                                <wps:cNvSpPr txBox="1"/>
                                <wps:spPr>
                                  <a:xfrm>
                                    <a:off x="1296063" y="739471"/>
                                    <a:ext cx="1017767" cy="262393"/>
                                  </a:xfrm>
                                  <a:prstGeom prst="rect">
                                    <a:avLst/>
                                  </a:prstGeom>
                                  <a:solidFill>
                                    <a:sysClr val="window" lastClr="FFFFFF"/>
                                  </a:solidFill>
                                  <a:ln w="6350">
                                    <a:noFill/>
                                  </a:ln>
                                </wps:spPr>
                                <wps:txbx>
                                  <w:txbxContent>
                                    <w:p w14:paraId="210106FF" w14:textId="1A916D62" w:rsidR="00062207" w:rsidRPr="005A49AA" w:rsidRDefault="00062207" w:rsidP="00584C35">
                                      <w:pPr>
                                        <w:jc w:val="center"/>
                                        <w:rPr>
                                          <w:rFonts w:ascii="Times New Roman" w:hAnsi="Times New Roman" w:cs="Times New Roman"/>
                                          <w:b/>
                                        </w:rPr>
                                      </w:pPr>
                                      <w:r w:rsidRPr="005A49AA">
                                        <w:rPr>
                                          <w:rFonts w:ascii="Times New Roman" w:hAnsi="Times New Roman" w:cs="Times New Roman"/>
                                          <w:b/>
                                        </w:rPr>
                                        <w:t>Q91,382.1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7" name="Group 37"/>
                                <wpg:cNvGrpSpPr/>
                                <wpg:grpSpPr>
                                  <a:xfrm>
                                    <a:off x="-7951" y="0"/>
                                    <a:ext cx="4770816" cy="2385060"/>
                                    <a:chOff x="-7951" y="0"/>
                                    <a:chExt cx="4770816" cy="2385060"/>
                                  </a:xfrm>
                                </wpg:grpSpPr>
                                <wps:wsp>
                                  <wps:cNvPr id="13" name="Text Box 13"/>
                                  <wps:cNvSpPr txBox="1"/>
                                  <wps:spPr>
                                    <a:xfrm>
                                      <a:off x="87465" y="1168842"/>
                                      <a:ext cx="1017270" cy="262255"/>
                                    </a:xfrm>
                                    <a:prstGeom prst="rect">
                                      <a:avLst/>
                                    </a:prstGeom>
                                    <a:solidFill>
                                      <a:schemeClr val="lt1"/>
                                    </a:solidFill>
                                    <a:ln w="6350">
                                      <a:noFill/>
                                    </a:ln>
                                  </wps:spPr>
                                  <wps:txbx>
                                    <w:txbxContent>
                                      <w:p w14:paraId="53F7057C" w14:textId="6100A233" w:rsidR="00062207" w:rsidRPr="00684691" w:rsidRDefault="00062207" w:rsidP="009758DB">
                                        <w:pPr>
                                          <w:jc w:val="center"/>
                                          <w:rPr>
                                            <w:rFonts w:ascii="Times New Roman" w:hAnsi="Times New Roman" w:cs="Times New Roman"/>
                                            <w:b/>
                                          </w:rPr>
                                        </w:pPr>
                                        <w:r w:rsidRPr="00684691">
                                          <w:rPr>
                                            <w:rFonts w:ascii="Times New Roman" w:hAnsi="Times New Roman" w:cs="Times New Roman"/>
                                            <w:b/>
                                          </w:rPr>
                                          <w:t>Q87,715.1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6" name="Group 36"/>
                                  <wpg:cNvGrpSpPr/>
                                  <wpg:grpSpPr>
                                    <a:xfrm>
                                      <a:off x="-7951" y="0"/>
                                      <a:ext cx="4770816" cy="2385060"/>
                                      <a:chOff x="-7951" y="0"/>
                                      <a:chExt cx="4770816" cy="2385060"/>
                                    </a:xfrm>
                                  </wpg:grpSpPr>
                                  <wpg:grpSp>
                                    <wpg:cNvPr id="34" name="Group 34"/>
                                    <wpg:cNvGrpSpPr/>
                                    <wpg:grpSpPr>
                                      <a:xfrm>
                                        <a:off x="0" y="0"/>
                                        <a:ext cx="4762865" cy="2385060"/>
                                        <a:chOff x="0" y="0"/>
                                        <a:chExt cx="4762865" cy="2385060"/>
                                      </a:xfrm>
                                    </wpg:grpSpPr>
                                    <wpg:grpSp>
                                      <wpg:cNvPr id="251" name="Group 251"/>
                                      <wpg:cNvGrpSpPr/>
                                      <wpg:grpSpPr>
                                        <a:xfrm>
                                          <a:off x="0" y="0"/>
                                          <a:ext cx="4762865" cy="2385060"/>
                                          <a:chOff x="0" y="628055"/>
                                          <a:chExt cx="4762865" cy="2385490"/>
                                        </a:xfrm>
                                        <a:solidFill>
                                          <a:schemeClr val="tx2">
                                            <a:lumMod val="60000"/>
                                            <a:lumOff val="40000"/>
                                          </a:schemeClr>
                                        </a:solidFill>
                                      </wpg:grpSpPr>
                                      <wpg:grpSp>
                                        <wpg:cNvPr id="249" name="Group 249"/>
                                        <wpg:cNvGrpSpPr/>
                                        <wpg:grpSpPr>
                                          <a:xfrm>
                                            <a:off x="0" y="628055"/>
                                            <a:ext cx="4762865" cy="2385490"/>
                                            <a:chOff x="0" y="628055"/>
                                            <a:chExt cx="4762865" cy="2385490"/>
                                          </a:xfrm>
                                          <a:grpFill/>
                                        </wpg:grpSpPr>
                                        <wpg:grpSp>
                                          <wpg:cNvPr id="247" name="Group 247"/>
                                          <wpg:cNvGrpSpPr/>
                                          <wpg:grpSpPr>
                                            <a:xfrm>
                                              <a:off x="0" y="628055"/>
                                              <a:ext cx="4762865" cy="2385490"/>
                                              <a:chOff x="0" y="628055"/>
                                              <a:chExt cx="4762865" cy="2385490"/>
                                            </a:xfrm>
                                            <a:grpFill/>
                                          </wpg:grpSpPr>
                                          <wpg:grpSp>
                                            <wpg:cNvPr id="238" name="Group 238"/>
                                            <wpg:cNvGrpSpPr/>
                                            <wpg:grpSpPr>
                                              <a:xfrm>
                                                <a:off x="0" y="628055"/>
                                                <a:ext cx="4762865" cy="2385490"/>
                                                <a:chOff x="0" y="628055"/>
                                                <a:chExt cx="4762865" cy="2385490"/>
                                              </a:xfrm>
                                              <a:grpFill/>
                                            </wpg:grpSpPr>
                                            <wpg:grpSp>
                                              <wpg:cNvPr id="231" name="Group 231"/>
                                              <wpg:cNvGrpSpPr/>
                                              <wpg:grpSpPr>
                                                <a:xfrm>
                                                  <a:off x="0" y="628055"/>
                                                  <a:ext cx="4762865" cy="2385490"/>
                                                  <a:chOff x="0" y="628055"/>
                                                  <a:chExt cx="4762865" cy="2385490"/>
                                                </a:xfrm>
                                                <a:grpFill/>
                                              </wpg:grpSpPr>
                                              <wpg:grpSp>
                                                <wpg:cNvPr id="230" name="Group 230"/>
                                                <wpg:cNvGrpSpPr/>
                                                <wpg:grpSpPr>
                                                  <a:xfrm>
                                                    <a:off x="3424" y="628055"/>
                                                    <a:ext cx="4759441" cy="2385490"/>
                                                    <a:chOff x="3424" y="628055"/>
                                                    <a:chExt cx="4759441" cy="2385490"/>
                                                  </a:xfrm>
                                                  <a:grpFill/>
                                                </wpg:grpSpPr>
                                                <wpg:grpSp>
                                                  <wpg:cNvPr id="229" name="Group 229"/>
                                                  <wpg:cNvGrpSpPr/>
                                                  <wpg:grpSpPr>
                                                    <a:xfrm>
                                                      <a:off x="3424" y="628055"/>
                                                      <a:ext cx="4759441" cy="2385490"/>
                                                      <a:chOff x="3424" y="628055"/>
                                                      <a:chExt cx="4759441" cy="2385490"/>
                                                    </a:xfrm>
                                                    <a:grpFill/>
                                                  </wpg:grpSpPr>
                                                  <wpg:grpSp>
                                                    <wpg:cNvPr id="228" name="Group 228"/>
                                                    <wpg:cNvGrpSpPr/>
                                                    <wpg:grpSpPr>
                                                      <a:xfrm>
                                                        <a:off x="3424" y="628055"/>
                                                        <a:ext cx="4759441" cy="2385490"/>
                                                        <a:chOff x="3424" y="628055"/>
                                                        <a:chExt cx="4759441" cy="2385490"/>
                                                      </a:xfrm>
                                                      <a:grpFill/>
                                                    </wpg:grpSpPr>
                                                    <wpg:grpSp>
                                                      <wpg:cNvPr id="24" name="Group 24"/>
                                                      <wpg:cNvGrpSpPr/>
                                                      <wpg:grpSpPr>
                                                        <a:xfrm>
                                                          <a:off x="3424" y="628055"/>
                                                          <a:ext cx="4759441" cy="2385490"/>
                                                          <a:chOff x="3424" y="628055"/>
                                                          <a:chExt cx="4759441" cy="2385490"/>
                                                        </a:xfrm>
                                                        <a:grpFill/>
                                                      </wpg:grpSpPr>
                                                      <wpg:grpSp>
                                                        <wpg:cNvPr id="12" name="Group 12"/>
                                                        <wpg:cNvGrpSpPr/>
                                                        <wpg:grpSpPr>
                                                          <a:xfrm>
                                                            <a:off x="3424" y="635942"/>
                                                            <a:ext cx="4759274" cy="2377603"/>
                                                            <a:chOff x="3640" y="707567"/>
                                                            <a:chExt cx="5058482" cy="2377815"/>
                                                          </a:xfrm>
                                                          <a:grpFill/>
                                                        </wpg:grpSpPr>
                                                        <wps:wsp>
                                                          <wps:cNvPr id="2" name="Rectangle 2"/>
                                                          <wps:cNvSpPr/>
                                                          <wps:spPr>
                                                            <a:xfrm>
                                                              <a:off x="3640" y="2218690"/>
                                                              <a:ext cx="1264092" cy="866692"/>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Rectangle 6"/>
                                                          <wps:cNvSpPr/>
                                                          <wps:spPr>
                                                            <a:xfrm>
                                                              <a:off x="1264257" y="1757238"/>
                                                              <a:ext cx="1264423" cy="132731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Rectangle 9"/>
                                                          <wps:cNvSpPr/>
                                                          <wps:spPr>
                                                            <a:xfrm>
                                                              <a:off x="2528514" y="1184744"/>
                                                              <a:ext cx="1264285" cy="1899644"/>
                                                            </a:xfrm>
                                                            <a:prstGeom prst="rect">
                                                              <a:avLst/>
                                                            </a:prstGeom>
                                                            <a:gr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Rectangle 10"/>
                                                          <wps:cNvSpPr/>
                                                          <wps:spPr>
                                                            <a:xfrm>
                                                              <a:off x="3792665" y="707567"/>
                                                              <a:ext cx="1269457" cy="2376363"/>
                                                            </a:xfrm>
                                                            <a:prstGeom prst="rect">
                                                              <a:avLst/>
                                                            </a:prstGeom>
                                                            <a:gr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 name="Straight Connector 19"/>
                                                        <wps:cNvCnPr/>
                                                        <wps:spPr>
                                                          <a:xfrm flipH="1" flipV="1">
                                                            <a:off x="4762832" y="628055"/>
                                                            <a:ext cx="33" cy="2385021"/>
                                                          </a:xfrm>
                                                          <a:prstGeom prst="line">
                                                            <a:avLst/>
                                                          </a:prstGeom>
                                                          <a:grpFill/>
                                                          <a:ln w="19050" cap="flat" cmpd="sng" algn="ctr">
                                                            <a:solidFill>
                                                              <a:sysClr val="windowText" lastClr="000000">
                                                                <a:lumMod val="95000"/>
                                                                <a:lumOff val="5000"/>
                                                              </a:sysClr>
                                                            </a:solidFill>
                                                            <a:prstDash val="solid"/>
                                                          </a:ln>
                                                          <a:effectLst/>
                                                        </wps:spPr>
                                                        <wps:bodyPr/>
                                                      </wps:wsp>
                                                    </wpg:grpSp>
                                                    <wps:wsp>
                                                      <wps:cNvPr id="26" name="Straight Connector 26"/>
                                                      <wps:cNvCnPr/>
                                                      <wps:spPr>
                                                        <a:xfrm>
                                                          <a:off x="3570136" y="628153"/>
                                                          <a:ext cx="1189636" cy="0"/>
                                                        </a:xfrm>
                                                        <a:prstGeom prst="line">
                                                          <a:avLst/>
                                                        </a:prstGeom>
                                                        <a:grpFill/>
                                                        <a:ln w="19050" cap="flat" cmpd="sng" algn="ctr">
                                                          <a:solidFill>
                                                            <a:sysClr val="windowText" lastClr="000000"/>
                                                          </a:solidFill>
                                                          <a:prstDash val="solid"/>
                                                        </a:ln>
                                                        <a:effectLst/>
                                                      </wps:spPr>
                                                      <wps:bodyPr/>
                                                    </wps:wsp>
                                                  </wpg:grpSp>
                                                  <wps:wsp>
                                                    <wps:cNvPr id="30" name="Straight Connector 30"/>
                                                    <wps:cNvCnPr/>
                                                    <wps:spPr>
                                                      <a:xfrm>
                                                        <a:off x="2377440" y="1113183"/>
                                                        <a:ext cx="1189636" cy="0"/>
                                                      </a:xfrm>
                                                      <a:prstGeom prst="line">
                                                        <a:avLst/>
                                                      </a:prstGeom>
                                                      <a:grpFill/>
                                                      <a:ln w="19050" cap="flat" cmpd="sng" algn="ctr">
                                                        <a:solidFill>
                                                          <a:sysClr val="windowText" lastClr="000000"/>
                                                        </a:solidFill>
                                                        <a:prstDash val="solid"/>
                                                      </a:ln>
                                                      <a:effectLst/>
                                                    </wps:spPr>
                                                    <wps:bodyPr/>
                                                  </wps:wsp>
                                                </wpg:grpSp>
                                                <wps:wsp>
                                                  <wps:cNvPr id="31" name="Straight Connector 31"/>
                                                  <wps:cNvCnPr/>
                                                  <wps:spPr>
                                                    <a:xfrm>
                                                      <a:off x="1192696" y="1685677"/>
                                                      <a:ext cx="1189636" cy="0"/>
                                                    </a:xfrm>
                                                    <a:prstGeom prst="line">
                                                      <a:avLst/>
                                                    </a:prstGeom>
                                                    <a:grpFill/>
                                                    <a:ln w="19050" cap="flat" cmpd="sng" algn="ctr">
                                                      <a:solidFill>
                                                        <a:sysClr val="windowText" lastClr="000000"/>
                                                      </a:solidFill>
                                                      <a:prstDash val="solid"/>
                                                    </a:ln>
                                                    <a:effectLst/>
                                                  </wps:spPr>
                                                  <wps:bodyPr/>
                                                </wps:wsp>
                                              </wpg:grpSp>
                                              <wps:wsp>
                                                <wps:cNvPr id="224" name="Straight Connector 224"/>
                                                <wps:cNvCnPr/>
                                                <wps:spPr>
                                                  <a:xfrm>
                                                    <a:off x="0" y="2138901"/>
                                                    <a:ext cx="1189636" cy="0"/>
                                                  </a:xfrm>
                                                  <a:prstGeom prst="line">
                                                    <a:avLst/>
                                                  </a:prstGeom>
                                                  <a:grpFill/>
                                                  <a:ln w="19050" cap="flat" cmpd="sng" algn="ctr">
                                                    <a:solidFill>
                                                      <a:sysClr val="windowText" lastClr="000000"/>
                                                    </a:solidFill>
                                                    <a:prstDash val="solid"/>
                                                  </a:ln>
                                                  <a:effectLst/>
                                                </wps:spPr>
                                                <wps:bodyPr/>
                                              </wps:wsp>
                                            </wpg:grpSp>
                                            <wps:wsp>
                                              <wps:cNvPr id="237" name="Straight Connector 237"/>
                                              <wps:cNvCnPr/>
                                              <wps:spPr>
                                                <a:xfrm flipV="1">
                                                  <a:off x="0" y="2138901"/>
                                                  <a:ext cx="3424" cy="873155"/>
                                                </a:xfrm>
                                                <a:prstGeom prst="line">
                                                  <a:avLst/>
                                                </a:prstGeom>
                                                <a:grpFill/>
                                                <a:ln w="190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246" name="Straight Connector 246"/>
                                            <wps:cNvCnPr/>
                                            <wps:spPr>
                                              <a:xfrm flipH="1" flipV="1">
                                                <a:off x="3570136" y="628153"/>
                                                <a:ext cx="3059" cy="484954"/>
                                              </a:xfrm>
                                              <a:prstGeom prst="line">
                                                <a:avLst/>
                                              </a:prstGeom>
                                              <a:grpFill/>
                                              <a:ln w="190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248" name="Straight Connector 248"/>
                                          <wps:cNvCnPr/>
                                          <wps:spPr>
                                            <a:xfrm flipV="1">
                                              <a:off x="1192696" y="1685677"/>
                                              <a:ext cx="0" cy="453028"/>
                                            </a:xfrm>
                                            <a:prstGeom prst="line">
                                              <a:avLst/>
                                            </a:prstGeom>
                                            <a:grpFill/>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250" name="Straight Connector 250"/>
                                        <wps:cNvCnPr/>
                                        <wps:spPr>
                                          <a:xfrm flipV="1">
                                            <a:off x="2385392" y="1113183"/>
                                            <a:ext cx="0" cy="572530"/>
                                          </a:xfrm>
                                          <a:prstGeom prst="line">
                                            <a:avLst/>
                                          </a:prstGeom>
                                          <a:grpFill/>
                                          <a:ln w="19050">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252" name="Text Box 252"/>
                                      <wps:cNvSpPr txBox="1"/>
                                      <wps:spPr>
                                        <a:xfrm>
                                          <a:off x="23854" y="1558456"/>
                                          <a:ext cx="1165589" cy="779228"/>
                                        </a:xfrm>
                                        <a:prstGeom prst="rect">
                                          <a:avLst/>
                                        </a:prstGeom>
                                        <a:solidFill>
                                          <a:schemeClr val="tx2">
                                            <a:lumMod val="60000"/>
                                            <a:lumOff val="40000"/>
                                          </a:schemeClr>
                                        </a:solidFill>
                                        <a:ln w="6350">
                                          <a:noFill/>
                                        </a:ln>
                                      </wps:spPr>
                                      <wps:txbx>
                                        <w:txbxContent>
                                          <w:p w14:paraId="776B99F9" w14:textId="0A79BC3F" w:rsidR="00062207" w:rsidRPr="00684691" w:rsidRDefault="00062207" w:rsidP="00684691">
                                            <w:pPr>
                                              <w:jc w:val="center"/>
                                              <w:rPr>
                                                <w:rFonts w:ascii="Times New Roman" w:hAnsi="Times New Roman" w:cs="Times New Roman"/>
                                                <w:b/>
                                              </w:rPr>
                                            </w:pPr>
                                            <w:r w:rsidRPr="00684691">
                                              <w:rPr>
                                                <w:rFonts w:ascii="Times New Roman" w:hAnsi="Times New Roman" w:cs="Times New Roman"/>
                                                <w:b/>
                                              </w:rPr>
                                              <w:t>Asignado 2020</w:t>
                                            </w:r>
                                          </w:p>
                                          <w:p w14:paraId="7B3765CB" w14:textId="575572E6" w:rsidR="00062207" w:rsidRPr="00DF3EEF" w:rsidRDefault="00062207" w:rsidP="00684691">
                                            <w:pPr>
                                              <w:jc w:val="center"/>
                                              <w:rPr>
                                                <w:rFonts w:ascii="Times New Roman" w:hAnsi="Times New Roman" w:cs="Times New Roman"/>
                                                <w:sz w:val="20"/>
                                              </w:rPr>
                                            </w:pPr>
                                            <w:r w:rsidRPr="00DF3EEF">
                                              <w:rPr>
                                                <w:rFonts w:ascii="Times New Roman" w:hAnsi="Times New Roman" w:cs="Times New Roman"/>
                                                <w:sz w:val="20"/>
                                              </w:rPr>
                                              <w:t>Presupuesto en vigencia 2019</w:t>
                                            </w:r>
                                          </w:p>
                                          <w:p w14:paraId="0425CE6E" w14:textId="4296EDA4" w:rsidR="00062207" w:rsidRPr="00DF3EEF" w:rsidRDefault="00062207" w:rsidP="00684691">
                                            <w:pPr>
                                              <w:jc w:val="center"/>
                                              <w:rPr>
                                                <w:rFonts w:ascii="Times New Roman" w:hAnsi="Times New Roman" w:cs="Times New Roman"/>
                                                <w:sz w:val="20"/>
                                              </w:rPr>
                                            </w:pPr>
                                            <w:r w:rsidRPr="00DF3EEF">
                                              <w:rPr>
                                                <w:rFonts w:ascii="Times New Roman" w:hAnsi="Times New Roman" w:cs="Times New Roman"/>
                                                <w:sz w:val="20"/>
                                              </w:rPr>
                                              <w:t>Decreto 25-2018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3" name="Text Box 253"/>
                                      <wps:cNvSpPr txBox="1"/>
                                      <wps:spPr>
                                        <a:xfrm>
                                          <a:off x="1200647" y="1073426"/>
                                          <a:ext cx="1351721" cy="1280138"/>
                                        </a:xfrm>
                                        <a:prstGeom prst="rect">
                                          <a:avLst/>
                                        </a:prstGeom>
                                        <a:solidFill>
                                          <a:schemeClr val="tx2">
                                            <a:lumMod val="60000"/>
                                            <a:lumOff val="40000"/>
                                          </a:schemeClr>
                                        </a:solidFill>
                                        <a:ln w="6350">
                                          <a:noFill/>
                                        </a:ln>
                                      </wps:spPr>
                                      <wps:txbx>
                                        <w:txbxContent>
                                          <w:p w14:paraId="10DDD62C" w14:textId="5A5F39AB" w:rsidR="00062207" w:rsidRDefault="00062207" w:rsidP="00DF3EEF">
                                            <w:pPr>
                                              <w:jc w:val="center"/>
                                              <w:rPr>
                                                <w:rFonts w:ascii="Times New Roman" w:hAnsi="Times New Roman" w:cs="Times New Roman"/>
                                                <w:b/>
                                              </w:rPr>
                                            </w:pPr>
                                            <w:r w:rsidRPr="00684691">
                                              <w:rPr>
                                                <w:rFonts w:ascii="Times New Roman" w:hAnsi="Times New Roman" w:cs="Times New Roman"/>
                                                <w:b/>
                                                <w:sz w:val="28"/>
                                              </w:rPr>
                                              <w:t>+</w:t>
                                            </w:r>
                                            <w:r>
                                              <w:rPr>
                                                <w:rFonts w:ascii="Times New Roman" w:hAnsi="Times New Roman" w:cs="Times New Roman"/>
                                                <w:b/>
                                              </w:rPr>
                                              <w:t>Decreto 12-2020</w:t>
                                            </w:r>
                                          </w:p>
                                          <w:p w14:paraId="40F91115" w14:textId="59B9D28D" w:rsidR="00062207" w:rsidRDefault="00062207" w:rsidP="00DF3EEF">
                                            <w:pPr>
                                              <w:jc w:val="center"/>
                                              <w:rPr>
                                                <w:rFonts w:ascii="Times New Roman" w:eastAsia="+mn-ea" w:hAnsi="Times New Roman" w:cs="Times New Roman"/>
                                                <w:bCs/>
                                                <w:kern w:val="24"/>
                                                <w:sz w:val="20"/>
                                                <w:szCs w:val="22"/>
                                                <w:lang w:val="es-GT" w:eastAsia="es-GT"/>
                                              </w:rPr>
                                            </w:pPr>
                                            <w:r w:rsidRPr="00DF3EEF">
                                              <w:rPr>
                                                <w:rFonts w:ascii="Times New Roman" w:eastAsia="+mn-ea" w:hAnsi="Times New Roman" w:cs="Times New Roman"/>
                                                <w:bCs/>
                                                <w:kern w:val="24"/>
                                                <w:sz w:val="20"/>
                                                <w:szCs w:val="22"/>
                                                <w:lang w:val="es-GT" w:eastAsia="es-GT"/>
                                              </w:rPr>
                                              <w:t>Ampliación por Q3,667 millones</w:t>
                                            </w:r>
                                          </w:p>
                                          <w:p w14:paraId="2E1118FD" w14:textId="4601E74F" w:rsidR="00062207" w:rsidRPr="00DF3EEF" w:rsidRDefault="00062207" w:rsidP="00DF3EEF">
                                            <w:pPr>
                                              <w:contextualSpacing/>
                                              <w:jc w:val="center"/>
                                              <w:rPr>
                                                <w:rFonts w:ascii="Times New Roman" w:eastAsia="Times New Roman" w:hAnsi="Times New Roman" w:cs="Times New Roman"/>
                                                <w:sz w:val="20"/>
                                                <w:szCs w:val="22"/>
                                                <w:lang w:val="es-GT" w:eastAsia="es-GT"/>
                                              </w:rPr>
                                            </w:pPr>
                                            <w:r w:rsidRPr="00DF3EEF">
                                              <w:rPr>
                                                <w:rFonts w:ascii="Times New Roman" w:eastAsia="+mn-ea" w:hAnsi="Times New Roman" w:cs="Times New Roman"/>
                                                <w:bCs/>
                                                <w:kern w:val="24"/>
                                                <w:sz w:val="20"/>
                                                <w:szCs w:val="22"/>
                                                <w:lang w:val="es-GT" w:eastAsia="es-GT"/>
                                              </w:rPr>
                                              <w:t>Q2,250 millones para COVID-19</w:t>
                                            </w:r>
                                          </w:p>
                                          <w:p w14:paraId="60F86AE3" w14:textId="46812C71" w:rsidR="00062207" w:rsidRPr="00DF3EEF" w:rsidRDefault="00062207" w:rsidP="00DF3EEF">
                                            <w:pPr>
                                              <w:contextualSpacing/>
                                              <w:jc w:val="center"/>
                                              <w:rPr>
                                                <w:rFonts w:ascii="Times New Roman" w:eastAsia="Times New Roman" w:hAnsi="Times New Roman" w:cs="Times New Roman"/>
                                                <w:sz w:val="20"/>
                                                <w:szCs w:val="22"/>
                                                <w:lang w:val="es-GT" w:eastAsia="es-GT"/>
                                              </w:rPr>
                                            </w:pPr>
                                            <w:r w:rsidRPr="00DF3EEF">
                                              <w:rPr>
                                                <w:rFonts w:ascii="Times New Roman" w:eastAsia="+mn-ea" w:hAnsi="Times New Roman" w:cs="Times New Roman"/>
                                                <w:bCs/>
                                                <w:kern w:val="24"/>
                                                <w:sz w:val="20"/>
                                                <w:szCs w:val="22"/>
                                                <w:lang w:val="es-GT" w:eastAsia="es-GT"/>
                                              </w:rPr>
                                              <w:t>Q1,417 millones para otros gastos</w:t>
                                            </w:r>
                                          </w:p>
                                          <w:p w14:paraId="1234491D" w14:textId="77777777" w:rsidR="00062207" w:rsidRDefault="00062207" w:rsidP="00684691">
                                            <w:pPr>
                                              <w:rPr>
                                                <w:rFonts w:ascii="Times New Roman" w:hAnsi="Times New Roman" w:cs="Times New Roman"/>
                                                <w:b/>
                                              </w:rPr>
                                            </w:pPr>
                                          </w:p>
                                          <w:p w14:paraId="381B3B57" w14:textId="77777777" w:rsidR="00062207" w:rsidRPr="00684691" w:rsidRDefault="00062207" w:rsidP="00684691">
                                            <w:pPr>
                                              <w:jc w:val="center"/>
                                              <w:rPr>
                                                <w:rFonts w:ascii="Times New Roman" w:hAnsi="Times New Roman" w:cs="Times New Roman"/>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4" name="Text Box 254"/>
                                      <wps:cNvSpPr txBox="1"/>
                                      <wps:spPr>
                                        <a:xfrm>
                                          <a:off x="2456393" y="541773"/>
                                          <a:ext cx="1272294" cy="1804312"/>
                                        </a:xfrm>
                                        <a:prstGeom prst="rect">
                                          <a:avLst/>
                                        </a:prstGeom>
                                        <a:solidFill>
                                          <a:schemeClr val="tx2">
                                            <a:lumMod val="60000"/>
                                            <a:lumOff val="40000"/>
                                          </a:schemeClr>
                                        </a:solidFill>
                                        <a:ln w="6350">
                                          <a:noFill/>
                                        </a:ln>
                                      </wps:spPr>
                                      <wps:txbx>
                                        <w:txbxContent>
                                          <w:p w14:paraId="095AAB5C" w14:textId="10419AF2" w:rsidR="00062207" w:rsidRDefault="00062207" w:rsidP="00DF3EEF">
                                            <w:pPr>
                                              <w:jc w:val="center"/>
                                              <w:rPr>
                                                <w:rFonts w:ascii="Times New Roman" w:hAnsi="Times New Roman" w:cs="Times New Roman"/>
                                                <w:b/>
                                              </w:rPr>
                                            </w:pPr>
                                            <w:r w:rsidRPr="00684691">
                                              <w:rPr>
                                                <w:rFonts w:ascii="Times New Roman" w:hAnsi="Times New Roman" w:cs="Times New Roman"/>
                                                <w:b/>
                                                <w:sz w:val="28"/>
                                              </w:rPr>
                                              <w:t>+</w:t>
                                            </w:r>
                                            <w:r>
                                              <w:rPr>
                                                <w:rFonts w:ascii="Times New Roman" w:hAnsi="Times New Roman" w:cs="Times New Roman"/>
                                                <w:b/>
                                              </w:rPr>
                                              <w:t>Decreto 13-2020</w:t>
                                            </w:r>
                                          </w:p>
                                          <w:p w14:paraId="69678F4E" w14:textId="77777777" w:rsidR="00062207" w:rsidRDefault="00062207" w:rsidP="00DF3EEF">
                                            <w:pPr>
                                              <w:jc w:val="center"/>
                                              <w:rPr>
                                                <w:rFonts w:ascii="Times New Roman" w:eastAsia="+mn-ea" w:hAnsi="Times New Roman" w:cs="Times New Roman"/>
                                                <w:bCs/>
                                                <w:kern w:val="24"/>
                                                <w:sz w:val="20"/>
                                                <w:szCs w:val="22"/>
                                                <w:lang w:val="es-GT" w:eastAsia="es-GT"/>
                                              </w:rPr>
                                            </w:pPr>
                                          </w:p>
                                          <w:p w14:paraId="7526980E" w14:textId="3D0E51DE" w:rsidR="00062207" w:rsidRPr="00DF3EEF" w:rsidRDefault="00062207" w:rsidP="00DF3EEF">
                                            <w:pPr>
                                              <w:jc w:val="center"/>
                                              <w:rPr>
                                                <w:rFonts w:ascii="Times New Roman" w:eastAsia="Times New Roman" w:hAnsi="Times New Roman" w:cs="Times New Roman"/>
                                                <w:sz w:val="20"/>
                                                <w:szCs w:val="22"/>
                                                <w:lang w:val="es-GT" w:eastAsia="es-GT"/>
                                              </w:rPr>
                                            </w:pPr>
                                            <w:r w:rsidRPr="00DF3EEF">
                                              <w:rPr>
                                                <w:rFonts w:ascii="Times New Roman" w:eastAsia="+mn-ea" w:hAnsi="Times New Roman" w:cs="Times New Roman"/>
                                                <w:bCs/>
                                                <w:kern w:val="24"/>
                                                <w:sz w:val="20"/>
                                                <w:szCs w:val="22"/>
                                                <w:lang w:val="es-GT" w:eastAsia="es-GT"/>
                                              </w:rPr>
                                              <w:t>Ampliación por Q11,000 millones</w:t>
                                            </w:r>
                                          </w:p>
                                          <w:p w14:paraId="64A44D2A" w14:textId="77777777" w:rsidR="00062207" w:rsidRPr="00DF3EEF" w:rsidRDefault="00062207" w:rsidP="00DF3EEF">
                                            <w:pPr>
                                              <w:contextualSpacing/>
                                              <w:jc w:val="center"/>
                                              <w:rPr>
                                                <w:rFonts w:ascii="Times New Roman" w:eastAsia="Times New Roman" w:hAnsi="Times New Roman" w:cs="Times New Roman"/>
                                                <w:sz w:val="20"/>
                                                <w:szCs w:val="22"/>
                                                <w:lang w:val="es-GT" w:eastAsia="es-GT"/>
                                              </w:rPr>
                                            </w:pPr>
                                            <w:r w:rsidRPr="00DF3EEF">
                                              <w:rPr>
                                                <w:rFonts w:ascii="Times New Roman" w:eastAsia="+mn-ea" w:hAnsi="Times New Roman" w:cs="Times New Roman"/>
                                                <w:bCs/>
                                                <w:kern w:val="24"/>
                                                <w:sz w:val="20"/>
                                                <w:szCs w:val="22"/>
                                                <w:lang w:val="es-GT" w:eastAsia="es-GT"/>
                                              </w:rPr>
                                              <w:t>La totalidad para atender Emergencia COVID-19</w:t>
                                            </w:r>
                                          </w:p>
                                          <w:p w14:paraId="1219DB15" w14:textId="77777777" w:rsidR="00062207" w:rsidRPr="00DF3EEF" w:rsidRDefault="00062207" w:rsidP="00DF3EEF">
                                            <w:pPr>
                                              <w:jc w:val="center"/>
                                              <w:rPr>
                                                <w:rFonts w:ascii="Times New Roman" w:hAnsi="Times New Roman" w:cs="Times New Roman"/>
                                                <w:b/>
                                                <w:sz w:val="22"/>
                                                <w:lang w:val="es-GT"/>
                                              </w:rPr>
                                            </w:pPr>
                                          </w:p>
                                          <w:p w14:paraId="54EF3734" w14:textId="77777777" w:rsidR="00062207" w:rsidRPr="00684691" w:rsidRDefault="00062207" w:rsidP="00DF3EEF">
                                            <w:pPr>
                                              <w:jc w:val="center"/>
                                              <w:rPr>
                                                <w:rFonts w:ascii="Times New Roman" w:hAnsi="Times New Roman" w:cs="Times New Roman"/>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 name="Text Box 32"/>
                                      <wps:cNvSpPr txBox="1"/>
                                      <wps:spPr>
                                        <a:xfrm>
                                          <a:off x="3593990" y="47708"/>
                                          <a:ext cx="1080880" cy="2289065"/>
                                        </a:xfrm>
                                        <a:prstGeom prst="rect">
                                          <a:avLst/>
                                        </a:prstGeom>
                                        <a:solidFill>
                                          <a:schemeClr val="tx2">
                                            <a:lumMod val="60000"/>
                                            <a:lumOff val="40000"/>
                                          </a:schemeClr>
                                        </a:solidFill>
                                        <a:ln w="6350">
                                          <a:noFill/>
                                        </a:ln>
                                      </wps:spPr>
                                      <wps:txbx>
                                        <w:txbxContent>
                                          <w:p w14:paraId="07DF49B4" w14:textId="068B8620" w:rsidR="00062207" w:rsidRDefault="00062207" w:rsidP="00DF3EEF">
                                            <w:pPr>
                                              <w:jc w:val="center"/>
                                              <w:rPr>
                                                <w:rFonts w:ascii="Times New Roman" w:hAnsi="Times New Roman" w:cs="Times New Roman"/>
                                                <w:b/>
                                              </w:rPr>
                                            </w:pPr>
                                            <w:r w:rsidRPr="00684691">
                                              <w:rPr>
                                                <w:rFonts w:ascii="Times New Roman" w:hAnsi="Times New Roman" w:cs="Times New Roman"/>
                                                <w:b/>
                                                <w:sz w:val="28"/>
                                              </w:rPr>
                                              <w:t>+</w:t>
                                            </w:r>
                                            <w:r>
                                              <w:rPr>
                                                <w:rFonts w:ascii="Times New Roman" w:hAnsi="Times New Roman" w:cs="Times New Roman"/>
                                                <w:b/>
                                              </w:rPr>
                                              <w:t>Decreto 20-2020</w:t>
                                            </w:r>
                                          </w:p>
                                          <w:p w14:paraId="1C1B359E" w14:textId="77777777" w:rsidR="00062207" w:rsidRDefault="00062207" w:rsidP="00DF3EEF">
                                            <w:pPr>
                                              <w:jc w:val="center"/>
                                              <w:rPr>
                                                <w:rFonts w:ascii="Times New Roman" w:eastAsia="+mn-ea" w:hAnsi="Times New Roman" w:cs="Times New Roman"/>
                                                <w:bCs/>
                                                <w:kern w:val="24"/>
                                                <w:sz w:val="20"/>
                                                <w:szCs w:val="22"/>
                                                <w:lang w:val="es-GT" w:eastAsia="es-GT"/>
                                              </w:rPr>
                                            </w:pPr>
                                          </w:p>
                                          <w:p w14:paraId="5385E0F4" w14:textId="3EDFA73B" w:rsidR="00062207" w:rsidRPr="005A49AA" w:rsidRDefault="00062207" w:rsidP="005A49AA">
                                            <w:pPr>
                                              <w:jc w:val="center"/>
                                              <w:rPr>
                                                <w:rFonts w:ascii="Times New Roman" w:eastAsia="+mn-ea" w:hAnsi="Times New Roman" w:cs="Times New Roman"/>
                                                <w:bCs/>
                                                <w:kern w:val="24"/>
                                                <w:sz w:val="20"/>
                                                <w:szCs w:val="22"/>
                                                <w:lang w:val="es-GT" w:eastAsia="es-GT"/>
                                              </w:rPr>
                                            </w:pPr>
                                            <w:r>
                                              <w:rPr>
                                                <w:rFonts w:ascii="Times New Roman" w:eastAsia="+mn-ea" w:hAnsi="Times New Roman" w:cs="Times New Roman"/>
                                                <w:bCs/>
                                                <w:kern w:val="24"/>
                                                <w:sz w:val="20"/>
                                                <w:szCs w:val="22"/>
                                                <w:lang w:val="es-GT" w:eastAsia="es-GT"/>
                                              </w:rPr>
                                              <w:t>Ampliación por Q5,138.9 millones</w:t>
                                            </w:r>
                                            <w:r w:rsidRPr="005A49AA">
                                              <w:rPr>
                                                <w:rFonts w:ascii="Times New Roman" w:eastAsia="+mn-ea" w:hAnsi="Times New Roman" w:cs="Times New Roman"/>
                                                <w:bCs/>
                                                <w:kern w:val="24"/>
                                                <w:sz w:val="20"/>
                                                <w:szCs w:val="22"/>
                                                <w:lang w:val="es-GT" w:eastAsia="es-GT"/>
                                              </w:rPr>
                                              <w:t>.</w:t>
                                            </w:r>
                                          </w:p>
                                          <w:p w14:paraId="5213D292" w14:textId="0987F7C1" w:rsidR="00062207" w:rsidRPr="005A49AA" w:rsidRDefault="00062207" w:rsidP="005A49AA">
                                            <w:pPr>
                                              <w:jc w:val="center"/>
                                              <w:rPr>
                                                <w:rFonts w:ascii="Times New Roman" w:eastAsia="+mn-ea" w:hAnsi="Times New Roman" w:cs="Times New Roman"/>
                                                <w:bCs/>
                                                <w:kern w:val="24"/>
                                                <w:sz w:val="20"/>
                                                <w:szCs w:val="22"/>
                                                <w:lang w:val="es-GT" w:eastAsia="es-GT"/>
                                              </w:rPr>
                                            </w:pPr>
                                            <w:r>
                                              <w:rPr>
                                                <w:rFonts w:ascii="Times New Roman" w:eastAsia="+mn-ea" w:hAnsi="Times New Roman" w:cs="Times New Roman"/>
                                                <w:bCs/>
                                                <w:kern w:val="24"/>
                                                <w:sz w:val="20"/>
                                                <w:szCs w:val="22"/>
                                                <w:lang w:val="es-GT" w:eastAsia="es-GT"/>
                                              </w:rPr>
                                              <w:t>Q1,360 millones</w:t>
                                            </w:r>
                                            <w:r w:rsidRPr="005A49AA">
                                              <w:rPr>
                                                <w:rFonts w:ascii="Times New Roman" w:eastAsia="+mn-ea" w:hAnsi="Times New Roman" w:cs="Times New Roman"/>
                                                <w:bCs/>
                                                <w:kern w:val="24"/>
                                                <w:sz w:val="20"/>
                                                <w:szCs w:val="22"/>
                                                <w:lang w:val="es-GT" w:eastAsia="es-GT"/>
                                              </w:rPr>
                                              <w:t xml:space="preserve"> para COVID-19</w:t>
                                            </w:r>
                                          </w:p>
                                          <w:p w14:paraId="488C4F13" w14:textId="77AFBD97" w:rsidR="00062207" w:rsidRPr="00DF3EEF" w:rsidRDefault="00062207" w:rsidP="005A49AA">
                                            <w:pPr>
                                              <w:jc w:val="center"/>
                                              <w:rPr>
                                                <w:rFonts w:ascii="Times New Roman" w:hAnsi="Times New Roman" w:cs="Times New Roman"/>
                                                <w:b/>
                                                <w:sz w:val="22"/>
                                                <w:lang w:val="es-GT"/>
                                              </w:rPr>
                                            </w:pPr>
                                            <w:r>
                                              <w:rPr>
                                                <w:rFonts w:ascii="Times New Roman" w:eastAsia="+mn-ea" w:hAnsi="Times New Roman" w:cs="Times New Roman"/>
                                                <w:bCs/>
                                                <w:kern w:val="24"/>
                                                <w:sz w:val="20"/>
                                                <w:szCs w:val="22"/>
                                                <w:lang w:val="es-GT" w:eastAsia="es-GT"/>
                                              </w:rPr>
                                              <w:t>Q3,778.9 millones</w:t>
                                            </w:r>
                                            <w:r w:rsidRPr="005A49AA">
                                              <w:rPr>
                                                <w:rFonts w:ascii="Times New Roman" w:eastAsia="+mn-ea" w:hAnsi="Times New Roman" w:cs="Times New Roman"/>
                                                <w:bCs/>
                                                <w:kern w:val="24"/>
                                                <w:sz w:val="20"/>
                                                <w:szCs w:val="22"/>
                                                <w:lang w:val="es-GT" w:eastAsia="es-GT"/>
                                              </w:rPr>
                                              <w:t xml:space="preserve"> para otros gastos</w:t>
                                            </w:r>
                                          </w:p>
                                          <w:p w14:paraId="49C26764" w14:textId="77777777" w:rsidR="00062207" w:rsidRPr="00684691" w:rsidRDefault="00062207" w:rsidP="00DF3EEF">
                                            <w:pPr>
                                              <w:jc w:val="center"/>
                                              <w:rPr>
                                                <w:rFonts w:ascii="Times New Roman" w:hAnsi="Times New Roman" w:cs="Times New Roman"/>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5" name="Straight Connector 35"/>
                                    <wps:cNvCnPr/>
                                    <wps:spPr>
                                      <a:xfrm>
                                        <a:off x="-7951" y="2382939"/>
                                        <a:ext cx="4770088" cy="1818"/>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g:grpSp>
                        </wpg:grpSp>
                        <wps:wsp>
                          <wps:cNvPr id="41" name="Right Arrow 41"/>
                          <wps:cNvSpPr/>
                          <wps:spPr>
                            <a:xfrm rot="16200000">
                              <a:off x="849282" y="1159782"/>
                              <a:ext cx="353695" cy="252730"/>
                            </a:xfrm>
                            <a:prstGeom prst="rightArrow">
                              <a:avLst/>
                            </a:prstGeom>
                            <a:solidFill>
                              <a:schemeClr val="accent1">
                                <a:lumMod val="50000"/>
                              </a:schemeClr>
                            </a:solidFill>
                            <a:ln w="12700">
                              <a:solidFill>
                                <a:schemeClr val="tx1"/>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Right Arrow 43"/>
                          <wps:cNvSpPr/>
                          <wps:spPr>
                            <a:xfrm rot="16200000">
                              <a:off x="2010636" y="636105"/>
                              <a:ext cx="353695" cy="252730"/>
                            </a:xfrm>
                            <a:prstGeom prst="rightArrow">
                              <a:avLst/>
                            </a:prstGeom>
                            <a:solidFill>
                              <a:srgbClr val="4F81BD">
                                <a:lumMod val="50000"/>
                              </a:srgbClr>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 name="Right Arrow 7"/>
                        <wps:cNvSpPr/>
                        <wps:spPr>
                          <a:xfrm rot="16200000">
                            <a:off x="3218688" y="51206"/>
                            <a:ext cx="353690" cy="252671"/>
                          </a:xfrm>
                          <a:prstGeom prst="rightArrow">
                            <a:avLst/>
                          </a:prstGeom>
                          <a:solidFill>
                            <a:srgbClr val="4F81BD">
                              <a:lumMod val="50000"/>
                            </a:srgbClr>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3044DA5" id="Group 20" o:spid="_x0000_s1026" style="position:absolute;left:0;text-align:left;margin-left:57pt;margin-top:10.9pt;width:375.65pt;height:211.6pt;z-index:251796480" coordsize="47708,26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">
                <v:group id="Group 45" o:spid="_x0000_s1027" style="position:absolute;width:47708;height:26873" coordorigin="-79,-80" coordsize="47708,26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group id="Group 40" o:spid="_x0000_s1028" style="position:absolute;left:-79;top:-80;width:47707;height:26872" coordorigin="-79,-80" coordsize="47708,26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type id="_x0000_t202" coordsize="21600,21600" o:spt="202" path="m,l,21600r21600,l21600,xe">
                      <v:stroke joinstyle="miter"/>
                      <v:path gradientshapeok="t" o:connecttype="rect"/>
                    </v:shapetype>
                    <v:shape id="Text Box 33" o:spid="_x0000_s1029" type="#_x0000_t202" style="position:absolute;left:37291;top:-80;width:9669;height:2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" fillcolor="window" stroked="f" strokeweight=".5pt">
                      <v:textbox>
                        <w:txbxContent>
                          <w:p w14:paraId="14DAFB09" w14:textId="621C5A35" w:rsidR="00062207" w:rsidRPr="005A49AA" w:rsidRDefault="00062207" w:rsidP="00DF3EEF">
                            <w:pPr>
                              <w:jc w:val="center"/>
                              <w:rPr>
                                <w:rFonts w:ascii="Times New Roman" w:hAnsi="Times New Roman" w:cs="Times New Roman"/>
                                <w:b/>
                              </w:rPr>
                            </w:pPr>
                            <w:r w:rsidRPr="005A49AA">
                              <w:rPr>
                                <w:rFonts w:ascii="Times New Roman" w:hAnsi="Times New Roman" w:cs="Times New Roman"/>
                                <w:b/>
                              </w:rPr>
                              <w:t>Q107,521.0</w:t>
                            </w:r>
                          </w:p>
                        </w:txbxContent>
                      </v:textbox>
                    </v:shape>
                    <v:group id="Group 39" o:spid="_x0000_s1030" style="position:absolute;left:-79;top:2941;width:47707;height:23851" coordorigin="-79" coordsize="47708,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shape id="Text Box 255" o:spid="_x0000_s1031" type="#_x0000_t202" style="position:absolute;left:25559;top:1880;width:10172;height:3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" fillcolor="window" stroked="f" strokeweight=".5pt">
                        <v:textbox>
                          <w:txbxContent>
                            <w:p w14:paraId="5332727E" w14:textId="3C05160C" w:rsidR="00062207" w:rsidRPr="005A49AA" w:rsidRDefault="00062207" w:rsidP="00DF3EEF">
                              <w:pPr>
                                <w:jc w:val="center"/>
                                <w:rPr>
                                  <w:rFonts w:ascii="Times New Roman" w:hAnsi="Times New Roman" w:cs="Times New Roman"/>
                                  <w:b/>
                                </w:rPr>
                              </w:pPr>
                              <w:r w:rsidRPr="005A49AA">
                                <w:rPr>
                                  <w:rFonts w:ascii="Times New Roman" w:hAnsi="Times New Roman" w:cs="Times New Roman"/>
                                  <w:b/>
                                </w:rPr>
                                <w:t>Q102,382.1</w:t>
                              </w:r>
                            </w:p>
                          </w:txbxContent>
                        </v:textbox>
                      </v:shape>
                      <v:group id="Group 38" o:spid="_x0000_s1032" style="position:absolute;left:-79;width:47707;height:23850" coordorigin="-79" coordsize="47708,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shape id="Text Box 15" o:spid="_x0000_s1033" type="#_x0000_t202" style="position:absolute;left:12960;top:7394;width:10178;height:2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" fillcolor="window" stroked="f" strokeweight=".5pt">
                          <v:textbox>
                            <w:txbxContent>
                              <w:p w14:paraId="210106FF" w14:textId="1A916D62" w:rsidR="00062207" w:rsidRPr="005A49AA" w:rsidRDefault="00062207" w:rsidP="00584C35">
                                <w:pPr>
                                  <w:jc w:val="center"/>
                                  <w:rPr>
                                    <w:rFonts w:ascii="Times New Roman" w:hAnsi="Times New Roman" w:cs="Times New Roman"/>
                                    <w:b/>
                                  </w:rPr>
                                </w:pPr>
                                <w:r w:rsidRPr="005A49AA">
                                  <w:rPr>
                                    <w:rFonts w:ascii="Times New Roman" w:hAnsi="Times New Roman" w:cs="Times New Roman"/>
                                    <w:b/>
                                  </w:rPr>
                                  <w:t>Q91,382.1</w:t>
                                </w:r>
                              </w:p>
                            </w:txbxContent>
                          </v:textbox>
                        </v:shape>
                        <v:group id="Group 37" o:spid="_x0000_s1034" style="position:absolute;left:-79;width:47707;height:23850" coordorigin="-79" coordsize="47708,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shape id="Text Box 13" o:spid="_x0000_s1035" type="#_x0000_t202" style="position:absolute;left:874;top:11688;width:10173;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" fillcolor="white [3201]" stroked="f" strokeweight=".5pt">
                            <v:textbox>
                              <w:txbxContent>
                                <w:p w14:paraId="53F7057C" w14:textId="6100A233" w:rsidR="00062207" w:rsidRPr="00684691" w:rsidRDefault="00062207" w:rsidP="009758DB">
                                  <w:pPr>
                                    <w:jc w:val="center"/>
                                    <w:rPr>
                                      <w:rFonts w:ascii="Times New Roman" w:hAnsi="Times New Roman" w:cs="Times New Roman"/>
                                      <w:b/>
                                    </w:rPr>
                                  </w:pPr>
                                  <w:r w:rsidRPr="00684691">
                                    <w:rPr>
                                      <w:rFonts w:ascii="Times New Roman" w:hAnsi="Times New Roman" w:cs="Times New Roman"/>
                                      <w:b/>
                                    </w:rPr>
                                    <w:t>Q87,715.1</w:t>
                                  </w:r>
                                </w:p>
                              </w:txbxContent>
                            </v:textbox>
                          </v:shape>
                          <v:group id="Group 36" o:spid="_x0000_s1036" style="position:absolute;left:-79;width:47707;height:23850" coordorigin="-79" coordsize="47708,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group id="Group 34" o:spid="_x0000_s1037" style="position:absolute;width:47628;height:23850" coordsize="47628,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group id="Group 251" o:spid="_x0000_s1038" style="position:absolute;width:47628;height:23850" coordorigin=",6280" coordsize="47628,23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">
                                <v:group id="Group 249" o:spid="_x0000_s1039" style="position:absolute;top:6280;width:47628;height:23855" coordorigin=",6280" coordsize="47628,23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et9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">
                                  <v:group id="Group 247" o:spid="_x0000_s1040" style="position:absolute;top:6280;width:47628;height:23855" coordorigin=",6280" coordsize="47628,23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">
                                    <v:group id="Group 238" o:spid="_x0000_s1041" style="position:absolute;top:6280;width:47628;height:23855" coordorigin=",6280" coordsize="47628,23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">
                                      <v:group id="Group 231" o:spid="_x0000_s1042" style="position:absolute;top:6280;width:47628;height:23855" coordorigin=",6280" coordsize="47628,23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ZQ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ZBrD+0w4AnL5CwAA//8DAFBLAQItABQABgAIAAAAIQDb4fbL7gAAAIUBAAATAAAAAAAAAAAA&#10;AAAAAAAAAABbQ29udGVudF9UeXBlc10ueG1sUEsBAi0AFAAGAAgAAAAhAFr0LFu/AAAAFQEAAAsA&#10;AAAAAAAAAAAAAAAAHwEAAF9yZWxzLy5yZWxzUEsBAi0AFAAGAAgAAAAhADHBlAbEAAAA3AAAAA8A&#10;AAAAAAAAAAAAAAAABwIAAGRycy9kb3ducmV2LnhtbFBLBQYAAAAAAwADALcAAAD4AgAAAAA=&#10;">
                                        <v:group id="Group 230" o:spid="_x0000_s1043" style="position:absolute;left:34;top:6280;width:47594;height:23855" coordorigin="34,6280" coordsize="47594,23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">
                                          <v:group id="Group 229" o:spid="_x0000_s1044" style="position:absolute;left:34;top:6280;width:47594;height:23855" coordorigin="34,6280" coordsize="47594,23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">
                                            <v:group id="Group 228" o:spid="_x0000_s1045" style="position:absolute;left:34;top:6280;width:47594;height:23855" coordorigin="34,6280" coordsize="47594,23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">
                                              <v:group id="Group 24" o:spid="_x0000_s1046" style="position:absolute;left:34;top:6280;width:47594;height:23855" coordorigin="34,6280" coordsize="47594,23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 12" o:spid="_x0000_s1047" style="position:absolute;left:34;top:6359;width:47592;height:23776" coordorigin="36,7075" coordsize="50584,23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rect id="Rectangle 2" o:spid="_x0000_s1048" style="position:absolute;left:36;top:22186;width:12641;height:8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" filled="f" stroked="f" strokeweight="2pt"/>
                                                  <v:rect id="Rectangle 6" o:spid="_x0000_s1049" style="position:absolute;left:12642;top:17572;width:12644;height:13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" filled="f" stroked="f" strokeweight="2pt"/>
                                                  <v:rect id="Rectangle 9" o:spid="_x0000_s1050" style="position:absolute;left:25285;top:11847;width:12642;height:189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" filled="f" stroked="f" strokeweight="2pt"/>
                                                  <v:rect id="Rectangle 10" o:spid="_x0000_s1051" style="position:absolute;left:37926;top:7075;width:12695;height:237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" filled="f" stroked="f" strokeweight="2pt"/>
                                                </v:group>
                                                <v:line id="Straight Connector 19" o:spid="_x0000_s1052" style="position:absolute;flip:x y;visibility:visible;mso-wrap-style:square" from="47628,6280" to="47628,30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" strokecolor="#0d0d0d" strokeweight="1.5pt"/>
                                              </v:group>
                                              <v:line id="Straight Connector 26" o:spid="_x0000_s1053" style="position:absolute;visibility:visible;mso-wrap-style:square" from="35701,6281" to="47597,62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" strokecolor="windowText" strokeweight="1.5pt"/>
                                            </v:group>
                                            <v:line id="Straight Connector 30" o:spid="_x0000_s1054" style="position:absolute;visibility:visible;mso-wrap-style:square" from="23774,11131" to="35670,11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" strokecolor="windowText" strokeweight="1.5pt"/>
                                          </v:group>
                                          <v:line id="Straight Connector 31" o:spid="_x0000_s1055" style="position:absolute;visibility:visible;mso-wrap-style:square" from="11926,16856" to="23823,16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" strokecolor="windowText" strokeweight="1.5pt"/>
                                        </v:group>
                                        <v:line id="Straight Connector 224" o:spid="_x0000_s1056" style="position:absolute;visibility:visible;mso-wrap-style:square" from="0,21389" to="11896,21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" strokecolor="windowText" strokeweight="1.5pt"/>
                                      </v:group>
                                      <v:line id="Straight Connector 237" o:spid="_x0000_s1057" style="position:absolute;flip:y;visibility:visible;mso-wrap-style:square" from="0,21389" to="34,30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" strokecolor="#0d0d0d [3069]" strokeweight="1.5pt"/>
                                    </v:group>
                                    <v:line id="Straight Connector 246" o:spid="_x0000_s1058" style="position:absolute;flip:x y;visibility:visible;mso-wrap-style:square" from="35701,6281" to="35731,11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" strokecolor="#0d0d0d [3069]" strokeweight="1.5pt"/>
                                  </v:group>
                                  <v:line id="Straight Connector 248" o:spid="_x0000_s1059" style="position:absolute;flip:y;visibility:visible;mso-wrap-style:square" from="11926,16856" to="11926,21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" strokecolor="black [3213]" strokeweight="1.5pt"/>
                                </v:group>
                                <v:line id="Straight Connector 250" o:spid="_x0000_s1060" style="position:absolute;flip:y;visibility:visible;mso-wrap-style:square" from="23853,11131" to="23853,16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" strokecolor="#0d0d0d [3069]" strokeweight="1.5pt"/>
                              </v:group>
                              <v:shape id="Text Box 252" o:spid="_x0000_s1061" type="#_x0000_t202" style="position:absolute;left:238;top:15584;width:11656;height:7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" fillcolor="#548dd4 [1951]" stroked="f" strokeweight=".5pt">
                                <v:textbox>
                                  <w:txbxContent>
                                    <w:p w14:paraId="776B99F9" w14:textId="0A79BC3F" w:rsidR="00062207" w:rsidRPr="00684691" w:rsidRDefault="00062207" w:rsidP="00684691">
                                      <w:pPr>
                                        <w:jc w:val="center"/>
                                        <w:rPr>
                                          <w:rFonts w:ascii="Times New Roman" w:hAnsi="Times New Roman" w:cs="Times New Roman"/>
                                          <w:b/>
                                        </w:rPr>
                                      </w:pPr>
                                      <w:r w:rsidRPr="00684691">
                                        <w:rPr>
                                          <w:rFonts w:ascii="Times New Roman" w:hAnsi="Times New Roman" w:cs="Times New Roman"/>
                                          <w:b/>
                                        </w:rPr>
                                        <w:t>Asignado 2020</w:t>
                                      </w:r>
                                    </w:p>
                                    <w:p w14:paraId="7B3765CB" w14:textId="575572E6" w:rsidR="00062207" w:rsidRPr="00DF3EEF" w:rsidRDefault="00062207" w:rsidP="00684691">
                                      <w:pPr>
                                        <w:jc w:val="center"/>
                                        <w:rPr>
                                          <w:rFonts w:ascii="Times New Roman" w:hAnsi="Times New Roman" w:cs="Times New Roman"/>
                                          <w:sz w:val="20"/>
                                        </w:rPr>
                                      </w:pPr>
                                      <w:r w:rsidRPr="00DF3EEF">
                                        <w:rPr>
                                          <w:rFonts w:ascii="Times New Roman" w:hAnsi="Times New Roman" w:cs="Times New Roman"/>
                                          <w:sz w:val="20"/>
                                        </w:rPr>
                                        <w:t>Presupuesto en vigencia 2019</w:t>
                                      </w:r>
                                    </w:p>
                                    <w:p w14:paraId="0425CE6E" w14:textId="4296EDA4" w:rsidR="00062207" w:rsidRPr="00DF3EEF" w:rsidRDefault="00062207" w:rsidP="00684691">
                                      <w:pPr>
                                        <w:jc w:val="center"/>
                                        <w:rPr>
                                          <w:rFonts w:ascii="Times New Roman" w:hAnsi="Times New Roman" w:cs="Times New Roman"/>
                                          <w:sz w:val="20"/>
                                        </w:rPr>
                                      </w:pPr>
                                      <w:r w:rsidRPr="00DF3EEF">
                                        <w:rPr>
                                          <w:rFonts w:ascii="Times New Roman" w:hAnsi="Times New Roman" w:cs="Times New Roman"/>
                                          <w:sz w:val="20"/>
                                        </w:rPr>
                                        <w:t>Decreto 25-2018</w:t>
                                      </w:r>
                                    </w:p>
                                  </w:txbxContent>
                                </v:textbox>
                              </v:shape>
                              <v:shape id="Text Box 253" o:spid="_x0000_s1062" type="#_x0000_t202" style="position:absolute;left:12006;top:10734;width:13517;height:1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" fillcolor="#548dd4 [1951]" stroked="f" strokeweight=".5pt">
                                <v:textbox>
                                  <w:txbxContent>
                                    <w:p w14:paraId="10DDD62C" w14:textId="5A5F39AB" w:rsidR="00062207" w:rsidRDefault="00062207" w:rsidP="00DF3EEF">
                                      <w:pPr>
                                        <w:jc w:val="center"/>
                                        <w:rPr>
                                          <w:rFonts w:ascii="Times New Roman" w:hAnsi="Times New Roman" w:cs="Times New Roman"/>
                                          <w:b/>
                                        </w:rPr>
                                      </w:pPr>
                                      <w:r w:rsidRPr="00684691">
                                        <w:rPr>
                                          <w:rFonts w:ascii="Times New Roman" w:hAnsi="Times New Roman" w:cs="Times New Roman"/>
                                          <w:b/>
                                          <w:sz w:val="28"/>
                                        </w:rPr>
                                        <w:t>+</w:t>
                                      </w:r>
                                      <w:r>
                                        <w:rPr>
                                          <w:rFonts w:ascii="Times New Roman" w:hAnsi="Times New Roman" w:cs="Times New Roman"/>
                                          <w:b/>
                                        </w:rPr>
                                        <w:t>Decreto 12-2020</w:t>
                                      </w:r>
                                    </w:p>
                                    <w:p w14:paraId="40F91115" w14:textId="59B9D28D" w:rsidR="00062207" w:rsidRDefault="00062207" w:rsidP="00DF3EEF">
                                      <w:pPr>
                                        <w:jc w:val="center"/>
                                        <w:rPr>
                                          <w:rFonts w:ascii="Times New Roman" w:eastAsia="+mn-ea" w:hAnsi="Times New Roman" w:cs="Times New Roman"/>
                                          <w:bCs/>
                                          <w:kern w:val="24"/>
                                          <w:sz w:val="20"/>
                                          <w:szCs w:val="22"/>
                                          <w:lang w:val="es-GT" w:eastAsia="es-GT"/>
                                        </w:rPr>
                                      </w:pPr>
                                      <w:r w:rsidRPr="00DF3EEF">
                                        <w:rPr>
                                          <w:rFonts w:ascii="Times New Roman" w:eastAsia="+mn-ea" w:hAnsi="Times New Roman" w:cs="Times New Roman"/>
                                          <w:bCs/>
                                          <w:kern w:val="24"/>
                                          <w:sz w:val="20"/>
                                          <w:szCs w:val="22"/>
                                          <w:lang w:val="es-GT" w:eastAsia="es-GT"/>
                                        </w:rPr>
                                        <w:t>Ampliación por Q3,667 millones</w:t>
                                      </w:r>
                                    </w:p>
                                    <w:p w14:paraId="2E1118FD" w14:textId="4601E74F" w:rsidR="00062207" w:rsidRPr="00DF3EEF" w:rsidRDefault="00062207" w:rsidP="00DF3EEF">
                                      <w:pPr>
                                        <w:contextualSpacing/>
                                        <w:jc w:val="center"/>
                                        <w:rPr>
                                          <w:rFonts w:ascii="Times New Roman" w:eastAsia="Times New Roman" w:hAnsi="Times New Roman" w:cs="Times New Roman"/>
                                          <w:sz w:val="20"/>
                                          <w:szCs w:val="22"/>
                                          <w:lang w:val="es-GT" w:eastAsia="es-GT"/>
                                        </w:rPr>
                                      </w:pPr>
                                      <w:r w:rsidRPr="00DF3EEF">
                                        <w:rPr>
                                          <w:rFonts w:ascii="Times New Roman" w:eastAsia="+mn-ea" w:hAnsi="Times New Roman" w:cs="Times New Roman"/>
                                          <w:bCs/>
                                          <w:kern w:val="24"/>
                                          <w:sz w:val="20"/>
                                          <w:szCs w:val="22"/>
                                          <w:lang w:val="es-GT" w:eastAsia="es-GT"/>
                                        </w:rPr>
                                        <w:t>Q2,250 millones para COVID-19</w:t>
                                      </w:r>
                                    </w:p>
                                    <w:p w14:paraId="60F86AE3" w14:textId="46812C71" w:rsidR="00062207" w:rsidRPr="00DF3EEF" w:rsidRDefault="00062207" w:rsidP="00DF3EEF">
                                      <w:pPr>
                                        <w:contextualSpacing/>
                                        <w:jc w:val="center"/>
                                        <w:rPr>
                                          <w:rFonts w:ascii="Times New Roman" w:eastAsia="Times New Roman" w:hAnsi="Times New Roman" w:cs="Times New Roman"/>
                                          <w:sz w:val="20"/>
                                          <w:szCs w:val="22"/>
                                          <w:lang w:val="es-GT" w:eastAsia="es-GT"/>
                                        </w:rPr>
                                      </w:pPr>
                                      <w:r w:rsidRPr="00DF3EEF">
                                        <w:rPr>
                                          <w:rFonts w:ascii="Times New Roman" w:eastAsia="+mn-ea" w:hAnsi="Times New Roman" w:cs="Times New Roman"/>
                                          <w:bCs/>
                                          <w:kern w:val="24"/>
                                          <w:sz w:val="20"/>
                                          <w:szCs w:val="22"/>
                                          <w:lang w:val="es-GT" w:eastAsia="es-GT"/>
                                        </w:rPr>
                                        <w:t>Q1,417 millones para otros gastos</w:t>
                                      </w:r>
                                    </w:p>
                                    <w:p w14:paraId="1234491D" w14:textId="77777777" w:rsidR="00062207" w:rsidRDefault="00062207" w:rsidP="00684691">
                                      <w:pPr>
                                        <w:rPr>
                                          <w:rFonts w:ascii="Times New Roman" w:hAnsi="Times New Roman" w:cs="Times New Roman"/>
                                          <w:b/>
                                        </w:rPr>
                                      </w:pPr>
                                    </w:p>
                                    <w:p w14:paraId="381B3B57" w14:textId="77777777" w:rsidR="00062207" w:rsidRPr="00684691" w:rsidRDefault="00062207" w:rsidP="00684691">
                                      <w:pPr>
                                        <w:jc w:val="center"/>
                                        <w:rPr>
                                          <w:rFonts w:ascii="Times New Roman" w:hAnsi="Times New Roman" w:cs="Times New Roman"/>
                                          <w:sz w:val="22"/>
                                        </w:rPr>
                                      </w:pPr>
                                    </w:p>
                                  </w:txbxContent>
                                </v:textbox>
                              </v:shape>
                              <v:shape id="Text Box 254" o:spid="_x0000_s1063" type="#_x0000_t202" style="position:absolute;left:24563;top:5417;width:12723;height:180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" fillcolor="#548dd4 [1951]" stroked="f" strokeweight=".5pt">
                                <v:textbox>
                                  <w:txbxContent>
                                    <w:p w14:paraId="095AAB5C" w14:textId="10419AF2" w:rsidR="00062207" w:rsidRDefault="00062207" w:rsidP="00DF3EEF">
                                      <w:pPr>
                                        <w:jc w:val="center"/>
                                        <w:rPr>
                                          <w:rFonts w:ascii="Times New Roman" w:hAnsi="Times New Roman" w:cs="Times New Roman"/>
                                          <w:b/>
                                        </w:rPr>
                                      </w:pPr>
                                      <w:r w:rsidRPr="00684691">
                                        <w:rPr>
                                          <w:rFonts w:ascii="Times New Roman" w:hAnsi="Times New Roman" w:cs="Times New Roman"/>
                                          <w:b/>
                                          <w:sz w:val="28"/>
                                        </w:rPr>
                                        <w:t>+</w:t>
                                      </w:r>
                                      <w:r>
                                        <w:rPr>
                                          <w:rFonts w:ascii="Times New Roman" w:hAnsi="Times New Roman" w:cs="Times New Roman"/>
                                          <w:b/>
                                        </w:rPr>
                                        <w:t>Decreto 13-2020</w:t>
                                      </w:r>
                                    </w:p>
                                    <w:p w14:paraId="69678F4E" w14:textId="77777777" w:rsidR="00062207" w:rsidRDefault="00062207" w:rsidP="00DF3EEF">
                                      <w:pPr>
                                        <w:jc w:val="center"/>
                                        <w:rPr>
                                          <w:rFonts w:ascii="Times New Roman" w:eastAsia="+mn-ea" w:hAnsi="Times New Roman" w:cs="Times New Roman"/>
                                          <w:bCs/>
                                          <w:kern w:val="24"/>
                                          <w:sz w:val="20"/>
                                          <w:szCs w:val="22"/>
                                          <w:lang w:val="es-GT" w:eastAsia="es-GT"/>
                                        </w:rPr>
                                      </w:pPr>
                                    </w:p>
                                    <w:p w14:paraId="7526980E" w14:textId="3D0E51DE" w:rsidR="00062207" w:rsidRPr="00DF3EEF" w:rsidRDefault="00062207" w:rsidP="00DF3EEF">
                                      <w:pPr>
                                        <w:jc w:val="center"/>
                                        <w:rPr>
                                          <w:rFonts w:ascii="Times New Roman" w:eastAsia="Times New Roman" w:hAnsi="Times New Roman" w:cs="Times New Roman"/>
                                          <w:sz w:val="20"/>
                                          <w:szCs w:val="22"/>
                                          <w:lang w:val="es-GT" w:eastAsia="es-GT"/>
                                        </w:rPr>
                                      </w:pPr>
                                      <w:r w:rsidRPr="00DF3EEF">
                                        <w:rPr>
                                          <w:rFonts w:ascii="Times New Roman" w:eastAsia="+mn-ea" w:hAnsi="Times New Roman" w:cs="Times New Roman"/>
                                          <w:bCs/>
                                          <w:kern w:val="24"/>
                                          <w:sz w:val="20"/>
                                          <w:szCs w:val="22"/>
                                          <w:lang w:val="es-GT" w:eastAsia="es-GT"/>
                                        </w:rPr>
                                        <w:t>Ampliación por Q11,000 millones</w:t>
                                      </w:r>
                                    </w:p>
                                    <w:p w14:paraId="64A44D2A" w14:textId="77777777" w:rsidR="00062207" w:rsidRPr="00DF3EEF" w:rsidRDefault="00062207" w:rsidP="00DF3EEF">
                                      <w:pPr>
                                        <w:contextualSpacing/>
                                        <w:jc w:val="center"/>
                                        <w:rPr>
                                          <w:rFonts w:ascii="Times New Roman" w:eastAsia="Times New Roman" w:hAnsi="Times New Roman" w:cs="Times New Roman"/>
                                          <w:sz w:val="20"/>
                                          <w:szCs w:val="22"/>
                                          <w:lang w:val="es-GT" w:eastAsia="es-GT"/>
                                        </w:rPr>
                                      </w:pPr>
                                      <w:r w:rsidRPr="00DF3EEF">
                                        <w:rPr>
                                          <w:rFonts w:ascii="Times New Roman" w:eastAsia="+mn-ea" w:hAnsi="Times New Roman" w:cs="Times New Roman"/>
                                          <w:bCs/>
                                          <w:kern w:val="24"/>
                                          <w:sz w:val="20"/>
                                          <w:szCs w:val="22"/>
                                          <w:lang w:val="es-GT" w:eastAsia="es-GT"/>
                                        </w:rPr>
                                        <w:t>La totalidad para atender Emergencia COVID-19</w:t>
                                      </w:r>
                                    </w:p>
                                    <w:p w14:paraId="1219DB15" w14:textId="77777777" w:rsidR="00062207" w:rsidRPr="00DF3EEF" w:rsidRDefault="00062207" w:rsidP="00DF3EEF">
                                      <w:pPr>
                                        <w:jc w:val="center"/>
                                        <w:rPr>
                                          <w:rFonts w:ascii="Times New Roman" w:hAnsi="Times New Roman" w:cs="Times New Roman"/>
                                          <w:b/>
                                          <w:sz w:val="22"/>
                                          <w:lang w:val="es-GT"/>
                                        </w:rPr>
                                      </w:pPr>
                                    </w:p>
                                    <w:p w14:paraId="54EF3734" w14:textId="77777777" w:rsidR="00062207" w:rsidRPr="00684691" w:rsidRDefault="00062207" w:rsidP="00DF3EEF">
                                      <w:pPr>
                                        <w:jc w:val="center"/>
                                        <w:rPr>
                                          <w:rFonts w:ascii="Times New Roman" w:hAnsi="Times New Roman" w:cs="Times New Roman"/>
                                          <w:sz w:val="22"/>
                                        </w:rPr>
                                      </w:pPr>
                                    </w:p>
                                  </w:txbxContent>
                                </v:textbox>
                              </v:shape>
                              <v:shape id="Text Box 32" o:spid="_x0000_s1064" type="#_x0000_t202" style="position:absolute;left:35939;top:477;width:10809;height:22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" fillcolor="#548dd4 [1951]" stroked="f" strokeweight=".5pt">
                                <v:textbox>
                                  <w:txbxContent>
                                    <w:p w14:paraId="07DF49B4" w14:textId="068B8620" w:rsidR="00062207" w:rsidRDefault="00062207" w:rsidP="00DF3EEF">
                                      <w:pPr>
                                        <w:jc w:val="center"/>
                                        <w:rPr>
                                          <w:rFonts w:ascii="Times New Roman" w:hAnsi="Times New Roman" w:cs="Times New Roman"/>
                                          <w:b/>
                                        </w:rPr>
                                      </w:pPr>
                                      <w:r w:rsidRPr="00684691">
                                        <w:rPr>
                                          <w:rFonts w:ascii="Times New Roman" w:hAnsi="Times New Roman" w:cs="Times New Roman"/>
                                          <w:b/>
                                          <w:sz w:val="28"/>
                                        </w:rPr>
                                        <w:t>+</w:t>
                                      </w:r>
                                      <w:r>
                                        <w:rPr>
                                          <w:rFonts w:ascii="Times New Roman" w:hAnsi="Times New Roman" w:cs="Times New Roman"/>
                                          <w:b/>
                                        </w:rPr>
                                        <w:t>Decreto 20-2020</w:t>
                                      </w:r>
                                    </w:p>
                                    <w:p w14:paraId="1C1B359E" w14:textId="77777777" w:rsidR="00062207" w:rsidRDefault="00062207" w:rsidP="00DF3EEF">
                                      <w:pPr>
                                        <w:jc w:val="center"/>
                                        <w:rPr>
                                          <w:rFonts w:ascii="Times New Roman" w:eastAsia="+mn-ea" w:hAnsi="Times New Roman" w:cs="Times New Roman"/>
                                          <w:bCs/>
                                          <w:kern w:val="24"/>
                                          <w:sz w:val="20"/>
                                          <w:szCs w:val="22"/>
                                          <w:lang w:val="es-GT" w:eastAsia="es-GT"/>
                                        </w:rPr>
                                      </w:pPr>
                                    </w:p>
                                    <w:p w14:paraId="5385E0F4" w14:textId="3EDFA73B" w:rsidR="00062207" w:rsidRPr="005A49AA" w:rsidRDefault="00062207" w:rsidP="005A49AA">
                                      <w:pPr>
                                        <w:jc w:val="center"/>
                                        <w:rPr>
                                          <w:rFonts w:ascii="Times New Roman" w:eastAsia="+mn-ea" w:hAnsi="Times New Roman" w:cs="Times New Roman"/>
                                          <w:bCs/>
                                          <w:kern w:val="24"/>
                                          <w:sz w:val="20"/>
                                          <w:szCs w:val="22"/>
                                          <w:lang w:val="es-GT" w:eastAsia="es-GT"/>
                                        </w:rPr>
                                      </w:pPr>
                                      <w:r>
                                        <w:rPr>
                                          <w:rFonts w:ascii="Times New Roman" w:eastAsia="+mn-ea" w:hAnsi="Times New Roman" w:cs="Times New Roman"/>
                                          <w:bCs/>
                                          <w:kern w:val="24"/>
                                          <w:sz w:val="20"/>
                                          <w:szCs w:val="22"/>
                                          <w:lang w:val="es-GT" w:eastAsia="es-GT"/>
                                        </w:rPr>
                                        <w:t>Ampliación por Q5,138.9 millones</w:t>
                                      </w:r>
                                      <w:r w:rsidRPr="005A49AA">
                                        <w:rPr>
                                          <w:rFonts w:ascii="Times New Roman" w:eastAsia="+mn-ea" w:hAnsi="Times New Roman" w:cs="Times New Roman"/>
                                          <w:bCs/>
                                          <w:kern w:val="24"/>
                                          <w:sz w:val="20"/>
                                          <w:szCs w:val="22"/>
                                          <w:lang w:val="es-GT" w:eastAsia="es-GT"/>
                                        </w:rPr>
                                        <w:t>.</w:t>
                                      </w:r>
                                    </w:p>
                                    <w:p w14:paraId="5213D292" w14:textId="0987F7C1" w:rsidR="00062207" w:rsidRPr="005A49AA" w:rsidRDefault="00062207" w:rsidP="005A49AA">
                                      <w:pPr>
                                        <w:jc w:val="center"/>
                                        <w:rPr>
                                          <w:rFonts w:ascii="Times New Roman" w:eastAsia="+mn-ea" w:hAnsi="Times New Roman" w:cs="Times New Roman"/>
                                          <w:bCs/>
                                          <w:kern w:val="24"/>
                                          <w:sz w:val="20"/>
                                          <w:szCs w:val="22"/>
                                          <w:lang w:val="es-GT" w:eastAsia="es-GT"/>
                                        </w:rPr>
                                      </w:pPr>
                                      <w:r>
                                        <w:rPr>
                                          <w:rFonts w:ascii="Times New Roman" w:eastAsia="+mn-ea" w:hAnsi="Times New Roman" w:cs="Times New Roman"/>
                                          <w:bCs/>
                                          <w:kern w:val="24"/>
                                          <w:sz w:val="20"/>
                                          <w:szCs w:val="22"/>
                                          <w:lang w:val="es-GT" w:eastAsia="es-GT"/>
                                        </w:rPr>
                                        <w:t>Q1,360 millones</w:t>
                                      </w:r>
                                      <w:r w:rsidRPr="005A49AA">
                                        <w:rPr>
                                          <w:rFonts w:ascii="Times New Roman" w:eastAsia="+mn-ea" w:hAnsi="Times New Roman" w:cs="Times New Roman"/>
                                          <w:bCs/>
                                          <w:kern w:val="24"/>
                                          <w:sz w:val="20"/>
                                          <w:szCs w:val="22"/>
                                          <w:lang w:val="es-GT" w:eastAsia="es-GT"/>
                                        </w:rPr>
                                        <w:t xml:space="preserve"> para COVID-19</w:t>
                                      </w:r>
                                    </w:p>
                                    <w:p w14:paraId="488C4F13" w14:textId="77AFBD97" w:rsidR="00062207" w:rsidRPr="00DF3EEF" w:rsidRDefault="00062207" w:rsidP="005A49AA">
                                      <w:pPr>
                                        <w:jc w:val="center"/>
                                        <w:rPr>
                                          <w:rFonts w:ascii="Times New Roman" w:hAnsi="Times New Roman" w:cs="Times New Roman"/>
                                          <w:b/>
                                          <w:sz w:val="22"/>
                                          <w:lang w:val="es-GT"/>
                                        </w:rPr>
                                      </w:pPr>
                                      <w:r>
                                        <w:rPr>
                                          <w:rFonts w:ascii="Times New Roman" w:eastAsia="+mn-ea" w:hAnsi="Times New Roman" w:cs="Times New Roman"/>
                                          <w:bCs/>
                                          <w:kern w:val="24"/>
                                          <w:sz w:val="20"/>
                                          <w:szCs w:val="22"/>
                                          <w:lang w:val="es-GT" w:eastAsia="es-GT"/>
                                        </w:rPr>
                                        <w:t>Q3,778.9 millones</w:t>
                                      </w:r>
                                      <w:r w:rsidRPr="005A49AA">
                                        <w:rPr>
                                          <w:rFonts w:ascii="Times New Roman" w:eastAsia="+mn-ea" w:hAnsi="Times New Roman" w:cs="Times New Roman"/>
                                          <w:bCs/>
                                          <w:kern w:val="24"/>
                                          <w:sz w:val="20"/>
                                          <w:szCs w:val="22"/>
                                          <w:lang w:val="es-GT" w:eastAsia="es-GT"/>
                                        </w:rPr>
                                        <w:t xml:space="preserve"> para otros gastos</w:t>
                                      </w:r>
                                    </w:p>
                                    <w:p w14:paraId="49C26764" w14:textId="77777777" w:rsidR="00062207" w:rsidRPr="00684691" w:rsidRDefault="00062207" w:rsidP="00DF3EEF">
                                      <w:pPr>
                                        <w:jc w:val="center"/>
                                        <w:rPr>
                                          <w:rFonts w:ascii="Times New Roman" w:hAnsi="Times New Roman" w:cs="Times New Roman"/>
                                          <w:sz w:val="22"/>
                                        </w:rPr>
                                      </w:pPr>
                                    </w:p>
                                  </w:txbxContent>
                                </v:textbox>
                              </v:shape>
                            </v:group>
                            <v:line id="Straight Connector 35" o:spid="_x0000_s1065" style="position:absolute;visibility:visible;mso-wrap-style:square" from="-79,23829" to="47621,238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" strokecolor="black [3213]" strokeweight="1.5pt"/>
                          </v:group>
                        </v:group>
                      </v:group>
                    </v:group>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1" o:spid="_x0000_s1066" type="#_x0000_t13" style="position:absolute;left:8492;top:11597;width:3537;height:252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" adj="13883" fillcolor="#243f60 [1604]" strokecolor="black [3213]" strokeweight="1pt"/>
                  <v:shape id="Right Arrow 43" o:spid="_x0000_s1067" type="#_x0000_t13" style="position:absolute;left:20106;top:6361;width:3537;height:252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" adj="13883" fillcolor="#254061" strokecolor="windowText" strokeweight="1pt"/>
                </v:group>
                <v:shape id="Right Arrow 7" o:spid="_x0000_s1068" type="#_x0000_t13" style="position:absolute;left:32186;top:511;width:3537;height:252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" adj="13885" fillcolor="#254061" strokecolor="windowText" strokeweight="1pt"/>
              </v:group>
            </w:pict>
          </mc:Fallback>
        </mc:AlternateContent>
      </w:r>
    </w:p>
    <w:p w14:paraId="38F4D1ED" w14:textId="6A2CBCEE" w:rsidR="009D1F8C" w:rsidRPr="00062207" w:rsidRDefault="009D1F8C" w:rsidP="009273D9">
      <w:pPr>
        <w:jc w:val="both"/>
        <w:rPr>
          <w:rFonts w:ascii="Times New Roman" w:eastAsia="Times New Roman" w:hAnsi="Times New Roman" w:cs="Times New Roman"/>
          <w:sz w:val="22"/>
          <w:szCs w:val="22"/>
        </w:rPr>
      </w:pPr>
    </w:p>
    <w:p w14:paraId="5DB7BE3F" w14:textId="50B3FB78" w:rsidR="007D5FA6" w:rsidRPr="00062207" w:rsidRDefault="007D5FA6" w:rsidP="009273D9">
      <w:pPr>
        <w:jc w:val="both"/>
        <w:rPr>
          <w:rFonts w:ascii="Times New Roman" w:eastAsia="Times New Roman" w:hAnsi="Times New Roman" w:cs="Times New Roman"/>
          <w:sz w:val="22"/>
          <w:szCs w:val="22"/>
        </w:rPr>
      </w:pPr>
    </w:p>
    <w:p w14:paraId="3EDE5509" w14:textId="56365301" w:rsidR="00D75312" w:rsidRPr="00062207" w:rsidRDefault="00D75312" w:rsidP="000059AF">
      <w:pPr>
        <w:jc w:val="both"/>
        <w:rPr>
          <w:rFonts w:ascii="Times New Roman" w:eastAsia="Times New Roman" w:hAnsi="Times New Roman" w:cs="Times New Roman"/>
          <w:sz w:val="22"/>
          <w:szCs w:val="22"/>
        </w:rPr>
      </w:pPr>
    </w:p>
    <w:p w14:paraId="4989B374" w14:textId="0798472B" w:rsidR="00D75312" w:rsidRPr="00062207" w:rsidRDefault="00D75312" w:rsidP="000059AF">
      <w:pPr>
        <w:jc w:val="both"/>
        <w:rPr>
          <w:rFonts w:ascii="Times New Roman" w:eastAsia="Times New Roman" w:hAnsi="Times New Roman" w:cs="Times New Roman"/>
          <w:sz w:val="22"/>
          <w:szCs w:val="22"/>
        </w:rPr>
      </w:pPr>
    </w:p>
    <w:p w14:paraId="3C7BB25D" w14:textId="357CB4C7" w:rsidR="00D75312" w:rsidRPr="00062207" w:rsidRDefault="00D75312" w:rsidP="000059AF">
      <w:pPr>
        <w:jc w:val="both"/>
        <w:rPr>
          <w:rFonts w:ascii="Times New Roman" w:eastAsia="Times New Roman" w:hAnsi="Times New Roman" w:cs="Times New Roman"/>
          <w:sz w:val="22"/>
          <w:szCs w:val="22"/>
        </w:rPr>
      </w:pPr>
    </w:p>
    <w:p w14:paraId="008AD671" w14:textId="4F6CD9F2" w:rsidR="00D75312" w:rsidRPr="00062207" w:rsidRDefault="00D75312" w:rsidP="000059AF">
      <w:pPr>
        <w:jc w:val="both"/>
        <w:rPr>
          <w:rFonts w:ascii="Times New Roman" w:eastAsia="Times New Roman" w:hAnsi="Times New Roman" w:cs="Times New Roman"/>
          <w:sz w:val="22"/>
          <w:szCs w:val="22"/>
        </w:rPr>
      </w:pPr>
    </w:p>
    <w:p w14:paraId="4FE10931" w14:textId="01ACB77F" w:rsidR="00D75312" w:rsidRPr="00062207" w:rsidRDefault="00D75312" w:rsidP="000059AF">
      <w:pPr>
        <w:jc w:val="both"/>
        <w:rPr>
          <w:rFonts w:ascii="Times New Roman" w:eastAsia="Times New Roman" w:hAnsi="Times New Roman" w:cs="Times New Roman"/>
          <w:sz w:val="22"/>
          <w:szCs w:val="22"/>
        </w:rPr>
      </w:pPr>
    </w:p>
    <w:p w14:paraId="7832BE36" w14:textId="67577EC1" w:rsidR="00D75312" w:rsidRPr="00062207" w:rsidRDefault="00D75312" w:rsidP="000059AF">
      <w:pPr>
        <w:jc w:val="both"/>
        <w:rPr>
          <w:rFonts w:ascii="Times New Roman" w:eastAsia="Times New Roman" w:hAnsi="Times New Roman" w:cs="Times New Roman"/>
          <w:sz w:val="22"/>
          <w:szCs w:val="22"/>
        </w:rPr>
      </w:pPr>
    </w:p>
    <w:p w14:paraId="3098BC84" w14:textId="13C20928" w:rsidR="00D75312" w:rsidRPr="00062207" w:rsidRDefault="00D75312" w:rsidP="000059AF">
      <w:pPr>
        <w:jc w:val="both"/>
        <w:rPr>
          <w:rFonts w:ascii="Times New Roman" w:eastAsia="Times New Roman" w:hAnsi="Times New Roman" w:cs="Times New Roman"/>
          <w:sz w:val="22"/>
          <w:szCs w:val="22"/>
        </w:rPr>
      </w:pPr>
    </w:p>
    <w:p w14:paraId="1BFB6FA4" w14:textId="28EB1EAD" w:rsidR="00D75312" w:rsidRPr="00062207" w:rsidRDefault="00D75312" w:rsidP="000059AF">
      <w:pPr>
        <w:jc w:val="both"/>
        <w:rPr>
          <w:rFonts w:ascii="Times New Roman" w:eastAsia="Times New Roman" w:hAnsi="Times New Roman" w:cs="Times New Roman"/>
          <w:sz w:val="22"/>
          <w:szCs w:val="22"/>
        </w:rPr>
      </w:pPr>
    </w:p>
    <w:p w14:paraId="7D3491DA" w14:textId="597F596E" w:rsidR="00D75312" w:rsidRPr="00062207" w:rsidRDefault="00D75312" w:rsidP="000059AF">
      <w:pPr>
        <w:jc w:val="both"/>
        <w:rPr>
          <w:rFonts w:ascii="Times New Roman" w:eastAsia="Times New Roman" w:hAnsi="Times New Roman" w:cs="Times New Roman"/>
          <w:sz w:val="22"/>
          <w:szCs w:val="22"/>
        </w:rPr>
      </w:pPr>
    </w:p>
    <w:p w14:paraId="369D0B22" w14:textId="54FB6F49" w:rsidR="00D75312" w:rsidRPr="00062207" w:rsidRDefault="00D75312" w:rsidP="000059AF">
      <w:pPr>
        <w:jc w:val="both"/>
        <w:rPr>
          <w:rFonts w:ascii="Times New Roman" w:eastAsia="Times New Roman" w:hAnsi="Times New Roman" w:cs="Times New Roman"/>
          <w:sz w:val="22"/>
          <w:szCs w:val="22"/>
        </w:rPr>
      </w:pPr>
    </w:p>
    <w:p w14:paraId="3B26782E" w14:textId="24C878B6" w:rsidR="00D75312" w:rsidRPr="00062207" w:rsidRDefault="00D75312" w:rsidP="000059AF">
      <w:pPr>
        <w:jc w:val="both"/>
        <w:rPr>
          <w:rFonts w:ascii="Times New Roman" w:eastAsia="Times New Roman" w:hAnsi="Times New Roman" w:cs="Times New Roman"/>
          <w:sz w:val="22"/>
          <w:szCs w:val="22"/>
        </w:rPr>
      </w:pPr>
    </w:p>
    <w:p w14:paraId="274B620B" w14:textId="53414B28" w:rsidR="00D75312" w:rsidRPr="00062207" w:rsidRDefault="00D75312" w:rsidP="000059AF">
      <w:pPr>
        <w:jc w:val="both"/>
        <w:rPr>
          <w:rFonts w:ascii="Times New Roman" w:eastAsia="Times New Roman" w:hAnsi="Times New Roman" w:cs="Times New Roman"/>
          <w:sz w:val="22"/>
          <w:szCs w:val="22"/>
        </w:rPr>
      </w:pPr>
    </w:p>
    <w:p w14:paraId="6995369B" w14:textId="12FCEFAF" w:rsidR="00D75312" w:rsidRPr="00062207" w:rsidRDefault="00D75312" w:rsidP="000059AF">
      <w:pPr>
        <w:jc w:val="both"/>
        <w:rPr>
          <w:rFonts w:ascii="Times New Roman" w:eastAsia="Times New Roman" w:hAnsi="Times New Roman" w:cs="Times New Roman"/>
          <w:sz w:val="22"/>
          <w:szCs w:val="22"/>
        </w:rPr>
      </w:pPr>
    </w:p>
    <w:p w14:paraId="1196F583" w14:textId="33AFB72D" w:rsidR="00D75312" w:rsidRPr="00062207" w:rsidRDefault="00D75312" w:rsidP="000059AF">
      <w:pPr>
        <w:jc w:val="both"/>
        <w:rPr>
          <w:rFonts w:ascii="Times New Roman" w:eastAsia="Times New Roman" w:hAnsi="Times New Roman" w:cs="Times New Roman"/>
          <w:sz w:val="22"/>
          <w:szCs w:val="22"/>
        </w:rPr>
      </w:pPr>
    </w:p>
    <w:p w14:paraId="5E3DCCE5" w14:textId="52BFD168" w:rsidR="00D75312" w:rsidRPr="00062207" w:rsidRDefault="00D75312" w:rsidP="000059AF">
      <w:pPr>
        <w:jc w:val="both"/>
        <w:rPr>
          <w:rFonts w:ascii="Times New Roman" w:eastAsia="Times New Roman" w:hAnsi="Times New Roman" w:cs="Times New Roman"/>
          <w:sz w:val="22"/>
          <w:szCs w:val="22"/>
        </w:rPr>
      </w:pPr>
    </w:p>
    <w:p w14:paraId="23AB75C9" w14:textId="77777777" w:rsidR="001D4B49" w:rsidRPr="00062207" w:rsidRDefault="001D4B49" w:rsidP="001D4B49">
      <w:pPr>
        <w:ind w:left="708" w:firstLine="708"/>
        <w:jc w:val="both"/>
        <w:rPr>
          <w:rFonts w:ascii="Times New Roman" w:eastAsia="Times New Roman" w:hAnsi="Times New Roman" w:cs="Times New Roman"/>
          <w:sz w:val="18"/>
          <w:szCs w:val="22"/>
          <w:lang w:val="es-GT"/>
        </w:rPr>
      </w:pPr>
      <w:r w:rsidRPr="00062207">
        <w:rPr>
          <w:rFonts w:ascii="Times New Roman" w:eastAsia="Times New Roman" w:hAnsi="Times New Roman" w:cs="Times New Roman"/>
          <w:sz w:val="18"/>
          <w:szCs w:val="22"/>
          <w:lang w:val="es-GT"/>
        </w:rPr>
        <w:t>Fuente: Dirección de Análisis y Política Fiscal.</w:t>
      </w:r>
    </w:p>
    <w:p w14:paraId="3B365F02" w14:textId="2B9173FD" w:rsidR="00634A13" w:rsidRPr="00062207" w:rsidRDefault="00634A13" w:rsidP="000059AF">
      <w:pPr>
        <w:jc w:val="both"/>
        <w:rPr>
          <w:rFonts w:ascii="Times New Roman" w:eastAsia="Times New Roman" w:hAnsi="Times New Roman" w:cs="Times New Roman"/>
          <w:sz w:val="22"/>
          <w:szCs w:val="22"/>
        </w:rPr>
      </w:pPr>
    </w:p>
    <w:p w14:paraId="514D27A6" w14:textId="5E22377E" w:rsidR="00945B32" w:rsidRPr="00062207" w:rsidRDefault="00634A13" w:rsidP="00634A13">
      <w:pPr>
        <w:jc w:val="both"/>
        <w:rPr>
          <w:rFonts w:ascii="Times New Roman" w:eastAsia="Times New Roman" w:hAnsi="Times New Roman" w:cs="Times New Roman"/>
          <w:sz w:val="22"/>
          <w:szCs w:val="22"/>
        </w:rPr>
      </w:pPr>
      <w:r w:rsidRPr="00062207">
        <w:rPr>
          <w:rFonts w:ascii="Times New Roman" w:eastAsia="Times New Roman" w:hAnsi="Times New Roman" w:cs="Times New Roman"/>
          <w:sz w:val="22"/>
          <w:szCs w:val="22"/>
        </w:rPr>
        <w:t xml:space="preserve">Es importante </w:t>
      </w:r>
      <w:r w:rsidR="00D8436C" w:rsidRPr="00062207">
        <w:rPr>
          <w:rFonts w:ascii="Times New Roman" w:eastAsia="Times New Roman" w:hAnsi="Times New Roman" w:cs="Times New Roman"/>
          <w:sz w:val="22"/>
          <w:szCs w:val="22"/>
        </w:rPr>
        <w:t>recordar</w:t>
      </w:r>
      <w:r w:rsidRPr="00062207">
        <w:rPr>
          <w:rFonts w:ascii="Times New Roman" w:eastAsia="Times New Roman" w:hAnsi="Times New Roman" w:cs="Times New Roman"/>
          <w:sz w:val="22"/>
          <w:szCs w:val="22"/>
        </w:rPr>
        <w:t xml:space="preserve"> que la autorización de ampliación por medio del Decreto 13-2020 corresponde a la emisión, negociación y colocación de Bonos del Tesoro por un valor de Q11,000.0 millones, siendo un financiamiento extraordinario amparándose</w:t>
      </w:r>
      <w:r w:rsidR="006C2158" w:rsidRPr="00062207">
        <w:rPr>
          <w:rFonts w:ascii="Times New Roman" w:eastAsia="Times New Roman" w:hAnsi="Times New Roman" w:cs="Times New Roman"/>
          <w:sz w:val="22"/>
          <w:szCs w:val="22"/>
        </w:rPr>
        <w:t xml:space="preserve"> </w:t>
      </w:r>
      <w:r w:rsidRPr="00062207">
        <w:rPr>
          <w:rFonts w:ascii="Times New Roman" w:eastAsia="Times New Roman" w:hAnsi="Times New Roman" w:cs="Times New Roman"/>
          <w:sz w:val="22"/>
          <w:szCs w:val="22"/>
        </w:rPr>
        <w:t>bajo el artículo 133 de la Constitución Política de la República de Guatemala,</w:t>
      </w:r>
      <w:r w:rsidR="006C2158" w:rsidRPr="00062207">
        <w:rPr>
          <w:rFonts w:ascii="Times New Roman" w:eastAsia="Times New Roman" w:hAnsi="Times New Roman" w:cs="Times New Roman"/>
          <w:sz w:val="22"/>
          <w:szCs w:val="22"/>
        </w:rPr>
        <w:t xml:space="preserve"> en el cual se indica que con la finalidad de garantizar la estabilidad monetaria, cambiaria y crediticia del país, la Junta Monetaria no puede autorizar que el Banco de Guatemala </w:t>
      </w:r>
      <w:r w:rsidR="005456BF" w:rsidRPr="00062207">
        <w:rPr>
          <w:rFonts w:ascii="Times New Roman" w:eastAsia="Times New Roman" w:hAnsi="Times New Roman" w:cs="Times New Roman"/>
          <w:sz w:val="22"/>
          <w:szCs w:val="22"/>
        </w:rPr>
        <w:t>otorgue financiamiento directo o indirecto, garantía o aval al Estado</w:t>
      </w:r>
      <w:r w:rsidR="00945B32" w:rsidRPr="00062207">
        <w:rPr>
          <w:rFonts w:ascii="Times New Roman" w:eastAsia="Times New Roman" w:hAnsi="Times New Roman" w:cs="Times New Roman"/>
          <w:sz w:val="22"/>
          <w:szCs w:val="22"/>
        </w:rPr>
        <w:t>, a sus entidades descentralizadas o autónomas ni a las entidades privadas no bancarias</w:t>
      </w:r>
      <w:r w:rsidR="005456BF" w:rsidRPr="00062207">
        <w:rPr>
          <w:rFonts w:ascii="Times New Roman" w:eastAsia="Times New Roman" w:hAnsi="Times New Roman" w:cs="Times New Roman"/>
          <w:sz w:val="22"/>
          <w:szCs w:val="22"/>
        </w:rPr>
        <w:t xml:space="preserve">. </w:t>
      </w:r>
    </w:p>
    <w:p w14:paraId="1F4AE0D5" w14:textId="77777777" w:rsidR="00945B32" w:rsidRPr="00062207" w:rsidRDefault="00945B32" w:rsidP="00634A13">
      <w:pPr>
        <w:jc w:val="both"/>
        <w:rPr>
          <w:rFonts w:ascii="Times New Roman" w:eastAsia="Times New Roman" w:hAnsi="Times New Roman" w:cs="Times New Roman"/>
          <w:sz w:val="22"/>
          <w:szCs w:val="22"/>
        </w:rPr>
      </w:pPr>
    </w:p>
    <w:p w14:paraId="77ECFF79" w14:textId="25D9602A" w:rsidR="006C2158" w:rsidRPr="00062207" w:rsidRDefault="005456BF" w:rsidP="00634A13">
      <w:pPr>
        <w:jc w:val="both"/>
        <w:rPr>
          <w:rFonts w:ascii="Times New Roman" w:eastAsia="Times New Roman" w:hAnsi="Times New Roman" w:cs="Times New Roman"/>
          <w:sz w:val="22"/>
          <w:szCs w:val="22"/>
        </w:rPr>
      </w:pPr>
      <w:r w:rsidRPr="00062207">
        <w:rPr>
          <w:rFonts w:ascii="Times New Roman" w:eastAsia="Times New Roman" w:hAnsi="Times New Roman" w:cs="Times New Roman"/>
          <w:sz w:val="22"/>
          <w:szCs w:val="22"/>
        </w:rPr>
        <w:t xml:space="preserve">Sin embargo, dentro del artículo existe la excepción </w:t>
      </w:r>
      <w:r w:rsidR="00945B32" w:rsidRPr="00062207">
        <w:rPr>
          <w:rFonts w:ascii="Times New Roman" w:eastAsia="Times New Roman" w:hAnsi="Times New Roman" w:cs="Times New Roman"/>
          <w:sz w:val="22"/>
          <w:szCs w:val="22"/>
        </w:rPr>
        <w:t>que,</w:t>
      </w:r>
      <w:r w:rsidRPr="00062207">
        <w:rPr>
          <w:rFonts w:ascii="Times New Roman" w:eastAsia="Times New Roman" w:hAnsi="Times New Roman" w:cs="Times New Roman"/>
          <w:sz w:val="22"/>
          <w:szCs w:val="22"/>
        </w:rPr>
        <w:t xml:space="preserve"> en caso de catástrofe o desastre público, el Banco de Guatemala si podrá otorgar financiamiento al Estado </w:t>
      </w:r>
      <w:r w:rsidR="00945B32" w:rsidRPr="00062207">
        <w:rPr>
          <w:rFonts w:ascii="Times New Roman" w:eastAsia="Times New Roman" w:hAnsi="Times New Roman" w:cs="Times New Roman"/>
          <w:sz w:val="22"/>
          <w:szCs w:val="22"/>
        </w:rPr>
        <w:t xml:space="preserve">por medio de adquirir los valores que emitan o negocien en el mercado primario dichas entidades. </w:t>
      </w:r>
    </w:p>
    <w:p w14:paraId="174F4073" w14:textId="77777777" w:rsidR="006C2158" w:rsidRPr="00062207" w:rsidRDefault="006C2158" w:rsidP="00634A13">
      <w:pPr>
        <w:jc w:val="both"/>
        <w:rPr>
          <w:rFonts w:ascii="Times New Roman" w:eastAsia="Times New Roman" w:hAnsi="Times New Roman" w:cs="Times New Roman"/>
          <w:sz w:val="22"/>
          <w:szCs w:val="22"/>
        </w:rPr>
      </w:pPr>
    </w:p>
    <w:p w14:paraId="28CD5959" w14:textId="64E0037A" w:rsidR="001A0AC9" w:rsidRPr="00062207" w:rsidRDefault="00945B32" w:rsidP="00945B32">
      <w:pPr>
        <w:jc w:val="both"/>
        <w:rPr>
          <w:rFonts w:ascii="Times New Roman" w:hAnsi="Times New Roman" w:cs="Times New Roman"/>
          <w:sz w:val="22"/>
          <w:szCs w:val="22"/>
        </w:rPr>
      </w:pPr>
      <w:r w:rsidRPr="00062207">
        <w:rPr>
          <w:rFonts w:ascii="Times New Roman" w:eastAsia="Times New Roman" w:hAnsi="Times New Roman" w:cs="Times New Roman"/>
          <w:sz w:val="22"/>
          <w:szCs w:val="22"/>
        </w:rPr>
        <w:t>Para 2021 de los Q11,000 millones del Decreto 13-2020, únicamente se contaba con el espacio presupuestario, pero no</w:t>
      </w:r>
      <w:r w:rsidR="00D8436C" w:rsidRPr="00062207">
        <w:rPr>
          <w:rFonts w:ascii="Times New Roman" w:eastAsia="Times New Roman" w:hAnsi="Times New Roman" w:cs="Times New Roman"/>
          <w:sz w:val="22"/>
          <w:szCs w:val="22"/>
        </w:rPr>
        <w:t xml:space="preserve"> con</w:t>
      </w:r>
      <w:r w:rsidRPr="00062207">
        <w:rPr>
          <w:rFonts w:ascii="Times New Roman" w:eastAsia="Times New Roman" w:hAnsi="Times New Roman" w:cs="Times New Roman"/>
          <w:sz w:val="22"/>
          <w:szCs w:val="22"/>
        </w:rPr>
        <w:t xml:space="preserve"> los recursos, derivado que este fue </w:t>
      </w:r>
      <w:r w:rsidR="00634A13" w:rsidRPr="00062207">
        <w:rPr>
          <w:rFonts w:ascii="Times New Roman" w:eastAsia="Times New Roman" w:hAnsi="Times New Roman" w:cs="Times New Roman"/>
          <w:sz w:val="22"/>
          <w:szCs w:val="22"/>
        </w:rPr>
        <w:t>un mecanismo de fina</w:t>
      </w:r>
      <w:r w:rsidRPr="00062207">
        <w:rPr>
          <w:rFonts w:ascii="Times New Roman" w:eastAsia="Times New Roman" w:hAnsi="Times New Roman" w:cs="Times New Roman"/>
          <w:sz w:val="22"/>
          <w:szCs w:val="22"/>
        </w:rPr>
        <w:t xml:space="preserve">nciamiento de carácter temporal utilizado por la crisis del COVID-19 que tuvo el mayor auge en 2020. </w:t>
      </w:r>
    </w:p>
    <w:p w14:paraId="71E18114" w14:textId="7E2EC669" w:rsidR="00D75312" w:rsidRPr="00062207" w:rsidRDefault="00D75312" w:rsidP="000059AF">
      <w:pPr>
        <w:jc w:val="both"/>
        <w:rPr>
          <w:rFonts w:ascii="Times New Roman" w:eastAsia="Times New Roman" w:hAnsi="Times New Roman" w:cs="Times New Roman"/>
          <w:sz w:val="22"/>
          <w:szCs w:val="22"/>
        </w:rPr>
      </w:pPr>
    </w:p>
    <w:p w14:paraId="5D3E70C2" w14:textId="11A2FD03" w:rsidR="00D75312" w:rsidRPr="00062207" w:rsidRDefault="004F692E" w:rsidP="000059AF">
      <w:pPr>
        <w:jc w:val="both"/>
        <w:rPr>
          <w:rFonts w:ascii="Times New Roman" w:eastAsia="Times New Roman" w:hAnsi="Times New Roman" w:cs="Times New Roman"/>
          <w:sz w:val="22"/>
          <w:szCs w:val="22"/>
        </w:rPr>
      </w:pPr>
      <w:r w:rsidRPr="00062207">
        <w:rPr>
          <w:rFonts w:ascii="Times New Roman" w:eastAsia="Times New Roman" w:hAnsi="Times New Roman" w:cs="Times New Roman"/>
          <w:sz w:val="22"/>
          <w:szCs w:val="22"/>
        </w:rPr>
        <w:t>El hecho de no contar con un presupuesto aprobado supone que la programación realizada para el ejercicio 2021 no se encuentra acorde a las necesidades que fueron presentadas por las diversas instituciones por medio del ejercicio de Presupuesto Abierto, en el cual se conocen y discuten cuales son las propuestas y necesidades financieras institucionales. Lo anterior supone un grado de incertidumbre al principio del ejercicio fiscal, e</w:t>
      </w:r>
      <w:r w:rsidR="00A556AF" w:rsidRPr="00062207">
        <w:rPr>
          <w:rFonts w:ascii="Times New Roman" w:eastAsia="Times New Roman" w:hAnsi="Times New Roman" w:cs="Times New Roman"/>
          <w:sz w:val="22"/>
          <w:szCs w:val="22"/>
        </w:rPr>
        <w:t>s por ello que el Ejecutivo anunció en enero la necesidad de hacer una readecuación del presupuesto vigente de Q107,521.5 millones a un presupuesto operativo de Q94,354.0 millones con el fin de eliminar virtu</w:t>
      </w:r>
      <w:r w:rsidRPr="00062207">
        <w:rPr>
          <w:rFonts w:ascii="Times New Roman" w:eastAsia="Times New Roman" w:hAnsi="Times New Roman" w:cs="Times New Roman"/>
          <w:sz w:val="22"/>
          <w:szCs w:val="22"/>
        </w:rPr>
        <w:t>almente los recursos que no podían</w:t>
      </w:r>
      <w:r w:rsidR="00A556AF" w:rsidRPr="00062207">
        <w:rPr>
          <w:rFonts w:ascii="Times New Roman" w:eastAsia="Times New Roman" w:hAnsi="Times New Roman" w:cs="Times New Roman"/>
          <w:sz w:val="22"/>
          <w:szCs w:val="22"/>
        </w:rPr>
        <w:t xml:space="preserve"> ser ejecutados en el año 2021</w:t>
      </w:r>
      <w:r w:rsidR="00F11AFE" w:rsidRPr="00062207">
        <w:rPr>
          <w:rFonts w:ascii="Times New Roman" w:eastAsia="Times New Roman" w:hAnsi="Times New Roman" w:cs="Times New Roman"/>
          <w:sz w:val="22"/>
          <w:szCs w:val="22"/>
        </w:rPr>
        <w:t xml:space="preserve"> por carecer de financiamiento.</w:t>
      </w:r>
    </w:p>
    <w:p w14:paraId="2E311BC2" w14:textId="229B83F2" w:rsidR="00337720" w:rsidRPr="00062207" w:rsidRDefault="00337720" w:rsidP="000059AF">
      <w:pPr>
        <w:jc w:val="both"/>
        <w:rPr>
          <w:rFonts w:ascii="Times New Roman" w:eastAsia="Times New Roman" w:hAnsi="Times New Roman" w:cs="Times New Roman"/>
          <w:sz w:val="22"/>
          <w:szCs w:val="22"/>
        </w:rPr>
      </w:pPr>
    </w:p>
    <w:p w14:paraId="4321962F" w14:textId="62DF7F7D" w:rsidR="00337720" w:rsidRPr="00062207" w:rsidRDefault="000869A1" w:rsidP="000059AF">
      <w:pPr>
        <w:jc w:val="both"/>
        <w:rPr>
          <w:rFonts w:ascii="Times New Roman" w:eastAsia="Times New Roman" w:hAnsi="Times New Roman" w:cs="Times New Roman"/>
          <w:sz w:val="22"/>
          <w:szCs w:val="22"/>
        </w:rPr>
      </w:pPr>
      <w:r w:rsidRPr="00062207">
        <w:rPr>
          <w:rFonts w:ascii="Times New Roman" w:eastAsia="Times New Roman" w:hAnsi="Times New Roman" w:cs="Times New Roman"/>
          <w:sz w:val="22"/>
          <w:szCs w:val="22"/>
        </w:rPr>
        <w:t>El presupuesto operativo conlleva una reducción de Q13,</w:t>
      </w:r>
      <w:r w:rsidR="00D8436C" w:rsidRPr="00062207">
        <w:rPr>
          <w:rFonts w:ascii="Times New Roman" w:eastAsia="Times New Roman" w:hAnsi="Times New Roman" w:cs="Times New Roman"/>
          <w:sz w:val="22"/>
          <w:szCs w:val="22"/>
        </w:rPr>
        <w:t>167</w:t>
      </w:r>
      <w:r w:rsidRPr="00062207">
        <w:rPr>
          <w:rFonts w:ascii="Times New Roman" w:eastAsia="Times New Roman" w:hAnsi="Times New Roman" w:cs="Times New Roman"/>
          <w:sz w:val="22"/>
          <w:szCs w:val="22"/>
        </w:rPr>
        <w:t>.</w:t>
      </w:r>
      <w:r w:rsidR="00D8436C" w:rsidRPr="00062207">
        <w:rPr>
          <w:rFonts w:ascii="Times New Roman" w:eastAsia="Times New Roman" w:hAnsi="Times New Roman" w:cs="Times New Roman"/>
          <w:sz w:val="22"/>
          <w:szCs w:val="22"/>
        </w:rPr>
        <w:t>5</w:t>
      </w:r>
      <w:r w:rsidRPr="00062207">
        <w:rPr>
          <w:rFonts w:ascii="Times New Roman" w:eastAsia="Times New Roman" w:hAnsi="Times New Roman" w:cs="Times New Roman"/>
          <w:sz w:val="22"/>
          <w:szCs w:val="22"/>
        </w:rPr>
        <w:t xml:space="preserve"> millones con respecto al presupuesto vigente y este es incluso menor a los Q99,700 millones que habían sido solicitados en el Proyecto de Presupuesto para el ejercicio fiscal 2021 y que finalmente fue archivado por el Congreso de la República. </w:t>
      </w:r>
    </w:p>
    <w:p w14:paraId="06C5CF69" w14:textId="21CF8AC3" w:rsidR="000869A1" w:rsidRPr="00062207" w:rsidRDefault="000869A1" w:rsidP="000059AF">
      <w:pPr>
        <w:jc w:val="both"/>
        <w:rPr>
          <w:rFonts w:ascii="Times New Roman" w:eastAsia="Times New Roman" w:hAnsi="Times New Roman" w:cs="Times New Roman"/>
          <w:sz w:val="22"/>
          <w:szCs w:val="22"/>
        </w:rPr>
      </w:pPr>
    </w:p>
    <w:tbl>
      <w:tblPr>
        <w:tblStyle w:val="Tablaconcuadrcula"/>
        <w:tblW w:w="97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1"/>
        <w:gridCol w:w="5123"/>
      </w:tblGrid>
      <w:tr w:rsidR="00062207" w:rsidRPr="00062207" w14:paraId="426F8F63" w14:textId="77777777" w:rsidTr="00EE3A5F">
        <w:trPr>
          <w:trHeight w:val="4230"/>
        </w:trPr>
        <w:tc>
          <w:tcPr>
            <w:tcW w:w="4601" w:type="dxa"/>
          </w:tcPr>
          <w:p w14:paraId="47BB4136" w14:textId="27FC5134" w:rsidR="00305BC5" w:rsidRPr="00062207" w:rsidRDefault="00305BC5" w:rsidP="00305BC5">
            <w:pPr>
              <w:jc w:val="center"/>
              <w:rPr>
                <w:rFonts w:ascii="Times New Roman" w:eastAsia="Times New Roman" w:hAnsi="Times New Roman" w:cs="Times New Roman"/>
                <w:b/>
                <w:szCs w:val="22"/>
              </w:rPr>
            </w:pPr>
            <w:r w:rsidRPr="00062207">
              <w:rPr>
                <w:rFonts w:ascii="Times New Roman" w:eastAsia="Times New Roman" w:hAnsi="Times New Roman" w:cs="Times New Roman"/>
                <w:b/>
                <w:szCs w:val="22"/>
              </w:rPr>
              <w:t>Presupuesto de Egresos con presupuesto operativo</w:t>
            </w:r>
          </w:p>
          <w:p w14:paraId="2713615E" w14:textId="072ED5CE" w:rsidR="00305BC5" w:rsidRPr="00062207" w:rsidRDefault="00E86FD3" w:rsidP="00305BC5">
            <w:pPr>
              <w:jc w:val="center"/>
              <w:rPr>
                <w:rFonts w:ascii="Times New Roman" w:eastAsia="Times New Roman" w:hAnsi="Times New Roman" w:cs="Times New Roman"/>
                <w:sz w:val="22"/>
                <w:szCs w:val="22"/>
              </w:rPr>
            </w:pPr>
            <w:r w:rsidRPr="00062207">
              <w:rPr>
                <w:rFonts w:ascii="Times New Roman" w:eastAsia="Times New Roman" w:hAnsi="Times New Roman" w:cs="Times New Roman"/>
                <w:noProof/>
                <w:sz w:val="22"/>
                <w:szCs w:val="22"/>
                <w:lang w:val="es-GT" w:eastAsia="es-GT"/>
              </w:rPr>
              <mc:AlternateContent>
                <mc:Choice Requires="wps">
                  <w:drawing>
                    <wp:anchor distT="0" distB="0" distL="114300" distR="114300" simplePos="0" relativeHeight="251778048" behindDoc="0" locked="0" layoutInCell="1" allowOverlap="1" wp14:anchorId="3421C7F0" wp14:editId="2FD33221">
                      <wp:simplePos x="0" y="0"/>
                      <wp:positionH relativeFrom="column">
                        <wp:posOffset>-126365</wp:posOffset>
                      </wp:positionH>
                      <wp:positionV relativeFrom="paragraph">
                        <wp:posOffset>177800</wp:posOffset>
                      </wp:positionV>
                      <wp:extent cx="747423" cy="405517"/>
                      <wp:effectExtent l="0" t="0" r="0" b="0"/>
                      <wp:wrapNone/>
                      <wp:docPr id="54" name="Text Box 54"/>
                      <wp:cNvGraphicFramePr/>
                      <a:graphic xmlns:a="http://schemas.openxmlformats.org/drawingml/2006/main">
                        <a:graphicData uri="http://schemas.microsoft.com/office/word/2010/wordprocessingShape">
                          <wps:wsp>
                            <wps:cNvSpPr txBox="1"/>
                            <wps:spPr>
                              <a:xfrm>
                                <a:off x="0" y="0"/>
                                <a:ext cx="747423" cy="405517"/>
                              </a:xfrm>
                              <a:prstGeom prst="rect">
                                <a:avLst/>
                              </a:prstGeom>
                              <a:solidFill>
                                <a:schemeClr val="lt1"/>
                              </a:solidFill>
                              <a:ln w="6350">
                                <a:noFill/>
                              </a:ln>
                            </wps:spPr>
                            <wps:txbx>
                              <w:txbxContent>
                                <w:p w14:paraId="760BA4FD" w14:textId="721191E9" w:rsidR="00062207" w:rsidRPr="002C4A92" w:rsidRDefault="00062207" w:rsidP="002C4A92">
                                  <w:pPr>
                                    <w:jc w:val="center"/>
                                    <w:rPr>
                                      <w:rFonts w:ascii="Times New Roman" w:hAnsi="Times New Roman" w:cs="Times New Roman"/>
                                      <w:b/>
                                      <w:sz w:val="20"/>
                                    </w:rPr>
                                  </w:pPr>
                                  <w:r w:rsidRPr="002C4A92">
                                    <w:rPr>
                                      <w:rFonts w:ascii="Times New Roman" w:hAnsi="Times New Roman" w:cs="Times New Roman"/>
                                      <w:b/>
                                      <w:sz w:val="20"/>
                                    </w:rPr>
                                    <w:t>Total</w:t>
                                  </w:r>
                                </w:p>
                                <w:p w14:paraId="27178438" w14:textId="2EEC4A92" w:rsidR="00062207" w:rsidRPr="002C4A92" w:rsidRDefault="00062207" w:rsidP="002C4A92">
                                  <w:pPr>
                                    <w:jc w:val="center"/>
                                    <w:rPr>
                                      <w:rFonts w:ascii="Times New Roman" w:hAnsi="Times New Roman" w:cs="Times New Roman"/>
                                      <w:b/>
                                      <w:sz w:val="20"/>
                                    </w:rPr>
                                  </w:pPr>
                                  <w:r w:rsidRPr="002C4A92">
                                    <w:rPr>
                                      <w:rFonts w:ascii="Times New Roman" w:hAnsi="Times New Roman" w:cs="Times New Roman"/>
                                      <w:b/>
                                      <w:sz w:val="20"/>
                                    </w:rPr>
                                    <w:t>Q94,354.0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21C7F0" id="Text Box 54" o:spid="_x0000_s1069" type="#_x0000_t202" style="position:absolute;left:0;text-align:left;margin-left:-9.95pt;margin-top:14pt;width:58.85pt;height:31.9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" fillcolor="white [3201]" stroked="f" strokeweight=".5pt">
                      <v:textbox>
                        <w:txbxContent>
                          <w:p w14:paraId="760BA4FD" w14:textId="721191E9" w:rsidR="00062207" w:rsidRPr="002C4A92" w:rsidRDefault="00062207" w:rsidP="002C4A92">
                            <w:pPr>
                              <w:jc w:val="center"/>
                              <w:rPr>
                                <w:rFonts w:ascii="Times New Roman" w:hAnsi="Times New Roman" w:cs="Times New Roman"/>
                                <w:b/>
                                <w:sz w:val="20"/>
                              </w:rPr>
                            </w:pPr>
                            <w:r w:rsidRPr="002C4A92">
                              <w:rPr>
                                <w:rFonts w:ascii="Times New Roman" w:hAnsi="Times New Roman" w:cs="Times New Roman"/>
                                <w:b/>
                                <w:sz w:val="20"/>
                              </w:rPr>
                              <w:t>Total</w:t>
                            </w:r>
                          </w:p>
                          <w:p w14:paraId="27178438" w14:textId="2EEC4A92" w:rsidR="00062207" w:rsidRPr="002C4A92" w:rsidRDefault="00062207" w:rsidP="002C4A92">
                            <w:pPr>
                              <w:jc w:val="center"/>
                              <w:rPr>
                                <w:rFonts w:ascii="Times New Roman" w:hAnsi="Times New Roman" w:cs="Times New Roman"/>
                                <w:b/>
                                <w:sz w:val="20"/>
                              </w:rPr>
                            </w:pPr>
                            <w:r w:rsidRPr="002C4A92">
                              <w:rPr>
                                <w:rFonts w:ascii="Times New Roman" w:hAnsi="Times New Roman" w:cs="Times New Roman"/>
                                <w:b/>
                                <w:sz w:val="20"/>
                              </w:rPr>
                              <w:t>Q94,354.0</w:t>
                            </w:r>
                          </w:p>
                        </w:txbxContent>
                      </v:textbox>
                    </v:shape>
                  </w:pict>
                </mc:Fallback>
              </mc:AlternateContent>
            </w:r>
            <w:r w:rsidR="00305BC5" w:rsidRPr="00062207">
              <w:rPr>
                <w:rFonts w:ascii="Times New Roman" w:eastAsia="Times New Roman" w:hAnsi="Times New Roman" w:cs="Times New Roman"/>
                <w:sz w:val="22"/>
                <w:szCs w:val="22"/>
              </w:rPr>
              <w:t>Millones de quetzales y porcentajes</w:t>
            </w:r>
          </w:p>
          <w:p w14:paraId="6F71BDAF" w14:textId="3ADE8F5E" w:rsidR="00305BC5" w:rsidRPr="00062207" w:rsidRDefault="002C4A92" w:rsidP="00305BC5">
            <w:pPr>
              <w:jc w:val="both"/>
              <w:rPr>
                <w:rFonts w:ascii="Times New Roman" w:eastAsia="Times New Roman" w:hAnsi="Times New Roman" w:cs="Times New Roman"/>
                <w:sz w:val="22"/>
                <w:szCs w:val="22"/>
              </w:rPr>
            </w:pPr>
            <w:r w:rsidRPr="00062207">
              <w:rPr>
                <w:rFonts w:ascii="Times New Roman" w:eastAsia="Times New Roman" w:hAnsi="Times New Roman" w:cs="Times New Roman"/>
                <w:noProof/>
                <w:sz w:val="22"/>
                <w:szCs w:val="22"/>
                <w:lang w:val="es-GT" w:eastAsia="es-GT"/>
              </w:rPr>
              <w:drawing>
                <wp:anchor distT="0" distB="0" distL="114300" distR="114300" simplePos="0" relativeHeight="251777024" behindDoc="0" locked="0" layoutInCell="1" allowOverlap="1" wp14:anchorId="340E3F14" wp14:editId="23C70CF5">
                  <wp:simplePos x="0" y="0"/>
                  <wp:positionH relativeFrom="column">
                    <wp:posOffset>-64135</wp:posOffset>
                  </wp:positionH>
                  <wp:positionV relativeFrom="paragraph">
                    <wp:posOffset>173355</wp:posOffset>
                  </wp:positionV>
                  <wp:extent cx="2480310" cy="1914525"/>
                  <wp:effectExtent l="0" t="0" r="0" b="0"/>
                  <wp:wrapSquare wrapText="bothSides"/>
                  <wp:docPr id="53" name="Chart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page">
                    <wp14:pctWidth>0</wp14:pctWidth>
                  </wp14:sizeRelH>
                  <wp14:sizeRelV relativeFrom="page">
                    <wp14:pctHeight>0</wp14:pctHeight>
                  </wp14:sizeRelV>
                </wp:anchor>
              </w:drawing>
            </w:r>
          </w:p>
        </w:tc>
        <w:tc>
          <w:tcPr>
            <w:tcW w:w="5123" w:type="dxa"/>
          </w:tcPr>
          <w:p w14:paraId="7986C63A" w14:textId="7059C3CB" w:rsidR="00305BC5" w:rsidRPr="00062207" w:rsidRDefault="00C72862" w:rsidP="000059AF">
            <w:pPr>
              <w:jc w:val="both"/>
              <w:rPr>
                <w:rFonts w:ascii="Times New Roman" w:eastAsia="Times New Roman" w:hAnsi="Times New Roman" w:cs="Times New Roman"/>
                <w:sz w:val="22"/>
                <w:szCs w:val="22"/>
              </w:rPr>
            </w:pPr>
            <w:r w:rsidRPr="00062207">
              <w:rPr>
                <w:rFonts w:ascii="Times New Roman" w:eastAsia="Times New Roman" w:hAnsi="Times New Roman" w:cs="Times New Roman"/>
                <w:noProof/>
                <w:sz w:val="22"/>
                <w:szCs w:val="22"/>
                <w:lang w:val="es-GT" w:eastAsia="es-GT"/>
              </w:rPr>
              <mc:AlternateContent>
                <mc:Choice Requires="wps">
                  <w:drawing>
                    <wp:anchor distT="0" distB="0" distL="114300" distR="114300" simplePos="0" relativeHeight="251780096" behindDoc="0" locked="0" layoutInCell="1" allowOverlap="1" wp14:anchorId="6E8888DD" wp14:editId="39509EF7">
                      <wp:simplePos x="0" y="0"/>
                      <wp:positionH relativeFrom="column">
                        <wp:posOffset>2056585</wp:posOffset>
                      </wp:positionH>
                      <wp:positionV relativeFrom="paragraph">
                        <wp:posOffset>623248</wp:posOffset>
                      </wp:positionV>
                      <wp:extent cx="753508" cy="405517"/>
                      <wp:effectExtent l="0" t="0" r="8890" b="0"/>
                      <wp:wrapNone/>
                      <wp:docPr id="58" name="Text Box 58"/>
                      <wp:cNvGraphicFramePr/>
                      <a:graphic xmlns:a="http://schemas.openxmlformats.org/drawingml/2006/main">
                        <a:graphicData uri="http://schemas.microsoft.com/office/word/2010/wordprocessingShape">
                          <wps:wsp>
                            <wps:cNvSpPr txBox="1"/>
                            <wps:spPr>
                              <a:xfrm>
                                <a:off x="0" y="0"/>
                                <a:ext cx="753508" cy="405517"/>
                              </a:xfrm>
                              <a:prstGeom prst="rect">
                                <a:avLst/>
                              </a:prstGeom>
                              <a:solidFill>
                                <a:schemeClr val="bg1"/>
                              </a:solidFill>
                              <a:ln w="6350">
                                <a:noFill/>
                              </a:ln>
                            </wps:spPr>
                            <wps:txbx>
                              <w:txbxContent>
                                <w:p w14:paraId="6D45577B" w14:textId="77777777" w:rsidR="00062207" w:rsidRPr="002C4A92" w:rsidRDefault="00062207" w:rsidP="003B7FAD">
                                  <w:pPr>
                                    <w:jc w:val="center"/>
                                    <w:rPr>
                                      <w:rFonts w:ascii="Times New Roman" w:hAnsi="Times New Roman" w:cs="Times New Roman"/>
                                      <w:b/>
                                      <w:sz w:val="20"/>
                                    </w:rPr>
                                  </w:pPr>
                                  <w:r w:rsidRPr="002C4A92">
                                    <w:rPr>
                                      <w:rFonts w:ascii="Times New Roman" w:hAnsi="Times New Roman" w:cs="Times New Roman"/>
                                      <w:b/>
                                      <w:sz w:val="20"/>
                                    </w:rPr>
                                    <w:t>Total</w:t>
                                  </w:r>
                                </w:p>
                                <w:p w14:paraId="183A0492" w14:textId="77777777" w:rsidR="00062207" w:rsidRPr="002C4A92" w:rsidRDefault="00062207" w:rsidP="003B7FAD">
                                  <w:pPr>
                                    <w:jc w:val="center"/>
                                    <w:rPr>
                                      <w:rFonts w:ascii="Times New Roman" w:hAnsi="Times New Roman" w:cs="Times New Roman"/>
                                      <w:b/>
                                      <w:sz w:val="20"/>
                                    </w:rPr>
                                  </w:pPr>
                                  <w:r w:rsidRPr="002C4A92">
                                    <w:rPr>
                                      <w:rFonts w:ascii="Times New Roman" w:hAnsi="Times New Roman" w:cs="Times New Roman"/>
                                      <w:b/>
                                      <w:sz w:val="20"/>
                                    </w:rPr>
                                    <w:t>Q94,354.0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8888DD" id="Text Box 58" o:spid="_x0000_s1070" type="#_x0000_t202" style="position:absolute;left:0;text-align:left;margin-left:161.95pt;margin-top:49.05pt;width:59.35pt;height:31.9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" fillcolor="white [3212]" stroked="f" strokeweight=".5pt">
                      <v:textbox>
                        <w:txbxContent>
                          <w:p w14:paraId="6D45577B" w14:textId="77777777" w:rsidR="00062207" w:rsidRPr="002C4A92" w:rsidRDefault="00062207" w:rsidP="003B7FAD">
                            <w:pPr>
                              <w:jc w:val="center"/>
                              <w:rPr>
                                <w:rFonts w:ascii="Times New Roman" w:hAnsi="Times New Roman" w:cs="Times New Roman"/>
                                <w:b/>
                                <w:sz w:val="20"/>
                              </w:rPr>
                            </w:pPr>
                            <w:r w:rsidRPr="002C4A92">
                              <w:rPr>
                                <w:rFonts w:ascii="Times New Roman" w:hAnsi="Times New Roman" w:cs="Times New Roman"/>
                                <w:b/>
                                <w:sz w:val="20"/>
                              </w:rPr>
                              <w:t>Total</w:t>
                            </w:r>
                          </w:p>
                          <w:p w14:paraId="183A0492" w14:textId="77777777" w:rsidR="00062207" w:rsidRPr="002C4A92" w:rsidRDefault="00062207" w:rsidP="003B7FAD">
                            <w:pPr>
                              <w:jc w:val="center"/>
                              <w:rPr>
                                <w:rFonts w:ascii="Times New Roman" w:hAnsi="Times New Roman" w:cs="Times New Roman"/>
                                <w:b/>
                                <w:sz w:val="20"/>
                              </w:rPr>
                            </w:pPr>
                            <w:r w:rsidRPr="002C4A92">
                              <w:rPr>
                                <w:rFonts w:ascii="Times New Roman" w:hAnsi="Times New Roman" w:cs="Times New Roman"/>
                                <w:b/>
                                <w:sz w:val="20"/>
                              </w:rPr>
                              <w:t>Q94,354.0</w:t>
                            </w:r>
                          </w:p>
                        </w:txbxContent>
                      </v:textbox>
                    </v:shape>
                  </w:pict>
                </mc:Fallback>
              </mc:AlternateContent>
            </w:r>
            <w:r w:rsidR="002C4A92" w:rsidRPr="00062207">
              <w:rPr>
                <w:rFonts w:ascii="Times New Roman" w:eastAsia="Times New Roman" w:hAnsi="Times New Roman" w:cs="Times New Roman"/>
                <w:noProof/>
                <w:sz w:val="22"/>
                <w:szCs w:val="22"/>
                <w:lang w:val="es-GT" w:eastAsia="es-GT"/>
              </w:rPr>
              <w:drawing>
                <wp:inline distT="0" distB="0" distL="0" distR="0" wp14:anchorId="61F29E9A" wp14:editId="17C4736E">
                  <wp:extent cx="2814320" cy="2571750"/>
                  <wp:effectExtent l="0" t="0" r="5080" b="0"/>
                  <wp:docPr id="56"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c>
      </w:tr>
    </w:tbl>
    <w:p w14:paraId="285199E7" w14:textId="3EB92E91" w:rsidR="00305BC5" w:rsidRPr="00062207" w:rsidRDefault="00EE3A5F" w:rsidP="000059AF">
      <w:pPr>
        <w:jc w:val="both"/>
        <w:rPr>
          <w:rFonts w:ascii="Times New Roman" w:eastAsia="Times New Roman" w:hAnsi="Times New Roman" w:cs="Times New Roman"/>
          <w:sz w:val="18"/>
          <w:szCs w:val="22"/>
        </w:rPr>
      </w:pPr>
      <w:r w:rsidRPr="00062207">
        <w:rPr>
          <w:rFonts w:ascii="Times New Roman" w:eastAsia="Times New Roman" w:hAnsi="Times New Roman" w:cs="Times New Roman"/>
          <w:noProof/>
          <w:sz w:val="22"/>
          <w:szCs w:val="22"/>
          <w:lang w:val="es-GT" w:eastAsia="es-GT"/>
        </w:rPr>
        <mc:AlternateContent>
          <mc:Choice Requires="wps">
            <w:drawing>
              <wp:anchor distT="0" distB="0" distL="114300" distR="114300" simplePos="0" relativeHeight="251668479" behindDoc="0" locked="0" layoutInCell="1" allowOverlap="1" wp14:anchorId="5B3483FE" wp14:editId="16D3BA67">
                <wp:simplePos x="0" y="0"/>
                <wp:positionH relativeFrom="column">
                  <wp:posOffset>3128645</wp:posOffset>
                </wp:positionH>
                <wp:positionV relativeFrom="paragraph">
                  <wp:posOffset>-2707005</wp:posOffset>
                </wp:positionV>
                <wp:extent cx="2670810" cy="647700"/>
                <wp:effectExtent l="0" t="0" r="0" b="0"/>
                <wp:wrapNone/>
                <wp:docPr id="57" name="Text Box 57"/>
                <wp:cNvGraphicFramePr/>
                <a:graphic xmlns:a="http://schemas.openxmlformats.org/drawingml/2006/main">
                  <a:graphicData uri="http://schemas.microsoft.com/office/word/2010/wordprocessingShape">
                    <wps:wsp>
                      <wps:cNvSpPr txBox="1"/>
                      <wps:spPr>
                        <a:xfrm>
                          <a:off x="0" y="0"/>
                          <a:ext cx="2670810" cy="647700"/>
                        </a:xfrm>
                        <a:prstGeom prst="rect">
                          <a:avLst/>
                        </a:prstGeom>
                        <a:solidFill>
                          <a:schemeClr val="lt1"/>
                        </a:solidFill>
                        <a:ln w="6350">
                          <a:noFill/>
                        </a:ln>
                      </wps:spPr>
                      <wps:txbx>
                        <w:txbxContent>
                          <w:p w14:paraId="40763D7B" w14:textId="20596240" w:rsidR="00062207" w:rsidRPr="00EE3A5F" w:rsidRDefault="00062207" w:rsidP="003B7FAD">
                            <w:pPr>
                              <w:jc w:val="center"/>
                              <w:rPr>
                                <w:rFonts w:ascii="Times New Roman" w:hAnsi="Times New Roman" w:cs="Times New Roman"/>
                                <w:b/>
                              </w:rPr>
                            </w:pPr>
                            <w:r w:rsidRPr="00EE3A5F">
                              <w:rPr>
                                <w:rFonts w:ascii="Times New Roman" w:hAnsi="Times New Roman" w:cs="Times New Roman"/>
                                <w:b/>
                              </w:rPr>
                              <w:t>Origen de los recursos para el financiamiento del presupuesto</w:t>
                            </w:r>
                          </w:p>
                          <w:p w14:paraId="201AE9AC" w14:textId="1EABB4F0" w:rsidR="00062207" w:rsidRPr="003B7FAD" w:rsidRDefault="00062207" w:rsidP="003B7FAD">
                            <w:pPr>
                              <w:jc w:val="center"/>
                              <w:rPr>
                                <w:rFonts w:ascii="Times New Roman" w:hAnsi="Times New Roman" w:cs="Times New Roman"/>
                                <w:sz w:val="22"/>
                              </w:rPr>
                            </w:pPr>
                            <w:r w:rsidRPr="003B7FAD">
                              <w:rPr>
                                <w:rFonts w:ascii="Times New Roman" w:hAnsi="Times New Roman" w:cs="Times New Roman"/>
                                <w:sz w:val="22"/>
                              </w:rPr>
                              <w:t xml:space="preserve">Cifras en millones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3483FE" id="Text Box 57" o:spid="_x0000_s1071" type="#_x0000_t202" style="position:absolute;left:0;text-align:left;margin-left:246.35pt;margin-top:-213.15pt;width:210.3pt;height:51pt;z-index:251668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" fillcolor="white [3201]" stroked="f" strokeweight=".5pt">
                <v:textbox>
                  <w:txbxContent>
                    <w:p w14:paraId="40763D7B" w14:textId="20596240" w:rsidR="00062207" w:rsidRPr="00EE3A5F" w:rsidRDefault="00062207" w:rsidP="003B7FAD">
                      <w:pPr>
                        <w:jc w:val="center"/>
                        <w:rPr>
                          <w:rFonts w:ascii="Times New Roman" w:hAnsi="Times New Roman" w:cs="Times New Roman"/>
                          <w:b/>
                        </w:rPr>
                      </w:pPr>
                      <w:r w:rsidRPr="00EE3A5F">
                        <w:rPr>
                          <w:rFonts w:ascii="Times New Roman" w:hAnsi="Times New Roman" w:cs="Times New Roman"/>
                          <w:b/>
                        </w:rPr>
                        <w:t>Origen de los recursos para el financiamiento del presupuesto</w:t>
                      </w:r>
                    </w:p>
                    <w:p w14:paraId="201AE9AC" w14:textId="1EABB4F0" w:rsidR="00062207" w:rsidRPr="003B7FAD" w:rsidRDefault="00062207" w:rsidP="003B7FAD">
                      <w:pPr>
                        <w:jc w:val="center"/>
                        <w:rPr>
                          <w:rFonts w:ascii="Times New Roman" w:hAnsi="Times New Roman" w:cs="Times New Roman"/>
                          <w:sz w:val="22"/>
                        </w:rPr>
                      </w:pPr>
                      <w:r w:rsidRPr="003B7FAD">
                        <w:rPr>
                          <w:rFonts w:ascii="Times New Roman" w:hAnsi="Times New Roman" w:cs="Times New Roman"/>
                          <w:sz w:val="22"/>
                        </w:rPr>
                        <w:t xml:space="preserve">Cifras en millones </w:t>
                      </w:r>
                    </w:p>
                  </w:txbxContent>
                </v:textbox>
              </v:shape>
            </w:pict>
          </mc:Fallback>
        </mc:AlternateContent>
      </w:r>
      <w:r w:rsidR="003B7FAD" w:rsidRPr="00062207">
        <w:rPr>
          <w:rFonts w:ascii="Times New Roman" w:eastAsia="Times New Roman" w:hAnsi="Times New Roman" w:cs="Times New Roman"/>
          <w:sz w:val="18"/>
          <w:szCs w:val="22"/>
        </w:rPr>
        <w:t>Fuente: Ministerio de Finanzas Públicas</w:t>
      </w:r>
    </w:p>
    <w:p w14:paraId="440EFFBB" w14:textId="417F9C4D" w:rsidR="00337720" w:rsidRPr="00062207" w:rsidRDefault="00337720" w:rsidP="000059AF">
      <w:pPr>
        <w:jc w:val="both"/>
        <w:rPr>
          <w:rFonts w:ascii="Times New Roman" w:eastAsia="Times New Roman" w:hAnsi="Times New Roman" w:cs="Times New Roman"/>
          <w:sz w:val="22"/>
          <w:szCs w:val="22"/>
        </w:rPr>
      </w:pPr>
    </w:p>
    <w:p w14:paraId="579C1069" w14:textId="45673480" w:rsidR="00337720" w:rsidRPr="00062207" w:rsidRDefault="000869A1" w:rsidP="000059AF">
      <w:pPr>
        <w:jc w:val="both"/>
        <w:rPr>
          <w:rFonts w:ascii="Times New Roman" w:eastAsia="Times New Roman" w:hAnsi="Times New Roman" w:cs="Times New Roman"/>
          <w:sz w:val="22"/>
          <w:szCs w:val="22"/>
        </w:rPr>
      </w:pPr>
      <w:r w:rsidRPr="00062207">
        <w:rPr>
          <w:rFonts w:ascii="Times New Roman" w:eastAsia="Times New Roman" w:hAnsi="Times New Roman" w:cs="Times New Roman"/>
          <w:sz w:val="22"/>
          <w:szCs w:val="22"/>
        </w:rPr>
        <w:t>El presupuesto operativo 2021 refleja la priorización del gobierno en acciones estratégicas tales como:</w:t>
      </w:r>
    </w:p>
    <w:p w14:paraId="2355FED9" w14:textId="77777777" w:rsidR="000869A1" w:rsidRPr="00062207" w:rsidRDefault="000869A1" w:rsidP="000059AF">
      <w:pPr>
        <w:jc w:val="both"/>
        <w:rPr>
          <w:rFonts w:ascii="Times New Roman" w:eastAsia="Times New Roman" w:hAnsi="Times New Roman" w:cs="Times New Roman"/>
          <w:sz w:val="22"/>
          <w:szCs w:val="22"/>
        </w:rPr>
      </w:pPr>
    </w:p>
    <w:p w14:paraId="4C0FFCCB" w14:textId="3442E0B1" w:rsidR="000869A1" w:rsidRPr="00062207" w:rsidRDefault="000869A1" w:rsidP="0064104D">
      <w:pPr>
        <w:pStyle w:val="Prrafodelista"/>
        <w:numPr>
          <w:ilvl w:val="0"/>
          <w:numId w:val="6"/>
        </w:numPr>
        <w:jc w:val="both"/>
        <w:rPr>
          <w:rFonts w:ascii="Times New Roman" w:eastAsia="Times New Roman" w:hAnsi="Times New Roman" w:cs="Times New Roman"/>
        </w:rPr>
      </w:pPr>
      <w:r w:rsidRPr="00062207">
        <w:rPr>
          <w:rFonts w:ascii="Times New Roman" w:eastAsia="Times New Roman" w:hAnsi="Times New Roman" w:cs="Times New Roman"/>
        </w:rPr>
        <w:t>La reconstrucción nacional tras el paso de las tormentas tropicales</w:t>
      </w:r>
    </w:p>
    <w:p w14:paraId="04B2BC06" w14:textId="58E21968" w:rsidR="000869A1" w:rsidRPr="00062207" w:rsidRDefault="000869A1" w:rsidP="0064104D">
      <w:pPr>
        <w:pStyle w:val="Prrafodelista"/>
        <w:numPr>
          <w:ilvl w:val="0"/>
          <w:numId w:val="6"/>
        </w:numPr>
        <w:jc w:val="both"/>
        <w:rPr>
          <w:rFonts w:ascii="Times New Roman" w:eastAsia="Times New Roman" w:hAnsi="Times New Roman" w:cs="Times New Roman"/>
        </w:rPr>
      </w:pPr>
      <w:r w:rsidRPr="00062207">
        <w:rPr>
          <w:rFonts w:ascii="Times New Roman" w:eastAsia="Times New Roman" w:hAnsi="Times New Roman" w:cs="Times New Roman"/>
        </w:rPr>
        <w:t>La reactivación económica, atracción de inversiones y generación de empleos</w:t>
      </w:r>
    </w:p>
    <w:p w14:paraId="74F57D33" w14:textId="348C97A5" w:rsidR="000869A1" w:rsidRPr="00062207" w:rsidRDefault="000869A1" w:rsidP="0064104D">
      <w:pPr>
        <w:pStyle w:val="Prrafodelista"/>
        <w:numPr>
          <w:ilvl w:val="0"/>
          <w:numId w:val="6"/>
        </w:numPr>
        <w:jc w:val="both"/>
        <w:rPr>
          <w:rFonts w:ascii="Times New Roman" w:eastAsia="Times New Roman" w:hAnsi="Times New Roman" w:cs="Times New Roman"/>
        </w:rPr>
      </w:pPr>
      <w:r w:rsidRPr="00062207">
        <w:rPr>
          <w:rFonts w:ascii="Times New Roman" w:eastAsia="Times New Roman" w:hAnsi="Times New Roman" w:cs="Times New Roman"/>
        </w:rPr>
        <w:t>La compra de la vacuna y otras acciones necesarias para atender la emergencia ocasionada por la pandemia COVID-19.</w:t>
      </w:r>
    </w:p>
    <w:p w14:paraId="10A25D8D" w14:textId="7885BAAC" w:rsidR="000869A1" w:rsidRPr="00062207" w:rsidRDefault="000869A1" w:rsidP="0064104D">
      <w:pPr>
        <w:pStyle w:val="Prrafodelista"/>
        <w:numPr>
          <w:ilvl w:val="0"/>
          <w:numId w:val="6"/>
        </w:numPr>
        <w:jc w:val="both"/>
        <w:rPr>
          <w:rFonts w:ascii="Times New Roman" w:eastAsia="Times New Roman" w:hAnsi="Times New Roman" w:cs="Times New Roman"/>
        </w:rPr>
      </w:pPr>
      <w:r w:rsidRPr="00062207">
        <w:rPr>
          <w:rFonts w:ascii="Times New Roman" w:eastAsia="Times New Roman" w:hAnsi="Times New Roman" w:cs="Times New Roman"/>
        </w:rPr>
        <w:t>Atención integral al combate a la desnutrición</w:t>
      </w:r>
    </w:p>
    <w:p w14:paraId="3D57450E" w14:textId="5609F546" w:rsidR="000869A1" w:rsidRPr="00062207" w:rsidRDefault="000869A1" w:rsidP="0064104D">
      <w:pPr>
        <w:pStyle w:val="Prrafodelista"/>
        <w:numPr>
          <w:ilvl w:val="0"/>
          <w:numId w:val="6"/>
        </w:numPr>
        <w:jc w:val="both"/>
        <w:rPr>
          <w:rFonts w:ascii="Times New Roman" w:eastAsia="Times New Roman" w:hAnsi="Times New Roman" w:cs="Times New Roman"/>
        </w:rPr>
      </w:pPr>
      <w:r w:rsidRPr="00062207">
        <w:rPr>
          <w:rFonts w:ascii="Times New Roman" w:eastAsia="Times New Roman" w:hAnsi="Times New Roman" w:cs="Times New Roman"/>
        </w:rPr>
        <w:t>Fortalecimiento del sector justicia y de las instituciones de seguridad</w:t>
      </w:r>
    </w:p>
    <w:p w14:paraId="57135C04" w14:textId="606A343C" w:rsidR="000869A1" w:rsidRPr="00062207" w:rsidRDefault="000869A1" w:rsidP="0064104D">
      <w:pPr>
        <w:pStyle w:val="Prrafodelista"/>
        <w:numPr>
          <w:ilvl w:val="0"/>
          <w:numId w:val="6"/>
        </w:numPr>
        <w:jc w:val="both"/>
        <w:rPr>
          <w:rFonts w:ascii="Times New Roman" w:eastAsia="Times New Roman" w:hAnsi="Times New Roman" w:cs="Times New Roman"/>
        </w:rPr>
      </w:pPr>
      <w:r w:rsidRPr="00062207">
        <w:rPr>
          <w:rFonts w:ascii="Times New Roman" w:eastAsia="Times New Roman" w:hAnsi="Times New Roman" w:cs="Times New Roman"/>
        </w:rPr>
        <w:t xml:space="preserve">Construcción de infraestructura estratégica </w:t>
      </w:r>
    </w:p>
    <w:p w14:paraId="6562C320" w14:textId="50D272D4" w:rsidR="000869A1" w:rsidRPr="00062207" w:rsidRDefault="000869A1" w:rsidP="0064104D">
      <w:pPr>
        <w:pStyle w:val="Prrafodelista"/>
        <w:numPr>
          <w:ilvl w:val="0"/>
          <w:numId w:val="6"/>
        </w:numPr>
        <w:jc w:val="both"/>
        <w:rPr>
          <w:rFonts w:ascii="Times New Roman" w:eastAsia="Times New Roman" w:hAnsi="Times New Roman" w:cs="Times New Roman"/>
        </w:rPr>
      </w:pPr>
      <w:r w:rsidRPr="00062207">
        <w:rPr>
          <w:rFonts w:ascii="Times New Roman" w:eastAsia="Times New Roman" w:hAnsi="Times New Roman" w:cs="Times New Roman"/>
        </w:rPr>
        <w:t>Educación</w:t>
      </w:r>
    </w:p>
    <w:p w14:paraId="0FCB54F3" w14:textId="2781020F" w:rsidR="000869A1" w:rsidRPr="00062207" w:rsidRDefault="000869A1" w:rsidP="0064104D">
      <w:pPr>
        <w:pStyle w:val="Prrafodelista"/>
        <w:numPr>
          <w:ilvl w:val="0"/>
          <w:numId w:val="6"/>
        </w:numPr>
        <w:jc w:val="both"/>
        <w:rPr>
          <w:rFonts w:ascii="Times New Roman" w:eastAsia="Times New Roman" w:hAnsi="Times New Roman" w:cs="Times New Roman"/>
        </w:rPr>
      </w:pPr>
      <w:r w:rsidRPr="00062207">
        <w:rPr>
          <w:rFonts w:ascii="Times New Roman" w:eastAsia="Times New Roman" w:hAnsi="Times New Roman" w:cs="Times New Roman"/>
        </w:rPr>
        <w:t xml:space="preserve">Fortalecimiento de los mecanismos de transparencia y rendición de cuentas </w:t>
      </w:r>
    </w:p>
    <w:p w14:paraId="1B38BD43" w14:textId="77777777" w:rsidR="000869A1" w:rsidRPr="00062207" w:rsidRDefault="000869A1" w:rsidP="000869A1">
      <w:pPr>
        <w:pStyle w:val="Prrafodelista"/>
        <w:jc w:val="both"/>
        <w:rPr>
          <w:rFonts w:ascii="Times New Roman" w:eastAsia="Times New Roman" w:hAnsi="Times New Roman" w:cs="Times New Roman"/>
        </w:rPr>
      </w:pPr>
    </w:p>
    <w:p w14:paraId="11B46875" w14:textId="77777777" w:rsidR="000869A1" w:rsidRPr="00062207" w:rsidRDefault="000869A1" w:rsidP="000059AF">
      <w:pPr>
        <w:jc w:val="both"/>
        <w:rPr>
          <w:rFonts w:ascii="Times New Roman" w:eastAsia="Times New Roman" w:hAnsi="Times New Roman" w:cs="Times New Roman"/>
          <w:sz w:val="22"/>
          <w:szCs w:val="22"/>
        </w:rPr>
      </w:pPr>
    </w:p>
    <w:p w14:paraId="43B460BD" w14:textId="7A3D034C" w:rsidR="000059AF" w:rsidRPr="00062207" w:rsidRDefault="00066773" w:rsidP="000059AF">
      <w:pPr>
        <w:jc w:val="both"/>
        <w:rPr>
          <w:rFonts w:ascii="Times New Roman" w:eastAsia="Times New Roman" w:hAnsi="Times New Roman" w:cs="Times New Roman"/>
          <w:sz w:val="22"/>
          <w:szCs w:val="22"/>
        </w:rPr>
      </w:pPr>
      <w:r w:rsidRPr="00062207">
        <w:rPr>
          <w:rFonts w:ascii="Times New Roman" w:eastAsia="Times New Roman" w:hAnsi="Times New Roman" w:cs="Times New Roman"/>
          <w:sz w:val="22"/>
          <w:szCs w:val="22"/>
        </w:rPr>
        <w:t xml:space="preserve">El </w:t>
      </w:r>
      <w:r w:rsidR="000059AF" w:rsidRPr="00062207">
        <w:rPr>
          <w:rFonts w:ascii="Times New Roman" w:eastAsia="Times New Roman" w:hAnsi="Times New Roman" w:cs="Times New Roman"/>
          <w:sz w:val="22"/>
          <w:szCs w:val="22"/>
        </w:rPr>
        <w:t xml:space="preserve">artículo 28 “Medidas de Ajuste Presupuestario” de la Ley Orgánica del Presupuesto, faculta al Ministerio de Finanzas Públicas a realizar los ajustes que se consideren pertinentes en el presupuesto, incluyendo el recorte e inmovilización de créditos o el cambio de fuentes de financiamiento </w:t>
      </w:r>
      <w:r w:rsidRPr="00062207">
        <w:rPr>
          <w:rFonts w:ascii="Times New Roman" w:eastAsia="Times New Roman" w:hAnsi="Times New Roman" w:cs="Times New Roman"/>
          <w:sz w:val="22"/>
          <w:szCs w:val="22"/>
        </w:rPr>
        <w:t>de asignaciones presupuestarias</w:t>
      </w:r>
      <w:r w:rsidR="00A556AF" w:rsidRPr="00062207">
        <w:rPr>
          <w:rFonts w:ascii="Times New Roman" w:eastAsia="Times New Roman" w:hAnsi="Times New Roman" w:cs="Times New Roman"/>
          <w:sz w:val="22"/>
          <w:szCs w:val="22"/>
        </w:rPr>
        <w:t>.</w:t>
      </w:r>
    </w:p>
    <w:p w14:paraId="3EA17FF4" w14:textId="39B4244F" w:rsidR="00A556AF" w:rsidRPr="00062207" w:rsidRDefault="00A556AF" w:rsidP="000059AF">
      <w:pPr>
        <w:jc w:val="both"/>
        <w:rPr>
          <w:rFonts w:ascii="Times New Roman" w:eastAsia="Times New Roman" w:hAnsi="Times New Roman" w:cs="Times New Roman"/>
          <w:sz w:val="22"/>
          <w:szCs w:val="22"/>
        </w:rPr>
      </w:pPr>
    </w:p>
    <w:p w14:paraId="4F162810" w14:textId="42397207" w:rsidR="009273D9" w:rsidRPr="00062207" w:rsidRDefault="009273D9" w:rsidP="009273D9">
      <w:pPr>
        <w:jc w:val="both"/>
        <w:rPr>
          <w:rFonts w:ascii="Times New Roman" w:eastAsia="Times New Roman" w:hAnsi="Times New Roman" w:cs="Times New Roman"/>
          <w:sz w:val="22"/>
          <w:szCs w:val="22"/>
        </w:rPr>
      </w:pPr>
      <w:r w:rsidRPr="00062207">
        <w:rPr>
          <w:rFonts w:ascii="Times New Roman" w:eastAsia="Times New Roman" w:hAnsi="Times New Roman" w:cs="Times New Roman"/>
          <w:sz w:val="22"/>
          <w:szCs w:val="22"/>
        </w:rPr>
        <w:t>Entre los elementos más importantes que influenciaron la ejecución de gasto en 202</w:t>
      </w:r>
      <w:r w:rsidR="00A556AF" w:rsidRPr="00062207">
        <w:rPr>
          <w:rFonts w:ascii="Times New Roman" w:eastAsia="Times New Roman" w:hAnsi="Times New Roman" w:cs="Times New Roman"/>
          <w:sz w:val="22"/>
          <w:szCs w:val="22"/>
        </w:rPr>
        <w:t>1</w:t>
      </w:r>
      <w:r w:rsidRPr="00062207">
        <w:rPr>
          <w:rFonts w:ascii="Times New Roman" w:eastAsia="Times New Roman" w:hAnsi="Times New Roman" w:cs="Times New Roman"/>
          <w:sz w:val="22"/>
          <w:szCs w:val="22"/>
        </w:rPr>
        <w:t>, destacan:</w:t>
      </w:r>
    </w:p>
    <w:p w14:paraId="200BCE53" w14:textId="77777777" w:rsidR="009273D9" w:rsidRPr="00062207" w:rsidRDefault="009273D9" w:rsidP="009273D9">
      <w:pPr>
        <w:contextualSpacing/>
        <w:jc w:val="both"/>
        <w:rPr>
          <w:rFonts w:ascii="Times New Roman" w:eastAsia="Calibri" w:hAnsi="Times New Roman" w:cs="Times New Roman"/>
          <w:sz w:val="22"/>
          <w:szCs w:val="22"/>
        </w:rPr>
      </w:pPr>
    </w:p>
    <w:p w14:paraId="24723151" w14:textId="209D18BA" w:rsidR="00E607C4" w:rsidRPr="00062207" w:rsidRDefault="00E607C4" w:rsidP="0064104D">
      <w:pPr>
        <w:pStyle w:val="Prrafodelista"/>
        <w:numPr>
          <w:ilvl w:val="0"/>
          <w:numId w:val="5"/>
        </w:numPr>
        <w:ind w:left="360"/>
        <w:jc w:val="both"/>
        <w:rPr>
          <w:rFonts w:ascii="Times New Roman" w:eastAsia="Times New Roman" w:hAnsi="Times New Roman" w:cs="Times New Roman"/>
        </w:rPr>
      </w:pPr>
      <w:r w:rsidRPr="00062207">
        <w:rPr>
          <w:rFonts w:ascii="Times New Roman" w:eastAsia="Times New Roman" w:hAnsi="Times New Roman" w:cs="Times New Roman"/>
        </w:rPr>
        <w:t>Desde principio de año se conocía que el comportamiento</w:t>
      </w:r>
      <w:r w:rsidR="009273D9" w:rsidRPr="00062207">
        <w:rPr>
          <w:rFonts w:ascii="Times New Roman" w:eastAsia="Times New Roman" w:hAnsi="Times New Roman" w:cs="Times New Roman"/>
        </w:rPr>
        <w:t xml:space="preserve"> interanual</w:t>
      </w:r>
      <w:r w:rsidR="004F692E" w:rsidRPr="00062207">
        <w:rPr>
          <w:rFonts w:ascii="Times New Roman" w:eastAsia="Times New Roman" w:hAnsi="Times New Roman" w:cs="Times New Roman"/>
        </w:rPr>
        <w:t xml:space="preserve"> </w:t>
      </w:r>
      <w:r w:rsidR="009273D9" w:rsidRPr="00062207">
        <w:rPr>
          <w:rFonts w:ascii="Times New Roman" w:eastAsia="Times New Roman" w:hAnsi="Times New Roman" w:cs="Times New Roman"/>
        </w:rPr>
        <w:t>del gasto público</w:t>
      </w:r>
      <w:r w:rsidRPr="00062207">
        <w:rPr>
          <w:rFonts w:ascii="Times New Roman" w:eastAsia="Times New Roman" w:hAnsi="Times New Roman" w:cs="Times New Roman"/>
        </w:rPr>
        <w:t xml:space="preserve"> sería negativo</w:t>
      </w:r>
      <w:r w:rsidR="009273D9" w:rsidRPr="00062207">
        <w:rPr>
          <w:rFonts w:ascii="Times New Roman" w:eastAsia="Times New Roman" w:hAnsi="Times New Roman" w:cs="Times New Roman"/>
        </w:rPr>
        <w:t xml:space="preserve">, lo cual estuvo asociado a </w:t>
      </w:r>
      <w:r w:rsidRPr="00062207">
        <w:rPr>
          <w:rFonts w:ascii="Times New Roman" w:eastAsia="Times New Roman" w:hAnsi="Times New Roman" w:cs="Times New Roman"/>
        </w:rPr>
        <w:t>un presupuesto operativo de Q94,354.0 millones, con lo cual la ejecución quedaría por debajo de lo observado en 2020 cuando la ejecución fue de Q96,625.4 millones, es decir, si se hubiera ejecutado el 100% del presupuesto operativo, la ejecución hubiera sido menor en Q2,271.4 millones.</w:t>
      </w:r>
    </w:p>
    <w:p w14:paraId="46DC8212" w14:textId="77777777" w:rsidR="00E607C4" w:rsidRPr="00062207" w:rsidRDefault="00E607C4" w:rsidP="001D1E9F">
      <w:pPr>
        <w:pStyle w:val="Prrafodelista"/>
        <w:ind w:left="360"/>
        <w:jc w:val="both"/>
        <w:rPr>
          <w:rFonts w:ascii="Times New Roman" w:eastAsia="Times New Roman" w:hAnsi="Times New Roman" w:cs="Times New Roman"/>
        </w:rPr>
      </w:pPr>
    </w:p>
    <w:p w14:paraId="586B74FC" w14:textId="77777777" w:rsidR="00411D04" w:rsidRPr="00062207" w:rsidRDefault="002F419E" w:rsidP="0064104D">
      <w:pPr>
        <w:pStyle w:val="Prrafodelista"/>
        <w:numPr>
          <w:ilvl w:val="0"/>
          <w:numId w:val="5"/>
        </w:numPr>
        <w:ind w:left="360"/>
        <w:jc w:val="both"/>
        <w:rPr>
          <w:rFonts w:ascii="Times New Roman" w:eastAsia="Calibri" w:hAnsi="Times New Roman" w:cs="Times New Roman"/>
        </w:rPr>
      </w:pPr>
      <w:r w:rsidRPr="00062207">
        <w:rPr>
          <w:rFonts w:ascii="Times New Roman" w:eastAsia="Times New Roman" w:hAnsi="Times New Roman" w:cs="Times New Roman"/>
        </w:rPr>
        <w:lastRenderedPageBreak/>
        <w:t xml:space="preserve">En 2020 la dinámica del gasto público estuvo influencia en gran medida por la crisis sanitaria y económica del COVID-19 en Guatemala, en 2021 el gasto público destinado a la atención del COVID-19 fue significativamente menor, enfocado en </w:t>
      </w:r>
      <w:r w:rsidR="00874721" w:rsidRPr="00062207">
        <w:rPr>
          <w:rFonts w:ascii="Times New Roman" w:eastAsia="Times New Roman" w:hAnsi="Times New Roman" w:cs="Times New Roman"/>
        </w:rPr>
        <w:t xml:space="preserve">el proceso de </w:t>
      </w:r>
      <w:r w:rsidRPr="00062207">
        <w:rPr>
          <w:rFonts w:ascii="Times New Roman" w:eastAsia="Times New Roman" w:hAnsi="Times New Roman" w:cs="Times New Roman"/>
        </w:rPr>
        <w:t>vacunaci</w:t>
      </w:r>
      <w:r w:rsidR="00874721" w:rsidRPr="00062207">
        <w:rPr>
          <w:rFonts w:ascii="Times New Roman" w:eastAsia="Times New Roman" w:hAnsi="Times New Roman" w:cs="Times New Roman"/>
        </w:rPr>
        <w:t xml:space="preserve">ón, kits de medicamentos y atención a hospitales y centros temporales de atención al COVID-19. </w:t>
      </w:r>
    </w:p>
    <w:p w14:paraId="06C7530C" w14:textId="77777777" w:rsidR="00411D04" w:rsidRPr="00062207" w:rsidRDefault="00411D04" w:rsidP="001D1E9F">
      <w:pPr>
        <w:pStyle w:val="Prrafodelista"/>
        <w:ind w:left="360"/>
        <w:rPr>
          <w:rFonts w:ascii="Times New Roman" w:eastAsia="Calibri" w:hAnsi="Times New Roman" w:cs="Times New Roman"/>
        </w:rPr>
      </w:pPr>
    </w:p>
    <w:p w14:paraId="0444792E" w14:textId="77777777" w:rsidR="004B5580" w:rsidRPr="00062207" w:rsidRDefault="009273D9" w:rsidP="0064104D">
      <w:pPr>
        <w:pStyle w:val="Prrafodelista"/>
        <w:numPr>
          <w:ilvl w:val="0"/>
          <w:numId w:val="5"/>
        </w:numPr>
        <w:ind w:left="360"/>
        <w:jc w:val="both"/>
        <w:rPr>
          <w:rFonts w:ascii="Times New Roman" w:eastAsia="Calibri" w:hAnsi="Times New Roman" w:cs="Times New Roman"/>
        </w:rPr>
      </w:pPr>
      <w:r w:rsidRPr="00062207">
        <w:rPr>
          <w:rFonts w:ascii="Times New Roman" w:eastAsia="Calibri" w:hAnsi="Times New Roman" w:cs="Times New Roman"/>
        </w:rPr>
        <w:t xml:space="preserve">La recaudación tributaria </w:t>
      </w:r>
      <w:r w:rsidR="00411D04" w:rsidRPr="00062207">
        <w:rPr>
          <w:rFonts w:ascii="Times New Roman" w:eastAsia="Calibri" w:hAnsi="Times New Roman" w:cs="Times New Roman"/>
        </w:rPr>
        <w:t xml:space="preserve">fue mayor a </w:t>
      </w:r>
      <w:r w:rsidRPr="00062207">
        <w:rPr>
          <w:rFonts w:ascii="Times New Roman" w:eastAsia="Calibri" w:hAnsi="Times New Roman" w:cs="Times New Roman"/>
        </w:rPr>
        <w:t>la meta prevista en el presupuesto</w:t>
      </w:r>
      <w:r w:rsidR="00337720" w:rsidRPr="00062207">
        <w:rPr>
          <w:rFonts w:ascii="Times New Roman" w:eastAsia="Calibri" w:hAnsi="Times New Roman" w:cs="Times New Roman"/>
        </w:rPr>
        <w:t xml:space="preserve"> para todos los meses del año</w:t>
      </w:r>
      <w:r w:rsidRPr="00062207">
        <w:rPr>
          <w:rFonts w:ascii="Times New Roman" w:eastAsia="Calibri" w:hAnsi="Times New Roman" w:cs="Times New Roman"/>
        </w:rPr>
        <w:t xml:space="preserve">, situación que </w:t>
      </w:r>
      <w:r w:rsidR="00337720" w:rsidRPr="00062207">
        <w:rPr>
          <w:rFonts w:ascii="Times New Roman" w:eastAsia="Calibri" w:hAnsi="Times New Roman" w:cs="Times New Roman"/>
        </w:rPr>
        <w:t xml:space="preserve">aumentó los recursos disponibles, sin embargo, el techo había sido asignado para el uso de ingresos corrientes y no se realizaron </w:t>
      </w:r>
      <w:r w:rsidR="00337720" w:rsidRPr="00062207">
        <w:rPr>
          <w:rFonts w:ascii="Times New Roman" w:eastAsia="Calibri" w:hAnsi="Times New Roman" w:cs="Times New Roman"/>
          <w:lang w:val="es-ES_tradnl"/>
        </w:rPr>
        <w:t>modificaciones presupuestarias para sustituir fuente, por ejemplo, ingresos corrientes por bonos del tesoro</w:t>
      </w:r>
      <w:r w:rsidR="00305BC5" w:rsidRPr="00062207">
        <w:rPr>
          <w:rFonts w:ascii="Times New Roman" w:eastAsia="Calibri" w:hAnsi="Times New Roman" w:cs="Times New Roman"/>
          <w:lang w:val="es-ES_tradnl"/>
        </w:rPr>
        <w:t xml:space="preserve"> o préstamos</w:t>
      </w:r>
      <w:r w:rsidR="00337720" w:rsidRPr="00062207">
        <w:rPr>
          <w:rFonts w:ascii="Times New Roman" w:eastAsia="Calibri" w:hAnsi="Times New Roman" w:cs="Times New Roman"/>
          <w:lang w:val="es-ES_tradnl"/>
        </w:rPr>
        <w:t>.</w:t>
      </w:r>
    </w:p>
    <w:p w14:paraId="0F5C38E1" w14:textId="77777777" w:rsidR="004B5580" w:rsidRPr="00062207" w:rsidRDefault="004B5580" w:rsidP="001D1E9F">
      <w:pPr>
        <w:pStyle w:val="Prrafodelista"/>
        <w:ind w:left="360"/>
        <w:rPr>
          <w:rFonts w:ascii="Times New Roman" w:eastAsia="Calibri" w:hAnsi="Times New Roman" w:cs="Times New Roman"/>
        </w:rPr>
      </w:pPr>
    </w:p>
    <w:p w14:paraId="7D27485D" w14:textId="77777777" w:rsidR="001D1E9F" w:rsidRPr="00062207" w:rsidRDefault="009273D9" w:rsidP="0064104D">
      <w:pPr>
        <w:pStyle w:val="Prrafodelista"/>
        <w:numPr>
          <w:ilvl w:val="0"/>
          <w:numId w:val="5"/>
        </w:numPr>
        <w:ind w:left="360"/>
        <w:jc w:val="both"/>
        <w:rPr>
          <w:rFonts w:ascii="Times New Roman" w:eastAsia="Times New Roman" w:hAnsi="Times New Roman" w:cs="Times New Roman"/>
        </w:rPr>
      </w:pPr>
      <w:r w:rsidRPr="00062207">
        <w:rPr>
          <w:rFonts w:ascii="Times New Roman" w:eastAsia="Calibri" w:hAnsi="Times New Roman" w:cs="Times New Roman"/>
        </w:rPr>
        <w:t xml:space="preserve">Se </w:t>
      </w:r>
      <w:r w:rsidR="004B5580" w:rsidRPr="00062207">
        <w:rPr>
          <w:rFonts w:ascii="Times New Roman" w:eastAsia="Calibri" w:hAnsi="Times New Roman" w:cs="Times New Roman"/>
        </w:rPr>
        <w:t>realizó l</w:t>
      </w:r>
      <w:r w:rsidRPr="00062207">
        <w:rPr>
          <w:rFonts w:ascii="Times New Roman" w:eastAsia="Calibri" w:hAnsi="Times New Roman" w:cs="Times New Roman"/>
        </w:rPr>
        <w:t>a colocación</w:t>
      </w:r>
      <w:r w:rsidR="004B5580" w:rsidRPr="00062207">
        <w:rPr>
          <w:rFonts w:ascii="Times New Roman" w:eastAsia="Calibri" w:hAnsi="Times New Roman" w:cs="Times New Roman"/>
        </w:rPr>
        <w:t xml:space="preserve"> total</w:t>
      </w:r>
      <w:r w:rsidRPr="00062207">
        <w:rPr>
          <w:rFonts w:ascii="Times New Roman" w:eastAsia="Calibri" w:hAnsi="Times New Roman" w:cs="Times New Roman"/>
        </w:rPr>
        <w:t xml:space="preserve"> de bonos internos</w:t>
      </w:r>
      <w:r w:rsidR="004B5580" w:rsidRPr="00062207">
        <w:rPr>
          <w:rFonts w:ascii="Times New Roman" w:eastAsia="Calibri" w:hAnsi="Times New Roman" w:cs="Times New Roman"/>
        </w:rPr>
        <w:t xml:space="preserve"> por el espacio que era viable, es decir se excluyeron los Q11,000 millones que correspondían al financiamiento por medio del Banco de Guatemala</w:t>
      </w:r>
      <w:r w:rsidRPr="00062207">
        <w:rPr>
          <w:rFonts w:ascii="Times New Roman" w:eastAsia="Calibri" w:hAnsi="Times New Roman" w:cs="Times New Roman"/>
        </w:rPr>
        <w:t>. Además, se realizó la colo</w:t>
      </w:r>
      <w:r w:rsidR="0015140B" w:rsidRPr="00062207">
        <w:rPr>
          <w:rFonts w:ascii="Times New Roman" w:eastAsia="Calibri" w:hAnsi="Times New Roman" w:cs="Times New Roman"/>
        </w:rPr>
        <w:t>cación de un eurobono por US$1,0</w:t>
      </w:r>
      <w:r w:rsidRPr="00062207">
        <w:rPr>
          <w:rFonts w:ascii="Times New Roman" w:eastAsia="Calibri" w:hAnsi="Times New Roman" w:cs="Times New Roman"/>
        </w:rPr>
        <w:t>00 millones en condiciones financieras favorables.</w:t>
      </w:r>
    </w:p>
    <w:p w14:paraId="4CCA599E" w14:textId="77777777" w:rsidR="001D1E9F" w:rsidRPr="00062207" w:rsidRDefault="001D1E9F" w:rsidP="001D1E9F">
      <w:pPr>
        <w:pStyle w:val="Prrafodelista"/>
        <w:ind w:left="360"/>
        <w:rPr>
          <w:rFonts w:ascii="Times New Roman" w:eastAsia="Times New Roman" w:hAnsi="Times New Roman" w:cs="Times New Roman"/>
        </w:rPr>
      </w:pPr>
    </w:p>
    <w:p w14:paraId="2700B171" w14:textId="428AFA9D" w:rsidR="008C07AA" w:rsidRPr="00062207" w:rsidRDefault="001D1E9F" w:rsidP="0064104D">
      <w:pPr>
        <w:pStyle w:val="Prrafodelista"/>
        <w:numPr>
          <w:ilvl w:val="0"/>
          <w:numId w:val="5"/>
        </w:numPr>
        <w:ind w:left="360"/>
        <w:jc w:val="both"/>
        <w:rPr>
          <w:rFonts w:ascii="Times New Roman" w:eastAsia="Times New Roman" w:hAnsi="Times New Roman" w:cs="Times New Roman"/>
        </w:rPr>
      </w:pPr>
      <w:r w:rsidRPr="00062207">
        <w:rPr>
          <w:rFonts w:ascii="Times New Roman" w:eastAsia="Calibri" w:hAnsi="Times New Roman" w:cs="Times New Roman"/>
        </w:rPr>
        <w:t>Con</w:t>
      </w:r>
      <w:r w:rsidRPr="00062207">
        <w:rPr>
          <w:rFonts w:ascii="Times New Roman" w:eastAsia="Times New Roman" w:hAnsi="Times New Roman" w:cs="Times New Roman"/>
        </w:rPr>
        <w:t xml:space="preserve"> el segundo año de gobierno de la administración pública de Vamos, se observó un</w:t>
      </w:r>
      <w:r w:rsidR="009273D9" w:rsidRPr="00062207">
        <w:rPr>
          <w:rFonts w:ascii="Times New Roman" w:eastAsia="Times New Roman" w:hAnsi="Times New Roman" w:cs="Times New Roman"/>
        </w:rPr>
        <w:t xml:space="preserve">a ejecución </w:t>
      </w:r>
      <w:r w:rsidR="008C07AA" w:rsidRPr="00062207">
        <w:rPr>
          <w:rFonts w:ascii="Times New Roman" w:eastAsia="Times New Roman" w:hAnsi="Times New Roman" w:cs="Times New Roman"/>
        </w:rPr>
        <w:t xml:space="preserve">del gasto público </w:t>
      </w:r>
      <w:r w:rsidR="009273D9" w:rsidRPr="00062207">
        <w:rPr>
          <w:rFonts w:ascii="Times New Roman" w:eastAsia="Times New Roman" w:hAnsi="Times New Roman" w:cs="Times New Roman"/>
        </w:rPr>
        <w:t xml:space="preserve">moderada </w:t>
      </w:r>
      <w:r w:rsidRPr="00062207">
        <w:rPr>
          <w:rFonts w:ascii="Times New Roman" w:eastAsia="Times New Roman" w:hAnsi="Times New Roman" w:cs="Times New Roman"/>
        </w:rPr>
        <w:t xml:space="preserve">con la actividad económica repuntando de forma importante y una política fiscal </w:t>
      </w:r>
      <w:r w:rsidR="008C07AA" w:rsidRPr="00062207">
        <w:rPr>
          <w:rFonts w:ascii="Times New Roman" w:eastAsia="Times New Roman" w:hAnsi="Times New Roman" w:cs="Times New Roman"/>
        </w:rPr>
        <w:t>que buscaba llevar a sus principales variables a una senda de consolidación, luego de una respuesta de política fiscal e</w:t>
      </w:r>
      <w:r w:rsidR="006A3007" w:rsidRPr="00062207">
        <w:rPr>
          <w:rFonts w:ascii="Times New Roman" w:eastAsia="Times New Roman" w:hAnsi="Times New Roman" w:cs="Times New Roman"/>
        </w:rPr>
        <w:t>xpansiva y contra cíclica</w:t>
      </w:r>
      <w:r w:rsidR="008C07AA" w:rsidRPr="00062207">
        <w:rPr>
          <w:rFonts w:ascii="Times New Roman" w:eastAsia="Times New Roman" w:hAnsi="Times New Roman" w:cs="Times New Roman"/>
        </w:rPr>
        <w:t xml:space="preserve"> con un fuerte aumento del gasto público derivado de la contracción económica del 2020.</w:t>
      </w:r>
    </w:p>
    <w:p w14:paraId="7BCA8506" w14:textId="77777777" w:rsidR="001D1E9F" w:rsidRPr="00062207" w:rsidRDefault="001D1E9F" w:rsidP="001D1E9F">
      <w:pPr>
        <w:pStyle w:val="Prrafodelista"/>
        <w:rPr>
          <w:rFonts w:ascii="Times New Roman" w:eastAsia="Times New Roman" w:hAnsi="Times New Roman" w:cs="Times New Roman"/>
        </w:rPr>
      </w:pPr>
    </w:p>
    <w:p w14:paraId="43B9A667" w14:textId="041D3B6B" w:rsidR="009273D9" w:rsidRPr="00062207" w:rsidRDefault="008C07AA" w:rsidP="009273D9">
      <w:pPr>
        <w:jc w:val="both"/>
        <w:rPr>
          <w:rFonts w:ascii="Times New Roman" w:hAnsi="Times New Roman" w:cs="Times New Roman"/>
          <w:sz w:val="22"/>
          <w:szCs w:val="22"/>
        </w:rPr>
      </w:pPr>
      <w:r w:rsidRPr="00062207">
        <w:rPr>
          <w:rFonts w:ascii="Times New Roman" w:eastAsia="Times New Roman" w:hAnsi="Times New Roman" w:cs="Times New Roman"/>
          <w:sz w:val="22"/>
          <w:szCs w:val="22"/>
        </w:rPr>
        <w:t>A</w:t>
      </w:r>
      <w:r w:rsidR="009273D9" w:rsidRPr="00062207">
        <w:rPr>
          <w:rFonts w:ascii="Times New Roman" w:eastAsia="Times New Roman" w:hAnsi="Times New Roman" w:cs="Times New Roman"/>
          <w:sz w:val="22"/>
          <w:szCs w:val="22"/>
        </w:rPr>
        <w:t>unque existen otros elementos que incidieron en la ejecución de gasto de 202</w:t>
      </w:r>
      <w:r w:rsidR="001D1E9F" w:rsidRPr="00062207">
        <w:rPr>
          <w:rFonts w:ascii="Times New Roman" w:eastAsia="Times New Roman" w:hAnsi="Times New Roman" w:cs="Times New Roman"/>
          <w:sz w:val="22"/>
          <w:szCs w:val="22"/>
        </w:rPr>
        <w:t>1</w:t>
      </w:r>
      <w:r w:rsidR="009273D9" w:rsidRPr="00062207">
        <w:rPr>
          <w:rFonts w:ascii="Times New Roman" w:eastAsia="Times New Roman" w:hAnsi="Times New Roman" w:cs="Times New Roman"/>
          <w:sz w:val="22"/>
          <w:szCs w:val="22"/>
        </w:rPr>
        <w:t>, estos serán abordados en secciones posteriores, los mencionados anteriormente se pueden considerar los más relevantes, algunos por una parte reducen la capacidad del gobierno en gastar y otros son aceleradores de la ejecución.</w:t>
      </w:r>
    </w:p>
    <w:p w14:paraId="4431A2CC" w14:textId="77777777" w:rsidR="009273D9" w:rsidRPr="00062207" w:rsidRDefault="009273D9" w:rsidP="006924C1">
      <w:pPr>
        <w:jc w:val="both"/>
        <w:rPr>
          <w:rFonts w:ascii="Times New Roman" w:hAnsi="Times New Roman" w:cs="Times New Roman"/>
          <w:sz w:val="22"/>
          <w:szCs w:val="16"/>
          <w:lang w:val="es-MX"/>
        </w:rPr>
      </w:pPr>
    </w:p>
    <w:p w14:paraId="3F3F3CBC" w14:textId="6E1A6C27" w:rsidR="00364844" w:rsidRPr="00062207" w:rsidRDefault="00351803" w:rsidP="00A963D6">
      <w:pPr>
        <w:pStyle w:val="Ttulo2"/>
        <w:spacing w:before="0"/>
        <w:ind w:left="567" w:hanging="283"/>
        <w:rPr>
          <w:rFonts w:ascii="Times New Roman" w:hAnsi="Times New Roman" w:cs="Times New Roman"/>
          <w:color w:val="auto"/>
          <w:sz w:val="24"/>
        </w:rPr>
      </w:pPr>
      <w:bookmarkStart w:id="140" w:name="_Toc62724279"/>
      <w:bookmarkStart w:id="141" w:name="_Toc94259630"/>
      <w:r w:rsidRPr="00062207">
        <w:rPr>
          <w:rFonts w:ascii="Times New Roman" w:hAnsi="Times New Roman" w:cs="Times New Roman"/>
          <w:color w:val="auto"/>
          <w:sz w:val="24"/>
        </w:rPr>
        <w:t xml:space="preserve">2.2 </w:t>
      </w:r>
      <w:r w:rsidR="006A3007" w:rsidRPr="00062207">
        <w:rPr>
          <w:rFonts w:ascii="Times New Roman" w:hAnsi="Times New Roman" w:cs="Times New Roman"/>
          <w:color w:val="auto"/>
          <w:sz w:val="24"/>
        </w:rPr>
        <w:t xml:space="preserve">Contracción </w:t>
      </w:r>
      <w:r w:rsidR="009F2118" w:rsidRPr="00062207">
        <w:rPr>
          <w:rFonts w:ascii="Times New Roman" w:hAnsi="Times New Roman" w:cs="Times New Roman"/>
          <w:color w:val="auto"/>
          <w:sz w:val="24"/>
        </w:rPr>
        <w:t xml:space="preserve">en la </w:t>
      </w:r>
      <w:r w:rsidR="006924C1" w:rsidRPr="00062207">
        <w:rPr>
          <w:rFonts w:ascii="Times New Roman" w:hAnsi="Times New Roman" w:cs="Times New Roman"/>
          <w:color w:val="auto"/>
          <w:sz w:val="24"/>
        </w:rPr>
        <w:t>ejecución de gasto en 20</w:t>
      </w:r>
      <w:r w:rsidR="009F2118" w:rsidRPr="00062207">
        <w:rPr>
          <w:rFonts w:ascii="Times New Roman" w:hAnsi="Times New Roman" w:cs="Times New Roman"/>
          <w:color w:val="auto"/>
          <w:sz w:val="24"/>
        </w:rPr>
        <w:t>2</w:t>
      </w:r>
      <w:bookmarkEnd w:id="140"/>
      <w:r w:rsidR="008C07AA" w:rsidRPr="00062207">
        <w:rPr>
          <w:rFonts w:ascii="Times New Roman" w:hAnsi="Times New Roman" w:cs="Times New Roman"/>
          <w:color w:val="auto"/>
          <w:sz w:val="24"/>
        </w:rPr>
        <w:t>1</w:t>
      </w:r>
      <w:bookmarkEnd w:id="141"/>
    </w:p>
    <w:p w14:paraId="7809BCDA" w14:textId="77777777" w:rsidR="00364844" w:rsidRPr="00062207" w:rsidRDefault="00364844" w:rsidP="00364844">
      <w:pPr>
        <w:rPr>
          <w:sz w:val="22"/>
        </w:rPr>
      </w:pPr>
    </w:p>
    <w:p w14:paraId="289EFF1E" w14:textId="007F39BC" w:rsidR="009F2118" w:rsidRPr="00062207" w:rsidRDefault="009F2118" w:rsidP="0008282D">
      <w:pPr>
        <w:jc w:val="both"/>
        <w:rPr>
          <w:rFonts w:ascii="Times New Roman" w:hAnsi="Times New Roman" w:cs="Times New Roman"/>
          <w:sz w:val="22"/>
          <w:szCs w:val="22"/>
        </w:rPr>
      </w:pPr>
      <w:r w:rsidRPr="00062207">
        <w:rPr>
          <w:rFonts w:ascii="Times New Roman" w:hAnsi="Times New Roman" w:cs="Times New Roman"/>
          <w:sz w:val="22"/>
          <w:szCs w:val="22"/>
        </w:rPr>
        <w:t>La ejecución de gasto al cierre de 202</w:t>
      </w:r>
      <w:r w:rsidR="000869A1" w:rsidRPr="00062207">
        <w:rPr>
          <w:rFonts w:ascii="Times New Roman" w:hAnsi="Times New Roman" w:cs="Times New Roman"/>
          <w:sz w:val="22"/>
          <w:szCs w:val="22"/>
        </w:rPr>
        <w:t>1</w:t>
      </w:r>
      <w:r w:rsidRPr="00062207">
        <w:rPr>
          <w:rFonts w:ascii="Times New Roman" w:hAnsi="Times New Roman" w:cs="Times New Roman"/>
          <w:sz w:val="22"/>
          <w:szCs w:val="22"/>
        </w:rPr>
        <w:t xml:space="preserve"> se situó en Q9</w:t>
      </w:r>
      <w:r w:rsidR="00DC07DD" w:rsidRPr="00062207">
        <w:rPr>
          <w:rFonts w:ascii="Times New Roman" w:hAnsi="Times New Roman" w:cs="Times New Roman"/>
          <w:sz w:val="22"/>
          <w:szCs w:val="22"/>
        </w:rPr>
        <w:t>0</w:t>
      </w:r>
      <w:r w:rsidRPr="00062207">
        <w:rPr>
          <w:rFonts w:ascii="Times New Roman" w:hAnsi="Times New Roman" w:cs="Times New Roman"/>
          <w:sz w:val="22"/>
          <w:szCs w:val="22"/>
        </w:rPr>
        <w:t>,0</w:t>
      </w:r>
      <w:r w:rsidR="00DC07DD" w:rsidRPr="00062207">
        <w:rPr>
          <w:rFonts w:ascii="Times New Roman" w:hAnsi="Times New Roman" w:cs="Times New Roman"/>
          <w:sz w:val="22"/>
          <w:szCs w:val="22"/>
        </w:rPr>
        <w:t>65.8</w:t>
      </w:r>
      <w:r w:rsidRPr="00062207">
        <w:rPr>
          <w:rFonts w:ascii="Times New Roman" w:hAnsi="Times New Roman" w:cs="Times New Roman"/>
          <w:sz w:val="22"/>
          <w:szCs w:val="22"/>
        </w:rPr>
        <w:t xml:space="preserve"> millones (sin incluir amortizaciones de la deuda pública), </w:t>
      </w:r>
      <w:r w:rsidR="00DC07DD" w:rsidRPr="00062207">
        <w:rPr>
          <w:rFonts w:ascii="Times New Roman" w:hAnsi="Times New Roman" w:cs="Times New Roman"/>
          <w:sz w:val="22"/>
          <w:szCs w:val="22"/>
        </w:rPr>
        <w:t>menor en Q</w:t>
      </w:r>
      <w:r w:rsidRPr="00062207">
        <w:rPr>
          <w:rFonts w:ascii="Times New Roman" w:hAnsi="Times New Roman" w:cs="Times New Roman"/>
          <w:sz w:val="22"/>
          <w:szCs w:val="22"/>
        </w:rPr>
        <w:t>3,</w:t>
      </w:r>
      <w:r w:rsidR="00DC07DD" w:rsidRPr="00062207">
        <w:rPr>
          <w:rFonts w:ascii="Times New Roman" w:hAnsi="Times New Roman" w:cs="Times New Roman"/>
          <w:sz w:val="22"/>
          <w:szCs w:val="22"/>
        </w:rPr>
        <w:t>463.2</w:t>
      </w:r>
      <w:r w:rsidRPr="00062207">
        <w:rPr>
          <w:rFonts w:ascii="Times New Roman" w:hAnsi="Times New Roman" w:cs="Times New Roman"/>
          <w:sz w:val="22"/>
          <w:szCs w:val="22"/>
        </w:rPr>
        <w:t xml:space="preserve"> millones al cierre de 20</w:t>
      </w:r>
      <w:r w:rsidR="00DC07DD" w:rsidRPr="00062207">
        <w:rPr>
          <w:rFonts w:ascii="Times New Roman" w:hAnsi="Times New Roman" w:cs="Times New Roman"/>
          <w:sz w:val="22"/>
          <w:szCs w:val="22"/>
        </w:rPr>
        <w:t>20,</w:t>
      </w:r>
      <w:r w:rsidRPr="00062207">
        <w:rPr>
          <w:rFonts w:ascii="Times New Roman" w:hAnsi="Times New Roman" w:cs="Times New Roman"/>
          <w:sz w:val="22"/>
          <w:szCs w:val="22"/>
        </w:rPr>
        <w:t xml:space="preserve"> </w:t>
      </w:r>
      <w:r w:rsidR="00DC07DD" w:rsidRPr="00062207">
        <w:rPr>
          <w:rFonts w:ascii="Times New Roman" w:hAnsi="Times New Roman" w:cs="Times New Roman"/>
          <w:sz w:val="22"/>
          <w:szCs w:val="22"/>
        </w:rPr>
        <w:t xml:space="preserve">esto derivado que los programas sociales y económicos en atención al COVID-19 implementados en 2020 no </w:t>
      </w:r>
      <w:r w:rsidR="00B04E1E" w:rsidRPr="00062207">
        <w:rPr>
          <w:rFonts w:ascii="Times New Roman" w:hAnsi="Times New Roman" w:cs="Times New Roman"/>
          <w:sz w:val="22"/>
          <w:szCs w:val="22"/>
        </w:rPr>
        <w:t>estuvieron</w:t>
      </w:r>
      <w:r w:rsidR="00DC07DD" w:rsidRPr="00062207">
        <w:rPr>
          <w:rFonts w:ascii="Times New Roman" w:hAnsi="Times New Roman" w:cs="Times New Roman"/>
          <w:sz w:val="22"/>
          <w:szCs w:val="22"/>
        </w:rPr>
        <w:t xml:space="preserve"> vigentes en 2021 dado que habían cumplido</w:t>
      </w:r>
      <w:r w:rsidR="00D0088A" w:rsidRPr="00062207">
        <w:rPr>
          <w:rFonts w:ascii="Times New Roman" w:hAnsi="Times New Roman" w:cs="Times New Roman"/>
          <w:sz w:val="22"/>
          <w:szCs w:val="22"/>
        </w:rPr>
        <w:t xml:space="preserve"> los fines para los cuales fueron diseñados</w:t>
      </w:r>
      <w:r w:rsidR="0008282D" w:rsidRPr="00062207">
        <w:rPr>
          <w:rFonts w:ascii="Times New Roman" w:hAnsi="Times New Roman" w:cs="Times New Roman"/>
          <w:sz w:val="22"/>
          <w:szCs w:val="22"/>
        </w:rPr>
        <w:t xml:space="preserve">. </w:t>
      </w:r>
    </w:p>
    <w:p w14:paraId="76ADE88E" w14:textId="77777777" w:rsidR="009F2118" w:rsidRPr="00062207" w:rsidRDefault="009F2118" w:rsidP="009F2118">
      <w:pPr>
        <w:jc w:val="both"/>
        <w:rPr>
          <w:rFonts w:ascii="Times New Roman" w:hAnsi="Times New Roman" w:cs="Times New Roman"/>
          <w:sz w:val="22"/>
          <w:szCs w:val="22"/>
        </w:rPr>
      </w:pPr>
    </w:p>
    <w:p w14:paraId="4F1932F8" w14:textId="001444DE" w:rsidR="0008282D" w:rsidRPr="00062207" w:rsidRDefault="00521C49" w:rsidP="009F2118">
      <w:pPr>
        <w:jc w:val="both"/>
        <w:rPr>
          <w:rFonts w:ascii="Times New Roman" w:hAnsi="Times New Roman" w:cs="Times New Roman"/>
          <w:sz w:val="22"/>
          <w:szCs w:val="22"/>
        </w:rPr>
      </w:pPr>
      <w:r w:rsidRPr="00062207">
        <w:rPr>
          <w:rFonts w:ascii="Times New Roman" w:hAnsi="Times New Roman" w:cs="Times New Roman"/>
          <w:sz w:val="22"/>
          <w:szCs w:val="22"/>
        </w:rPr>
        <w:t xml:space="preserve">Durante los primeros siete meses del año, </w:t>
      </w:r>
      <w:r w:rsidR="009F2118" w:rsidRPr="00062207">
        <w:rPr>
          <w:rFonts w:ascii="Times New Roman" w:hAnsi="Times New Roman" w:cs="Times New Roman"/>
          <w:sz w:val="22"/>
          <w:szCs w:val="22"/>
        </w:rPr>
        <w:t xml:space="preserve">el </w:t>
      </w:r>
      <w:r w:rsidR="0008282D" w:rsidRPr="00062207">
        <w:rPr>
          <w:rFonts w:ascii="Times New Roman" w:hAnsi="Times New Roman" w:cs="Times New Roman"/>
          <w:sz w:val="22"/>
          <w:szCs w:val="22"/>
        </w:rPr>
        <w:t>gasto público se encontraba reportando crecimiento</w:t>
      </w:r>
      <w:r w:rsidRPr="00062207">
        <w:rPr>
          <w:rFonts w:ascii="Times New Roman" w:hAnsi="Times New Roman" w:cs="Times New Roman"/>
          <w:sz w:val="22"/>
          <w:szCs w:val="22"/>
        </w:rPr>
        <w:t>s</w:t>
      </w:r>
      <w:r w:rsidR="0008282D" w:rsidRPr="00062207">
        <w:rPr>
          <w:rFonts w:ascii="Times New Roman" w:hAnsi="Times New Roman" w:cs="Times New Roman"/>
          <w:sz w:val="22"/>
          <w:szCs w:val="22"/>
        </w:rPr>
        <w:t xml:space="preserve"> interanual</w:t>
      </w:r>
      <w:r w:rsidRPr="00062207">
        <w:rPr>
          <w:rFonts w:ascii="Times New Roman" w:hAnsi="Times New Roman" w:cs="Times New Roman"/>
          <w:sz w:val="22"/>
          <w:szCs w:val="22"/>
        </w:rPr>
        <w:t>es</w:t>
      </w:r>
      <w:r w:rsidR="0008282D" w:rsidRPr="00062207">
        <w:rPr>
          <w:rFonts w:ascii="Times New Roman" w:hAnsi="Times New Roman" w:cs="Times New Roman"/>
          <w:sz w:val="22"/>
          <w:szCs w:val="22"/>
        </w:rPr>
        <w:t xml:space="preserve">, alcanzando en abril </w:t>
      </w:r>
      <w:r w:rsidRPr="00062207">
        <w:rPr>
          <w:rFonts w:ascii="Times New Roman" w:hAnsi="Times New Roman" w:cs="Times New Roman"/>
          <w:sz w:val="22"/>
          <w:szCs w:val="22"/>
        </w:rPr>
        <w:t xml:space="preserve">el máximo crecimiento, siendo de 11.3%, esto derivado que hasta abril del 2020 aún no se encontraban en ejecución los gastos asociados al COVID-19 y el gasto público hasta esa fecha reportaba un comportamiento negativo. </w:t>
      </w:r>
      <w:r w:rsidR="006341CD" w:rsidRPr="00062207">
        <w:rPr>
          <w:rFonts w:ascii="Times New Roman" w:hAnsi="Times New Roman" w:cs="Times New Roman"/>
          <w:sz w:val="22"/>
          <w:szCs w:val="22"/>
        </w:rPr>
        <w:t>Es a partir de abril 2021 que el crecimiento del gasto empieza a d</w:t>
      </w:r>
      <w:r w:rsidR="00F70884" w:rsidRPr="00062207">
        <w:rPr>
          <w:rFonts w:ascii="Times New Roman" w:hAnsi="Times New Roman" w:cs="Times New Roman"/>
          <w:sz w:val="22"/>
          <w:szCs w:val="22"/>
        </w:rPr>
        <w:t>esacelerarse</w:t>
      </w:r>
      <w:r w:rsidR="006341CD" w:rsidRPr="00062207">
        <w:rPr>
          <w:rFonts w:ascii="Times New Roman" w:hAnsi="Times New Roman" w:cs="Times New Roman"/>
          <w:sz w:val="22"/>
          <w:szCs w:val="22"/>
        </w:rPr>
        <w:t xml:space="preserve">, hasta ubicarse en terreno negativo en agosto, derivado que para esa fecha del año anterior ya se encontraban en plena ejecución </w:t>
      </w:r>
      <w:r w:rsidR="00C046B9" w:rsidRPr="00062207">
        <w:rPr>
          <w:rFonts w:ascii="Times New Roman" w:hAnsi="Times New Roman" w:cs="Times New Roman"/>
          <w:sz w:val="22"/>
          <w:szCs w:val="22"/>
        </w:rPr>
        <w:t>la mayoría de los programas sociales y económicos en atención al COVID-19, principalmente los más importantes en cuanto a monto</w:t>
      </w:r>
      <w:r w:rsidR="00F70884" w:rsidRPr="00062207">
        <w:rPr>
          <w:rFonts w:ascii="Times New Roman" w:hAnsi="Times New Roman" w:cs="Times New Roman"/>
          <w:sz w:val="22"/>
          <w:szCs w:val="22"/>
        </w:rPr>
        <w:t>,</w:t>
      </w:r>
      <w:r w:rsidR="00C046B9" w:rsidRPr="00062207">
        <w:rPr>
          <w:rFonts w:ascii="Times New Roman" w:hAnsi="Times New Roman" w:cs="Times New Roman"/>
          <w:sz w:val="22"/>
          <w:szCs w:val="22"/>
        </w:rPr>
        <w:t xml:space="preserve"> tales como</w:t>
      </w:r>
      <w:r w:rsidR="00F70884" w:rsidRPr="00062207">
        <w:rPr>
          <w:rFonts w:ascii="Times New Roman" w:hAnsi="Times New Roman" w:cs="Times New Roman"/>
          <w:sz w:val="22"/>
          <w:szCs w:val="22"/>
        </w:rPr>
        <w:t>:</w:t>
      </w:r>
      <w:r w:rsidR="00C046B9" w:rsidRPr="00062207">
        <w:rPr>
          <w:rFonts w:ascii="Times New Roman" w:hAnsi="Times New Roman" w:cs="Times New Roman"/>
          <w:sz w:val="22"/>
          <w:szCs w:val="22"/>
        </w:rPr>
        <w:t xml:space="preserve"> Bono para Familias, Fondo de Capital de Trabajo y Fondo de Protección de Empleo, correspondientes al Decreto 13-2020.</w:t>
      </w:r>
    </w:p>
    <w:p w14:paraId="03577AC3" w14:textId="77777777" w:rsidR="0008282D" w:rsidRPr="00062207" w:rsidRDefault="0008282D" w:rsidP="009F2118">
      <w:pPr>
        <w:jc w:val="both"/>
        <w:rPr>
          <w:rFonts w:ascii="Times New Roman" w:hAnsi="Times New Roman" w:cs="Times New Roman"/>
          <w:sz w:val="22"/>
          <w:szCs w:val="22"/>
        </w:rPr>
      </w:pPr>
    </w:p>
    <w:p w14:paraId="6074716D" w14:textId="54AEBB31" w:rsidR="006341CD" w:rsidRPr="00062207" w:rsidRDefault="006341CD" w:rsidP="003A41DF">
      <w:pPr>
        <w:jc w:val="both"/>
        <w:rPr>
          <w:rFonts w:ascii="Times New Roman" w:hAnsi="Times New Roman" w:cs="Times New Roman"/>
          <w:sz w:val="22"/>
          <w:szCs w:val="22"/>
        </w:rPr>
      </w:pPr>
      <w:r w:rsidRPr="00062207">
        <w:rPr>
          <w:rFonts w:ascii="Times New Roman" w:hAnsi="Times New Roman" w:cs="Times New Roman"/>
          <w:sz w:val="22"/>
          <w:szCs w:val="22"/>
        </w:rPr>
        <w:t>Contrario al 2020</w:t>
      </w:r>
      <w:r w:rsidR="009F2118" w:rsidRPr="00062207">
        <w:rPr>
          <w:rFonts w:ascii="Times New Roman" w:hAnsi="Times New Roman" w:cs="Times New Roman"/>
          <w:sz w:val="22"/>
          <w:szCs w:val="22"/>
        </w:rPr>
        <w:t xml:space="preserve">, el dinamismo del gasto público </w:t>
      </w:r>
      <w:r w:rsidRPr="00062207">
        <w:rPr>
          <w:rFonts w:ascii="Times New Roman" w:hAnsi="Times New Roman" w:cs="Times New Roman"/>
          <w:sz w:val="22"/>
          <w:szCs w:val="22"/>
        </w:rPr>
        <w:t>en 2021 no estuvo influenciado</w:t>
      </w:r>
      <w:r w:rsidR="00F70884" w:rsidRPr="00062207">
        <w:rPr>
          <w:rFonts w:ascii="Times New Roman" w:hAnsi="Times New Roman" w:cs="Times New Roman"/>
          <w:sz w:val="22"/>
          <w:szCs w:val="22"/>
        </w:rPr>
        <w:t xml:space="preserve"> de manera directa</w:t>
      </w:r>
      <w:r w:rsidRPr="00062207">
        <w:rPr>
          <w:rFonts w:ascii="Times New Roman" w:hAnsi="Times New Roman" w:cs="Times New Roman"/>
          <w:sz w:val="22"/>
          <w:szCs w:val="22"/>
        </w:rPr>
        <w:t xml:space="preserve"> por el gasto COVID-19, por ende, el gasto pú</w:t>
      </w:r>
      <w:r w:rsidR="00F70884" w:rsidRPr="00062207">
        <w:rPr>
          <w:rFonts w:ascii="Times New Roman" w:hAnsi="Times New Roman" w:cs="Times New Roman"/>
          <w:sz w:val="22"/>
          <w:szCs w:val="22"/>
        </w:rPr>
        <w:t>blico hacia final de año reportó</w:t>
      </w:r>
      <w:r w:rsidRPr="00062207">
        <w:rPr>
          <w:rFonts w:ascii="Times New Roman" w:hAnsi="Times New Roman" w:cs="Times New Roman"/>
          <w:sz w:val="22"/>
          <w:szCs w:val="22"/>
        </w:rPr>
        <w:t xml:space="preserve"> una contracción de -3.7%</w:t>
      </w:r>
      <w:r w:rsidR="00B04E1E" w:rsidRPr="00062207">
        <w:rPr>
          <w:rFonts w:ascii="Times New Roman" w:hAnsi="Times New Roman" w:cs="Times New Roman"/>
          <w:sz w:val="22"/>
          <w:szCs w:val="22"/>
        </w:rPr>
        <w:t>, de no haberse tenido</w:t>
      </w:r>
      <w:r w:rsidR="000D525A" w:rsidRPr="00062207">
        <w:rPr>
          <w:rFonts w:ascii="Times New Roman" w:hAnsi="Times New Roman" w:cs="Times New Roman"/>
          <w:sz w:val="22"/>
          <w:szCs w:val="22"/>
        </w:rPr>
        <w:t xml:space="preserve"> gasto por COVID-19 en 2020 y 2021, se hubiera dado más bien un crecimiento del gasto del 8.6</w:t>
      </w:r>
      <w:r w:rsidR="003A41DF" w:rsidRPr="00062207">
        <w:rPr>
          <w:rFonts w:ascii="Times New Roman" w:hAnsi="Times New Roman" w:cs="Times New Roman"/>
          <w:sz w:val="22"/>
          <w:szCs w:val="22"/>
        </w:rPr>
        <w:t>%, mientras que en 2020 el crecimiento del gasto público hubiera sido únicamente de 0.2%.</w:t>
      </w:r>
    </w:p>
    <w:p w14:paraId="09114763" w14:textId="5E8A1410" w:rsidR="006341CD" w:rsidRPr="00062207" w:rsidRDefault="006341CD" w:rsidP="009F2118">
      <w:pPr>
        <w:jc w:val="both"/>
        <w:rPr>
          <w:rFonts w:ascii="Times New Roman" w:hAnsi="Times New Roman" w:cs="Times New Roman"/>
          <w:sz w:val="22"/>
          <w:szCs w:val="22"/>
        </w:rPr>
      </w:pPr>
    </w:p>
    <w:p w14:paraId="1725E6B8" w14:textId="29F854D2" w:rsidR="001D4B49" w:rsidRPr="00062207" w:rsidRDefault="00F70884" w:rsidP="000D525A">
      <w:pPr>
        <w:jc w:val="both"/>
        <w:rPr>
          <w:rFonts w:ascii="Times New Roman" w:hAnsi="Times New Roman" w:cs="Times New Roman"/>
          <w:sz w:val="22"/>
          <w:szCs w:val="22"/>
        </w:rPr>
      </w:pPr>
      <w:r w:rsidRPr="00062207">
        <w:rPr>
          <w:rFonts w:ascii="Times New Roman" w:hAnsi="Times New Roman" w:cs="Times New Roman"/>
          <w:sz w:val="22"/>
          <w:szCs w:val="22"/>
        </w:rPr>
        <w:t xml:space="preserve">Como se indicó en el apartado anterior, 2021 arrancó </w:t>
      </w:r>
      <w:r w:rsidR="000D525A" w:rsidRPr="00062207">
        <w:rPr>
          <w:rFonts w:ascii="Times New Roman" w:hAnsi="Times New Roman" w:cs="Times New Roman"/>
          <w:sz w:val="22"/>
          <w:szCs w:val="22"/>
        </w:rPr>
        <w:t>con la particularidad de no contar con un presupuesto aprobado por parte del Congreso de la República, por ello fue necesario un proceso de readecuaciones presupuestarias de acuerdo a las necesidades que se planteó el gobierno a principio de año, siendo una de las principales la adquisición de vacunas contra el coronavirus COVID-19, se declaró de interés nacional y se buscó hacer la readecuación presupuestaria para el financiamiento y adquisición de vacunas.</w:t>
      </w:r>
    </w:p>
    <w:p w14:paraId="57DD48AD" w14:textId="77777777" w:rsidR="009F2118" w:rsidRPr="00062207" w:rsidRDefault="009F2118" w:rsidP="009F2118">
      <w:pPr>
        <w:jc w:val="center"/>
        <w:rPr>
          <w:rFonts w:ascii="Times New Roman" w:hAnsi="Times New Roman" w:cs="Times New Roman"/>
          <w:b/>
        </w:rPr>
      </w:pPr>
      <w:r w:rsidRPr="00062207">
        <w:rPr>
          <w:rFonts w:ascii="Times New Roman" w:hAnsi="Times New Roman" w:cs="Times New Roman"/>
          <w:b/>
        </w:rPr>
        <w:lastRenderedPageBreak/>
        <w:t>Ritmo de ejecución del gasto público*</w:t>
      </w:r>
    </w:p>
    <w:p w14:paraId="5F39FF2B" w14:textId="01785ADB" w:rsidR="009F2118" w:rsidRPr="00062207" w:rsidRDefault="009F2118" w:rsidP="009F2118">
      <w:pPr>
        <w:jc w:val="center"/>
        <w:rPr>
          <w:rFonts w:ascii="Times New Roman" w:hAnsi="Times New Roman" w:cs="Times New Roman"/>
          <w:sz w:val="22"/>
          <w:szCs w:val="22"/>
        </w:rPr>
      </w:pPr>
      <w:r w:rsidRPr="00062207">
        <w:rPr>
          <w:rFonts w:ascii="Times New Roman" w:hAnsi="Times New Roman" w:cs="Times New Roman"/>
          <w:sz w:val="22"/>
          <w:szCs w:val="22"/>
        </w:rPr>
        <w:t>Mensual 201</w:t>
      </w:r>
      <w:r w:rsidR="00521C49" w:rsidRPr="00062207">
        <w:rPr>
          <w:rFonts w:ascii="Times New Roman" w:hAnsi="Times New Roman" w:cs="Times New Roman"/>
          <w:sz w:val="22"/>
          <w:szCs w:val="22"/>
        </w:rPr>
        <w:t>7</w:t>
      </w:r>
      <w:r w:rsidRPr="00062207">
        <w:rPr>
          <w:rFonts w:ascii="Times New Roman" w:hAnsi="Times New Roman" w:cs="Times New Roman"/>
          <w:sz w:val="22"/>
          <w:szCs w:val="22"/>
        </w:rPr>
        <w:t>-202</w:t>
      </w:r>
      <w:r w:rsidR="00521C49" w:rsidRPr="00062207">
        <w:rPr>
          <w:rFonts w:ascii="Times New Roman" w:hAnsi="Times New Roman" w:cs="Times New Roman"/>
          <w:sz w:val="22"/>
          <w:szCs w:val="22"/>
        </w:rPr>
        <w:t>1</w:t>
      </w:r>
    </w:p>
    <w:p w14:paraId="4EFF0B28" w14:textId="2C317992" w:rsidR="009F2118" w:rsidRPr="00062207" w:rsidRDefault="009F2118" w:rsidP="009F2118">
      <w:pPr>
        <w:jc w:val="center"/>
        <w:rPr>
          <w:sz w:val="22"/>
          <w:szCs w:val="22"/>
        </w:rPr>
      </w:pPr>
      <w:r w:rsidRPr="00062207">
        <w:rPr>
          <w:rFonts w:ascii="Times New Roman" w:hAnsi="Times New Roman" w:cs="Times New Roman"/>
          <w:sz w:val="22"/>
          <w:szCs w:val="22"/>
        </w:rPr>
        <w:t>Porcentajes</w:t>
      </w:r>
    </w:p>
    <w:p w14:paraId="295BE502" w14:textId="0111AE4F" w:rsidR="009F2118" w:rsidRPr="00062207" w:rsidRDefault="009D6295" w:rsidP="009F2118">
      <w:pPr>
        <w:rPr>
          <w:rFonts w:ascii="Times New Roman" w:hAnsi="Times New Roman" w:cs="Times New Roman"/>
          <w:sz w:val="16"/>
        </w:rPr>
      </w:pPr>
      <w:r w:rsidRPr="00062207">
        <w:rPr>
          <w:rFonts w:ascii="Times New Roman" w:hAnsi="Times New Roman" w:cs="Times New Roman"/>
          <w:noProof/>
          <w:lang w:val="es-GT" w:eastAsia="es-GT"/>
        </w:rPr>
        <w:drawing>
          <wp:anchor distT="0" distB="0" distL="114300" distR="114300" simplePos="0" relativeHeight="251669504" behindDoc="0" locked="0" layoutInCell="1" allowOverlap="1" wp14:anchorId="781E8906" wp14:editId="763E4393">
            <wp:simplePos x="0" y="0"/>
            <wp:positionH relativeFrom="column">
              <wp:posOffset>357505</wp:posOffset>
            </wp:positionH>
            <wp:positionV relativeFrom="paragraph">
              <wp:posOffset>5080</wp:posOffset>
            </wp:positionV>
            <wp:extent cx="5144135" cy="2574925"/>
            <wp:effectExtent l="0" t="0" r="0" b="0"/>
            <wp:wrapSquare wrapText="bothSides"/>
            <wp:docPr id="4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page">
              <wp14:pctWidth>0</wp14:pctWidth>
            </wp14:sizeRelH>
            <wp14:sizeRelV relativeFrom="page">
              <wp14:pctHeight>0</wp14:pctHeight>
            </wp14:sizeRelV>
          </wp:anchor>
        </w:drawing>
      </w:r>
    </w:p>
    <w:p w14:paraId="456D51A5" w14:textId="77777777" w:rsidR="009F2118" w:rsidRPr="00062207" w:rsidRDefault="009F2118" w:rsidP="009F2118">
      <w:pPr>
        <w:rPr>
          <w:rFonts w:ascii="Times New Roman" w:hAnsi="Times New Roman" w:cs="Times New Roman"/>
          <w:sz w:val="16"/>
        </w:rPr>
      </w:pPr>
    </w:p>
    <w:p w14:paraId="0DE21191" w14:textId="77777777" w:rsidR="009F2118" w:rsidRPr="00062207" w:rsidRDefault="009F2118" w:rsidP="009F2118">
      <w:pPr>
        <w:rPr>
          <w:rFonts w:ascii="Times New Roman" w:hAnsi="Times New Roman" w:cs="Times New Roman"/>
          <w:sz w:val="16"/>
        </w:rPr>
      </w:pPr>
    </w:p>
    <w:p w14:paraId="34C8AD5C" w14:textId="77777777" w:rsidR="009F2118" w:rsidRPr="00062207" w:rsidRDefault="009F2118" w:rsidP="009F2118">
      <w:pPr>
        <w:rPr>
          <w:rFonts w:ascii="Times New Roman" w:hAnsi="Times New Roman" w:cs="Times New Roman"/>
          <w:sz w:val="16"/>
        </w:rPr>
      </w:pPr>
    </w:p>
    <w:p w14:paraId="11AF796B" w14:textId="77777777" w:rsidR="009F2118" w:rsidRPr="00062207" w:rsidRDefault="009F2118" w:rsidP="009F2118">
      <w:pPr>
        <w:rPr>
          <w:rFonts w:ascii="Times New Roman" w:hAnsi="Times New Roman" w:cs="Times New Roman"/>
          <w:sz w:val="16"/>
        </w:rPr>
      </w:pPr>
    </w:p>
    <w:p w14:paraId="13D1ACEE" w14:textId="77777777" w:rsidR="009F2118" w:rsidRPr="00062207" w:rsidRDefault="009F2118" w:rsidP="009F2118">
      <w:pPr>
        <w:rPr>
          <w:rFonts w:ascii="Times New Roman" w:hAnsi="Times New Roman" w:cs="Times New Roman"/>
          <w:sz w:val="16"/>
        </w:rPr>
      </w:pPr>
    </w:p>
    <w:p w14:paraId="6DE3DCA2" w14:textId="77777777" w:rsidR="009F2118" w:rsidRPr="00062207" w:rsidRDefault="009F2118" w:rsidP="009F2118">
      <w:pPr>
        <w:rPr>
          <w:rFonts w:ascii="Times New Roman" w:hAnsi="Times New Roman" w:cs="Times New Roman"/>
          <w:sz w:val="16"/>
        </w:rPr>
      </w:pPr>
    </w:p>
    <w:p w14:paraId="59941934" w14:textId="77777777" w:rsidR="009F2118" w:rsidRPr="00062207" w:rsidRDefault="009F2118" w:rsidP="009F2118">
      <w:pPr>
        <w:rPr>
          <w:rFonts w:ascii="Times New Roman" w:hAnsi="Times New Roman" w:cs="Times New Roman"/>
          <w:sz w:val="16"/>
        </w:rPr>
      </w:pPr>
    </w:p>
    <w:p w14:paraId="2197BE87" w14:textId="77777777" w:rsidR="009F2118" w:rsidRPr="00062207" w:rsidRDefault="009F2118" w:rsidP="009F2118">
      <w:pPr>
        <w:rPr>
          <w:rFonts w:ascii="Times New Roman" w:hAnsi="Times New Roman" w:cs="Times New Roman"/>
          <w:sz w:val="16"/>
        </w:rPr>
      </w:pPr>
    </w:p>
    <w:p w14:paraId="55750454" w14:textId="77777777" w:rsidR="009F2118" w:rsidRPr="00062207" w:rsidRDefault="009F2118" w:rsidP="009F2118">
      <w:pPr>
        <w:rPr>
          <w:rFonts w:ascii="Times New Roman" w:hAnsi="Times New Roman" w:cs="Times New Roman"/>
          <w:sz w:val="16"/>
        </w:rPr>
      </w:pPr>
    </w:p>
    <w:p w14:paraId="0533E8B4" w14:textId="77777777" w:rsidR="009F2118" w:rsidRPr="00062207" w:rsidRDefault="009F2118" w:rsidP="009F2118">
      <w:pPr>
        <w:rPr>
          <w:rFonts w:ascii="Times New Roman" w:hAnsi="Times New Roman" w:cs="Times New Roman"/>
          <w:sz w:val="16"/>
        </w:rPr>
      </w:pPr>
    </w:p>
    <w:p w14:paraId="3373013B" w14:textId="77777777" w:rsidR="009F2118" w:rsidRPr="00062207" w:rsidRDefault="009F2118" w:rsidP="009F2118">
      <w:pPr>
        <w:rPr>
          <w:rFonts w:ascii="Times New Roman" w:hAnsi="Times New Roman" w:cs="Times New Roman"/>
          <w:sz w:val="16"/>
        </w:rPr>
      </w:pPr>
    </w:p>
    <w:p w14:paraId="5E0304FB" w14:textId="77777777" w:rsidR="009F2118" w:rsidRPr="00062207" w:rsidRDefault="009F2118" w:rsidP="009F2118">
      <w:pPr>
        <w:rPr>
          <w:rFonts w:ascii="Times New Roman" w:hAnsi="Times New Roman" w:cs="Times New Roman"/>
          <w:sz w:val="16"/>
        </w:rPr>
      </w:pPr>
    </w:p>
    <w:p w14:paraId="34E2F524" w14:textId="77777777" w:rsidR="009F2118" w:rsidRPr="00062207" w:rsidRDefault="009F2118" w:rsidP="009F2118">
      <w:pPr>
        <w:rPr>
          <w:rFonts w:ascii="Times New Roman" w:hAnsi="Times New Roman" w:cs="Times New Roman"/>
          <w:sz w:val="16"/>
        </w:rPr>
      </w:pPr>
    </w:p>
    <w:p w14:paraId="01E32566" w14:textId="77777777" w:rsidR="009F2118" w:rsidRPr="00062207" w:rsidRDefault="009F2118" w:rsidP="009F2118">
      <w:pPr>
        <w:rPr>
          <w:rFonts w:ascii="Times New Roman" w:hAnsi="Times New Roman" w:cs="Times New Roman"/>
          <w:sz w:val="16"/>
        </w:rPr>
      </w:pPr>
    </w:p>
    <w:p w14:paraId="021E59D4" w14:textId="77777777" w:rsidR="009F2118" w:rsidRPr="00062207" w:rsidRDefault="009F2118" w:rsidP="009F2118">
      <w:pPr>
        <w:rPr>
          <w:rFonts w:ascii="Times New Roman" w:hAnsi="Times New Roman" w:cs="Times New Roman"/>
          <w:sz w:val="16"/>
        </w:rPr>
      </w:pPr>
    </w:p>
    <w:p w14:paraId="6168CE17" w14:textId="77777777" w:rsidR="009F2118" w:rsidRPr="00062207" w:rsidRDefault="009F2118" w:rsidP="009F2118">
      <w:pPr>
        <w:rPr>
          <w:rFonts w:ascii="Times New Roman" w:hAnsi="Times New Roman" w:cs="Times New Roman"/>
          <w:sz w:val="16"/>
        </w:rPr>
      </w:pPr>
    </w:p>
    <w:p w14:paraId="0CB7426A" w14:textId="77777777" w:rsidR="009F2118" w:rsidRPr="00062207" w:rsidRDefault="009F2118" w:rsidP="009F2118">
      <w:pPr>
        <w:rPr>
          <w:rFonts w:ascii="Times New Roman" w:hAnsi="Times New Roman" w:cs="Times New Roman"/>
          <w:sz w:val="16"/>
        </w:rPr>
      </w:pPr>
    </w:p>
    <w:p w14:paraId="6D7B8438" w14:textId="77777777" w:rsidR="009F2118" w:rsidRPr="00062207" w:rsidRDefault="009F2118" w:rsidP="009F2118">
      <w:pPr>
        <w:rPr>
          <w:rFonts w:ascii="Times New Roman" w:hAnsi="Times New Roman" w:cs="Times New Roman"/>
          <w:sz w:val="16"/>
        </w:rPr>
      </w:pPr>
    </w:p>
    <w:p w14:paraId="368C3C86" w14:textId="77777777" w:rsidR="009F2118" w:rsidRPr="00062207" w:rsidRDefault="009F2118" w:rsidP="009F2118">
      <w:pPr>
        <w:rPr>
          <w:rFonts w:ascii="Times New Roman" w:hAnsi="Times New Roman" w:cs="Times New Roman"/>
          <w:sz w:val="16"/>
        </w:rPr>
      </w:pPr>
    </w:p>
    <w:p w14:paraId="3CFAB4F9" w14:textId="77777777" w:rsidR="009F2118" w:rsidRPr="00062207" w:rsidRDefault="009F2118" w:rsidP="009F2118">
      <w:pPr>
        <w:rPr>
          <w:rFonts w:ascii="Times New Roman" w:hAnsi="Times New Roman" w:cs="Times New Roman"/>
          <w:sz w:val="16"/>
        </w:rPr>
      </w:pPr>
    </w:p>
    <w:p w14:paraId="78FD9B8E" w14:textId="77777777" w:rsidR="009F2118" w:rsidRPr="00062207" w:rsidRDefault="009F2118" w:rsidP="009F2118">
      <w:pPr>
        <w:rPr>
          <w:rFonts w:ascii="Times New Roman" w:hAnsi="Times New Roman" w:cs="Times New Roman"/>
          <w:sz w:val="16"/>
        </w:rPr>
      </w:pPr>
    </w:p>
    <w:p w14:paraId="34459464" w14:textId="77777777" w:rsidR="009F2118" w:rsidRPr="00062207" w:rsidRDefault="009F2118" w:rsidP="009F2118">
      <w:pPr>
        <w:rPr>
          <w:rFonts w:ascii="Times New Roman" w:hAnsi="Times New Roman" w:cs="Times New Roman"/>
          <w:sz w:val="16"/>
        </w:rPr>
      </w:pPr>
    </w:p>
    <w:p w14:paraId="6C5A9944" w14:textId="77777777" w:rsidR="00B228D4" w:rsidRPr="00062207" w:rsidRDefault="00B228D4" w:rsidP="009F2118">
      <w:pPr>
        <w:rPr>
          <w:rFonts w:ascii="Times New Roman" w:hAnsi="Times New Roman" w:cs="Times New Roman"/>
          <w:sz w:val="16"/>
        </w:rPr>
      </w:pPr>
    </w:p>
    <w:p w14:paraId="6AB6B6D8" w14:textId="77777777" w:rsidR="009F2118" w:rsidRPr="00062207" w:rsidRDefault="009F2118" w:rsidP="009F2118">
      <w:pPr>
        <w:rPr>
          <w:rFonts w:ascii="Times New Roman" w:hAnsi="Times New Roman" w:cs="Times New Roman"/>
          <w:sz w:val="18"/>
        </w:rPr>
      </w:pPr>
      <w:r w:rsidRPr="00062207">
        <w:rPr>
          <w:rFonts w:ascii="Times New Roman" w:hAnsi="Times New Roman" w:cs="Times New Roman"/>
          <w:sz w:val="18"/>
        </w:rPr>
        <w:t>*No incluye amortizaciones de la deuda pública</w:t>
      </w:r>
    </w:p>
    <w:p w14:paraId="7E916118" w14:textId="77777777" w:rsidR="009F2118" w:rsidRPr="00062207" w:rsidRDefault="009F2118" w:rsidP="009F2118">
      <w:pPr>
        <w:rPr>
          <w:rFonts w:ascii="Times New Roman" w:hAnsi="Times New Roman" w:cs="Times New Roman"/>
          <w:sz w:val="18"/>
        </w:rPr>
      </w:pPr>
      <w:r w:rsidRPr="00062207">
        <w:rPr>
          <w:rFonts w:ascii="Times New Roman" w:hAnsi="Times New Roman" w:cs="Times New Roman"/>
          <w:sz w:val="18"/>
        </w:rPr>
        <w:t>Fuente: Dirección de Análisis y Política Fiscal</w:t>
      </w:r>
    </w:p>
    <w:p w14:paraId="2A46D3C0" w14:textId="77777777" w:rsidR="009F2118" w:rsidRPr="00062207" w:rsidRDefault="009F2118" w:rsidP="009F2118">
      <w:pPr>
        <w:rPr>
          <w:sz w:val="2"/>
        </w:rPr>
      </w:pPr>
    </w:p>
    <w:p w14:paraId="7A36344E" w14:textId="77777777" w:rsidR="009F2118" w:rsidRPr="00062207" w:rsidRDefault="009F2118" w:rsidP="009F2118">
      <w:pPr>
        <w:pStyle w:val="Sinespaciado"/>
        <w:jc w:val="both"/>
        <w:rPr>
          <w:rFonts w:ascii="Times New Roman" w:hAnsi="Times New Roman" w:cs="Times New Roman"/>
          <w:lang w:val="es-MX"/>
        </w:rPr>
      </w:pPr>
    </w:p>
    <w:p w14:paraId="4EE66287" w14:textId="63E90163" w:rsidR="001C135D" w:rsidRPr="00062207" w:rsidRDefault="009F2118" w:rsidP="009F2118">
      <w:pPr>
        <w:pStyle w:val="Sinespaciado"/>
        <w:jc w:val="both"/>
        <w:rPr>
          <w:rFonts w:ascii="Times New Roman" w:hAnsi="Times New Roman" w:cs="Times New Roman"/>
          <w:lang w:val="es-MX"/>
        </w:rPr>
      </w:pPr>
      <w:r w:rsidRPr="00062207">
        <w:rPr>
          <w:rFonts w:ascii="Times New Roman" w:hAnsi="Times New Roman" w:cs="Times New Roman"/>
          <w:lang w:val="es-MX"/>
        </w:rPr>
        <w:t xml:space="preserve">A nivel de los diferentes rubros por cuenta económica del gasto, se puede observar que el rubro de </w:t>
      </w:r>
      <w:r w:rsidR="00CB5F58" w:rsidRPr="00062207">
        <w:rPr>
          <w:rFonts w:ascii="Times New Roman" w:hAnsi="Times New Roman" w:cs="Times New Roman"/>
          <w:lang w:val="es-MX"/>
        </w:rPr>
        <w:t xml:space="preserve">bienes y servicios reporta el mayor crecimiento interanual, siendo de 37.7%, equivalente a Q3,765.8 millones, siendo el Ministerio de Salud Pública y Asistencia Social la entidad con el mayor crecimiento en dicho rubro (Q2,414.0 millones), lo cual se encuentra asociado a que en este rubro </w:t>
      </w:r>
      <w:r w:rsidR="00A64199" w:rsidRPr="00062207">
        <w:rPr>
          <w:rFonts w:ascii="Times New Roman" w:hAnsi="Times New Roman" w:cs="Times New Roman"/>
          <w:lang w:val="es-MX"/>
        </w:rPr>
        <w:t xml:space="preserve">se registra la compra de la vacuna contra el COVID-19, de los Q1,500 millones que se asignaron para este fin, se tuvo una ejecución de Q1,015.3 millones, siendo el nivel de ejecución de 67.7%. Así mismo, los elementos y compuestos químicos reportan una ejecución mayor en Q364.7 millones y los servicios médico-sanitarios reportan un aumento de Q341.9 millones que además de las retribuciones por servicios profesionales y técnicos incluye pruebas de laboratorio, que contiene las asociadas al COVID-19. </w:t>
      </w:r>
    </w:p>
    <w:p w14:paraId="292F40D0" w14:textId="0514700D" w:rsidR="001C135D" w:rsidRPr="00062207" w:rsidRDefault="001C135D" w:rsidP="009F2118">
      <w:pPr>
        <w:pStyle w:val="Sinespaciado"/>
        <w:jc w:val="both"/>
        <w:rPr>
          <w:rFonts w:ascii="Times New Roman" w:hAnsi="Times New Roman" w:cs="Times New Roman"/>
          <w:lang w:val="es-MX"/>
        </w:rPr>
      </w:pPr>
    </w:p>
    <w:p w14:paraId="284F7753" w14:textId="767F924C" w:rsidR="0071171A" w:rsidRPr="00062207" w:rsidRDefault="00966A51" w:rsidP="0071171A">
      <w:pPr>
        <w:jc w:val="both"/>
        <w:rPr>
          <w:rFonts w:ascii="Times New Roman" w:eastAsiaTheme="minorHAnsi" w:hAnsi="Times New Roman" w:cs="Times New Roman"/>
          <w:sz w:val="22"/>
          <w:szCs w:val="22"/>
          <w:lang w:val="es-MX" w:eastAsia="en-US"/>
        </w:rPr>
      </w:pPr>
      <w:r w:rsidRPr="00062207">
        <w:rPr>
          <w:rFonts w:ascii="Times New Roman" w:hAnsi="Times New Roman" w:cs="Times New Roman"/>
          <w:sz w:val="22"/>
          <w:szCs w:val="22"/>
          <w:lang w:val="es-MX"/>
        </w:rPr>
        <w:t>Por su parte, el Ministerio de Comunicaciones,</w:t>
      </w:r>
      <w:r w:rsidR="0071171A" w:rsidRPr="00062207">
        <w:rPr>
          <w:rFonts w:ascii="Times New Roman" w:hAnsi="Times New Roman" w:cs="Times New Roman"/>
          <w:sz w:val="22"/>
          <w:szCs w:val="22"/>
          <w:lang w:val="es-MX"/>
        </w:rPr>
        <w:t xml:space="preserve"> </w:t>
      </w:r>
      <w:r w:rsidR="0071171A" w:rsidRPr="00062207">
        <w:rPr>
          <w:rFonts w:ascii="Times New Roman" w:eastAsiaTheme="minorHAnsi" w:hAnsi="Times New Roman" w:cs="Times New Roman"/>
          <w:sz w:val="22"/>
          <w:szCs w:val="22"/>
          <w:lang w:val="es-MX" w:eastAsia="en-US"/>
        </w:rPr>
        <w:t>aumentó</w:t>
      </w:r>
      <w:r w:rsidR="00DB1B6E" w:rsidRPr="00062207">
        <w:rPr>
          <w:rFonts w:ascii="Times New Roman" w:eastAsiaTheme="minorHAnsi" w:hAnsi="Times New Roman" w:cs="Times New Roman"/>
          <w:sz w:val="22"/>
          <w:szCs w:val="22"/>
          <w:lang w:val="es-MX" w:eastAsia="en-US"/>
        </w:rPr>
        <w:t xml:space="preserve"> su ejecución en este rubro en Q947</w:t>
      </w:r>
      <w:r w:rsidR="0071171A" w:rsidRPr="00062207">
        <w:rPr>
          <w:rFonts w:ascii="Times New Roman" w:eastAsiaTheme="minorHAnsi" w:hAnsi="Times New Roman" w:cs="Times New Roman"/>
          <w:sz w:val="22"/>
          <w:szCs w:val="22"/>
          <w:lang w:val="es-MX" w:eastAsia="en-US"/>
        </w:rPr>
        <w:t>.</w:t>
      </w:r>
      <w:r w:rsidR="00DB1B6E" w:rsidRPr="00062207">
        <w:rPr>
          <w:rFonts w:ascii="Times New Roman" w:eastAsiaTheme="minorHAnsi" w:hAnsi="Times New Roman" w:cs="Times New Roman"/>
          <w:sz w:val="22"/>
          <w:szCs w:val="22"/>
          <w:lang w:val="es-MX" w:eastAsia="en-US"/>
        </w:rPr>
        <w:t>3 millones, explicado</w:t>
      </w:r>
      <w:r w:rsidR="0071171A" w:rsidRPr="00062207">
        <w:rPr>
          <w:rFonts w:ascii="Times New Roman" w:eastAsiaTheme="minorHAnsi" w:hAnsi="Times New Roman" w:cs="Times New Roman"/>
          <w:sz w:val="22"/>
          <w:szCs w:val="22"/>
          <w:lang w:val="es-MX" w:eastAsia="en-US"/>
        </w:rPr>
        <w:t xml:space="preserve"> por el mantenimiento </w:t>
      </w:r>
      <w:r w:rsidR="00DB1B6E" w:rsidRPr="00062207">
        <w:rPr>
          <w:rFonts w:ascii="Times New Roman" w:eastAsiaTheme="minorHAnsi" w:hAnsi="Times New Roman" w:cs="Times New Roman"/>
          <w:sz w:val="22"/>
          <w:szCs w:val="22"/>
          <w:lang w:val="es-MX" w:eastAsia="en-US"/>
        </w:rPr>
        <w:t xml:space="preserve">y reparación </w:t>
      </w:r>
      <w:r w:rsidR="0071171A" w:rsidRPr="00062207">
        <w:rPr>
          <w:rFonts w:ascii="Times New Roman" w:eastAsiaTheme="minorHAnsi" w:hAnsi="Times New Roman" w:cs="Times New Roman"/>
          <w:sz w:val="22"/>
          <w:szCs w:val="22"/>
          <w:lang w:val="es-MX" w:eastAsia="en-US"/>
        </w:rPr>
        <w:t>de obras</w:t>
      </w:r>
      <w:r w:rsidR="00DB1B6E" w:rsidRPr="00062207">
        <w:rPr>
          <w:rFonts w:ascii="Times New Roman" w:eastAsiaTheme="minorHAnsi" w:hAnsi="Times New Roman" w:cs="Times New Roman"/>
          <w:sz w:val="22"/>
          <w:szCs w:val="22"/>
          <w:lang w:val="es-MX" w:eastAsia="en-US"/>
        </w:rPr>
        <w:t xml:space="preserve"> que aumento en Q661.3 millones, el mantenimiento y reparación de edificios que aumento en Q129.0 millones y el arrendamiento de maquinaria y equipo de construcción que aumento en Q83.7 millones</w:t>
      </w:r>
      <w:r w:rsidR="0071171A" w:rsidRPr="00062207">
        <w:rPr>
          <w:rFonts w:ascii="Times New Roman" w:eastAsiaTheme="minorHAnsi" w:hAnsi="Times New Roman" w:cs="Times New Roman"/>
          <w:sz w:val="22"/>
          <w:szCs w:val="22"/>
          <w:lang w:val="es-MX" w:eastAsia="en-US"/>
        </w:rPr>
        <w:t xml:space="preserve">.  </w:t>
      </w:r>
    </w:p>
    <w:p w14:paraId="7C1B5346" w14:textId="762270D6" w:rsidR="00966A51" w:rsidRPr="00062207" w:rsidRDefault="00966A51" w:rsidP="009F2118">
      <w:pPr>
        <w:pStyle w:val="Sinespaciado"/>
        <w:jc w:val="both"/>
        <w:rPr>
          <w:rFonts w:ascii="Times New Roman" w:hAnsi="Times New Roman" w:cs="Times New Roman"/>
          <w:lang w:val="es-MX"/>
        </w:rPr>
      </w:pPr>
    </w:p>
    <w:p w14:paraId="62C309EA" w14:textId="5CA40DD3" w:rsidR="00CB5F58" w:rsidRPr="00062207" w:rsidRDefault="00DF4CB1" w:rsidP="009F2118">
      <w:pPr>
        <w:pStyle w:val="Sinespaciado"/>
        <w:jc w:val="both"/>
        <w:rPr>
          <w:rFonts w:ascii="Times New Roman" w:hAnsi="Times New Roman" w:cs="Times New Roman"/>
          <w:lang w:val="es-MX"/>
        </w:rPr>
      </w:pPr>
      <w:r w:rsidRPr="00062207">
        <w:rPr>
          <w:rFonts w:ascii="Times New Roman" w:hAnsi="Times New Roman" w:cs="Times New Roman"/>
          <w:lang w:val="es-MX"/>
        </w:rPr>
        <w:t>En lo que respecta a las Obligaciones del Estado, reportan un incremento de Q383.8 millones, que corresponde en su mayoría a las comisiones a receptores fiscales y recaudadores el cual se explica por las comisiones que recibe la Superintendencia de Administración Tributaria (SAT), la cual percibió una mayor cantidad de recursos en el 2021 como resultado del desempeño positivo y acelerado que tuvo la recaudación tributaria en dicho ejercicio.</w:t>
      </w:r>
    </w:p>
    <w:p w14:paraId="061AA885" w14:textId="283D23FC" w:rsidR="00DF78E8" w:rsidRPr="00062207" w:rsidRDefault="00DF4CB1" w:rsidP="00DF4CB1">
      <w:pPr>
        <w:jc w:val="both"/>
        <w:rPr>
          <w:rFonts w:ascii="Times New Roman" w:hAnsi="Times New Roman" w:cs="Times New Roman"/>
          <w:sz w:val="22"/>
          <w:szCs w:val="22"/>
        </w:rPr>
      </w:pPr>
      <w:r w:rsidRPr="00062207">
        <w:rPr>
          <w:rFonts w:ascii="Times New Roman" w:hAnsi="Times New Roman" w:cs="Times New Roman"/>
          <w:sz w:val="22"/>
          <w:szCs w:val="22"/>
        </w:rPr>
        <w:t>Respecto a los intereses de la deud</w:t>
      </w:r>
      <w:r w:rsidR="00DF78E8" w:rsidRPr="00062207">
        <w:rPr>
          <w:rFonts w:ascii="Times New Roman" w:hAnsi="Times New Roman" w:cs="Times New Roman"/>
          <w:sz w:val="22"/>
          <w:szCs w:val="22"/>
        </w:rPr>
        <w:t>a pública, dicho rubro aumentó</w:t>
      </w:r>
      <w:r w:rsidRPr="00062207">
        <w:rPr>
          <w:rFonts w:ascii="Times New Roman" w:hAnsi="Times New Roman" w:cs="Times New Roman"/>
          <w:sz w:val="22"/>
          <w:szCs w:val="22"/>
        </w:rPr>
        <w:t xml:space="preserve"> en Q</w:t>
      </w:r>
      <w:r w:rsidR="00DF78E8" w:rsidRPr="00062207">
        <w:rPr>
          <w:rFonts w:ascii="Times New Roman" w:hAnsi="Times New Roman" w:cs="Times New Roman"/>
          <w:sz w:val="22"/>
          <w:szCs w:val="22"/>
        </w:rPr>
        <w:t>1,214.5</w:t>
      </w:r>
      <w:r w:rsidRPr="00062207">
        <w:rPr>
          <w:rFonts w:ascii="Times New Roman" w:hAnsi="Times New Roman" w:cs="Times New Roman"/>
          <w:sz w:val="22"/>
          <w:szCs w:val="22"/>
        </w:rPr>
        <w:t xml:space="preserve"> millones a lo observado en 20</w:t>
      </w:r>
      <w:r w:rsidR="00DF78E8" w:rsidRPr="00062207">
        <w:rPr>
          <w:rFonts w:ascii="Times New Roman" w:hAnsi="Times New Roman" w:cs="Times New Roman"/>
          <w:sz w:val="22"/>
          <w:szCs w:val="22"/>
        </w:rPr>
        <w:t>20</w:t>
      </w:r>
      <w:r w:rsidRPr="00062207">
        <w:rPr>
          <w:rFonts w:ascii="Times New Roman" w:hAnsi="Times New Roman" w:cs="Times New Roman"/>
          <w:sz w:val="22"/>
          <w:szCs w:val="22"/>
        </w:rPr>
        <w:t>, de los cuales se dio un aumento en los intereses de la deuda interna por Q</w:t>
      </w:r>
      <w:r w:rsidR="00DF78E8" w:rsidRPr="00062207">
        <w:rPr>
          <w:rFonts w:ascii="Times New Roman" w:hAnsi="Times New Roman" w:cs="Times New Roman"/>
          <w:sz w:val="22"/>
          <w:szCs w:val="22"/>
        </w:rPr>
        <w:t>1,170</w:t>
      </w:r>
      <w:r w:rsidRPr="00062207">
        <w:rPr>
          <w:rFonts w:ascii="Times New Roman" w:hAnsi="Times New Roman" w:cs="Times New Roman"/>
          <w:sz w:val="22"/>
          <w:szCs w:val="22"/>
        </w:rPr>
        <w:t>.</w:t>
      </w:r>
      <w:r w:rsidR="00DF78E8" w:rsidRPr="00062207">
        <w:rPr>
          <w:rFonts w:ascii="Times New Roman" w:hAnsi="Times New Roman" w:cs="Times New Roman"/>
          <w:sz w:val="22"/>
          <w:szCs w:val="22"/>
        </w:rPr>
        <w:t>8</w:t>
      </w:r>
      <w:r w:rsidRPr="00062207">
        <w:rPr>
          <w:rFonts w:ascii="Times New Roman" w:hAnsi="Times New Roman" w:cs="Times New Roman"/>
          <w:sz w:val="22"/>
          <w:szCs w:val="22"/>
        </w:rPr>
        <w:t xml:space="preserve"> millones</w:t>
      </w:r>
      <w:r w:rsidR="00AF765F" w:rsidRPr="00062207">
        <w:rPr>
          <w:rFonts w:ascii="Times New Roman" w:hAnsi="Times New Roman" w:cs="Times New Roman"/>
          <w:sz w:val="22"/>
          <w:szCs w:val="22"/>
        </w:rPr>
        <w:t>, por la mayor colocación de Bonos del Tesoro</w:t>
      </w:r>
      <w:r w:rsidRPr="00062207">
        <w:rPr>
          <w:rFonts w:ascii="Times New Roman" w:hAnsi="Times New Roman" w:cs="Times New Roman"/>
          <w:sz w:val="22"/>
          <w:szCs w:val="22"/>
        </w:rPr>
        <w:t>.</w:t>
      </w:r>
      <w:r w:rsidR="00DF78E8" w:rsidRPr="00062207">
        <w:rPr>
          <w:rFonts w:ascii="Times New Roman" w:hAnsi="Times New Roman" w:cs="Times New Roman"/>
          <w:sz w:val="22"/>
          <w:szCs w:val="22"/>
        </w:rPr>
        <w:t xml:space="preserve"> Por su parte</w:t>
      </w:r>
      <w:r w:rsidRPr="00062207">
        <w:rPr>
          <w:rFonts w:ascii="Times New Roman" w:hAnsi="Times New Roman" w:cs="Times New Roman"/>
          <w:sz w:val="22"/>
          <w:szCs w:val="22"/>
        </w:rPr>
        <w:t>, los intereses de la deuda externa aumentaron en</w:t>
      </w:r>
      <w:r w:rsidR="00DF78E8" w:rsidRPr="00062207">
        <w:rPr>
          <w:rFonts w:ascii="Times New Roman" w:hAnsi="Times New Roman" w:cs="Times New Roman"/>
          <w:sz w:val="22"/>
          <w:szCs w:val="22"/>
        </w:rPr>
        <w:t xml:space="preserve"> forma moderada en</w:t>
      </w:r>
      <w:r w:rsidRPr="00062207">
        <w:rPr>
          <w:rFonts w:ascii="Times New Roman" w:hAnsi="Times New Roman" w:cs="Times New Roman"/>
          <w:sz w:val="22"/>
          <w:szCs w:val="22"/>
        </w:rPr>
        <w:t xml:space="preserve"> Q</w:t>
      </w:r>
      <w:r w:rsidR="00DF78E8" w:rsidRPr="00062207">
        <w:rPr>
          <w:rFonts w:ascii="Times New Roman" w:hAnsi="Times New Roman" w:cs="Times New Roman"/>
          <w:sz w:val="22"/>
          <w:szCs w:val="22"/>
        </w:rPr>
        <w:t>43</w:t>
      </w:r>
      <w:r w:rsidRPr="00062207">
        <w:rPr>
          <w:rFonts w:ascii="Times New Roman" w:hAnsi="Times New Roman" w:cs="Times New Roman"/>
          <w:sz w:val="22"/>
          <w:szCs w:val="22"/>
        </w:rPr>
        <w:t>.</w:t>
      </w:r>
      <w:r w:rsidR="00DF78E8" w:rsidRPr="00062207">
        <w:rPr>
          <w:rFonts w:ascii="Times New Roman" w:hAnsi="Times New Roman" w:cs="Times New Roman"/>
          <w:sz w:val="22"/>
          <w:szCs w:val="22"/>
        </w:rPr>
        <w:t>7</w:t>
      </w:r>
      <w:r w:rsidRPr="00062207">
        <w:rPr>
          <w:rFonts w:ascii="Times New Roman" w:hAnsi="Times New Roman" w:cs="Times New Roman"/>
          <w:sz w:val="22"/>
          <w:szCs w:val="22"/>
        </w:rPr>
        <w:t xml:space="preserve"> millones, principalmente por la colocación de Eurobonos, para final de año</w:t>
      </w:r>
      <w:r w:rsidR="00DF78E8" w:rsidRPr="00062207">
        <w:rPr>
          <w:rFonts w:ascii="Times New Roman" w:hAnsi="Times New Roman" w:cs="Times New Roman"/>
          <w:sz w:val="22"/>
          <w:szCs w:val="22"/>
        </w:rPr>
        <w:t xml:space="preserve"> el tipo de cambio </w:t>
      </w:r>
      <w:r w:rsidR="00AF765F" w:rsidRPr="00062207">
        <w:rPr>
          <w:rFonts w:ascii="Times New Roman" w:hAnsi="Times New Roman" w:cs="Times New Roman"/>
          <w:sz w:val="22"/>
          <w:szCs w:val="22"/>
        </w:rPr>
        <w:t xml:space="preserve">promedio mostró </w:t>
      </w:r>
      <w:r w:rsidR="00DF78E8" w:rsidRPr="00062207">
        <w:rPr>
          <w:rFonts w:ascii="Times New Roman" w:hAnsi="Times New Roman" w:cs="Times New Roman"/>
          <w:sz w:val="22"/>
          <w:szCs w:val="22"/>
        </w:rPr>
        <w:t>una apr</w:t>
      </w:r>
      <w:r w:rsidRPr="00062207">
        <w:rPr>
          <w:rFonts w:ascii="Times New Roman" w:hAnsi="Times New Roman" w:cs="Times New Roman"/>
          <w:sz w:val="22"/>
          <w:szCs w:val="22"/>
        </w:rPr>
        <w:t xml:space="preserve">eciación lo que genera </w:t>
      </w:r>
      <w:r w:rsidR="00AF765F" w:rsidRPr="00062207">
        <w:rPr>
          <w:rFonts w:ascii="Times New Roman" w:hAnsi="Times New Roman" w:cs="Times New Roman"/>
          <w:sz w:val="22"/>
          <w:szCs w:val="22"/>
        </w:rPr>
        <w:t xml:space="preserve">una disminución en el </w:t>
      </w:r>
      <w:r w:rsidRPr="00062207">
        <w:rPr>
          <w:rFonts w:ascii="Times New Roman" w:hAnsi="Times New Roman" w:cs="Times New Roman"/>
          <w:sz w:val="22"/>
          <w:szCs w:val="22"/>
        </w:rPr>
        <w:t>pago de intereses en moneda extranjera.</w:t>
      </w:r>
    </w:p>
    <w:p w14:paraId="7C9CEFF2" w14:textId="77777777" w:rsidR="00DF78E8" w:rsidRPr="00062207" w:rsidRDefault="00DF78E8" w:rsidP="00DF4CB1">
      <w:pPr>
        <w:jc w:val="both"/>
        <w:rPr>
          <w:rFonts w:ascii="Times New Roman" w:hAnsi="Times New Roman" w:cs="Times New Roman"/>
          <w:sz w:val="22"/>
          <w:szCs w:val="22"/>
        </w:rPr>
      </w:pPr>
    </w:p>
    <w:p w14:paraId="324C6E84" w14:textId="553178C7" w:rsidR="00DF78E8" w:rsidRPr="00062207" w:rsidRDefault="00DF78E8" w:rsidP="00DF78E8">
      <w:pPr>
        <w:pStyle w:val="Sinespaciado"/>
        <w:jc w:val="both"/>
        <w:rPr>
          <w:rFonts w:ascii="Times New Roman" w:hAnsi="Times New Roman" w:cs="Times New Roman"/>
          <w:lang w:val="es-MX"/>
        </w:rPr>
      </w:pPr>
      <w:r w:rsidRPr="00062207">
        <w:rPr>
          <w:rFonts w:ascii="Times New Roman" w:hAnsi="Times New Roman" w:cs="Times New Roman"/>
          <w:lang w:val="es-MX"/>
        </w:rPr>
        <w:lastRenderedPageBreak/>
        <w:t xml:space="preserve">Asimismo, las remuneraciones crecieron (3.6%), menor al crecimiento observado durante 2020 (6.3%), </w:t>
      </w:r>
      <w:r w:rsidR="00F413B9" w:rsidRPr="00062207">
        <w:rPr>
          <w:rFonts w:ascii="Times New Roman" w:hAnsi="Times New Roman" w:cs="Times New Roman"/>
          <w:lang w:val="es-MX"/>
        </w:rPr>
        <w:t>esto se explica porque en años anteriores se dieron mejoras salariales</w:t>
      </w:r>
      <w:r w:rsidR="007E3EAA" w:rsidRPr="00062207">
        <w:rPr>
          <w:rFonts w:ascii="Times New Roman" w:hAnsi="Times New Roman" w:cs="Times New Roman"/>
          <w:lang w:val="es-MX"/>
        </w:rPr>
        <w:t xml:space="preserve">, mientras que en 2021 ya se encontraban aplicadas dichas mejoras, </w:t>
      </w:r>
      <w:r w:rsidRPr="00062207">
        <w:rPr>
          <w:rFonts w:ascii="Times New Roman" w:hAnsi="Times New Roman" w:cs="Times New Roman"/>
          <w:lang w:val="es-MX"/>
        </w:rPr>
        <w:t xml:space="preserve">principalmente en el Ministerio de Educación al magisterio nacional, en el Ministerio de Salud Pública y Asistencia Social </w:t>
      </w:r>
      <w:r w:rsidR="007E3EAA" w:rsidRPr="00062207">
        <w:rPr>
          <w:rFonts w:ascii="Times New Roman" w:hAnsi="Times New Roman" w:cs="Times New Roman"/>
          <w:lang w:val="es-MX"/>
        </w:rPr>
        <w:t>y en</w:t>
      </w:r>
      <w:r w:rsidRPr="00062207">
        <w:rPr>
          <w:rFonts w:ascii="Times New Roman" w:hAnsi="Times New Roman" w:cs="Times New Roman"/>
          <w:lang w:val="es-MX"/>
        </w:rPr>
        <w:t xml:space="preserve"> el Ministerio de Gobernación</w:t>
      </w:r>
      <w:r w:rsidR="007E3EAA" w:rsidRPr="00062207">
        <w:rPr>
          <w:rFonts w:ascii="Times New Roman" w:hAnsi="Times New Roman" w:cs="Times New Roman"/>
          <w:lang w:val="es-MX"/>
        </w:rPr>
        <w:t xml:space="preserve">, por ello los pactos colectivos negociados anteriormente no tuvieron mayor efecto en 2021. Se conoce de la negociación de un nuevo pacto </w:t>
      </w:r>
      <w:r w:rsidRPr="00062207">
        <w:rPr>
          <w:rFonts w:ascii="Times New Roman" w:hAnsi="Times New Roman" w:cs="Times New Roman"/>
          <w:lang w:val="es-MX"/>
        </w:rPr>
        <w:t>colectivo</w:t>
      </w:r>
      <w:r w:rsidR="007E3EAA" w:rsidRPr="00062207">
        <w:rPr>
          <w:rFonts w:ascii="Times New Roman" w:hAnsi="Times New Roman" w:cs="Times New Roman"/>
          <w:lang w:val="es-MX"/>
        </w:rPr>
        <w:t xml:space="preserve"> en el Ministerio de Educación durante 2021, cuyo efecto podría verse reflejado en las remuneraciones en los próximos años</w:t>
      </w:r>
      <w:r w:rsidRPr="00062207">
        <w:rPr>
          <w:rFonts w:ascii="Times New Roman" w:hAnsi="Times New Roman" w:cs="Times New Roman"/>
          <w:lang w:val="es-MX"/>
        </w:rPr>
        <w:t xml:space="preserve">. </w:t>
      </w:r>
      <w:r w:rsidR="00AD5040" w:rsidRPr="00062207">
        <w:rPr>
          <w:rFonts w:ascii="Times New Roman" w:hAnsi="Times New Roman" w:cs="Times New Roman"/>
          <w:lang w:val="es-MX"/>
        </w:rPr>
        <w:t>A finales del 2021</w:t>
      </w:r>
      <w:r w:rsidR="00E012F8" w:rsidRPr="00062207">
        <w:rPr>
          <w:rFonts w:ascii="Times New Roman" w:hAnsi="Times New Roman" w:cs="Times New Roman"/>
          <w:lang w:val="es-MX"/>
        </w:rPr>
        <w:t xml:space="preserve"> al menos dos entidades del Ejecutivo otorgaran bonos únicos de apoyo económico o de dignificación a sus funcionarios, siendo el caso del Ministerio de Gobernación con un bono de</w:t>
      </w:r>
      <w:r w:rsidR="00D85289" w:rsidRPr="00062207">
        <w:rPr>
          <w:rFonts w:ascii="Times New Roman" w:hAnsi="Times New Roman" w:cs="Times New Roman"/>
          <w:lang w:val="es-MX"/>
        </w:rPr>
        <w:t xml:space="preserve"> Q4,500 a la Policía Nacional Civil (PNC), Q3,500 para personal administrativo y Q2,500 para personal penitenciario, mientras que en </w:t>
      </w:r>
      <w:r w:rsidR="00E012F8" w:rsidRPr="00062207">
        <w:rPr>
          <w:rFonts w:ascii="Times New Roman" w:hAnsi="Times New Roman" w:cs="Times New Roman"/>
          <w:lang w:val="es-MX"/>
        </w:rPr>
        <w:t xml:space="preserve">el Ministerio de Salud Pública y Asistencia Social </w:t>
      </w:r>
      <w:r w:rsidR="00D85289" w:rsidRPr="00062207">
        <w:rPr>
          <w:rFonts w:ascii="Times New Roman" w:hAnsi="Times New Roman" w:cs="Times New Roman"/>
          <w:lang w:val="es-MX"/>
        </w:rPr>
        <w:t xml:space="preserve">el bono fue de </w:t>
      </w:r>
      <w:r w:rsidR="00E012F8" w:rsidRPr="00062207">
        <w:rPr>
          <w:rFonts w:ascii="Times New Roman" w:hAnsi="Times New Roman" w:cs="Times New Roman"/>
          <w:lang w:val="es-MX"/>
        </w:rPr>
        <w:t>Q2</w:t>
      </w:r>
      <w:r w:rsidR="00D85289" w:rsidRPr="00062207">
        <w:rPr>
          <w:rFonts w:ascii="Times New Roman" w:hAnsi="Times New Roman" w:cs="Times New Roman"/>
          <w:lang w:val="es-MX"/>
        </w:rPr>
        <w:t>,000</w:t>
      </w:r>
      <w:r w:rsidR="00E012F8" w:rsidRPr="00062207">
        <w:rPr>
          <w:rFonts w:ascii="Times New Roman" w:hAnsi="Times New Roman" w:cs="Times New Roman"/>
          <w:lang w:val="es-MX"/>
        </w:rPr>
        <w:t>.</w:t>
      </w:r>
    </w:p>
    <w:p w14:paraId="37C9E010" w14:textId="4BD31A18" w:rsidR="00DF4CB1" w:rsidRPr="00062207" w:rsidRDefault="00DF4CB1" w:rsidP="00DF4CB1">
      <w:pPr>
        <w:jc w:val="both"/>
        <w:rPr>
          <w:rFonts w:ascii="Times New Roman" w:hAnsi="Times New Roman" w:cs="Times New Roman"/>
          <w:sz w:val="22"/>
          <w:szCs w:val="22"/>
          <w:lang w:val="es-MX"/>
        </w:rPr>
      </w:pPr>
    </w:p>
    <w:p w14:paraId="13E743CB" w14:textId="486EB18E" w:rsidR="008F473F" w:rsidRPr="00062207" w:rsidRDefault="008F473F" w:rsidP="008F473F">
      <w:pPr>
        <w:pStyle w:val="Sinespaciado"/>
        <w:jc w:val="both"/>
        <w:rPr>
          <w:rFonts w:ascii="Times New Roman" w:hAnsi="Times New Roman" w:cs="Times New Roman"/>
          <w:lang w:val="es-MX"/>
        </w:rPr>
      </w:pPr>
      <w:r w:rsidRPr="00062207">
        <w:rPr>
          <w:rFonts w:ascii="Times New Roman" w:hAnsi="Times New Roman" w:cs="Times New Roman"/>
          <w:lang w:val="es-MX"/>
        </w:rPr>
        <w:t>La inversión real directa, tuvo un crecimiento de 27.1% (equivalente a Q793.6 millones), lo cual es relevante tomando en consideración que se observa una recuperación de dicho rubro en 2021, luego que en 2020 este rubro fue castigado dado que se priorizaron otros gastos, principalmente los relacionados a la pandemia COVID-19</w:t>
      </w:r>
      <w:r w:rsidR="00A42E84" w:rsidRPr="00062207">
        <w:rPr>
          <w:rFonts w:ascii="Times New Roman" w:hAnsi="Times New Roman" w:cs="Times New Roman"/>
          <w:lang w:val="es-MX"/>
        </w:rPr>
        <w:t xml:space="preserve"> así como por las medidas de confinamiento y distanciamiento social que se establecieron en varios meses del año</w:t>
      </w:r>
      <w:r w:rsidR="000405E1" w:rsidRPr="00062207">
        <w:rPr>
          <w:rFonts w:ascii="Times New Roman" w:hAnsi="Times New Roman" w:cs="Times New Roman"/>
          <w:lang w:val="es-MX"/>
        </w:rPr>
        <w:t xml:space="preserve"> que dificultaron la ejecución de obras.</w:t>
      </w:r>
      <w:r w:rsidRPr="00062207">
        <w:rPr>
          <w:rFonts w:ascii="Times New Roman" w:hAnsi="Times New Roman" w:cs="Times New Roman"/>
          <w:lang w:val="es-MX"/>
        </w:rPr>
        <w:t xml:space="preserve"> Las entidades que suman a este aumento son: el Ministerio de Comunicaciones con Q659.4 millones y el Ministerio de Desarrollo Social con Q100</w:t>
      </w:r>
      <w:r w:rsidR="00E012F8" w:rsidRPr="00062207">
        <w:rPr>
          <w:rFonts w:ascii="Times New Roman" w:hAnsi="Times New Roman" w:cs="Times New Roman"/>
          <w:lang w:val="es-MX"/>
        </w:rPr>
        <w:t>.2 millones, que se explica por la construcción de caminos, puentes y demás obras que son de aprovechamiento general</w:t>
      </w:r>
      <w:r w:rsidR="00AF765F" w:rsidRPr="00062207">
        <w:rPr>
          <w:rFonts w:ascii="Times New Roman" w:hAnsi="Times New Roman" w:cs="Times New Roman"/>
          <w:lang w:val="es-MX"/>
        </w:rPr>
        <w:t>. Asimismo,</w:t>
      </w:r>
      <w:r w:rsidR="00E012F8" w:rsidRPr="00062207">
        <w:rPr>
          <w:rFonts w:ascii="Times New Roman" w:hAnsi="Times New Roman" w:cs="Times New Roman"/>
          <w:lang w:val="es-MX"/>
        </w:rPr>
        <w:t xml:space="preserve"> también se observó un incremento en los bienes nacionales de uso no común </w:t>
      </w:r>
      <w:r w:rsidR="00AF765F" w:rsidRPr="00062207">
        <w:rPr>
          <w:rFonts w:ascii="Times New Roman" w:hAnsi="Times New Roman" w:cs="Times New Roman"/>
          <w:lang w:val="es-MX"/>
        </w:rPr>
        <w:t>asociado a las obras relacionadas con</w:t>
      </w:r>
      <w:r w:rsidR="00E012F8" w:rsidRPr="00062207">
        <w:rPr>
          <w:rFonts w:ascii="Times New Roman" w:hAnsi="Times New Roman" w:cs="Times New Roman"/>
          <w:lang w:val="es-MX"/>
        </w:rPr>
        <w:t xml:space="preserve"> escuelas y hospitales. </w:t>
      </w:r>
    </w:p>
    <w:p w14:paraId="427B9CA0" w14:textId="77777777" w:rsidR="00A42E84" w:rsidRPr="00062207" w:rsidRDefault="00A42E84" w:rsidP="00A42E84">
      <w:pPr>
        <w:pStyle w:val="Sinespaciado"/>
        <w:jc w:val="both"/>
        <w:rPr>
          <w:rFonts w:ascii="Times New Roman" w:hAnsi="Times New Roman" w:cs="Times New Roman"/>
          <w:lang w:val="es-MX"/>
        </w:rPr>
      </w:pPr>
    </w:p>
    <w:p w14:paraId="0CB69805" w14:textId="266BB278" w:rsidR="00A42E84" w:rsidRPr="00062207" w:rsidRDefault="00A42E84" w:rsidP="008F473F">
      <w:pPr>
        <w:pStyle w:val="Sinespaciado"/>
        <w:jc w:val="both"/>
        <w:rPr>
          <w:rFonts w:ascii="Times New Roman" w:hAnsi="Times New Roman" w:cs="Times New Roman"/>
          <w:lang w:val="es-MX"/>
        </w:rPr>
      </w:pPr>
      <w:r w:rsidRPr="00062207">
        <w:rPr>
          <w:rFonts w:ascii="Times New Roman" w:hAnsi="Times New Roman" w:cs="Times New Roman"/>
          <w:lang w:val="es-MX"/>
        </w:rPr>
        <w:t xml:space="preserve">Por su parte, las prestaciones a la seguridad social, que incluye el pago de pensiones y jubilaciones a los trabajadores del Estado, dan cuenta de un leve </w:t>
      </w:r>
      <w:r w:rsidR="00AF765F" w:rsidRPr="00062207">
        <w:rPr>
          <w:rFonts w:ascii="Times New Roman" w:hAnsi="Times New Roman" w:cs="Times New Roman"/>
          <w:lang w:val="es-MX"/>
        </w:rPr>
        <w:t>aument</w:t>
      </w:r>
      <w:r w:rsidRPr="00062207">
        <w:rPr>
          <w:rFonts w:ascii="Times New Roman" w:hAnsi="Times New Roman" w:cs="Times New Roman"/>
          <w:lang w:val="es-MX"/>
        </w:rPr>
        <w:t xml:space="preserve">o de Q160.2 millones respecto a lo observado en 2020. En cuanto a las transferencias de capital, </w:t>
      </w:r>
      <w:r w:rsidR="00D45B7A" w:rsidRPr="00062207">
        <w:rPr>
          <w:rFonts w:ascii="Times New Roman" w:hAnsi="Times New Roman" w:cs="Times New Roman"/>
          <w:lang w:val="es-MX"/>
        </w:rPr>
        <w:t>estas reportan un crecimiento de 1.2% (equivalente a Q139.0 millones), las municipalidades reportaron un aumento en su transferencia por Q167.6 millones, mientras que la transferencia hacia los Consejos de Desarrollo Urbano y Rural se mantuvo en el mismo nivel.</w:t>
      </w:r>
    </w:p>
    <w:p w14:paraId="6ED8E621" w14:textId="77777777" w:rsidR="00A42E84" w:rsidRPr="00062207" w:rsidRDefault="00A42E84" w:rsidP="008F473F">
      <w:pPr>
        <w:pStyle w:val="Sinespaciado"/>
        <w:jc w:val="both"/>
        <w:rPr>
          <w:rFonts w:ascii="Times New Roman" w:hAnsi="Times New Roman" w:cs="Times New Roman"/>
          <w:lang w:val="es-MX"/>
        </w:rPr>
      </w:pPr>
    </w:p>
    <w:p w14:paraId="7A4D9957" w14:textId="2BF30845" w:rsidR="00D45B7A" w:rsidRPr="00062207" w:rsidRDefault="00D45B7A" w:rsidP="00D45B7A">
      <w:pPr>
        <w:pStyle w:val="Sinespaciado"/>
        <w:jc w:val="both"/>
        <w:rPr>
          <w:rFonts w:ascii="Times New Roman" w:hAnsi="Times New Roman" w:cs="Times New Roman"/>
          <w:lang w:val="es-MX"/>
        </w:rPr>
      </w:pPr>
      <w:r w:rsidRPr="00062207">
        <w:rPr>
          <w:rFonts w:ascii="Times New Roman" w:hAnsi="Times New Roman" w:cs="Times New Roman"/>
          <w:lang w:val="es-MX"/>
        </w:rPr>
        <w:t>En cuanto al rubro de la inversión financiera, este tuvo una contracción de 92.6% (equivalente a Q3,085.2 millones) esto debido a que en el 2020 en este rubro se registró la concesión de préstamos en condiciones blandas para la atención del COVID-19. Durante 2021 el gasto más importante</w:t>
      </w:r>
      <w:r w:rsidR="008B13E3" w:rsidRPr="00062207">
        <w:rPr>
          <w:rFonts w:ascii="Times New Roman" w:hAnsi="Times New Roman" w:cs="Times New Roman"/>
          <w:lang w:val="es-MX"/>
        </w:rPr>
        <w:t xml:space="preserve"> registrado en dicho rubro corresponde a un aporte de capital por Q213.9 millones de carácter no reintegrable mediante la compra de acciones y/o participaciones al Banco de Desarrollo Rural (Banrural). </w:t>
      </w:r>
    </w:p>
    <w:p w14:paraId="1C851BBA" w14:textId="77777777" w:rsidR="00CB5F58" w:rsidRPr="00062207" w:rsidRDefault="00CB5F58" w:rsidP="009F2118">
      <w:pPr>
        <w:pStyle w:val="Sinespaciado"/>
        <w:jc w:val="both"/>
        <w:rPr>
          <w:rFonts w:ascii="Times New Roman" w:hAnsi="Times New Roman" w:cs="Times New Roman"/>
          <w:lang w:val="es-MX"/>
        </w:rPr>
      </w:pPr>
    </w:p>
    <w:p w14:paraId="7268260A" w14:textId="44C240AB" w:rsidR="009F2118" w:rsidRPr="00062207" w:rsidRDefault="0077611E" w:rsidP="009F2118">
      <w:pPr>
        <w:pStyle w:val="Sinespaciado"/>
        <w:jc w:val="both"/>
        <w:rPr>
          <w:rFonts w:ascii="Times New Roman" w:hAnsi="Times New Roman" w:cs="Times New Roman"/>
          <w:lang w:val="es-MX"/>
        </w:rPr>
      </w:pPr>
      <w:r w:rsidRPr="00062207">
        <w:rPr>
          <w:rFonts w:ascii="Times New Roman" w:hAnsi="Times New Roman" w:cs="Times New Roman"/>
          <w:lang w:val="es-MX"/>
        </w:rPr>
        <w:t>Respecto a la</w:t>
      </w:r>
      <w:r w:rsidR="009F2118" w:rsidRPr="00062207">
        <w:rPr>
          <w:rFonts w:ascii="Times New Roman" w:hAnsi="Times New Roman" w:cs="Times New Roman"/>
          <w:lang w:val="es-MX"/>
        </w:rPr>
        <w:t>s transferencias corrientes,</w:t>
      </w:r>
      <w:r w:rsidRPr="00062207">
        <w:rPr>
          <w:rFonts w:ascii="Times New Roman" w:hAnsi="Times New Roman" w:cs="Times New Roman"/>
          <w:lang w:val="es-MX"/>
        </w:rPr>
        <w:t xml:space="preserve"> este fue el rubro que tuvo la mayor contracción en 2021, siendo la disminución de Q7,460.7 millones, derivado que durante 2020 </w:t>
      </w:r>
      <w:r w:rsidR="009F2118" w:rsidRPr="00062207">
        <w:rPr>
          <w:rFonts w:ascii="Times New Roman" w:hAnsi="Times New Roman" w:cs="Times New Roman"/>
          <w:lang w:val="es-MX"/>
        </w:rPr>
        <w:t>las transferencias otorgadas a personas in</w:t>
      </w:r>
      <w:r w:rsidRPr="00062207">
        <w:rPr>
          <w:rFonts w:ascii="Times New Roman" w:hAnsi="Times New Roman" w:cs="Times New Roman"/>
          <w:lang w:val="es-MX"/>
        </w:rPr>
        <w:t>dividuales y al sector privado derivadas del COVID-19 (Bono Familia y Fondo de Protección de Empleo) se registraron en dicho rubro</w:t>
      </w:r>
      <w:r w:rsidR="009F2118" w:rsidRPr="00062207">
        <w:rPr>
          <w:rFonts w:ascii="Times New Roman" w:hAnsi="Times New Roman" w:cs="Times New Roman"/>
          <w:lang w:val="es-MX"/>
        </w:rPr>
        <w:t>. En lo que respecta a las transferencias corrientes al sector público, reportan un crec</w:t>
      </w:r>
      <w:r w:rsidR="005D2E3D" w:rsidRPr="00062207">
        <w:rPr>
          <w:rFonts w:ascii="Times New Roman" w:hAnsi="Times New Roman" w:cs="Times New Roman"/>
          <w:lang w:val="es-MX"/>
        </w:rPr>
        <w:t>imiento interanual de 5</w:t>
      </w:r>
      <w:r w:rsidR="009F2118" w:rsidRPr="00062207">
        <w:rPr>
          <w:rFonts w:ascii="Times New Roman" w:hAnsi="Times New Roman" w:cs="Times New Roman"/>
          <w:lang w:val="es-MX"/>
        </w:rPr>
        <w:t>.</w:t>
      </w:r>
      <w:r w:rsidR="005D2E3D" w:rsidRPr="00062207">
        <w:rPr>
          <w:rFonts w:ascii="Times New Roman" w:hAnsi="Times New Roman" w:cs="Times New Roman"/>
          <w:lang w:val="es-MX"/>
        </w:rPr>
        <w:t>2</w:t>
      </w:r>
      <w:r w:rsidR="009F2118" w:rsidRPr="00062207">
        <w:rPr>
          <w:rFonts w:ascii="Times New Roman" w:hAnsi="Times New Roman" w:cs="Times New Roman"/>
          <w:lang w:val="es-MX"/>
        </w:rPr>
        <w:t>%, como resultado del desempeño</w:t>
      </w:r>
      <w:r w:rsidR="005D2E3D" w:rsidRPr="00062207">
        <w:rPr>
          <w:rFonts w:ascii="Times New Roman" w:hAnsi="Times New Roman" w:cs="Times New Roman"/>
          <w:lang w:val="es-MX"/>
        </w:rPr>
        <w:t xml:space="preserve"> positivo</w:t>
      </w:r>
      <w:r w:rsidR="009F2118" w:rsidRPr="00062207">
        <w:rPr>
          <w:rFonts w:ascii="Times New Roman" w:hAnsi="Times New Roman" w:cs="Times New Roman"/>
          <w:lang w:val="es-MX"/>
        </w:rPr>
        <w:t xml:space="preserve"> mostrado por la recaudación tributaria,</w:t>
      </w:r>
      <w:r w:rsidR="00A609C7" w:rsidRPr="00062207">
        <w:rPr>
          <w:rFonts w:ascii="Times New Roman" w:hAnsi="Times New Roman" w:cs="Times New Roman"/>
          <w:lang w:val="es-MX"/>
        </w:rPr>
        <w:t xml:space="preserve"> con una mayor disponibilidad de recursos para </w:t>
      </w:r>
      <w:r w:rsidR="009F2118" w:rsidRPr="00062207">
        <w:rPr>
          <w:rFonts w:ascii="Times New Roman" w:hAnsi="Times New Roman" w:cs="Times New Roman"/>
          <w:lang w:val="es-MX"/>
        </w:rPr>
        <w:t>las entidades que por mandato legal reciben transferencias a su presupuesto provenientes de la recaudación tributaria.</w:t>
      </w:r>
      <w:r w:rsidR="00A609C7" w:rsidRPr="00062207">
        <w:rPr>
          <w:rFonts w:ascii="Times New Roman" w:hAnsi="Times New Roman" w:cs="Times New Roman"/>
          <w:lang w:val="es-MX"/>
        </w:rPr>
        <w:t xml:space="preserve"> Asimismo, el Ministerio de Gobernación realizó una transferencia hacia el Instituto Guatemalteco de Migración por Q313.3 millones, esto debido a que por medio del Decreto 44-2016 se creó el Instituto Guatemalteco de Migración (IGM) como una dependencia descentralizada del Organismo Ejecutivo sustituyendo a la Dirección General de Migración (DGM), la gradualidad de esta transición considera un período máximo de dos años luego de aprobado el plan de transición y nombrado un Director, quedando el Ministerio de Gobernación a cargo de trasladar los fondos que le fueron asignados para la DGM al IGM.</w:t>
      </w:r>
    </w:p>
    <w:p w14:paraId="7C9EB92A" w14:textId="102F54BC" w:rsidR="009F2118" w:rsidRPr="00062207" w:rsidRDefault="009F2118" w:rsidP="009F2118">
      <w:pPr>
        <w:pStyle w:val="Sinespaciado"/>
        <w:jc w:val="both"/>
        <w:rPr>
          <w:rFonts w:ascii="Times New Roman" w:hAnsi="Times New Roman" w:cs="Times New Roman"/>
        </w:rPr>
      </w:pPr>
    </w:p>
    <w:p w14:paraId="02D263C7" w14:textId="4B1DF404" w:rsidR="001E7890" w:rsidRPr="00062207" w:rsidRDefault="001E7890" w:rsidP="009F2118">
      <w:pPr>
        <w:pStyle w:val="Sinespaciado"/>
        <w:jc w:val="both"/>
        <w:rPr>
          <w:rFonts w:ascii="Times New Roman" w:hAnsi="Times New Roman" w:cs="Times New Roman"/>
        </w:rPr>
      </w:pPr>
    </w:p>
    <w:p w14:paraId="3F76F9D5" w14:textId="021DF4AB" w:rsidR="009F2118" w:rsidRPr="00062207" w:rsidRDefault="009F2118" w:rsidP="009F2118">
      <w:pPr>
        <w:jc w:val="both"/>
        <w:rPr>
          <w:rFonts w:ascii="Times New Roman" w:hAnsi="Times New Roman" w:cs="Times New Roman"/>
          <w:sz w:val="22"/>
          <w:szCs w:val="22"/>
        </w:rPr>
      </w:pPr>
    </w:p>
    <w:p w14:paraId="21EDD2AA" w14:textId="77777777" w:rsidR="009F2118" w:rsidRPr="00062207" w:rsidRDefault="009F2118" w:rsidP="009F2118">
      <w:pPr>
        <w:pStyle w:val="Sinespaciado"/>
        <w:jc w:val="center"/>
        <w:rPr>
          <w:rFonts w:ascii="Times New Roman" w:hAnsi="Times New Roman" w:cs="Times New Roman"/>
          <w:b/>
          <w:sz w:val="24"/>
        </w:rPr>
      </w:pPr>
      <w:r w:rsidRPr="00062207">
        <w:rPr>
          <w:rFonts w:ascii="Times New Roman" w:hAnsi="Times New Roman" w:cs="Times New Roman"/>
          <w:b/>
          <w:sz w:val="24"/>
        </w:rPr>
        <w:lastRenderedPageBreak/>
        <w:t>Ejecución por rubro de Cuenta Económica</w:t>
      </w:r>
    </w:p>
    <w:p w14:paraId="3BB77CB4" w14:textId="41628AAC" w:rsidR="009F2118" w:rsidRPr="00062207" w:rsidRDefault="009F2118" w:rsidP="009F2118">
      <w:pPr>
        <w:pStyle w:val="Sinespaciado"/>
        <w:jc w:val="center"/>
        <w:rPr>
          <w:rFonts w:ascii="Times New Roman" w:hAnsi="Times New Roman" w:cs="Times New Roman"/>
          <w:b/>
          <w:sz w:val="24"/>
        </w:rPr>
      </w:pPr>
      <w:r w:rsidRPr="00062207">
        <w:rPr>
          <w:rFonts w:ascii="Times New Roman" w:hAnsi="Times New Roman" w:cs="Times New Roman"/>
          <w:b/>
          <w:sz w:val="24"/>
        </w:rPr>
        <w:t>20</w:t>
      </w:r>
      <w:r w:rsidR="001C184E" w:rsidRPr="00062207">
        <w:rPr>
          <w:rFonts w:ascii="Times New Roman" w:hAnsi="Times New Roman" w:cs="Times New Roman"/>
          <w:b/>
          <w:sz w:val="24"/>
        </w:rPr>
        <w:t>21</w:t>
      </w:r>
      <w:r w:rsidRPr="00062207">
        <w:rPr>
          <w:rFonts w:ascii="Times New Roman" w:hAnsi="Times New Roman" w:cs="Times New Roman"/>
          <w:b/>
          <w:sz w:val="24"/>
        </w:rPr>
        <w:t xml:space="preserve"> – 20</w:t>
      </w:r>
      <w:r w:rsidR="001C184E" w:rsidRPr="00062207">
        <w:rPr>
          <w:rFonts w:ascii="Times New Roman" w:hAnsi="Times New Roman" w:cs="Times New Roman"/>
          <w:b/>
          <w:sz w:val="24"/>
        </w:rPr>
        <w:t>20</w:t>
      </w:r>
    </w:p>
    <w:p w14:paraId="0937E108" w14:textId="77777777" w:rsidR="009F2118" w:rsidRPr="00062207" w:rsidRDefault="00B228D4" w:rsidP="009F2118">
      <w:pPr>
        <w:jc w:val="center"/>
        <w:rPr>
          <w:rFonts w:ascii="Times New Roman" w:hAnsi="Times New Roman" w:cs="Times New Roman"/>
          <w:szCs w:val="36"/>
        </w:rPr>
      </w:pPr>
      <w:r w:rsidRPr="00062207">
        <w:rPr>
          <w:rFonts w:ascii="Times New Roman" w:hAnsi="Times New Roman" w:cs="Times New Roman"/>
          <w:b/>
          <w:noProof/>
          <w:sz w:val="36"/>
          <w:szCs w:val="36"/>
          <w:lang w:val="es-GT" w:eastAsia="es-GT"/>
        </w:rPr>
        <w:drawing>
          <wp:anchor distT="0" distB="0" distL="114300" distR="114300" simplePos="0" relativeHeight="251670528" behindDoc="0" locked="0" layoutInCell="1" allowOverlap="1" wp14:anchorId="108A6A70" wp14:editId="55509408">
            <wp:simplePos x="0" y="0"/>
            <wp:positionH relativeFrom="column">
              <wp:posOffset>635</wp:posOffset>
            </wp:positionH>
            <wp:positionV relativeFrom="paragraph">
              <wp:posOffset>191770</wp:posOffset>
            </wp:positionV>
            <wp:extent cx="5612130" cy="3291840"/>
            <wp:effectExtent l="0" t="0" r="7620" b="3810"/>
            <wp:wrapSquare wrapText="bothSides"/>
            <wp:docPr id="47"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page">
              <wp14:pctWidth>0</wp14:pctWidth>
            </wp14:sizeRelH>
            <wp14:sizeRelV relativeFrom="page">
              <wp14:pctHeight>0</wp14:pctHeight>
            </wp14:sizeRelV>
          </wp:anchor>
        </w:drawing>
      </w:r>
      <w:r w:rsidR="009F2118" w:rsidRPr="00062207">
        <w:rPr>
          <w:rFonts w:ascii="Times New Roman" w:hAnsi="Times New Roman" w:cs="Times New Roman"/>
          <w:sz w:val="20"/>
        </w:rPr>
        <w:t>Variación absoluta interanual en millones de quetzales</w:t>
      </w:r>
    </w:p>
    <w:p w14:paraId="3FC0A900" w14:textId="77777777" w:rsidR="009F2118" w:rsidRPr="00062207" w:rsidRDefault="009F2118" w:rsidP="009F2118">
      <w:pPr>
        <w:rPr>
          <w:rFonts w:ascii="Times New Roman" w:hAnsi="Times New Roman" w:cs="Times New Roman"/>
          <w:sz w:val="16"/>
        </w:rPr>
      </w:pPr>
    </w:p>
    <w:p w14:paraId="5D204E93" w14:textId="77777777" w:rsidR="00D85325" w:rsidRPr="00062207" w:rsidRDefault="009F2118" w:rsidP="009F2118">
      <w:pPr>
        <w:rPr>
          <w:rFonts w:ascii="Times New Roman" w:hAnsi="Times New Roman" w:cs="Times New Roman"/>
          <w:sz w:val="18"/>
        </w:rPr>
      </w:pPr>
      <w:r w:rsidRPr="00062207">
        <w:rPr>
          <w:rFonts w:ascii="Times New Roman" w:hAnsi="Times New Roman" w:cs="Times New Roman"/>
          <w:sz w:val="18"/>
        </w:rPr>
        <w:t>Fuente: Dirección de Análisis y Política Fiscal</w:t>
      </w:r>
    </w:p>
    <w:p w14:paraId="7F40C8B6" w14:textId="355DC0AB" w:rsidR="006924C1" w:rsidRPr="00062207" w:rsidRDefault="006924C1" w:rsidP="00364844">
      <w:pPr>
        <w:jc w:val="both"/>
        <w:rPr>
          <w:rFonts w:ascii="Times New Roman" w:hAnsi="Times New Roman" w:cs="Times New Roman"/>
          <w:sz w:val="22"/>
          <w:szCs w:val="22"/>
          <w:lang w:val="es-MX"/>
        </w:rPr>
      </w:pPr>
    </w:p>
    <w:p w14:paraId="7360E879" w14:textId="25EE66F5" w:rsidR="00364844" w:rsidRPr="00062207" w:rsidRDefault="00351803" w:rsidP="00A963D6">
      <w:pPr>
        <w:pStyle w:val="Ttulo2"/>
        <w:spacing w:before="0"/>
        <w:ind w:left="567" w:hanging="283"/>
        <w:rPr>
          <w:rFonts w:ascii="Times New Roman" w:hAnsi="Times New Roman" w:cs="Times New Roman"/>
          <w:color w:val="auto"/>
          <w:sz w:val="24"/>
        </w:rPr>
      </w:pPr>
      <w:bookmarkStart w:id="142" w:name="_Toc62724280"/>
      <w:bookmarkStart w:id="143" w:name="_Toc94259631"/>
      <w:r w:rsidRPr="00062207">
        <w:rPr>
          <w:rFonts w:ascii="Times New Roman" w:hAnsi="Times New Roman" w:cs="Times New Roman"/>
          <w:color w:val="auto"/>
          <w:sz w:val="24"/>
        </w:rPr>
        <w:t xml:space="preserve">2.3 </w:t>
      </w:r>
      <w:r w:rsidR="00275AEC" w:rsidRPr="00062207">
        <w:rPr>
          <w:rFonts w:ascii="Times New Roman" w:hAnsi="Times New Roman" w:cs="Times New Roman"/>
          <w:color w:val="auto"/>
          <w:sz w:val="24"/>
        </w:rPr>
        <w:t>G</w:t>
      </w:r>
      <w:r w:rsidR="006924C1" w:rsidRPr="00062207">
        <w:rPr>
          <w:rFonts w:ascii="Times New Roman" w:hAnsi="Times New Roman" w:cs="Times New Roman"/>
          <w:color w:val="auto"/>
          <w:sz w:val="24"/>
        </w:rPr>
        <w:t>astos no esenciales</w:t>
      </w:r>
      <w:bookmarkEnd w:id="142"/>
      <w:r w:rsidR="00AF765F" w:rsidRPr="00062207">
        <w:rPr>
          <w:rFonts w:ascii="Times New Roman" w:hAnsi="Times New Roman" w:cs="Times New Roman"/>
          <w:color w:val="auto"/>
          <w:sz w:val="24"/>
        </w:rPr>
        <w:t xml:space="preserve"> crecen de forma moderada</w:t>
      </w:r>
      <w:bookmarkEnd w:id="143"/>
    </w:p>
    <w:p w14:paraId="67C35B9F" w14:textId="77777777" w:rsidR="00364844" w:rsidRPr="00062207" w:rsidRDefault="00364844" w:rsidP="00364844">
      <w:pPr>
        <w:rPr>
          <w:sz w:val="22"/>
        </w:rPr>
      </w:pPr>
    </w:p>
    <w:p w14:paraId="2C762CAD" w14:textId="1469E859" w:rsidR="00BD28F0" w:rsidRPr="00062207" w:rsidRDefault="003D7510" w:rsidP="00811C41">
      <w:pPr>
        <w:jc w:val="both"/>
        <w:rPr>
          <w:rFonts w:ascii="Times New Roman" w:hAnsi="Times New Roman" w:cs="Times New Roman"/>
          <w:sz w:val="22"/>
        </w:rPr>
      </w:pPr>
      <w:r w:rsidRPr="00062207">
        <w:rPr>
          <w:rFonts w:ascii="Times New Roman" w:hAnsi="Times New Roman" w:cs="Times New Roman"/>
          <w:sz w:val="22"/>
        </w:rPr>
        <w:t xml:space="preserve">Durante 2021 se dio un repunte importante en la </w:t>
      </w:r>
      <w:r w:rsidR="00811C41" w:rsidRPr="00062207">
        <w:rPr>
          <w:rFonts w:ascii="Times New Roman" w:hAnsi="Times New Roman" w:cs="Times New Roman"/>
          <w:sz w:val="22"/>
        </w:rPr>
        <w:t>actividad</w:t>
      </w:r>
      <w:r w:rsidRPr="00062207">
        <w:rPr>
          <w:rFonts w:ascii="Times New Roman" w:hAnsi="Times New Roman" w:cs="Times New Roman"/>
          <w:sz w:val="22"/>
        </w:rPr>
        <w:t xml:space="preserve"> </w:t>
      </w:r>
      <w:r w:rsidR="00BD28F0" w:rsidRPr="00062207">
        <w:rPr>
          <w:rFonts w:ascii="Times New Roman" w:hAnsi="Times New Roman" w:cs="Times New Roman"/>
          <w:sz w:val="22"/>
        </w:rPr>
        <w:t>económica con un impacto positivo en los</w:t>
      </w:r>
      <w:r w:rsidR="00811C41" w:rsidRPr="00062207">
        <w:rPr>
          <w:rFonts w:ascii="Times New Roman" w:hAnsi="Times New Roman" w:cs="Times New Roman"/>
          <w:sz w:val="22"/>
        </w:rPr>
        <w:t xml:space="preserve"> niveles de recaudación tributaria </w:t>
      </w:r>
      <w:r w:rsidR="00BD28F0" w:rsidRPr="00062207">
        <w:rPr>
          <w:rFonts w:ascii="Times New Roman" w:hAnsi="Times New Roman" w:cs="Times New Roman"/>
          <w:sz w:val="22"/>
        </w:rPr>
        <w:t>y una mayor disponibilidad de recursos</w:t>
      </w:r>
      <w:r w:rsidR="00811C41" w:rsidRPr="00062207">
        <w:rPr>
          <w:rFonts w:ascii="Times New Roman" w:hAnsi="Times New Roman" w:cs="Times New Roman"/>
          <w:sz w:val="22"/>
        </w:rPr>
        <w:t xml:space="preserve">. </w:t>
      </w:r>
      <w:r w:rsidR="00BD28F0" w:rsidRPr="00062207">
        <w:rPr>
          <w:rFonts w:ascii="Times New Roman" w:hAnsi="Times New Roman" w:cs="Times New Roman"/>
          <w:sz w:val="22"/>
        </w:rPr>
        <w:t>Esto permitió una mayor</w:t>
      </w:r>
      <w:r w:rsidR="00811C41" w:rsidRPr="00062207">
        <w:rPr>
          <w:rFonts w:ascii="Times New Roman" w:hAnsi="Times New Roman" w:cs="Times New Roman"/>
          <w:sz w:val="22"/>
        </w:rPr>
        <w:t xml:space="preserve"> asignación de cuotas financieras en los rubros de gasto que contaban con dicha fuente de f</w:t>
      </w:r>
      <w:r w:rsidR="00275AEC" w:rsidRPr="00062207">
        <w:rPr>
          <w:rFonts w:ascii="Times New Roman" w:hAnsi="Times New Roman" w:cs="Times New Roman"/>
          <w:sz w:val="22"/>
        </w:rPr>
        <w:t>inanciamiento, mientras en 2020 estos fueron castigados por la pandemia.</w:t>
      </w:r>
    </w:p>
    <w:p w14:paraId="1ABA8A11" w14:textId="77777777" w:rsidR="00EB44BD" w:rsidRPr="00062207" w:rsidRDefault="00EB44BD" w:rsidP="00811C41">
      <w:pPr>
        <w:jc w:val="both"/>
        <w:rPr>
          <w:rFonts w:ascii="Times New Roman" w:hAnsi="Times New Roman" w:cs="Times New Roman"/>
          <w:sz w:val="22"/>
        </w:rPr>
      </w:pPr>
    </w:p>
    <w:p w14:paraId="259D93CA" w14:textId="61E0E6E2" w:rsidR="00811C41" w:rsidRPr="00062207" w:rsidRDefault="00275AEC" w:rsidP="00811C41">
      <w:pPr>
        <w:jc w:val="both"/>
        <w:rPr>
          <w:rFonts w:ascii="Times New Roman" w:hAnsi="Times New Roman" w:cs="Times New Roman"/>
          <w:sz w:val="22"/>
        </w:rPr>
      </w:pPr>
      <w:r w:rsidRPr="00062207">
        <w:rPr>
          <w:rFonts w:ascii="Times New Roman" w:hAnsi="Times New Roman" w:cs="Times New Roman"/>
          <w:sz w:val="22"/>
        </w:rPr>
        <w:t xml:space="preserve">Algunos de los </w:t>
      </w:r>
      <w:r w:rsidR="00EB44BD" w:rsidRPr="00062207">
        <w:rPr>
          <w:rFonts w:ascii="Times New Roman" w:hAnsi="Times New Roman" w:cs="Times New Roman"/>
          <w:sz w:val="22"/>
        </w:rPr>
        <w:t>renglones</w:t>
      </w:r>
      <w:r w:rsidRPr="00062207">
        <w:rPr>
          <w:rFonts w:ascii="Times New Roman" w:hAnsi="Times New Roman" w:cs="Times New Roman"/>
          <w:sz w:val="22"/>
        </w:rPr>
        <w:t xml:space="preserve"> de gasto</w:t>
      </w:r>
      <w:r w:rsidR="00EB44BD" w:rsidRPr="00062207">
        <w:rPr>
          <w:rFonts w:ascii="Times New Roman" w:hAnsi="Times New Roman" w:cs="Times New Roman"/>
          <w:sz w:val="22"/>
        </w:rPr>
        <w:t xml:space="preserve"> </w:t>
      </w:r>
      <w:r w:rsidR="00811C41" w:rsidRPr="00062207">
        <w:rPr>
          <w:rFonts w:ascii="Times New Roman" w:hAnsi="Times New Roman" w:cs="Times New Roman"/>
          <w:sz w:val="22"/>
        </w:rPr>
        <w:t xml:space="preserve">considerados como no esenciales -los renglones asociados a contratos de personal temporal (029), contrataciones de servicios profesionales excluyendo los relacionados a la salud (sub grupo 18), gasto en combustible, viáticos del interior y exterior, y gastos en divulgación e información, en su conjunto </w:t>
      </w:r>
      <w:r w:rsidR="00AF765F" w:rsidRPr="00062207">
        <w:rPr>
          <w:rFonts w:ascii="Times New Roman" w:hAnsi="Times New Roman" w:cs="Times New Roman"/>
          <w:sz w:val="22"/>
        </w:rPr>
        <w:t>crecieron un</w:t>
      </w:r>
      <w:r w:rsidR="00811C41" w:rsidRPr="00062207">
        <w:rPr>
          <w:rFonts w:ascii="Times New Roman" w:hAnsi="Times New Roman" w:cs="Times New Roman"/>
          <w:sz w:val="22"/>
        </w:rPr>
        <w:t xml:space="preserve"> 1</w:t>
      </w:r>
      <w:r w:rsidRPr="00062207">
        <w:rPr>
          <w:rFonts w:ascii="Times New Roman" w:hAnsi="Times New Roman" w:cs="Times New Roman"/>
          <w:sz w:val="22"/>
        </w:rPr>
        <w:t>0</w:t>
      </w:r>
      <w:r w:rsidR="00811C41" w:rsidRPr="00062207">
        <w:rPr>
          <w:rFonts w:ascii="Times New Roman" w:hAnsi="Times New Roman" w:cs="Times New Roman"/>
          <w:sz w:val="22"/>
        </w:rPr>
        <w:t>.</w:t>
      </w:r>
      <w:r w:rsidRPr="00062207">
        <w:rPr>
          <w:rFonts w:ascii="Times New Roman" w:hAnsi="Times New Roman" w:cs="Times New Roman"/>
          <w:sz w:val="22"/>
        </w:rPr>
        <w:t>5</w:t>
      </w:r>
      <w:r w:rsidR="00811C41" w:rsidRPr="00062207">
        <w:rPr>
          <w:rFonts w:ascii="Times New Roman" w:hAnsi="Times New Roman" w:cs="Times New Roman"/>
          <w:sz w:val="22"/>
        </w:rPr>
        <w:t>%, equivalente a Q</w:t>
      </w:r>
      <w:r w:rsidRPr="00062207">
        <w:rPr>
          <w:rFonts w:ascii="Times New Roman" w:hAnsi="Times New Roman" w:cs="Times New Roman"/>
          <w:sz w:val="22"/>
        </w:rPr>
        <w:t>269</w:t>
      </w:r>
      <w:r w:rsidR="00811C41" w:rsidRPr="00062207">
        <w:rPr>
          <w:rFonts w:ascii="Times New Roman" w:hAnsi="Times New Roman" w:cs="Times New Roman"/>
          <w:sz w:val="22"/>
        </w:rPr>
        <w:t>.</w:t>
      </w:r>
      <w:r w:rsidRPr="00062207">
        <w:rPr>
          <w:rFonts w:ascii="Times New Roman" w:hAnsi="Times New Roman" w:cs="Times New Roman"/>
          <w:sz w:val="22"/>
        </w:rPr>
        <w:t>5</w:t>
      </w:r>
      <w:r w:rsidR="00811C41" w:rsidRPr="00062207">
        <w:rPr>
          <w:rFonts w:ascii="Times New Roman" w:hAnsi="Times New Roman" w:cs="Times New Roman"/>
          <w:sz w:val="22"/>
        </w:rPr>
        <w:t xml:space="preserve"> millones </w:t>
      </w:r>
      <w:r w:rsidRPr="00062207">
        <w:rPr>
          <w:rFonts w:ascii="Times New Roman" w:hAnsi="Times New Roman" w:cs="Times New Roman"/>
          <w:sz w:val="22"/>
        </w:rPr>
        <w:t>respecto a lo observado en 2020</w:t>
      </w:r>
      <w:r w:rsidR="00811C41" w:rsidRPr="00062207">
        <w:rPr>
          <w:rFonts w:ascii="Times New Roman" w:hAnsi="Times New Roman" w:cs="Times New Roman"/>
          <w:sz w:val="22"/>
        </w:rPr>
        <w:t>. El gasto de los renglo</w:t>
      </w:r>
      <w:r w:rsidRPr="00062207">
        <w:rPr>
          <w:rFonts w:ascii="Times New Roman" w:hAnsi="Times New Roman" w:cs="Times New Roman"/>
          <w:sz w:val="22"/>
        </w:rPr>
        <w:t xml:space="preserve">nes no esenciales para 2021, no alcanza los niveles previos a la pandemia, al ubicarse en Q2,836.6 millones, cifra </w:t>
      </w:r>
      <w:r w:rsidR="00811C41" w:rsidRPr="00062207">
        <w:rPr>
          <w:rFonts w:ascii="Times New Roman" w:hAnsi="Times New Roman" w:cs="Times New Roman"/>
          <w:sz w:val="22"/>
        </w:rPr>
        <w:t xml:space="preserve">inferior </w:t>
      </w:r>
      <w:r w:rsidRPr="00062207">
        <w:rPr>
          <w:rFonts w:ascii="Times New Roman" w:hAnsi="Times New Roman" w:cs="Times New Roman"/>
          <w:sz w:val="22"/>
        </w:rPr>
        <w:t>en Q250.4 millones al observado en 2019</w:t>
      </w:r>
      <w:r w:rsidR="00811C41" w:rsidRPr="00062207">
        <w:rPr>
          <w:rFonts w:ascii="Times New Roman" w:hAnsi="Times New Roman" w:cs="Times New Roman"/>
          <w:sz w:val="22"/>
        </w:rPr>
        <w:t xml:space="preserve">, lo que da cuenta de un esfuerzo por parte de las entidades de gobierno de mantener estos renglones de gasto </w:t>
      </w:r>
      <w:r w:rsidRPr="00062207">
        <w:rPr>
          <w:rFonts w:ascii="Times New Roman" w:hAnsi="Times New Roman" w:cs="Times New Roman"/>
          <w:sz w:val="22"/>
        </w:rPr>
        <w:t xml:space="preserve">aun en niveles </w:t>
      </w:r>
      <w:r w:rsidR="00811C41" w:rsidRPr="00062207">
        <w:rPr>
          <w:rFonts w:ascii="Times New Roman" w:hAnsi="Times New Roman" w:cs="Times New Roman"/>
          <w:sz w:val="22"/>
        </w:rPr>
        <w:t>restringidos.</w:t>
      </w:r>
    </w:p>
    <w:p w14:paraId="293B7C7C" w14:textId="77777777" w:rsidR="00811C41" w:rsidRPr="00062207" w:rsidRDefault="00811C41" w:rsidP="00811C41">
      <w:pPr>
        <w:jc w:val="both"/>
        <w:rPr>
          <w:rFonts w:ascii="Times New Roman" w:hAnsi="Times New Roman" w:cs="Times New Roman"/>
          <w:sz w:val="22"/>
        </w:rPr>
      </w:pPr>
    </w:p>
    <w:p w14:paraId="6A235B30" w14:textId="536CBE95" w:rsidR="00811C41" w:rsidRPr="00062207" w:rsidRDefault="009D45C9" w:rsidP="00811C41">
      <w:pPr>
        <w:jc w:val="both"/>
        <w:rPr>
          <w:rFonts w:ascii="Times New Roman" w:hAnsi="Times New Roman" w:cs="Times New Roman"/>
          <w:sz w:val="22"/>
        </w:rPr>
      </w:pPr>
      <w:r w:rsidRPr="00062207">
        <w:rPr>
          <w:rFonts w:ascii="Times New Roman" w:hAnsi="Times New Roman" w:cs="Times New Roman"/>
          <w:sz w:val="22"/>
        </w:rPr>
        <w:t>De</w:t>
      </w:r>
      <w:r w:rsidR="005367C4" w:rsidRPr="00062207">
        <w:rPr>
          <w:rFonts w:ascii="Times New Roman" w:hAnsi="Times New Roman" w:cs="Times New Roman"/>
          <w:sz w:val="22"/>
        </w:rPr>
        <w:t>l subgrupo 18 s</w:t>
      </w:r>
      <w:r w:rsidR="00811C41" w:rsidRPr="00062207">
        <w:rPr>
          <w:rFonts w:ascii="Times New Roman" w:hAnsi="Times New Roman" w:cs="Times New Roman"/>
          <w:sz w:val="22"/>
        </w:rPr>
        <w:t xml:space="preserve">e excluye del </w:t>
      </w:r>
      <w:r w:rsidR="005367C4" w:rsidRPr="00062207">
        <w:rPr>
          <w:rFonts w:ascii="Times New Roman" w:hAnsi="Times New Roman" w:cs="Times New Roman"/>
          <w:sz w:val="22"/>
        </w:rPr>
        <w:t>análisis</w:t>
      </w:r>
      <w:r w:rsidRPr="00062207">
        <w:rPr>
          <w:rFonts w:ascii="Times New Roman" w:hAnsi="Times New Roman" w:cs="Times New Roman"/>
          <w:sz w:val="22"/>
        </w:rPr>
        <w:t xml:space="preserve"> </w:t>
      </w:r>
      <w:r w:rsidR="00811C41" w:rsidRPr="00062207">
        <w:rPr>
          <w:rFonts w:ascii="Times New Roman" w:hAnsi="Times New Roman" w:cs="Times New Roman"/>
          <w:sz w:val="22"/>
        </w:rPr>
        <w:t>los servicios médicos y sanitarios</w:t>
      </w:r>
      <w:r w:rsidR="0099452D" w:rsidRPr="00062207">
        <w:rPr>
          <w:rFonts w:ascii="Times New Roman" w:hAnsi="Times New Roman" w:cs="Times New Roman"/>
          <w:sz w:val="22"/>
        </w:rPr>
        <w:t xml:space="preserve">, siendo los de mayor peso </w:t>
      </w:r>
      <w:r w:rsidR="005367C4" w:rsidRPr="00062207">
        <w:rPr>
          <w:rFonts w:ascii="Times New Roman" w:hAnsi="Times New Roman" w:cs="Times New Roman"/>
          <w:sz w:val="22"/>
        </w:rPr>
        <w:t>los</w:t>
      </w:r>
      <w:r w:rsidR="00811C41" w:rsidRPr="00062207">
        <w:rPr>
          <w:rFonts w:ascii="Times New Roman" w:hAnsi="Times New Roman" w:cs="Times New Roman"/>
          <w:sz w:val="22"/>
        </w:rPr>
        <w:t xml:space="preserve"> del Ministerio de Salud Pública y Asistencia Social, dado que este renglón </w:t>
      </w:r>
      <w:r w:rsidR="005367C4" w:rsidRPr="00062207">
        <w:rPr>
          <w:rFonts w:ascii="Times New Roman" w:hAnsi="Times New Roman" w:cs="Times New Roman"/>
          <w:sz w:val="22"/>
        </w:rPr>
        <w:t xml:space="preserve">ha </w:t>
      </w:r>
      <w:r w:rsidR="00811C41" w:rsidRPr="00062207">
        <w:rPr>
          <w:rFonts w:ascii="Times New Roman" w:hAnsi="Times New Roman" w:cs="Times New Roman"/>
          <w:sz w:val="22"/>
        </w:rPr>
        <w:t>creci</w:t>
      </w:r>
      <w:r w:rsidR="005367C4" w:rsidRPr="00062207">
        <w:rPr>
          <w:rFonts w:ascii="Times New Roman" w:hAnsi="Times New Roman" w:cs="Times New Roman"/>
          <w:sz w:val="22"/>
        </w:rPr>
        <w:t>do en los últimos dos años</w:t>
      </w:r>
      <w:r w:rsidR="00811C41" w:rsidRPr="00062207">
        <w:rPr>
          <w:rFonts w:ascii="Times New Roman" w:hAnsi="Times New Roman" w:cs="Times New Roman"/>
          <w:sz w:val="22"/>
        </w:rPr>
        <w:t xml:space="preserve"> derivado </w:t>
      </w:r>
      <w:r w:rsidR="005367C4" w:rsidRPr="00062207">
        <w:rPr>
          <w:rFonts w:ascii="Times New Roman" w:hAnsi="Times New Roman" w:cs="Times New Roman"/>
          <w:sz w:val="22"/>
        </w:rPr>
        <w:t>que este rubro comprende los servicios profesionales y técnicos, exámenes médicos</w:t>
      </w:r>
      <w:r w:rsidRPr="00062207">
        <w:rPr>
          <w:rFonts w:ascii="Times New Roman" w:hAnsi="Times New Roman" w:cs="Times New Roman"/>
          <w:sz w:val="22"/>
        </w:rPr>
        <w:t xml:space="preserve"> especializados, pruebas de laboratorios y </w:t>
      </w:r>
      <w:r w:rsidR="00811C41" w:rsidRPr="00062207">
        <w:rPr>
          <w:rFonts w:ascii="Times New Roman" w:hAnsi="Times New Roman" w:cs="Times New Roman"/>
          <w:sz w:val="22"/>
        </w:rPr>
        <w:t>las contrataciones de personal para la atenci</w:t>
      </w:r>
      <w:r w:rsidRPr="00062207">
        <w:rPr>
          <w:rFonts w:ascii="Times New Roman" w:hAnsi="Times New Roman" w:cs="Times New Roman"/>
          <w:sz w:val="22"/>
        </w:rPr>
        <w:t>ón de los hospitales temporales</w:t>
      </w:r>
      <w:r w:rsidR="00811C41" w:rsidRPr="00062207">
        <w:rPr>
          <w:rFonts w:ascii="Times New Roman" w:hAnsi="Times New Roman" w:cs="Times New Roman"/>
          <w:sz w:val="22"/>
        </w:rPr>
        <w:t xml:space="preserve"> necesarios para aumentar la capacidad de atención de los pacien</w:t>
      </w:r>
      <w:r w:rsidRPr="00062207">
        <w:rPr>
          <w:rFonts w:ascii="Times New Roman" w:hAnsi="Times New Roman" w:cs="Times New Roman"/>
          <w:sz w:val="22"/>
        </w:rPr>
        <w:t xml:space="preserve">tes diagnosticados con COVID-19, por lo tanto si se considera como un gasto </w:t>
      </w:r>
      <w:r w:rsidR="0099452D" w:rsidRPr="00062207">
        <w:rPr>
          <w:rFonts w:ascii="Times New Roman" w:hAnsi="Times New Roman" w:cs="Times New Roman"/>
          <w:sz w:val="22"/>
        </w:rPr>
        <w:t>fundamental</w:t>
      </w:r>
      <w:r w:rsidRPr="00062207">
        <w:rPr>
          <w:rFonts w:ascii="Times New Roman" w:hAnsi="Times New Roman" w:cs="Times New Roman"/>
          <w:sz w:val="22"/>
        </w:rPr>
        <w:t>.</w:t>
      </w:r>
      <w:r w:rsidR="00804904" w:rsidRPr="00062207">
        <w:rPr>
          <w:rFonts w:ascii="Times New Roman" w:hAnsi="Times New Roman" w:cs="Times New Roman"/>
          <w:sz w:val="22"/>
        </w:rPr>
        <w:t xml:space="preserve"> Del resto de renglones que conforman el subgrupo 18 como estudios e investigaciones, servicios jurídicos, servicios económicos, financieros, contables y de auditoria, servicios de capacitación, entre otros, reportan un crecimiento interanual de 27.3%, equivalente a Q217.5 millones, siendo el gasto no esencial con el mayor incremento. </w:t>
      </w:r>
    </w:p>
    <w:p w14:paraId="696E3ED7" w14:textId="77777777" w:rsidR="00811C41" w:rsidRPr="00062207" w:rsidRDefault="00811C41" w:rsidP="00811C41">
      <w:pPr>
        <w:jc w:val="both"/>
        <w:rPr>
          <w:rFonts w:ascii="Times New Roman" w:hAnsi="Times New Roman" w:cs="Times New Roman"/>
          <w:sz w:val="22"/>
        </w:rPr>
      </w:pPr>
    </w:p>
    <w:p w14:paraId="083475B3" w14:textId="53714A56" w:rsidR="00EB44BD" w:rsidRPr="00062207" w:rsidRDefault="00811C41" w:rsidP="00811C41">
      <w:pPr>
        <w:jc w:val="both"/>
        <w:rPr>
          <w:rFonts w:ascii="Times New Roman" w:hAnsi="Times New Roman" w:cs="Times New Roman"/>
          <w:sz w:val="22"/>
        </w:rPr>
      </w:pPr>
      <w:r w:rsidRPr="00062207">
        <w:rPr>
          <w:rFonts w:ascii="Times New Roman" w:hAnsi="Times New Roman" w:cs="Times New Roman"/>
          <w:sz w:val="22"/>
        </w:rPr>
        <w:lastRenderedPageBreak/>
        <w:t>El gasto en el renglón</w:t>
      </w:r>
      <w:r w:rsidR="00EB44BD" w:rsidRPr="00062207">
        <w:rPr>
          <w:rFonts w:ascii="Times New Roman" w:hAnsi="Times New Roman" w:cs="Times New Roman"/>
          <w:sz w:val="22"/>
        </w:rPr>
        <w:t xml:space="preserve"> 029 tuvo una ejecución de Q1,473</w:t>
      </w:r>
      <w:r w:rsidRPr="00062207">
        <w:rPr>
          <w:rFonts w:ascii="Times New Roman" w:hAnsi="Times New Roman" w:cs="Times New Roman"/>
          <w:sz w:val="22"/>
        </w:rPr>
        <w:t>.</w:t>
      </w:r>
      <w:r w:rsidR="00EB44BD" w:rsidRPr="00062207">
        <w:rPr>
          <w:rFonts w:ascii="Times New Roman" w:hAnsi="Times New Roman" w:cs="Times New Roman"/>
          <w:sz w:val="22"/>
        </w:rPr>
        <w:t>7</w:t>
      </w:r>
      <w:r w:rsidRPr="00062207">
        <w:rPr>
          <w:rFonts w:ascii="Times New Roman" w:hAnsi="Times New Roman" w:cs="Times New Roman"/>
          <w:sz w:val="22"/>
        </w:rPr>
        <w:t xml:space="preserve"> millones con un crecimiento interanual </w:t>
      </w:r>
      <w:r w:rsidR="00EB44BD" w:rsidRPr="00062207">
        <w:rPr>
          <w:rFonts w:ascii="Times New Roman" w:hAnsi="Times New Roman" w:cs="Times New Roman"/>
          <w:sz w:val="22"/>
        </w:rPr>
        <w:t xml:space="preserve">de </w:t>
      </w:r>
      <w:r w:rsidRPr="00062207">
        <w:rPr>
          <w:rFonts w:ascii="Times New Roman" w:hAnsi="Times New Roman" w:cs="Times New Roman"/>
          <w:sz w:val="22"/>
        </w:rPr>
        <w:t>5</w:t>
      </w:r>
      <w:r w:rsidR="00EB44BD" w:rsidRPr="00062207">
        <w:rPr>
          <w:rFonts w:ascii="Times New Roman" w:hAnsi="Times New Roman" w:cs="Times New Roman"/>
          <w:sz w:val="22"/>
        </w:rPr>
        <w:t>.1</w:t>
      </w:r>
      <w:r w:rsidRPr="00062207">
        <w:rPr>
          <w:rFonts w:ascii="Times New Roman" w:hAnsi="Times New Roman" w:cs="Times New Roman"/>
          <w:sz w:val="22"/>
        </w:rPr>
        <w:t>%, equivalente a Q</w:t>
      </w:r>
      <w:r w:rsidR="00EB44BD" w:rsidRPr="00062207">
        <w:rPr>
          <w:rFonts w:ascii="Times New Roman" w:hAnsi="Times New Roman" w:cs="Times New Roman"/>
          <w:sz w:val="22"/>
        </w:rPr>
        <w:t>71</w:t>
      </w:r>
      <w:r w:rsidRPr="00062207">
        <w:rPr>
          <w:rFonts w:ascii="Times New Roman" w:hAnsi="Times New Roman" w:cs="Times New Roman"/>
          <w:sz w:val="22"/>
        </w:rPr>
        <w:t>.</w:t>
      </w:r>
      <w:r w:rsidR="00EB44BD" w:rsidRPr="00062207">
        <w:rPr>
          <w:rFonts w:ascii="Times New Roman" w:hAnsi="Times New Roman" w:cs="Times New Roman"/>
          <w:sz w:val="22"/>
        </w:rPr>
        <w:t>9</w:t>
      </w:r>
      <w:r w:rsidRPr="00062207">
        <w:rPr>
          <w:rFonts w:ascii="Times New Roman" w:hAnsi="Times New Roman" w:cs="Times New Roman"/>
          <w:sz w:val="22"/>
        </w:rPr>
        <w:t xml:space="preserve"> millones.</w:t>
      </w:r>
      <w:r w:rsidR="00EB44BD" w:rsidRPr="00062207">
        <w:rPr>
          <w:rFonts w:ascii="Times New Roman" w:hAnsi="Times New Roman" w:cs="Times New Roman"/>
          <w:sz w:val="22"/>
        </w:rPr>
        <w:t xml:space="preserve"> Las entidades que reportaron los aumentos </w:t>
      </w:r>
      <w:r w:rsidRPr="00062207">
        <w:rPr>
          <w:rFonts w:ascii="Times New Roman" w:hAnsi="Times New Roman" w:cs="Times New Roman"/>
          <w:sz w:val="22"/>
        </w:rPr>
        <w:t xml:space="preserve">más importantes en dicha erogación son </w:t>
      </w:r>
      <w:r w:rsidR="00EB44BD" w:rsidRPr="00062207">
        <w:rPr>
          <w:rFonts w:ascii="Times New Roman" w:hAnsi="Times New Roman" w:cs="Times New Roman"/>
          <w:sz w:val="22"/>
        </w:rPr>
        <w:t>Comunicaciones</w:t>
      </w:r>
      <w:r w:rsidRPr="00062207">
        <w:rPr>
          <w:rFonts w:ascii="Times New Roman" w:hAnsi="Times New Roman" w:cs="Times New Roman"/>
          <w:sz w:val="22"/>
        </w:rPr>
        <w:t xml:space="preserve"> (</w:t>
      </w:r>
      <w:r w:rsidR="00EB44BD" w:rsidRPr="00062207">
        <w:rPr>
          <w:rFonts w:ascii="Times New Roman" w:hAnsi="Times New Roman" w:cs="Times New Roman"/>
          <w:sz w:val="22"/>
        </w:rPr>
        <w:t>12</w:t>
      </w:r>
      <w:r w:rsidRPr="00062207">
        <w:rPr>
          <w:rFonts w:ascii="Times New Roman" w:hAnsi="Times New Roman" w:cs="Times New Roman"/>
          <w:sz w:val="22"/>
        </w:rPr>
        <w:t>.</w:t>
      </w:r>
      <w:r w:rsidR="00EB44BD" w:rsidRPr="00062207">
        <w:rPr>
          <w:rFonts w:ascii="Times New Roman" w:hAnsi="Times New Roman" w:cs="Times New Roman"/>
          <w:sz w:val="22"/>
        </w:rPr>
        <w:t>4</w:t>
      </w:r>
      <w:r w:rsidRPr="00062207">
        <w:rPr>
          <w:rFonts w:ascii="Times New Roman" w:hAnsi="Times New Roman" w:cs="Times New Roman"/>
          <w:sz w:val="22"/>
        </w:rPr>
        <w:t>%, equivalente a Q</w:t>
      </w:r>
      <w:r w:rsidR="00EB44BD" w:rsidRPr="00062207">
        <w:rPr>
          <w:rFonts w:ascii="Times New Roman" w:hAnsi="Times New Roman" w:cs="Times New Roman"/>
          <w:sz w:val="22"/>
        </w:rPr>
        <w:t>30</w:t>
      </w:r>
      <w:r w:rsidRPr="00062207">
        <w:rPr>
          <w:rFonts w:ascii="Times New Roman" w:hAnsi="Times New Roman" w:cs="Times New Roman"/>
          <w:sz w:val="22"/>
        </w:rPr>
        <w:t>.</w:t>
      </w:r>
      <w:r w:rsidR="00EB44BD" w:rsidRPr="00062207">
        <w:rPr>
          <w:rFonts w:ascii="Times New Roman" w:hAnsi="Times New Roman" w:cs="Times New Roman"/>
          <w:sz w:val="22"/>
        </w:rPr>
        <w:t>4</w:t>
      </w:r>
      <w:r w:rsidRPr="00062207">
        <w:rPr>
          <w:rFonts w:ascii="Times New Roman" w:hAnsi="Times New Roman" w:cs="Times New Roman"/>
          <w:sz w:val="22"/>
        </w:rPr>
        <w:t xml:space="preserve"> millones), </w:t>
      </w:r>
      <w:r w:rsidR="00EB44BD" w:rsidRPr="00062207">
        <w:rPr>
          <w:rFonts w:ascii="Times New Roman" w:hAnsi="Times New Roman" w:cs="Times New Roman"/>
          <w:sz w:val="22"/>
        </w:rPr>
        <w:t>Cultura y Deportes (27.3%, equivalente a Q17.9 millones), Agricultura (3.9%, equivalente Q11.8 millones</w:t>
      </w:r>
      <w:r w:rsidR="008421D8" w:rsidRPr="00062207">
        <w:rPr>
          <w:rFonts w:ascii="Times New Roman" w:hAnsi="Times New Roman" w:cs="Times New Roman"/>
          <w:sz w:val="22"/>
        </w:rPr>
        <w:t>)</w:t>
      </w:r>
      <w:r w:rsidR="00EB44BD" w:rsidRPr="00062207">
        <w:rPr>
          <w:rFonts w:ascii="Times New Roman" w:hAnsi="Times New Roman" w:cs="Times New Roman"/>
          <w:sz w:val="22"/>
        </w:rPr>
        <w:t xml:space="preserve"> y Ambiente (29.2%, equivalente a Q10 millones), mientras que el resto de entidades reportaron un aumento de Q28.5 millones. Por su parte, las entidades que reportaron las disminuciones más significativas fueron Gobernación (-7.3%, equivalente a Q9.8 millones) y las Secretarías (-10.7%, equivalente a Q15.5 millones).</w:t>
      </w:r>
    </w:p>
    <w:p w14:paraId="5FBF0740" w14:textId="77777777" w:rsidR="00EB44BD" w:rsidRPr="00062207" w:rsidRDefault="00EB44BD" w:rsidP="00811C41">
      <w:pPr>
        <w:jc w:val="both"/>
        <w:rPr>
          <w:rFonts w:ascii="Times New Roman" w:hAnsi="Times New Roman" w:cs="Times New Roman"/>
          <w:sz w:val="22"/>
        </w:rPr>
      </w:pPr>
    </w:p>
    <w:p w14:paraId="1AE07444" w14:textId="079659AE" w:rsidR="00811C41" w:rsidRPr="00062207" w:rsidRDefault="00AF765F" w:rsidP="00811C41">
      <w:pPr>
        <w:pStyle w:val="Sinespaciado"/>
        <w:jc w:val="center"/>
        <w:rPr>
          <w:rFonts w:ascii="Times New Roman" w:hAnsi="Times New Roman" w:cs="Times New Roman"/>
          <w:b/>
          <w:sz w:val="24"/>
        </w:rPr>
      </w:pPr>
      <w:r w:rsidRPr="00062207">
        <w:rPr>
          <w:rFonts w:ascii="Times New Roman" w:hAnsi="Times New Roman" w:cs="Times New Roman"/>
          <w:b/>
          <w:sz w:val="24"/>
        </w:rPr>
        <w:t>Aument</w:t>
      </w:r>
      <w:r w:rsidR="00BD28F0" w:rsidRPr="00062207">
        <w:rPr>
          <w:rFonts w:ascii="Times New Roman" w:hAnsi="Times New Roman" w:cs="Times New Roman"/>
          <w:b/>
          <w:sz w:val="24"/>
        </w:rPr>
        <w:t xml:space="preserve">o </w:t>
      </w:r>
      <w:r w:rsidR="00811C41" w:rsidRPr="00062207">
        <w:rPr>
          <w:rFonts w:ascii="Times New Roman" w:hAnsi="Times New Roman" w:cs="Times New Roman"/>
          <w:b/>
          <w:sz w:val="24"/>
        </w:rPr>
        <w:t>interanual en el personal temporal renglón 029 por entidad</w:t>
      </w:r>
    </w:p>
    <w:p w14:paraId="2FD919F0" w14:textId="77777777" w:rsidR="00811C41" w:rsidRPr="00062207" w:rsidRDefault="00811C41" w:rsidP="00811C41">
      <w:pPr>
        <w:jc w:val="center"/>
        <w:rPr>
          <w:rFonts w:ascii="Times New Roman" w:hAnsi="Times New Roman" w:cs="Times New Roman"/>
          <w:sz w:val="20"/>
        </w:rPr>
      </w:pPr>
      <w:r w:rsidRPr="00062207">
        <w:rPr>
          <w:rFonts w:ascii="Times New Roman" w:hAnsi="Times New Roman" w:cs="Times New Roman"/>
          <w:noProof/>
          <w:lang w:val="es-GT" w:eastAsia="es-GT"/>
        </w:rPr>
        <w:drawing>
          <wp:anchor distT="0" distB="0" distL="114300" distR="114300" simplePos="0" relativeHeight="251673600" behindDoc="0" locked="0" layoutInCell="1" allowOverlap="1" wp14:anchorId="1B481E97" wp14:editId="767105CA">
            <wp:simplePos x="0" y="0"/>
            <wp:positionH relativeFrom="column">
              <wp:posOffset>175895</wp:posOffset>
            </wp:positionH>
            <wp:positionV relativeFrom="paragraph">
              <wp:posOffset>195580</wp:posOffset>
            </wp:positionV>
            <wp:extent cx="5508625" cy="2726690"/>
            <wp:effectExtent l="0" t="0" r="0" b="0"/>
            <wp:wrapSquare wrapText="bothSides"/>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page">
              <wp14:pctWidth>0</wp14:pctWidth>
            </wp14:sizeRelH>
            <wp14:sizeRelV relativeFrom="page">
              <wp14:pctHeight>0</wp14:pctHeight>
            </wp14:sizeRelV>
          </wp:anchor>
        </w:drawing>
      </w:r>
      <w:r w:rsidRPr="00062207">
        <w:rPr>
          <w:rFonts w:ascii="Times New Roman" w:hAnsi="Times New Roman" w:cs="Times New Roman"/>
          <w:sz w:val="20"/>
        </w:rPr>
        <w:t>Variación absoluta interanual en millones de quetzales y en porcentajes</w:t>
      </w:r>
    </w:p>
    <w:p w14:paraId="36C4DFBC" w14:textId="77777777" w:rsidR="00811C41" w:rsidRPr="00062207" w:rsidRDefault="00D85325" w:rsidP="00811C41">
      <w:pPr>
        <w:rPr>
          <w:rFonts w:ascii="Times New Roman" w:hAnsi="Times New Roman" w:cs="Times New Roman"/>
          <w:sz w:val="18"/>
        </w:rPr>
      </w:pPr>
      <w:r w:rsidRPr="00062207">
        <w:rPr>
          <w:rFonts w:ascii="Times New Roman" w:hAnsi="Times New Roman" w:cs="Times New Roman"/>
          <w:sz w:val="18"/>
        </w:rPr>
        <w:t xml:space="preserve">           </w:t>
      </w:r>
      <w:r w:rsidR="00811C41" w:rsidRPr="00062207">
        <w:rPr>
          <w:rFonts w:ascii="Times New Roman" w:hAnsi="Times New Roman" w:cs="Times New Roman"/>
          <w:sz w:val="18"/>
        </w:rPr>
        <w:t>Fuente: Dirección de Análisis y Política Fiscal</w:t>
      </w:r>
    </w:p>
    <w:p w14:paraId="5E41FA3D" w14:textId="0443289B" w:rsidR="00F50C33" w:rsidRPr="00062207" w:rsidRDefault="00F50C33" w:rsidP="00811C41">
      <w:pPr>
        <w:jc w:val="both"/>
        <w:rPr>
          <w:rFonts w:ascii="Times New Roman" w:hAnsi="Times New Roman" w:cs="Times New Roman"/>
          <w:sz w:val="18"/>
        </w:rPr>
      </w:pPr>
    </w:p>
    <w:p w14:paraId="1F796A66" w14:textId="77777777" w:rsidR="00EE3A5F" w:rsidRPr="00062207" w:rsidRDefault="00EE3A5F" w:rsidP="00811C41">
      <w:pPr>
        <w:jc w:val="both"/>
        <w:rPr>
          <w:rFonts w:ascii="Times New Roman" w:hAnsi="Times New Roman" w:cs="Times New Roman"/>
          <w:sz w:val="22"/>
        </w:rPr>
      </w:pPr>
    </w:p>
    <w:p w14:paraId="475E948E" w14:textId="51047D6A" w:rsidR="00811C41" w:rsidRPr="00062207" w:rsidRDefault="00811C41" w:rsidP="00804904">
      <w:pPr>
        <w:jc w:val="both"/>
        <w:rPr>
          <w:rFonts w:ascii="Times New Roman" w:hAnsi="Times New Roman" w:cs="Times New Roman"/>
          <w:sz w:val="22"/>
        </w:rPr>
      </w:pPr>
      <w:r w:rsidRPr="00062207">
        <w:rPr>
          <w:rFonts w:ascii="Times New Roman" w:hAnsi="Times New Roman" w:cs="Times New Roman"/>
          <w:sz w:val="22"/>
        </w:rPr>
        <w:t xml:space="preserve">El rubro de los viáticos en el exterior e </w:t>
      </w:r>
      <w:r w:rsidR="00804904" w:rsidRPr="00062207">
        <w:rPr>
          <w:rFonts w:ascii="Times New Roman" w:hAnsi="Times New Roman" w:cs="Times New Roman"/>
          <w:sz w:val="22"/>
        </w:rPr>
        <w:t xml:space="preserve">interior da cuenta de un crecimiento </w:t>
      </w:r>
      <w:r w:rsidRPr="00062207">
        <w:rPr>
          <w:rFonts w:ascii="Times New Roman" w:hAnsi="Times New Roman" w:cs="Times New Roman"/>
          <w:sz w:val="22"/>
        </w:rPr>
        <w:t xml:space="preserve">de </w:t>
      </w:r>
      <w:r w:rsidR="00804904" w:rsidRPr="00062207">
        <w:rPr>
          <w:rFonts w:ascii="Times New Roman" w:hAnsi="Times New Roman" w:cs="Times New Roman"/>
          <w:sz w:val="22"/>
        </w:rPr>
        <w:t>63</w:t>
      </w:r>
      <w:r w:rsidRPr="00062207">
        <w:rPr>
          <w:rFonts w:ascii="Times New Roman" w:hAnsi="Times New Roman" w:cs="Times New Roman"/>
          <w:sz w:val="22"/>
        </w:rPr>
        <w:t>.</w:t>
      </w:r>
      <w:r w:rsidR="00804904" w:rsidRPr="00062207">
        <w:rPr>
          <w:rFonts w:ascii="Times New Roman" w:hAnsi="Times New Roman" w:cs="Times New Roman"/>
          <w:sz w:val="22"/>
        </w:rPr>
        <w:t>8</w:t>
      </w:r>
      <w:r w:rsidRPr="00062207">
        <w:rPr>
          <w:rFonts w:ascii="Times New Roman" w:hAnsi="Times New Roman" w:cs="Times New Roman"/>
          <w:sz w:val="22"/>
        </w:rPr>
        <w:t>%, equivalente a Q2</w:t>
      </w:r>
      <w:r w:rsidR="00804904" w:rsidRPr="00062207">
        <w:rPr>
          <w:rFonts w:ascii="Times New Roman" w:hAnsi="Times New Roman" w:cs="Times New Roman"/>
          <w:sz w:val="22"/>
        </w:rPr>
        <w:t>8.7</w:t>
      </w:r>
      <w:r w:rsidRPr="00062207">
        <w:rPr>
          <w:rFonts w:ascii="Times New Roman" w:hAnsi="Times New Roman" w:cs="Times New Roman"/>
          <w:sz w:val="22"/>
        </w:rPr>
        <w:t xml:space="preserve"> millones, </w:t>
      </w:r>
      <w:r w:rsidR="00804904" w:rsidRPr="00062207">
        <w:rPr>
          <w:rFonts w:ascii="Times New Roman" w:hAnsi="Times New Roman" w:cs="Times New Roman"/>
          <w:sz w:val="22"/>
        </w:rPr>
        <w:t>el levantamiento de las medidas contra el COVID-19 y una mayor movilidad entre departamentos y al extranjero permitieron una mayor movilidad en 2021 de aquellas entidades que necesitan hacer actividades relacionadas al que hacer de las entidades en el interior y exterior del país.</w:t>
      </w:r>
    </w:p>
    <w:p w14:paraId="1275E0B5" w14:textId="77777777" w:rsidR="00D85325" w:rsidRPr="00062207" w:rsidRDefault="00D85325" w:rsidP="00811C41">
      <w:pPr>
        <w:jc w:val="both"/>
        <w:rPr>
          <w:rFonts w:ascii="Times New Roman" w:hAnsi="Times New Roman" w:cs="Times New Roman"/>
          <w:sz w:val="22"/>
        </w:rPr>
      </w:pPr>
    </w:p>
    <w:p w14:paraId="4E844D1C" w14:textId="5E61B7B9" w:rsidR="00B226AE" w:rsidRPr="00062207" w:rsidRDefault="00811C41" w:rsidP="00811C41">
      <w:pPr>
        <w:jc w:val="both"/>
        <w:rPr>
          <w:rFonts w:ascii="Times New Roman" w:hAnsi="Times New Roman" w:cs="Times New Roman"/>
          <w:sz w:val="22"/>
        </w:rPr>
      </w:pPr>
      <w:r w:rsidRPr="00062207">
        <w:rPr>
          <w:rFonts w:ascii="Times New Roman" w:hAnsi="Times New Roman" w:cs="Times New Roman"/>
          <w:sz w:val="22"/>
        </w:rPr>
        <w:t>E</w:t>
      </w:r>
      <w:r w:rsidR="00B226AE" w:rsidRPr="00062207">
        <w:rPr>
          <w:rFonts w:ascii="Times New Roman" w:hAnsi="Times New Roman" w:cs="Times New Roman"/>
          <w:sz w:val="22"/>
        </w:rPr>
        <w:t>n e</w:t>
      </w:r>
      <w:r w:rsidRPr="00062207">
        <w:rPr>
          <w:rFonts w:ascii="Times New Roman" w:hAnsi="Times New Roman" w:cs="Times New Roman"/>
          <w:sz w:val="22"/>
        </w:rPr>
        <w:t>l caso</w:t>
      </w:r>
      <w:r w:rsidR="00B226AE" w:rsidRPr="00062207">
        <w:rPr>
          <w:rFonts w:ascii="Times New Roman" w:hAnsi="Times New Roman" w:cs="Times New Roman"/>
          <w:sz w:val="22"/>
        </w:rPr>
        <w:t xml:space="preserve"> de divulgación e información, el monto ejecutado es de </w:t>
      </w:r>
      <w:r w:rsidRPr="00062207">
        <w:rPr>
          <w:rFonts w:ascii="Times New Roman" w:hAnsi="Times New Roman" w:cs="Times New Roman"/>
          <w:sz w:val="22"/>
        </w:rPr>
        <w:t>Q4</w:t>
      </w:r>
      <w:r w:rsidR="00B226AE" w:rsidRPr="00062207">
        <w:rPr>
          <w:rFonts w:ascii="Times New Roman" w:hAnsi="Times New Roman" w:cs="Times New Roman"/>
          <w:sz w:val="22"/>
        </w:rPr>
        <w:t>3</w:t>
      </w:r>
      <w:r w:rsidRPr="00062207">
        <w:rPr>
          <w:rFonts w:ascii="Times New Roman" w:hAnsi="Times New Roman" w:cs="Times New Roman"/>
          <w:sz w:val="22"/>
        </w:rPr>
        <w:t>.</w:t>
      </w:r>
      <w:r w:rsidR="00B226AE" w:rsidRPr="00062207">
        <w:rPr>
          <w:rFonts w:ascii="Times New Roman" w:hAnsi="Times New Roman" w:cs="Times New Roman"/>
          <w:sz w:val="22"/>
        </w:rPr>
        <w:t>5 millones</w:t>
      </w:r>
      <w:r w:rsidRPr="00062207">
        <w:rPr>
          <w:rFonts w:ascii="Times New Roman" w:hAnsi="Times New Roman" w:cs="Times New Roman"/>
          <w:sz w:val="22"/>
        </w:rPr>
        <w:t xml:space="preserve">, la tasa de crecimiento </w:t>
      </w:r>
      <w:r w:rsidR="00B226AE" w:rsidRPr="00062207">
        <w:rPr>
          <w:rFonts w:ascii="Times New Roman" w:hAnsi="Times New Roman" w:cs="Times New Roman"/>
          <w:sz w:val="22"/>
        </w:rPr>
        <w:t>fue de 6</w:t>
      </w:r>
      <w:r w:rsidRPr="00062207">
        <w:rPr>
          <w:rFonts w:ascii="Times New Roman" w:hAnsi="Times New Roman" w:cs="Times New Roman"/>
          <w:sz w:val="22"/>
        </w:rPr>
        <w:t>.3%</w:t>
      </w:r>
      <w:r w:rsidR="00B226AE" w:rsidRPr="00062207">
        <w:rPr>
          <w:rFonts w:ascii="Times New Roman" w:hAnsi="Times New Roman" w:cs="Times New Roman"/>
          <w:sz w:val="22"/>
        </w:rPr>
        <w:t xml:space="preserve"> (equivalente a Q2.6 millones)</w:t>
      </w:r>
      <w:r w:rsidRPr="00062207">
        <w:rPr>
          <w:rFonts w:ascii="Times New Roman" w:hAnsi="Times New Roman" w:cs="Times New Roman"/>
          <w:sz w:val="22"/>
        </w:rPr>
        <w:t>.</w:t>
      </w:r>
      <w:r w:rsidR="00B226AE" w:rsidRPr="00062207">
        <w:rPr>
          <w:rFonts w:ascii="Times New Roman" w:hAnsi="Times New Roman" w:cs="Times New Roman"/>
          <w:sz w:val="22"/>
        </w:rPr>
        <w:t xml:space="preserve"> Al analizar el gasto por</w:t>
      </w:r>
      <w:r w:rsidRPr="00062207">
        <w:rPr>
          <w:rFonts w:ascii="Times New Roman" w:hAnsi="Times New Roman" w:cs="Times New Roman"/>
          <w:sz w:val="22"/>
        </w:rPr>
        <w:t xml:space="preserve"> entidades </w:t>
      </w:r>
      <w:r w:rsidR="00B226AE" w:rsidRPr="00062207">
        <w:rPr>
          <w:rFonts w:ascii="Times New Roman" w:hAnsi="Times New Roman" w:cs="Times New Roman"/>
          <w:sz w:val="22"/>
        </w:rPr>
        <w:t xml:space="preserve">resaltan </w:t>
      </w:r>
      <w:r w:rsidRPr="00062207">
        <w:rPr>
          <w:rFonts w:ascii="Times New Roman" w:hAnsi="Times New Roman" w:cs="Times New Roman"/>
          <w:sz w:val="22"/>
        </w:rPr>
        <w:t>las Secretarias del Ejecutivo, específicamente la Secretaria de Comunica</w:t>
      </w:r>
      <w:r w:rsidR="00B226AE" w:rsidRPr="00062207">
        <w:rPr>
          <w:rFonts w:ascii="Times New Roman" w:hAnsi="Times New Roman" w:cs="Times New Roman"/>
          <w:sz w:val="22"/>
        </w:rPr>
        <w:t>ción Social de la Presidencia</w:t>
      </w:r>
      <w:r w:rsidRPr="00062207">
        <w:rPr>
          <w:rFonts w:ascii="Times New Roman" w:hAnsi="Times New Roman" w:cs="Times New Roman"/>
          <w:sz w:val="22"/>
        </w:rPr>
        <w:t xml:space="preserve"> y el Ministerio de Salud Pública y</w:t>
      </w:r>
      <w:r w:rsidR="00B226AE" w:rsidRPr="00062207">
        <w:rPr>
          <w:rFonts w:ascii="Times New Roman" w:hAnsi="Times New Roman" w:cs="Times New Roman"/>
          <w:sz w:val="22"/>
        </w:rPr>
        <w:t xml:space="preserve"> Asistencia Social, derivado que en 2021 se mantuvieron </w:t>
      </w:r>
      <w:r w:rsidRPr="00062207">
        <w:rPr>
          <w:rFonts w:ascii="Times New Roman" w:hAnsi="Times New Roman" w:cs="Times New Roman"/>
          <w:sz w:val="22"/>
        </w:rPr>
        <w:t>las necesidades</w:t>
      </w:r>
      <w:r w:rsidR="00B226AE" w:rsidRPr="00062207">
        <w:rPr>
          <w:rFonts w:ascii="Times New Roman" w:hAnsi="Times New Roman" w:cs="Times New Roman"/>
          <w:sz w:val="22"/>
        </w:rPr>
        <w:t xml:space="preserve"> del gobierno </w:t>
      </w:r>
      <w:r w:rsidRPr="00062207">
        <w:rPr>
          <w:rFonts w:ascii="Times New Roman" w:hAnsi="Times New Roman" w:cs="Times New Roman"/>
          <w:sz w:val="22"/>
        </w:rPr>
        <w:t>de difund</w:t>
      </w:r>
      <w:r w:rsidR="00D342B6" w:rsidRPr="00062207">
        <w:rPr>
          <w:rFonts w:ascii="Times New Roman" w:hAnsi="Times New Roman" w:cs="Times New Roman"/>
          <w:sz w:val="22"/>
        </w:rPr>
        <w:t>ir por medio de campañas</w:t>
      </w:r>
      <w:r w:rsidRPr="00062207">
        <w:rPr>
          <w:rFonts w:ascii="Times New Roman" w:hAnsi="Times New Roman" w:cs="Times New Roman"/>
          <w:sz w:val="22"/>
        </w:rPr>
        <w:t xml:space="preserve"> información relacionada a la prevención y cuidados</w:t>
      </w:r>
      <w:r w:rsidR="00B226AE" w:rsidRPr="00062207">
        <w:rPr>
          <w:rFonts w:ascii="Times New Roman" w:hAnsi="Times New Roman" w:cs="Times New Roman"/>
          <w:sz w:val="22"/>
        </w:rPr>
        <w:t xml:space="preserve"> que ha sido necesario mantener </w:t>
      </w:r>
      <w:r w:rsidR="00D342B6" w:rsidRPr="00062207">
        <w:rPr>
          <w:rFonts w:ascii="Times New Roman" w:hAnsi="Times New Roman" w:cs="Times New Roman"/>
          <w:sz w:val="22"/>
        </w:rPr>
        <w:t xml:space="preserve">en relación </w:t>
      </w:r>
      <w:r w:rsidR="00B226AE" w:rsidRPr="00062207">
        <w:rPr>
          <w:rFonts w:ascii="Times New Roman" w:hAnsi="Times New Roman" w:cs="Times New Roman"/>
          <w:sz w:val="22"/>
        </w:rPr>
        <w:t xml:space="preserve">al COVID-19, principalmente después de la aparición de nuevas cepas que mantienen elevado el riesgo de contagio a pesar de la vacunación. </w:t>
      </w:r>
    </w:p>
    <w:p w14:paraId="2C9BB4F3" w14:textId="17A57423" w:rsidR="00804904" w:rsidRPr="00062207" w:rsidRDefault="00804904" w:rsidP="00811C41">
      <w:pPr>
        <w:jc w:val="both"/>
        <w:rPr>
          <w:rFonts w:ascii="Times New Roman" w:hAnsi="Times New Roman" w:cs="Times New Roman"/>
          <w:sz w:val="22"/>
        </w:rPr>
      </w:pPr>
    </w:p>
    <w:p w14:paraId="47E677A4" w14:textId="0A03CDB5" w:rsidR="00804904" w:rsidRPr="00062207" w:rsidRDefault="00804904" w:rsidP="00804904">
      <w:pPr>
        <w:jc w:val="both"/>
        <w:rPr>
          <w:rFonts w:ascii="Times New Roman" w:hAnsi="Times New Roman" w:cs="Times New Roman"/>
          <w:sz w:val="22"/>
        </w:rPr>
      </w:pPr>
      <w:r w:rsidRPr="00062207">
        <w:rPr>
          <w:rFonts w:ascii="Times New Roman" w:hAnsi="Times New Roman" w:cs="Times New Roman"/>
          <w:sz w:val="22"/>
        </w:rPr>
        <w:t xml:space="preserve">Únicamente </w:t>
      </w:r>
      <w:r w:rsidR="00D342B6" w:rsidRPr="00062207">
        <w:rPr>
          <w:rFonts w:ascii="Times New Roman" w:hAnsi="Times New Roman" w:cs="Times New Roman"/>
          <w:sz w:val="22"/>
        </w:rPr>
        <w:t>el rubro de</w:t>
      </w:r>
      <w:r w:rsidRPr="00062207">
        <w:rPr>
          <w:rFonts w:ascii="Times New Roman" w:hAnsi="Times New Roman" w:cs="Times New Roman"/>
          <w:sz w:val="22"/>
        </w:rPr>
        <w:t xml:space="preserve"> combustibles</w:t>
      </w:r>
      <w:r w:rsidR="00D342B6" w:rsidRPr="00062207">
        <w:rPr>
          <w:rFonts w:ascii="Times New Roman" w:hAnsi="Times New Roman" w:cs="Times New Roman"/>
          <w:sz w:val="22"/>
        </w:rPr>
        <w:t xml:space="preserve"> reporta una menor ejecución, siendo la contracción de 18.2% (equivalente a Q51.2 millones), esta</w:t>
      </w:r>
      <w:r w:rsidR="00913E3C" w:rsidRPr="00062207">
        <w:rPr>
          <w:rFonts w:ascii="Times New Roman" w:hAnsi="Times New Roman" w:cs="Times New Roman"/>
          <w:sz w:val="22"/>
        </w:rPr>
        <w:t xml:space="preserve"> disminución se encuentra</w:t>
      </w:r>
      <w:r w:rsidR="00D342B6" w:rsidRPr="00062207">
        <w:rPr>
          <w:rFonts w:ascii="Times New Roman" w:hAnsi="Times New Roman" w:cs="Times New Roman"/>
          <w:sz w:val="22"/>
        </w:rPr>
        <w:t xml:space="preserve"> en el Ministerio de Gobernación (Q46.9 millones) y en el Ministerio de Comunicaciones, Infraestructura y Vivienda (Q11.5 millones).</w:t>
      </w:r>
    </w:p>
    <w:p w14:paraId="41651571" w14:textId="77777777" w:rsidR="00804904" w:rsidRPr="00062207" w:rsidRDefault="00804904" w:rsidP="00811C41">
      <w:pPr>
        <w:jc w:val="both"/>
        <w:rPr>
          <w:rFonts w:ascii="Times New Roman" w:hAnsi="Times New Roman" w:cs="Times New Roman"/>
          <w:sz w:val="22"/>
        </w:rPr>
      </w:pPr>
    </w:p>
    <w:p w14:paraId="55D9F43B" w14:textId="2D70EB92" w:rsidR="00D85325" w:rsidRPr="00062207" w:rsidRDefault="00D85325" w:rsidP="00811C41">
      <w:pPr>
        <w:jc w:val="both"/>
        <w:rPr>
          <w:rFonts w:ascii="Times New Roman" w:hAnsi="Times New Roman" w:cs="Times New Roman"/>
          <w:sz w:val="22"/>
        </w:rPr>
      </w:pPr>
    </w:p>
    <w:p w14:paraId="600A0EB6" w14:textId="03AD4381" w:rsidR="001E7890" w:rsidRPr="00062207" w:rsidRDefault="001E7890" w:rsidP="00811C41">
      <w:pPr>
        <w:jc w:val="both"/>
        <w:rPr>
          <w:rFonts w:ascii="Times New Roman" w:hAnsi="Times New Roman" w:cs="Times New Roman"/>
          <w:sz w:val="22"/>
        </w:rPr>
      </w:pPr>
    </w:p>
    <w:p w14:paraId="29036B41" w14:textId="77777777" w:rsidR="00EE3A5F" w:rsidRPr="00062207" w:rsidRDefault="00EE3A5F" w:rsidP="00811C41">
      <w:pPr>
        <w:jc w:val="both"/>
        <w:rPr>
          <w:rFonts w:ascii="Times New Roman" w:hAnsi="Times New Roman" w:cs="Times New Roman"/>
          <w:sz w:val="22"/>
        </w:rPr>
      </w:pPr>
    </w:p>
    <w:p w14:paraId="257B5FFD" w14:textId="38EA01E8" w:rsidR="00811C41" w:rsidRPr="00062207" w:rsidRDefault="009D6295" w:rsidP="00811C41">
      <w:pPr>
        <w:pStyle w:val="Sinespaciado"/>
        <w:jc w:val="center"/>
        <w:rPr>
          <w:rFonts w:ascii="Times New Roman" w:hAnsi="Times New Roman" w:cs="Times New Roman"/>
          <w:b/>
          <w:sz w:val="24"/>
        </w:rPr>
      </w:pPr>
      <w:r w:rsidRPr="00062207">
        <w:rPr>
          <w:rFonts w:ascii="Times New Roman" w:hAnsi="Times New Roman" w:cs="Times New Roman"/>
          <w:noProof/>
          <w:shd w:val="clear" w:color="auto" w:fill="4F81BD" w:themeFill="accent1"/>
          <w:lang w:eastAsia="es-GT"/>
        </w:rPr>
        <w:lastRenderedPageBreak/>
        <w:drawing>
          <wp:anchor distT="0" distB="0" distL="114300" distR="114300" simplePos="0" relativeHeight="251672576" behindDoc="0" locked="0" layoutInCell="1" allowOverlap="1" wp14:anchorId="4B468A99" wp14:editId="1B1768A6">
            <wp:simplePos x="0" y="0"/>
            <wp:positionH relativeFrom="column">
              <wp:posOffset>156210</wp:posOffset>
            </wp:positionH>
            <wp:positionV relativeFrom="paragraph">
              <wp:posOffset>326390</wp:posOffset>
            </wp:positionV>
            <wp:extent cx="5612130" cy="3078480"/>
            <wp:effectExtent l="0" t="0" r="7620" b="7620"/>
            <wp:wrapSquare wrapText="bothSides"/>
            <wp:docPr id="48" name="Gráfico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page">
              <wp14:pctWidth>0</wp14:pctWidth>
            </wp14:sizeRelH>
            <wp14:sizeRelV relativeFrom="page">
              <wp14:pctHeight>0</wp14:pctHeight>
            </wp14:sizeRelV>
          </wp:anchor>
        </w:drawing>
      </w:r>
      <w:r w:rsidR="00811C41" w:rsidRPr="00062207">
        <w:rPr>
          <w:rFonts w:ascii="Times New Roman" w:hAnsi="Times New Roman" w:cs="Times New Roman"/>
          <w:b/>
          <w:sz w:val="24"/>
        </w:rPr>
        <w:t>Gastos no esenciales 201</w:t>
      </w:r>
      <w:r w:rsidR="00AD5040" w:rsidRPr="00062207">
        <w:rPr>
          <w:rFonts w:ascii="Times New Roman" w:hAnsi="Times New Roman" w:cs="Times New Roman"/>
          <w:b/>
          <w:sz w:val="24"/>
        </w:rPr>
        <w:t>8</w:t>
      </w:r>
      <w:r w:rsidR="00811C41" w:rsidRPr="00062207">
        <w:rPr>
          <w:rFonts w:ascii="Times New Roman" w:hAnsi="Times New Roman" w:cs="Times New Roman"/>
          <w:b/>
          <w:sz w:val="24"/>
        </w:rPr>
        <w:t>-202</w:t>
      </w:r>
      <w:r w:rsidR="00AD5040" w:rsidRPr="00062207">
        <w:rPr>
          <w:rFonts w:ascii="Times New Roman" w:hAnsi="Times New Roman" w:cs="Times New Roman"/>
          <w:b/>
          <w:sz w:val="24"/>
        </w:rPr>
        <w:t>1</w:t>
      </w:r>
      <w:r w:rsidR="00811C41" w:rsidRPr="00062207">
        <w:rPr>
          <w:rFonts w:ascii="Times New Roman" w:hAnsi="Times New Roman" w:cs="Times New Roman"/>
          <w:b/>
          <w:sz w:val="24"/>
        </w:rPr>
        <w:t xml:space="preserve"> </w:t>
      </w:r>
    </w:p>
    <w:p w14:paraId="091E3D9D" w14:textId="0749E52F" w:rsidR="00811C41" w:rsidRPr="00062207" w:rsidRDefault="008A3B13" w:rsidP="00811C41">
      <w:pPr>
        <w:pStyle w:val="Sinespaciado"/>
        <w:jc w:val="center"/>
        <w:rPr>
          <w:rFonts w:ascii="Times New Roman" w:hAnsi="Times New Roman" w:cs="Times New Roman"/>
          <w:sz w:val="20"/>
        </w:rPr>
      </w:pPr>
      <w:r w:rsidRPr="00062207">
        <w:rPr>
          <w:rFonts w:ascii="Times New Roman" w:hAnsi="Times New Roman" w:cs="Times New Roman"/>
          <w:noProof/>
          <w:sz w:val="20"/>
          <w:lang w:eastAsia="es-GT"/>
        </w:rPr>
        <mc:AlternateContent>
          <mc:Choice Requires="wps">
            <w:drawing>
              <wp:anchor distT="45720" distB="45720" distL="114300" distR="114300" simplePos="0" relativeHeight="251674624" behindDoc="0" locked="0" layoutInCell="1" allowOverlap="1" wp14:anchorId="45CA0B66" wp14:editId="7A40771E">
                <wp:simplePos x="0" y="0"/>
                <wp:positionH relativeFrom="column">
                  <wp:posOffset>4404995</wp:posOffset>
                </wp:positionH>
                <wp:positionV relativeFrom="paragraph">
                  <wp:posOffset>150826</wp:posOffset>
                </wp:positionV>
                <wp:extent cx="1192530" cy="46101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2530" cy="461010"/>
                        </a:xfrm>
                        <a:prstGeom prst="rect">
                          <a:avLst/>
                        </a:prstGeom>
                        <a:noFill/>
                        <a:ln w="9525">
                          <a:noFill/>
                          <a:miter lim="800000"/>
                          <a:headEnd/>
                          <a:tailEnd/>
                        </a:ln>
                      </wps:spPr>
                      <wps:txbx>
                        <w:txbxContent>
                          <w:p w14:paraId="2C57DC1E" w14:textId="0D2C0BDA" w:rsidR="00062207" w:rsidRPr="00413476" w:rsidRDefault="00062207" w:rsidP="004F1695">
                            <w:pPr>
                              <w:jc w:val="center"/>
                              <w:rPr>
                                <w:rFonts w:ascii="Times New Roman" w:hAnsi="Times New Roman" w:cs="Times New Roman"/>
                                <w:b/>
                                <w:color w:val="C00000"/>
                                <w:sz w:val="20"/>
                                <w:lang w:val="en-US"/>
                              </w:rPr>
                            </w:pPr>
                            <w:r>
                              <w:rPr>
                                <w:rFonts w:ascii="Times New Roman" w:hAnsi="Times New Roman" w:cs="Times New Roman"/>
                                <w:b/>
                                <w:color w:val="C00000"/>
                                <w:sz w:val="20"/>
                              </w:rPr>
                              <w:t>Aumento</w:t>
                            </w:r>
                            <w:r w:rsidRPr="00413476">
                              <w:rPr>
                                <w:rFonts w:ascii="Times New Roman" w:hAnsi="Times New Roman" w:cs="Times New Roman"/>
                                <w:b/>
                                <w:color w:val="C00000"/>
                                <w:sz w:val="20"/>
                              </w:rPr>
                              <w:t xml:space="preserve"> de Q</w:t>
                            </w:r>
                            <w:r>
                              <w:rPr>
                                <w:rFonts w:ascii="Times New Roman" w:hAnsi="Times New Roman" w:cs="Times New Roman"/>
                                <w:b/>
                                <w:color w:val="C00000"/>
                                <w:sz w:val="20"/>
                              </w:rPr>
                              <w:t>269</w:t>
                            </w:r>
                            <w:r w:rsidRPr="00413476">
                              <w:rPr>
                                <w:rFonts w:ascii="Times New Roman" w:hAnsi="Times New Roman" w:cs="Times New Roman"/>
                                <w:b/>
                                <w:color w:val="C00000"/>
                                <w:sz w:val="20"/>
                              </w:rPr>
                              <w:t>.</w:t>
                            </w:r>
                            <w:r>
                              <w:rPr>
                                <w:rFonts w:ascii="Times New Roman" w:hAnsi="Times New Roman" w:cs="Times New Roman"/>
                                <w:b/>
                                <w:color w:val="C00000"/>
                                <w:sz w:val="20"/>
                              </w:rPr>
                              <w:t>5</w:t>
                            </w:r>
                            <w:r w:rsidRPr="00413476">
                              <w:rPr>
                                <w:rFonts w:ascii="Times New Roman" w:hAnsi="Times New Roman" w:cs="Times New Roman"/>
                                <w:b/>
                                <w:color w:val="C00000"/>
                                <w:sz w:val="20"/>
                              </w:rPr>
                              <w:t xml:space="preserve"> millones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CA0B66" id="Text Box 2" o:spid="_x0000_s1072" type="#_x0000_t202" style="position:absolute;left:0;text-align:left;margin-left:346.85pt;margin-top:11.9pt;width:93.9pt;height:36.3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" filled="f" stroked="f">
                <v:textbox>
                  <w:txbxContent>
                    <w:p w14:paraId="2C57DC1E" w14:textId="0D2C0BDA" w:rsidR="00062207" w:rsidRPr="00413476" w:rsidRDefault="00062207" w:rsidP="004F1695">
                      <w:pPr>
                        <w:jc w:val="center"/>
                        <w:rPr>
                          <w:rFonts w:ascii="Times New Roman" w:hAnsi="Times New Roman" w:cs="Times New Roman"/>
                          <w:b/>
                          <w:color w:val="C00000"/>
                          <w:sz w:val="20"/>
                          <w:lang w:val="en-US"/>
                        </w:rPr>
                      </w:pPr>
                      <w:r>
                        <w:rPr>
                          <w:rFonts w:ascii="Times New Roman" w:hAnsi="Times New Roman" w:cs="Times New Roman"/>
                          <w:b/>
                          <w:color w:val="C00000"/>
                          <w:sz w:val="20"/>
                        </w:rPr>
                        <w:t>Aumento</w:t>
                      </w:r>
                      <w:r w:rsidRPr="00413476">
                        <w:rPr>
                          <w:rFonts w:ascii="Times New Roman" w:hAnsi="Times New Roman" w:cs="Times New Roman"/>
                          <w:b/>
                          <w:color w:val="C00000"/>
                          <w:sz w:val="20"/>
                        </w:rPr>
                        <w:t xml:space="preserve"> de Q</w:t>
                      </w:r>
                      <w:r>
                        <w:rPr>
                          <w:rFonts w:ascii="Times New Roman" w:hAnsi="Times New Roman" w:cs="Times New Roman"/>
                          <w:b/>
                          <w:color w:val="C00000"/>
                          <w:sz w:val="20"/>
                        </w:rPr>
                        <w:t>269</w:t>
                      </w:r>
                      <w:r w:rsidRPr="00413476">
                        <w:rPr>
                          <w:rFonts w:ascii="Times New Roman" w:hAnsi="Times New Roman" w:cs="Times New Roman"/>
                          <w:b/>
                          <w:color w:val="C00000"/>
                          <w:sz w:val="20"/>
                        </w:rPr>
                        <w:t>.</w:t>
                      </w:r>
                      <w:r>
                        <w:rPr>
                          <w:rFonts w:ascii="Times New Roman" w:hAnsi="Times New Roman" w:cs="Times New Roman"/>
                          <w:b/>
                          <w:color w:val="C00000"/>
                          <w:sz w:val="20"/>
                        </w:rPr>
                        <w:t>5</w:t>
                      </w:r>
                      <w:r w:rsidRPr="00413476">
                        <w:rPr>
                          <w:rFonts w:ascii="Times New Roman" w:hAnsi="Times New Roman" w:cs="Times New Roman"/>
                          <w:b/>
                          <w:color w:val="C00000"/>
                          <w:sz w:val="20"/>
                        </w:rPr>
                        <w:t xml:space="preserve"> millones</w:t>
                      </w:r>
                    </w:p>
                  </w:txbxContent>
                </v:textbox>
                <w10:wrap type="square"/>
              </v:shape>
            </w:pict>
          </mc:Fallback>
        </mc:AlternateContent>
      </w:r>
      <w:r w:rsidR="004F1695" w:rsidRPr="00062207">
        <w:rPr>
          <w:rFonts w:ascii="Times New Roman" w:hAnsi="Times New Roman" w:cs="Times New Roman"/>
          <w:sz w:val="20"/>
        </w:rPr>
        <w:t xml:space="preserve">                                             </w:t>
      </w:r>
      <w:r w:rsidR="00811C41" w:rsidRPr="00062207">
        <w:rPr>
          <w:rFonts w:ascii="Times New Roman" w:hAnsi="Times New Roman" w:cs="Times New Roman"/>
          <w:sz w:val="20"/>
        </w:rPr>
        <w:t>Millones de quetzales</w:t>
      </w:r>
    </w:p>
    <w:p w14:paraId="682E5533" w14:textId="4AF5EB9C" w:rsidR="00811C41" w:rsidRPr="00062207" w:rsidRDefault="00D85325" w:rsidP="00811C41">
      <w:pPr>
        <w:rPr>
          <w:rFonts w:ascii="Times New Roman" w:hAnsi="Times New Roman" w:cs="Times New Roman"/>
          <w:sz w:val="18"/>
        </w:rPr>
      </w:pPr>
      <w:r w:rsidRPr="00062207">
        <w:rPr>
          <w:rFonts w:ascii="Times New Roman" w:hAnsi="Times New Roman" w:cs="Times New Roman"/>
          <w:sz w:val="18"/>
        </w:rPr>
        <w:t xml:space="preserve">            </w:t>
      </w:r>
      <w:r w:rsidR="00811C41" w:rsidRPr="00062207">
        <w:rPr>
          <w:rFonts w:ascii="Times New Roman" w:hAnsi="Times New Roman" w:cs="Times New Roman"/>
          <w:sz w:val="18"/>
        </w:rPr>
        <w:t>Fuente: Dirección de Análisis y Política Fiscal</w:t>
      </w:r>
      <w:r w:rsidR="00EE3A5F" w:rsidRPr="00062207">
        <w:rPr>
          <w:rFonts w:ascii="Times New Roman" w:hAnsi="Times New Roman" w:cs="Times New Roman"/>
          <w:sz w:val="18"/>
        </w:rPr>
        <w:t>.</w:t>
      </w:r>
    </w:p>
    <w:p w14:paraId="548762F6" w14:textId="77777777" w:rsidR="00811C41" w:rsidRPr="00062207" w:rsidRDefault="00811C41" w:rsidP="00811C41">
      <w:pPr>
        <w:jc w:val="both"/>
        <w:rPr>
          <w:rFonts w:ascii="Times New Roman" w:hAnsi="Times New Roman" w:cs="Times New Roman"/>
          <w:sz w:val="22"/>
          <w:szCs w:val="22"/>
        </w:rPr>
      </w:pPr>
    </w:p>
    <w:p w14:paraId="68EC649C" w14:textId="33A1C46D" w:rsidR="00811C41" w:rsidRPr="00062207" w:rsidRDefault="00AF765F" w:rsidP="00811C41">
      <w:pPr>
        <w:jc w:val="both"/>
        <w:rPr>
          <w:rFonts w:ascii="Times New Roman" w:hAnsi="Times New Roman" w:cs="Times New Roman"/>
          <w:sz w:val="22"/>
        </w:rPr>
      </w:pPr>
      <w:r w:rsidRPr="00062207">
        <w:rPr>
          <w:rFonts w:ascii="Times New Roman" w:hAnsi="Times New Roman" w:cs="Times New Roman"/>
          <w:sz w:val="22"/>
        </w:rPr>
        <w:t xml:space="preserve">Adicionalmente, otras </w:t>
      </w:r>
      <w:r w:rsidR="00811C41" w:rsidRPr="00062207">
        <w:rPr>
          <w:rFonts w:ascii="Times New Roman" w:hAnsi="Times New Roman" w:cs="Times New Roman"/>
          <w:sz w:val="22"/>
        </w:rPr>
        <w:t>erogaciones</w:t>
      </w:r>
      <w:r w:rsidRPr="00062207">
        <w:rPr>
          <w:rFonts w:ascii="Times New Roman" w:hAnsi="Times New Roman" w:cs="Times New Roman"/>
          <w:sz w:val="22"/>
        </w:rPr>
        <w:t xml:space="preserve"> de relativa importancia como la realizada en los renglones de</w:t>
      </w:r>
      <w:r w:rsidR="00811C41" w:rsidRPr="00062207">
        <w:rPr>
          <w:rFonts w:ascii="Times New Roman" w:hAnsi="Times New Roman" w:cs="Times New Roman"/>
          <w:sz w:val="22"/>
        </w:rPr>
        <w:t xml:space="preserve"> transporte, arrendamiento de edificios y locales adicionales a los existentes, remozamiento de oficinas, mobiliari</w:t>
      </w:r>
      <w:r w:rsidR="005A17D8" w:rsidRPr="00062207">
        <w:rPr>
          <w:rFonts w:ascii="Times New Roman" w:hAnsi="Times New Roman" w:cs="Times New Roman"/>
          <w:sz w:val="22"/>
        </w:rPr>
        <w:t>o y equipo de oficinas, equipo de cómputo</w:t>
      </w:r>
      <w:r w:rsidR="00811C41" w:rsidRPr="00062207">
        <w:rPr>
          <w:rFonts w:ascii="Times New Roman" w:hAnsi="Times New Roman" w:cs="Times New Roman"/>
          <w:sz w:val="22"/>
        </w:rPr>
        <w:t xml:space="preserve"> y las contrataciones destinadas</w:t>
      </w:r>
      <w:r w:rsidR="005A17D8" w:rsidRPr="00062207">
        <w:rPr>
          <w:rFonts w:ascii="Times New Roman" w:hAnsi="Times New Roman" w:cs="Times New Roman"/>
          <w:sz w:val="22"/>
        </w:rPr>
        <w:t xml:space="preserve"> a la capacitación de personal </w:t>
      </w:r>
      <w:r w:rsidR="00811C41" w:rsidRPr="00062207">
        <w:rPr>
          <w:rFonts w:ascii="Times New Roman" w:hAnsi="Times New Roman" w:cs="Times New Roman"/>
          <w:sz w:val="22"/>
        </w:rPr>
        <w:t>y otros no prioritarios quedaron limitadas</w:t>
      </w:r>
      <w:r w:rsidR="00E83714" w:rsidRPr="00062207">
        <w:rPr>
          <w:rFonts w:ascii="Times New Roman" w:hAnsi="Times New Roman" w:cs="Times New Roman"/>
          <w:sz w:val="22"/>
        </w:rPr>
        <w:t xml:space="preserve"> y no alcanzan los niveles pre pandemia</w:t>
      </w:r>
      <w:r w:rsidR="00811C41" w:rsidRPr="00062207">
        <w:rPr>
          <w:rFonts w:ascii="Times New Roman" w:hAnsi="Times New Roman" w:cs="Times New Roman"/>
          <w:sz w:val="22"/>
        </w:rPr>
        <w:t xml:space="preserve">. </w:t>
      </w:r>
    </w:p>
    <w:p w14:paraId="4FDCAE6E" w14:textId="77777777" w:rsidR="00D85325" w:rsidRPr="00062207" w:rsidRDefault="00D85325" w:rsidP="00811C41">
      <w:pPr>
        <w:jc w:val="both"/>
        <w:rPr>
          <w:rFonts w:ascii="Times New Roman" w:hAnsi="Times New Roman" w:cs="Times New Roman"/>
          <w:sz w:val="22"/>
          <w:highlight w:val="yellow"/>
        </w:rPr>
      </w:pPr>
    </w:p>
    <w:p w14:paraId="4BC8D289" w14:textId="118D9499" w:rsidR="005460B1" w:rsidRPr="00062207" w:rsidRDefault="00351803" w:rsidP="00A963D6">
      <w:pPr>
        <w:pStyle w:val="Ttulo2"/>
        <w:spacing w:before="0"/>
        <w:ind w:left="567" w:hanging="283"/>
        <w:rPr>
          <w:rFonts w:ascii="Times New Roman" w:hAnsi="Times New Roman" w:cs="Times New Roman"/>
          <w:color w:val="auto"/>
          <w:sz w:val="24"/>
        </w:rPr>
      </w:pPr>
      <w:bookmarkStart w:id="144" w:name="_Toc62724281"/>
      <w:bookmarkStart w:id="145" w:name="_Toc94259632"/>
      <w:r w:rsidRPr="00062207">
        <w:rPr>
          <w:rFonts w:ascii="Times New Roman" w:hAnsi="Times New Roman" w:cs="Times New Roman"/>
          <w:color w:val="auto"/>
          <w:sz w:val="24"/>
        </w:rPr>
        <w:t xml:space="preserve">2.4 </w:t>
      </w:r>
      <w:r w:rsidR="00AF765F" w:rsidRPr="00062207">
        <w:rPr>
          <w:rFonts w:ascii="Times New Roman" w:hAnsi="Times New Roman" w:cs="Times New Roman"/>
          <w:color w:val="auto"/>
          <w:sz w:val="24"/>
        </w:rPr>
        <w:t>E</w:t>
      </w:r>
      <w:r w:rsidR="00D85325" w:rsidRPr="00062207">
        <w:rPr>
          <w:rFonts w:ascii="Times New Roman" w:hAnsi="Times New Roman" w:cs="Times New Roman"/>
          <w:color w:val="auto"/>
          <w:sz w:val="24"/>
        </w:rPr>
        <w:t>l</w:t>
      </w:r>
      <w:r w:rsidR="00EE52DF" w:rsidRPr="00062207">
        <w:rPr>
          <w:rFonts w:ascii="Times New Roman" w:hAnsi="Times New Roman" w:cs="Times New Roman"/>
          <w:color w:val="auto"/>
          <w:sz w:val="24"/>
        </w:rPr>
        <w:t xml:space="preserve"> gasto social</w:t>
      </w:r>
      <w:bookmarkEnd w:id="144"/>
      <w:r w:rsidR="00AF765F" w:rsidRPr="00062207">
        <w:rPr>
          <w:rFonts w:ascii="Times New Roman" w:hAnsi="Times New Roman" w:cs="Times New Roman"/>
          <w:color w:val="auto"/>
          <w:sz w:val="24"/>
        </w:rPr>
        <w:t xml:space="preserve"> mostró un repunte en 2021</w:t>
      </w:r>
      <w:bookmarkEnd w:id="145"/>
    </w:p>
    <w:p w14:paraId="7241BFD6" w14:textId="77777777" w:rsidR="00EE52DF" w:rsidRPr="00062207" w:rsidRDefault="00EE52DF" w:rsidP="00EE52DF">
      <w:pPr>
        <w:rPr>
          <w:sz w:val="22"/>
          <w:lang w:eastAsia="en-US"/>
        </w:rPr>
      </w:pPr>
    </w:p>
    <w:p w14:paraId="5F696E6D" w14:textId="21560A4E" w:rsidR="00F51181" w:rsidRPr="00062207" w:rsidRDefault="00F51181" w:rsidP="00F51181">
      <w:pPr>
        <w:jc w:val="both"/>
        <w:rPr>
          <w:rFonts w:ascii="Times New Roman" w:hAnsi="Times New Roman" w:cs="Times New Roman"/>
          <w:sz w:val="22"/>
        </w:rPr>
      </w:pPr>
      <w:r w:rsidRPr="00062207">
        <w:rPr>
          <w:rFonts w:ascii="Times New Roman" w:hAnsi="Times New Roman" w:cs="Times New Roman"/>
          <w:sz w:val="22"/>
        </w:rPr>
        <w:t>El gasto social entendido como el gasto sectorial de los Acuerdos de Paz, orientados a los sectores de salud y asistencia social, educación, ciencia y cultura, y vivienda, mostraron en su conjunto, una ejecución de Q3</w:t>
      </w:r>
      <w:r w:rsidR="007F10D0" w:rsidRPr="00062207">
        <w:rPr>
          <w:rFonts w:ascii="Times New Roman" w:hAnsi="Times New Roman" w:cs="Times New Roman"/>
          <w:sz w:val="22"/>
        </w:rPr>
        <w:t>6</w:t>
      </w:r>
      <w:r w:rsidRPr="00062207">
        <w:rPr>
          <w:rFonts w:ascii="Times New Roman" w:hAnsi="Times New Roman" w:cs="Times New Roman"/>
          <w:sz w:val="22"/>
        </w:rPr>
        <w:t>,</w:t>
      </w:r>
      <w:r w:rsidR="007F10D0" w:rsidRPr="00062207">
        <w:rPr>
          <w:rFonts w:ascii="Times New Roman" w:hAnsi="Times New Roman" w:cs="Times New Roman"/>
          <w:sz w:val="22"/>
        </w:rPr>
        <w:t>502</w:t>
      </w:r>
      <w:r w:rsidRPr="00062207">
        <w:rPr>
          <w:rFonts w:ascii="Times New Roman" w:hAnsi="Times New Roman" w:cs="Times New Roman"/>
          <w:sz w:val="22"/>
        </w:rPr>
        <w:t>.</w:t>
      </w:r>
      <w:r w:rsidR="007F10D0" w:rsidRPr="00062207">
        <w:rPr>
          <w:rFonts w:ascii="Times New Roman" w:hAnsi="Times New Roman" w:cs="Times New Roman"/>
          <w:sz w:val="22"/>
        </w:rPr>
        <w:t>6</w:t>
      </w:r>
      <w:r w:rsidRPr="00062207">
        <w:rPr>
          <w:rFonts w:ascii="Times New Roman" w:hAnsi="Times New Roman" w:cs="Times New Roman"/>
          <w:sz w:val="22"/>
        </w:rPr>
        <w:t xml:space="preserve"> millones, con un crecimiento interanua</w:t>
      </w:r>
      <w:r w:rsidR="007C5F83" w:rsidRPr="00062207">
        <w:rPr>
          <w:rFonts w:ascii="Times New Roman" w:hAnsi="Times New Roman" w:cs="Times New Roman"/>
          <w:sz w:val="22"/>
        </w:rPr>
        <w:t>l</w:t>
      </w:r>
      <w:r w:rsidRPr="00062207">
        <w:rPr>
          <w:rFonts w:ascii="Times New Roman" w:hAnsi="Times New Roman" w:cs="Times New Roman"/>
          <w:sz w:val="22"/>
        </w:rPr>
        <w:t xml:space="preserve"> de </w:t>
      </w:r>
      <w:r w:rsidR="007F10D0" w:rsidRPr="00062207">
        <w:rPr>
          <w:rFonts w:ascii="Times New Roman" w:hAnsi="Times New Roman" w:cs="Times New Roman"/>
          <w:sz w:val="22"/>
        </w:rPr>
        <w:t>1</w:t>
      </w:r>
      <w:r w:rsidRPr="00062207">
        <w:rPr>
          <w:rFonts w:ascii="Times New Roman" w:hAnsi="Times New Roman" w:cs="Times New Roman"/>
          <w:sz w:val="22"/>
        </w:rPr>
        <w:t>2</w:t>
      </w:r>
      <w:r w:rsidR="007F10D0" w:rsidRPr="00062207">
        <w:rPr>
          <w:rFonts w:ascii="Times New Roman" w:hAnsi="Times New Roman" w:cs="Times New Roman"/>
          <w:sz w:val="22"/>
        </w:rPr>
        <w:t>.8</w:t>
      </w:r>
      <w:r w:rsidRPr="00062207">
        <w:rPr>
          <w:rFonts w:ascii="Times New Roman" w:hAnsi="Times New Roman" w:cs="Times New Roman"/>
          <w:sz w:val="22"/>
        </w:rPr>
        <w:t xml:space="preserve">%, siendo </w:t>
      </w:r>
      <w:r w:rsidR="007F10D0" w:rsidRPr="00062207">
        <w:rPr>
          <w:rFonts w:ascii="Times New Roman" w:hAnsi="Times New Roman" w:cs="Times New Roman"/>
          <w:sz w:val="22"/>
        </w:rPr>
        <w:t>supe</w:t>
      </w:r>
      <w:r w:rsidRPr="00062207">
        <w:rPr>
          <w:rFonts w:ascii="Times New Roman" w:hAnsi="Times New Roman" w:cs="Times New Roman"/>
          <w:sz w:val="22"/>
        </w:rPr>
        <w:t>rior en Q</w:t>
      </w:r>
      <w:r w:rsidR="007F10D0" w:rsidRPr="00062207">
        <w:rPr>
          <w:rFonts w:ascii="Times New Roman" w:hAnsi="Times New Roman" w:cs="Times New Roman"/>
          <w:sz w:val="22"/>
        </w:rPr>
        <w:t>4,135</w:t>
      </w:r>
      <w:r w:rsidRPr="00062207">
        <w:rPr>
          <w:rFonts w:ascii="Times New Roman" w:hAnsi="Times New Roman" w:cs="Times New Roman"/>
          <w:sz w:val="22"/>
        </w:rPr>
        <w:t>.</w:t>
      </w:r>
      <w:r w:rsidR="007F10D0" w:rsidRPr="00062207">
        <w:rPr>
          <w:rFonts w:ascii="Times New Roman" w:hAnsi="Times New Roman" w:cs="Times New Roman"/>
          <w:sz w:val="22"/>
        </w:rPr>
        <w:t>0</w:t>
      </w:r>
      <w:r w:rsidRPr="00062207">
        <w:rPr>
          <w:rFonts w:ascii="Times New Roman" w:hAnsi="Times New Roman" w:cs="Times New Roman"/>
          <w:sz w:val="22"/>
        </w:rPr>
        <w:t xml:space="preserve"> millones a lo observado en 20</w:t>
      </w:r>
      <w:r w:rsidR="007F10D0" w:rsidRPr="00062207">
        <w:rPr>
          <w:rFonts w:ascii="Times New Roman" w:hAnsi="Times New Roman" w:cs="Times New Roman"/>
          <w:sz w:val="22"/>
        </w:rPr>
        <w:t>20</w:t>
      </w:r>
      <w:r w:rsidRPr="00062207">
        <w:rPr>
          <w:rFonts w:ascii="Times New Roman" w:hAnsi="Times New Roman" w:cs="Times New Roman"/>
          <w:sz w:val="22"/>
        </w:rPr>
        <w:t xml:space="preserve">. </w:t>
      </w:r>
    </w:p>
    <w:p w14:paraId="599206BE" w14:textId="3DA637BF" w:rsidR="00D10EFC" w:rsidRPr="00062207" w:rsidRDefault="00D10EFC" w:rsidP="00F51181">
      <w:pPr>
        <w:jc w:val="both"/>
        <w:rPr>
          <w:rFonts w:ascii="Times New Roman" w:hAnsi="Times New Roman" w:cs="Times New Roman"/>
          <w:sz w:val="22"/>
        </w:rPr>
      </w:pPr>
    </w:p>
    <w:p w14:paraId="55842107" w14:textId="77777777" w:rsidR="00C348C6" w:rsidRPr="00062207" w:rsidRDefault="00D10EFC" w:rsidP="00D10EFC">
      <w:pPr>
        <w:jc w:val="both"/>
        <w:rPr>
          <w:rFonts w:ascii="Times New Roman" w:hAnsi="Times New Roman" w:cs="Times New Roman"/>
          <w:sz w:val="22"/>
        </w:rPr>
      </w:pPr>
      <w:r w:rsidRPr="00062207">
        <w:rPr>
          <w:rFonts w:ascii="Times New Roman" w:hAnsi="Times New Roman" w:cs="Times New Roman"/>
          <w:sz w:val="22"/>
        </w:rPr>
        <w:t xml:space="preserve">En lo que respecta a los otros componentes que hacen parte del gasto de los Acuerdos de Paz, que comprende el gasto en seguridad interna y las transferencias al Organismo Judicial, Corte de Constitucionalidad y Ministerio Público, en su conjunto mostraron una ejecución de Q10,226.5 millones, la cual muestra una variación interanual de </w:t>
      </w:r>
      <w:r w:rsidR="00C348C6" w:rsidRPr="00062207">
        <w:rPr>
          <w:rFonts w:ascii="Times New Roman" w:hAnsi="Times New Roman" w:cs="Times New Roman"/>
          <w:sz w:val="22"/>
        </w:rPr>
        <w:t>5</w:t>
      </w:r>
      <w:r w:rsidRPr="00062207">
        <w:rPr>
          <w:rFonts w:ascii="Times New Roman" w:hAnsi="Times New Roman" w:cs="Times New Roman"/>
          <w:sz w:val="22"/>
        </w:rPr>
        <w:t>.</w:t>
      </w:r>
      <w:r w:rsidR="00C348C6" w:rsidRPr="00062207">
        <w:rPr>
          <w:rFonts w:ascii="Times New Roman" w:hAnsi="Times New Roman" w:cs="Times New Roman"/>
          <w:sz w:val="22"/>
        </w:rPr>
        <w:t>8</w:t>
      </w:r>
      <w:r w:rsidRPr="00062207">
        <w:rPr>
          <w:rFonts w:ascii="Times New Roman" w:hAnsi="Times New Roman" w:cs="Times New Roman"/>
          <w:sz w:val="22"/>
        </w:rPr>
        <w:t>%,</w:t>
      </w:r>
      <w:r w:rsidR="00C348C6" w:rsidRPr="00062207">
        <w:rPr>
          <w:rFonts w:ascii="Times New Roman" w:hAnsi="Times New Roman" w:cs="Times New Roman"/>
          <w:sz w:val="22"/>
        </w:rPr>
        <w:t xml:space="preserve"> equivalente a Q564.9 millones,</w:t>
      </w:r>
      <w:r w:rsidRPr="00062207">
        <w:rPr>
          <w:rFonts w:ascii="Times New Roman" w:hAnsi="Times New Roman" w:cs="Times New Roman"/>
          <w:sz w:val="22"/>
        </w:rPr>
        <w:t xml:space="preserve"> principalmente asociado al traslado, prácticamente en su totalidad, del aporte corriente al Organismo Judicial y la Corte de Constitucionalidad.  </w:t>
      </w:r>
    </w:p>
    <w:p w14:paraId="70DEC2EA" w14:textId="77777777" w:rsidR="00C348C6" w:rsidRPr="00062207" w:rsidRDefault="00C348C6" w:rsidP="00D10EFC">
      <w:pPr>
        <w:jc w:val="both"/>
        <w:rPr>
          <w:rFonts w:ascii="Times New Roman" w:hAnsi="Times New Roman" w:cs="Times New Roman"/>
          <w:sz w:val="22"/>
        </w:rPr>
      </w:pPr>
    </w:p>
    <w:p w14:paraId="3D699F66" w14:textId="0FF214D0" w:rsidR="00C348C6" w:rsidRPr="00062207" w:rsidRDefault="00C348C6" w:rsidP="00F51181">
      <w:pPr>
        <w:jc w:val="both"/>
        <w:rPr>
          <w:rFonts w:ascii="Times New Roman" w:hAnsi="Times New Roman" w:cs="Times New Roman"/>
          <w:sz w:val="22"/>
        </w:rPr>
      </w:pPr>
      <w:r w:rsidRPr="00062207">
        <w:rPr>
          <w:rFonts w:ascii="Times New Roman" w:hAnsi="Times New Roman" w:cs="Times New Roman"/>
          <w:sz w:val="22"/>
        </w:rPr>
        <w:t>Al agregar todos los sectores que conforman el gasto social, este se encuentra creciendo en 11.2%, equivalente a Q4,699.9 millones, asociado al comportamiento del s</w:t>
      </w:r>
      <w:r w:rsidR="00F51181" w:rsidRPr="00062207">
        <w:rPr>
          <w:rFonts w:ascii="Times New Roman" w:hAnsi="Times New Roman" w:cs="Times New Roman"/>
          <w:sz w:val="22"/>
        </w:rPr>
        <w:t>ector de salud y asistencia social</w:t>
      </w:r>
      <w:r w:rsidRPr="00062207">
        <w:rPr>
          <w:rFonts w:ascii="Times New Roman" w:hAnsi="Times New Roman" w:cs="Times New Roman"/>
          <w:sz w:val="22"/>
        </w:rPr>
        <w:t xml:space="preserve"> que</w:t>
      </w:r>
      <w:r w:rsidR="00F51181" w:rsidRPr="00062207">
        <w:rPr>
          <w:rFonts w:ascii="Times New Roman" w:hAnsi="Times New Roman" w:cs="Times New Roman"/>
          <w:sz w:val="22"/>
        </w:rPr>
        <w:t xml:space="preserve"> reporta </w:t>
      </w:r>
      <w:r w:rsidRPr="00062207">
        <w:rPr>
          <w:rFonts w:ascii="Times New Roman" w:hAnsi="Times New Roman" w:cs="Times New Roman"/>
          <w:sz w:val="22"/>
        </w:rPr>
        <w:t>el mayor crecimiento d</w:t>
      </w:r>
      <w:r w:rsidR="007F10D0" w:rsidRPr="00062207">
        <w:rPr>
          <w:rFonts w:ascii="Times New Roman" w:hAnsi="Times New Roman" w:cs="Times New Roman"/>
          <w:sz w:val="22"/>
        </w:rPr>
        <w:t>e los rubros que conforman el gasto social de</w:t>
      </w:r>
      <w:r w:rsidR="00F51181" w:rsidRPr="00062207">
        <w:rPr>
          <w:rFonts w:ascii="Times New Roman" w:hAnsi="Times New Roman" w:cs="Times New Roman"/>
          <w:sz w:val="22"/>
        </w:rPr>
        <w:t xml:space="preserve"> 20</w:t>
      </w:r>
      <w:r w:rsidR="007F10D0" w:rsidRPr="00062207">
        <w:rPr>
          <w:rFonts w:ascii="Times New Roman" w:hAnsi="Times New Roman" w:cs="Times New Roman"/>
          <w:sz w:val="22"/>
        </w:rPr>
        <w:t>21</w:t>
      </w:r>
      <w:r w:rsidR="00F51181" w:rsidRPr="00062207">
        <w:rPr>
          <w:rFonts w:ascii="Times New Roman" w:hAnsi="Times New Roman" w:cs="Times New Roman"/>
          <w:sz w:val="22"/>
        </w:rPr>
        <w:t xml:space="preserve">, siendo </w:t>
      </w:r>
      <w:r w:rsidR="007F10D0" w:rsidRPr="00062207">
        <w:rPr>
          <w:rFonts w:ascii="Times New Roman" w:hAnsi="Times New Roman" w:cs="Times New Roman"/>
          <w:sz w:val="22"/>
        </w:rPr>
        <w:t xml:space="preserve">el incremento </w:t>
      </w:r>
      <w:r w:rsidR="00F51181" w:rsidRPr="00062207">
        <w:rPr>
          <w:rFonts w:ascii="Times New Roman" w:hAnsi="Times New Roman" w:cs="Times New Roman"/>
          <w:sz w:val="22"/>
        </w:rPr>
        <w:t>de Q</w:t>
      </w:r>
      <w:r w:rsidR="007F10D0" w:rsidRPr="00062207">
        <w:rPr>
          <w:rFonts w:ascii="Times New Roman" w:hAnsi="Times New Roman" w:cs="Times New Roman"/>
          <w:sz w:val="22"/>
        </w:rPr>
        <w:t>3,</w:t>
      </w:r>
      <w:r w:rsidR="00F51181" w:rsidRPr="00062207">
        <w:rPr>
          <w:rFonts w:ascii="Times New Roman" w:hAnsi="Times New Roman" w:cs="Times New Roman"/>
          <w:sz w:val="22"/>
        </w:rPr>
        <w:t>1</w:t>
      </w:r>
      <w:r w:rsidR="007F10D0" w:rsidRPr="00062207">
        <w:rPr>
          <w:rFonts w:ascii="Times New Roman" w:hAnsi="Times New Roman" w:cs="Times New Roman"/>
          <w:sz w:val="22"/>
        </w:rPr>
        <w:t>85</w:t>
      </w:r>
      <w:r w:rsidR="00F51181" w:rsidRPr="00062207">
        <w:rPr>
          <w:rFonts w:ascii="Times New Roman" w:hAnsi="Times New Roman" w:cs="Times New Roman"/>
          <w:sz w:val="22"/>
        </w:rPr>
        <w:t xml:space="preserve">.9 millones, lo cual sobresale tomando en consideración que </w:t>
      </w:r>
      <w:r w:rsidR="003B5A04" w:rsidRPr="00062207">
        <w:rPr>
          <w:rFonts w:ascii="Times New Roman" w:hAnsi="Times New Roman" w:cs="Times New Roman"/>
          <w:sz w:val="22"/>
        </w:rPr>
        <w:t xml:space="preserve">en </w:t>
      </w:r>
      <w:r w:rsidR="00F51181" w:rsidRPr="00062207">
        <w:rPr>
          <w:rFonts w:ascii="Times New Roman" w:hAnsi="Times New Roman" w:cs="Times New Roman"/>
          <w:sz w:val="22"/>
        </w:rPr>
        <w:t xml:space="preserve">esta finalidad </w:t>
      </w:r>
      <w:r w:rsidR="007F10D0" w:rsidRPr="00062207">
        <w:rPr>
          <w:rFonts w:ascii="Times New Roman" w:hAnsi="Times New Roman" w:cs="Times New Roman"/>
          <w:sz w:val="22"/>
        </w:rPr>
        <w:t xml:space="preserve">se registra gran parte de los gastos ejecutados en 2021 relacionados a la pandemia COVID-19. </w:t>
      </w:r>
    </w:p>
    <w:p w14:paraId="53AB7F79" w14:textId="77777777" w:rsidR="00C348C6" w:rsidRPr="00062207" w:rsidRDefault="00C348C6" w:rsidP="00F51181">
      <w:pPr>
        <w:jc w:val="both"/>
        <w:rPr>
          <w:rFonts w:ascii="Times New Roman" w:hAnsi="Times New Roman" w:cs="Times New Roman"/>
          <w:sz w:val="22"/>
        </w:rPr>
      </w:pPr>
    </w:p>
    <w:p w14:paraId="6BECA445" w14:textId="443BB490" w:rsidR="007F10D0" w:rsidRPr="00062207" w:rsidRDefault="00F51181" w:rsidP="00F51181">
      <w:pPr>
        <w:jc w:val="both"/>
        <w:rPr>
          <w:rFonts w:ascii="Times New Roman" w:hAnsi="Times New Roman" w:cs="Times New Roman"/>
          <w:sz w:val="22"/>
        </w:rPr>
      </w:pPr>
      <w:r w:rsidRPr="00062207">
        <w:rPr>
          <w:rFonts w:ascii="Times New Roman" w:hAnsi="Times New Roman" w:cs="Times New Roman"/>
          <w:sz w:val="22"/>
        </w:rPr>
        <w:t>En cuanto a</w:t>
      </w:r>
      <w:r w:rsidR="007F10D0" w:rsidRPr="00062207">
        <w:rPr>
          <w:rFonts w:ascii="Times New Roman" w:hAnsi="Times New Roman" w:cs="Times New Roman"/>
          <w:sz w:val="22"/>
        </w:rPr>
        <w:t xml:space="preserve"> la Educación, Ciencia y Cultura fue el segundo sector del gasto social con el mayor incremento absoluto, siendo de Q980.4 millones</w:t>
      </w:r>
      <w:r w:rsidR="00C348C6" w:rsidRPr="00062207">
        <w:rPr>
          <w:rFonts w:ascii="Times New Roman" w:hAnsi="Times New Roman" w:cs="Times New Roman"/>
          <w:sz w:val="22"/>
        </w:rPr>
        <w:t>, fue</w:t>
      </w:r>
      <w:r w:rsidR="00D10EFC" w:rsidRPr="00062207">
        <w:rPr>
          <w:rFonts w:ascii="Times New Roman" w:hAnsi="Times New Roman" w:cs="Times New Roman"/>
          <w:sz w:val="22"/>
        </w:rPr>
        <w:t xml:space="preserve"> la Educación Preprimaria y Primaria la que t</w:t>
      </w:r>
      <w:r w:rsidR="00C348C6" w:rsidRPr="00062207">
        <w:rPr>
          <w:rFonts w:ascii="Times New Roman" w:hAnsi="Times New Roman" w:cs="Times New Roman"/>
          <w:sz w:val="22"/>
        </w:rPr>
        <w:t>uvo</w:t>
      </w:r>
      <w:r w:rsidR="00D10EFC" w:rsidRPr="00062207">
        <w:rPr>
          <w:rFonts w:ascii="Times New Roman" w:hAnsi="Times New Roman" w:cs="Times New Roman"/>
          <w:sz w:val="22"/>
        </w:rPr>
        <w:t xml:space="preserve"> la mayor asignación de recursos y el mayor nivel de ejecución, siendo de 98.2%,</w:t>
      </w:r>
      <w:r w:rsidR="005E08BE" w:rsidRPr="00062207">
        <w:rPr>
          <w:rFonts w:ascii="Times New Roman" w:hAnsi="Times New Roman" w:cs="Times New Roman"/>
          <w:sz w:val="22"/>
        </w:rPr>
        <w:t xml:space="preserve"> resaltando el aumento en el número </w:t>
      </w:r>
      <w:r w:rsidR="005E08BE" w:rsidRPr="00062207">
        <w:rPr>
          <w:rFonts w:ascii="Times New Roman" w:hAnsi="Times New Roman" w:cs="Times New Roman"/>
          <w:sz w:val="22"/>
        </w:rPr>
        <w:lastRenderedPageBreak/>
        <w:t>de maestros, coadyuvando con ello a la mejora de la oferta educativa. Asimismo, l</w:t>
      </w:r>
      <w:r w:rsidR="00D10EFC" w:rsidRPr="00062207">
        <w:rPr>
          <w:rFonts w:ascii="Times New Roman" w:hAnsi="Times New Roman" w:cs="Times New Roman"/>
          <w:sz w:val="22"/>
        </w:rPr>
        <w:t>a Educac</w:t>
      </w:r>
      <w:r w:rsidR="005E08BE" w:rsidRPr="00062207">
        <w:rPr>
          <w:rFonts w:ascii="Times New Roman" w:hAnsi="Times New Roman" w:cs="Times New Roman"/>
          <w:sz w:val="22"/>
        </w:rPr>
        <w:t>ión Universitaria o Superior mostró</w:t>
      </w:r>
      <w:r w:rsidR="00D10EFC" w:rsidRPr="00062207">
        <w:rPr>
          <w:rFonts w:ascii="Times New Roman" w:hAnsi="Times New Roman" w:cs="Times New Roman"/>
          <w:sz w:val="22"/>
        </w:rPr>
        <w:t xml:space="preserve"> un nivel de ejecución de 94.9%. </w:t>
      </w:r>
    </w:p>
    <w:p w14:paraId="2DB63007" w14:textId="2619BFAB" w:rsidR="007F10D0" w:rsidRPr="00062207" w:rsidRDefault="007F10D0" w:rsidP="00F51181">
      <w:pPr>
        <w:jc w:val="both"/>
        <w:rPr>
          <w:rFonts w:ascii="Times New Roman" w:hAnsi="Times New Roman" w:cs="Times New Roman"/>
          <w:sz w:val="22"/>
        </w:rPr>
      </w:pPr>
    </w:p>
    <w:p w14:paraId="67E74800" w14:textId="1F6F6223" w:rsidR="00A43B20" w:rsidRPr="00062207" w:rsidRDefault="001444E8" w:rsidP="00F51181">
      <w:pPr>
        <w:jc w:val="both"/>
        <w:rPr>
          <w:rFonts w:ascii="Times New Roman" w:hAnsi="Times New Roman" w:cs="Times New Roman"/>
          <w:sz w:val="22"/>
        </w:rPr>
      </w:pPr>
      <w:r w:rsidRPr="00062207">
        <w:rPr>
          <w:rFonts w:ascii="Times New Roman" w:hAnsi="Times New Roman" w:cs="Times New Roman"/>
          <w:sz w:val="22"/>
        </w:rPr>
        <w:t>Por su parte,</w:t>
      </w:r>
      <w:r w:rsidR="00C348C6" w:rsidRPr="00062207">
        <w:rPr>
          <w:rFonts w:ascii="Times New Roman" w:hAnsi="Times New Roman" w:cs="Times New Roman"/>
          <w:sz w:val="22"/>
        </w:rPr>
        <w:t xml:space="preserve"> el sector de Seguridad Interna reportó un crecimiento de 11.0%, equivalente a Q587.0 millones, </w:t>
      </w:r>
      <w:r w:rsidR="00A43B20" w:rsidRPr="00062207">
        <w:rPr>
          <w:rFonts w:ascii="Times New Roman" w:hAnsi="Times New Roman" w:cs="Times New Roman"/>
          <w:sz w:val="22"/>
        </w:rPr>
        <w:t xml:space="preserve">siendo los Servicios de Policía y Seguridad Ciudadana los que reportan la mayor ejecución con 95.6%. Es importante comentar que la función de Administración de Asuntos Migratorios </w:t>
      </w:r>
      <w:r w:rsidR="00D17CCF" w:rsidRPr="00062207">
        <w:rPr>
          <w:rFonts w:ascii="Times New Roman" w:hAnsi="Times New Roman" w:cs="Times New Roman"/>
          <w:sz w:val="22"/>
        </w:rPr>
        <w:t>dejo</w:t>
      </w:r>
      <w:r w:rsidR="00A43B20" w:rsidRPr="00062207">
        <w:rPr>
          <w:rFonts w:ascii="Times New Roman" w:hAnsi="Times New Roman" w:cs="Times New Roman"/>
          <w:sz w:val="22"/>
        </w:rPr>
        <w:t xml:space="preserve"> de existir en 2021, dado que ahora quien se encarga de dichas funciones es el Instituto Guatemalteco de Migración (IGM) y el Mingob únicamente realizó </w:t>
      </w:r>
      <w:r w:rsidR="003946A2" w:rsidRPr="00062207">
        <w:rPr>
          <w:rFonts w:ascii="Times New Roman" w:hAnsi="Times New Roman" w:cs="Times New Roman"/>
          <w:sz w:val="22"/>
        </w:rPr>
        <w:t>la transferencia corriente y de capital</w:t>
      </w:r>
      <w:r w:rsidR="00A43B20" w:rsidRPr="00062207">
        <w:rPr>
          <w:rFonts w:ascii="Times New Roman" w:hAnsi="Times New Roman" w:cs="Times New Roman"/>
          <w:sz w:val="22"/>
        </w:rPr>
        <w:t xml:space="preserve"> hacia dicha entidad, </w:t>
      </w:r>
      <w:r w:rsidR="003946A2" w:rsidRPr="00062207">
        <w:rPr>
          <w:rFonts w:ascii="Times New Roman" w:hAnsi="Times New Roman" w:cs="Times New Roman"/>
          <w:sz w:val="22"/>
        </w:rPr>
        <w:t>registrándose esas transferencias</w:t>
      </w:r>
      <w:r w:rsidR="00CB1204" w:rsidRPr="00062207">
        <w:rPr>
          <w:rFonts w:ascii="Times New Roman" w:hAnsi="Times New Roman" w:cs="Times New Roman"/>
          <w:sz w:val="22"/>
        </w:rPr>
        <w:t xml:space="preserve"> en</w:t>
      </w:r>
      <w:r w:rsidR="003946A2" w:rsidRPr="00062207">
        <w:rPr>
          <w:rFonts w:ascii="Times New Roman" w:hAnsi="Times New Roman" w:cs="Times New Roman"/>
          <w:sz w:val="22"/>
        </w:rPr>
        <w:t xml:space="preserve"> Orden Público y Seguridad Ciudadana n.c.d.</w:t>
      </w:r>
    </w:p>
    <w:p w14:paraId="114C0963" w14:textId="77777777" w:rsidR="00A43B20" w:rsidRPr="00062207" w:rsidRDefault="00A43B20" w:rsidP="00F51181">
      <w:pPr>
        <w:jc w:val="both"/>
        <w:rPr>
          <w:rFonts w:ascii="Times New Roman" w:hAnsi="Times New Roman" w:cs="Times New Roman"/>
          <w:sz w:val="22"/>
        </w:rPr>
      </w:pPr>
    </w:p>
    <w:p w14:paraId="2B38EFBC" w14:textId="4E5CBC5A" w:rsidR="004F3AAA" w:rsidRPr="00062207" w:rsidRDefault="00BA0E4C" w:rsidP="00F51181">
      <w:pPr>
        <w:jc w:val="both"/>
        <w:rPr>
          <w:rFonts w:ascii="Times New Roman" w:hAnsi="Times New Roman" w:cs="Times New Roman"/>
          <w:sz w:val="22"/>
        </w:rPr>
      </w:pPr>
      <w:r w:rsidRPr="00062207">
        <w:rPr>
          <w:rFonts w:ascii="Times New Roman" w:hAnsi="Times New Roman" w:cs="Times New Roman"/>
          <w:sz w:val="22"/>
        </w:rPr>
        <w:t xml:space="preserve">Respecto al aporte del Ministerio Público, este tuvo un leve aumento de Q9.4 millones, mientras que el </w:t>
      </w:r>
      <w:r w:rsidR="001444E8" w:rsidRPr="00062207">
        <w:rPr>
          <w:rFonts w:ascii="Times New Roman" w:hAnsi="Times New Roman" w:cs="Times New Roman"/>
          <w:sz w:val="22"/>
        </w:rPr>
        <w:t>apo</w:t>
      </w:r>
      <w:r w:rsidR="00601FD8" w:rsidRPr="00062207">
        <w:rPr>
          <w:rFonts w:ascii="Times New Roman" w:hAnsi="Times New Roman" w:cs="Times New Roman"/>
          <w:sz w:val="22"/>
        </w:rPr>
        <w:t>rte hacia el Organismo Judicial</w:t>
      </w:r>
      <w:r w:rsidRPr="00062207">
        <w:rPr>
          <w:rFonts w:ascii="Times New Roman" w:hAnsi="Times New Roman" w:cs="Times New Roman"/>
          <w:sz w:val="22"/>
        </w:rPr>
        <w:t xml:space="preserve"> y la Corte de Constitucionalidad, tuvo una contracci</w:t>
      </w:r>
      <w:r w:rsidR="004F3AAA" w:rsidRPr="00062207">
        <w:rPr>
          <w:rFonts w:ascii="Times New Roman" w:hAnsi="Times New Roman" w:cs="Times New Roman"/>
          <w:sz w:val="22"/>
        </w:rPr>
        <w:t xml:space="preserve">ón de 1.3% (Q31.5 millones menos respecto 2020), al no ser aprobado el presupuesto, el aporte que le correspondía se fijó en el mismo nivel que en 2020, aun </w:t>
      </w:r>
      <w:r w:rsidR="00D17CCF" w:rsidRPr="00062207">
        <w:rPr>
          <w:rFonts w:ascii="Times New Roman" w:hAnsi="Times New Roman" w:cs="Times New Roman"/>
          <w:sz w:val="22"/>
        </w:rPr>
        <w:t>así,</w:t>
      </w:r>
      <w:r w:rsidR="004F3AAA" w:rsidRPr="00062207">
        <w:rPr>
          <w:rFonts w:ascii="Times New Roman" w:hAnsi="Times New Roman" w:cs="Times New Roman"/>
          <w:sz w:val="22"/>
        </w:rPr>
        <w:t xml:space="preserve"> no alcanzó la ejecución de dicho año. Asimismo, el sector Vivienda, también tuvo una contracción</w:t>
      </w:r>
      <w:r w:rsidR="00D17CCF" w:rsidRPr="00062207">
        <w:rPr>
          <w:rFonts w:ascii="Times New Roman" w:hAnsi="Times New Roman" w:cs="Times New Roman"/>
          <w:sz w:val="22"/>
        </w:rPr>
        <w:t>, siendo</w:t>
      </w:r>
      <w:r w:rsidR="004F3AAA" w:rsidRPr="00062207">
        <w:rPr>
          <w:rFonts w:ascii="Times New Roman" w:hAnsi="Times New Roman" w:cs="Times New Roman"/>
          <w:sz w:val="22"/>
        </w:rPr>
        <w:t xml:space="preserve"> de 7.6% (Q31.3 millones menos respecto 2020).</w:t>
      </w:r>
    </w:p>
    <w:p w14:paraId="6824A797" w14:textId="77777777" w:rsidR="004F3AAA" w:rsidRPr="00062207" w:rsidRDefault="004F3AAA" w:rsidP="00F51181">
      <w:pPr>
        <w:jc w:val="both"/>
        <w:rPr>
          <w:rFonts w:ascii="Times New Roman" w:hAnsi="Times New Roman" w:cs="Times New Roman"/>
          <w:sz w:val="22"/>
        </w:rPr>
      </w:pPr>
    </w:p>
    <w:p w14:paraId="35C22CA2" w14:textId="77777777" w:rsidR="00F51181" w:rsidRPr="00062207" w:rsidRDefault="00F51181" w:rsidP="00F51181">
      <w:pPr>
        <w:pStyle w:val="Sinespaciado"/>
        <w:jc w:val="center"/>
        <w:rPr>
          <w:rFonts w:ascii="Times New Roman" w:hAnsi="Times New Roman" w:cs="Times New Roman"/>
          <w:b/>
          <w:sz w:val="24"/>
          <w:szCs w:val="24"/>
        </w:rPr>
      </w:pPr>
      <w:r w:rsidRPr="00062207">
        <w:rPr>
          <w:rFonts w:ascii="Times New Roman" w:hAnsi="Times New Roman" w:cs="Times New Roman"/>
          <w:b/>
          <w:sz w:val="24"/>
          <w:szCs w:val="24"/>
        </w:rPr>
        <w:t>Ejecución del Gasto social y de los Acuerdos de Paz</w:t>
      </w:r>
    </w:p>
    <w:p w14:paraId="75371B7D" w14:textId="1C9CBD3B" w:rsidR="00F51181" w:rsidRPr="00062207" w:rsidRDefault="00233476" w:rsidP="00F51181">
      <w:pPr>
        <w:pStyle w:val="Sinespaciado"/>
        <w:jc w:val="center"/>
        <w:rPr>
          <w:rFonts w:ascii="Times New Roman" w:hAnsi="Times New Roman" w:cs="Times New Roman"/>
          <w:b/>
          <w:sz w:val="24"/>
          <w:szCs w:val="24"/>
        </w:rPr>
      </w:pPr>
      <w:r w:rsidRPr="00062207">
        <w:rPr>
          <w:rFonts w:ascii="Times New Roman" w:hAnsi="Times New Roman" w:cs="Times New Roman"/>
          <w:b/>
          <w:sz w:val="24"/>
          <w:szCs w:val="24"/>
        </w:rPr>
        <w:t>2020</w:t>
      </w:r>
      <w:r w:rsidR="00F51181" w:rsidRPr="00062207">
        <w:rPr>
          <w:rFonts w:ascii="Times New Roman" w:hAnsi="Times New Roman" w:cs="Times New Roman"/>
          <w:b/>
          <w:sz w:val="24"/>
          <w:szCs w:val="24"/>
        </w:rPr>
        <w:t xml:space="preserve"> – 202</w:t>
      </w:r>
      <w:r w:rsidRPr="00062207">
        <w:rPr>
          <w:rFonts w:ascii="Times New Roman" w:hAnsi="Times New Roman" w:cs="Times New Roman"/>
          <w:b/>
          <w:sz w:val="24"/>
          <w:szCs w:val="24"/>
        </w:rPr>
        <w:t>1</w:t>
      </w:r>
    </w:p>
    <w:p w14:paraId="020B6893" w14:textId="5DE0E8C8" w:rsidR="00B2798D" w:rsidRPr="00062207" w:rsidRDefault="00F51181" w:rsidP="00F51181">
      <w:pPr>
        <w:pStyle w:val="Sinespaciado"/>
        <w:jc w:val="center"/>
        <w:rPr>
          <w:rFonts w:ascii="Times New Roman" w:hAnsi="Times New Roman" w:cs="Times New Roman"/>
          <w:sz w:val="20"/>
          <w:szCs w:val="20"/>
        </w:rPr>
      </w:pPr>
      <w:r w:rsidRPr="00062207">
        <w:rPr>
          <w:rFonts w:ascii="Times New Roman" w:hAnsi="Times New Roman" w:cs="Times New Roman"/>
          <w:sz w:val="20"/>
          <w:szCs w:val="20"/>
        </w:rPr>
        <w:t>-Millones de quetzales y porcentajes-</w:t>
      </w:r>
    </w:p>
    <w:tbl>
      <w:tblPr>
        <w:tblW w:w="7647" w:type="dxa"/>
        <w:jc w:val="center"/>
        <w:tblCellMar>
          <w:left w:w="70" w:type="dxa"/>
          <w:right w:w="70" w:type="dxa"/>
        </w:tblCellMar>
        <w:tblLook w:val="04A0" w:firstRow="1" w:lastRow="0" w:firstColumn="1" w:lastColumn="0" w:noHBand="0" w:noVBand="1"/>
      </w:tblPr>
      <w:tblGrid>
        <w:gridCol w:w="3112"/>
        <w:gridCol w:w="1133"/>
        <w:gridCol w:w="1133"/>
        <w:gridCol w:w="1171"/>
        <w:gridCol w:w="1098"/>
      </w:tblGrid>
      <w:tr w:rsidR="00062207" w:rsidRPr="00062207" w14:paraId="76207C6E" w14:textId="77777777" w:rsidTr="00EE3A5F">
        <w:trPr>
          <w:trHeight w:val="470"/>
          <w:jc w:val="center"/>
        </w:trPr>
        <w:tc>
          <w:tcPr>
            <w:tcW w:w="3112" w:type="dxa"/>
            <w:vMerge w:val="restart"/>
            <w:tcBorders>
              <w:top w:val="single" w:sz="8" w:space="0" w:color="auto"/>
              <w:left w:val="single" w:sz="8" w:space="0" w:color="auto"/>
              <w:bottom w:val="single" w:sz="8" w:space="0" w:color="000000"/>
              <w:right w:val="single" w:sz="8" w:space="0" w:color="auto"/>
            </w:tcBorders>
            <w:shd w:val="clear" w:color="000000" w:fill="B8CCE4"/>
            <w:vAlign w:val="center"/>
            <w:hideMark/>
          </w:tcPr>
          <w:p w14:paraId="4B975442" w14:textId="77777777" w:rsidR="00A74F00" w:rsidRPr="00062207" w:rsidRDefault="00A74F00" w:rsidP="00A74F00">
            <w:pPr>
              <w:jc w:val="center"/>
              <w:rPr>
                <w:rFonts w:ascii="Times New Roman" w:eastAsia="Times New Roman" w:hAnsi="Times New Roman" w:cs="Times New Roman"/>
                <w:b/>
                <w:bCs/>
                <w:sz w:val="22"/>
                <w:szCs w:val="22"/>
                <w:lang w:val="es-GT" w:eastAsia="es-GT"/>
              </w:rPr>
            </w:pPr>
            <w:r w:rsidRPr="00062207">
              <w:rPr>
                <w:rFonts w:ascii="Times New Roman" w:eastAsia="Times New Roman" w:hAnsi="Times New Roman" w:cs="Times New Roman"/>
                <w:b/>
                <w:bCs/>
                <w:sz w:val="22"/>
                <w:szCs w:val="22"/>
                <w:lang w:val="es-GT" w:eastAsia="es-GT"/>
              </w:rPr>
              <w:t>Sector</w:t>
            </w:r>
          </w:p>
        </w:tc>
        <w:tc>
          <w:tcPr>
            <w:tcW w:w="2266" w:type="dxa"/>
            <w:gridSpan w:val="2"/>
            <w:tcBorders>
              <w:top w:val="single" w:sz="8" w:space="0" w:color="auto"/>
              <w:left w:val="nil"/>
              <w:bottom w:val="single" w:sz="8" w:space="0" w:color="auto"/>
              <w:right w:val="single" w:sz="8" w:space="0" w:color="000000"/>
            </w:tcBorders>
            <w:shd w:val="clear" w:color="000000" w:fill="B8CCE4"/>
            <w:noWrap/>
            <w:vAlign w:val="center"/>
            <w:hideMark/>
          </w:tcPr>
          <w:p w14:paraId="07885560" w14:textId="77777777" w:rsidR="00A74F00" w:rsidRPr="00062207" w:rsidRDefault="00A74F00" w:rsidP="00A74F00">
            <w:pPr>
              <w:jc w:val="center"/>
              <w:rPr>
                <w:rFonts w:ascii="Times New Roman" w:eastAsia="Times New Roman" w:hAnsi="Times New Roman" w:cs="Times New Roman"/>
                <w:b/>
                <w:bCs/>
                <w:sz w:val="22"/>
                <w:szCs w:val="22"/>
                <w:lang w:val="es-GT" w:eastAsia="es-GT"/>
              </w:rPr>
            </w:pPr>
            <w:r w:rsidRPr="00062207">
              <w:rPr>
                <w:rFonts w:ascii="Times New Roman" w:eastAsia="Times New Roman" w:hAnsi="Times New Roman" w:cs="Times New Roman"/>
                <w:b/>
                <w:bCs/>
                <w:sz w:val="22"/>
                <w:szCs w:val="22"/>
                <w:lang w:val="es-GT" w:eastAsia="es-GT"/>
              </w:rPr>
              <w:t>Ejecutado</w:t>
            </w:r>
          </w:p>
        </w:tc>
        <w:tc>
          <w:tcPr>
            <w:tcW w:w="2269" w:type="dxa"/>
            <w:gridSpan w:val="2"/>
            <w:tcBorders>
              <w:top w:val="single" w:sz="8" w:space="0" w:color="auto"/>
              <w:left w:val="single" w:sz="8" w:space="0" w:color="auto"/>
              <w:bottom w:val="single" w:sz="8" w:space="0" w:color="auto"/>
              <w:right w:val="single" w:sz="8" w:space="0" w:color="000000"/>
            </w:tcBorders>
            <w:shd w:val="clear" w:color="000000" w:fill="B8CCE4"/>
            <w:noWrap/>
            <w:vAlign w:val="center"/>
            <w:hideMark/>
          </w:tcPr>
          <w:p w14:paraId="143FFED9" w14:textId="77777777" w:rsidR="00A74F00" w:rsidRPr="00062207" w:rsidRDefault="00A74F00" w:rsidP="00A74F00">
            <w:pPr>
              <w:jc w:val="center"/>
              <w:rPr>
                <w:rFonts w:ascii="Times New Roman" w:eastAsia="Times New Roman" w:hAnsi="Times New Roman" w:cs="Times New Roman"/>
                <w:b/>
                <w:bCs/>
                <w:sz w:val="22"/>
                <w:szCs w:val="22"/>
                <w:lang w:val="es-GT" w:eastAsia="es-GT"/>
              </w:rPr>
            </w:pPr>
            <w:r w:rsidRPr="00062207">
              <w:rPr>
                <w:rFonts w:ascii="Times New Roman" w:eastAsia="Times New Roman" w:hAnsi="Times New Roman" w:cs="Times New Roman"/>
                <w:b/>
                <w:bCs/>
                <w:sz w:val="22"/>
                <w:szCs w:val="22"/>
                <w:lang w:val="es-GT" w:eastAsia="es-GT"/>
              </w:rPr>
              <w:t>Diferencias</w:t>
            </w:r>
          </w:p>
        </w:tc>
      </w:tr>
      <w:tr w:rsidR="00062207" w:rsidRPr="00062207" w14:paraId="3044A178" w14:textId="77777777" w:rsidTr="00EE3A5F">
        <w:trPr>
          <w:trHeight w:val="336"/>
          <w:jc w:val="center"/>
        </w:trPr>
        <w:tc>
          <w:tcPr>
            <w:tcW w:w="3112" w:type="dxa"/>
            <w:vMerge/>
            <w:tcBorders>
              <w:top w:val="single" w:sz="8" w:space="0" w:color="auto"/>
              <w:left w:val="single" w:sz="8" w:space="0" w:color="auto"/>
              <w:bottom w:val="single" w:sz="8" w:space="0" w:color="000000"/>
              <w:right w:val="single" w:sz="8" w:space="0" w:color="auto"/>
            </w:tcBorders>
            <w:vAlign w:val="center"/>
            <w:hideMark/>
          </w:tcPr>
          <w:p w14:paraId="5752919A" w14:textId="77777777" w:rsidR="00A74F00" w:rsidRPr="00062207" w:rsidRDefault="00A74F00" w:rsidP="00A74F00">
            <w:pPr>
              <w:rPr>
                <w:rFonts w:ascii="Times New Roman" w:eastAsia="Times New Roman" w:hAnsi="Times New Roman" w:cs="Times New Roman"/>
                <w:b/>
                <w:bCs/>
                <w:sz w:val="22"/>
                <w:szCs w:val="22"/>
                <w:lang w:val="es-GT" w:eastAsia="es-GT"/>
              </w:rPr>
            </w:pPr>
          </w:p>
        </w:tc>
        <w:tc>
          <w:tcPr>
            <w:tcW w:w="1133" w:type="dxa"/>
            <w:vMerge w:val="restart"/>
            <w:tcBorders>
              <w:top w:val="nil"/>
              <w:left w:val="nil"/>
              <w:bottom w:val="single" w:sz="8" w:space="0" w:color="000000"/>
              <w:right w:val="single" w:sz="4" w:space="0" w:color="auto"/>
            </w:tcBorders>
            <w:shd w:val="clear" w:color="000000" w:fill="B8CCE4"/>
            <w:noWrap/>
            <w:vAlign w:val="center"/>
            <w:hideMark/>
          </w:tcPr>
          <w:p w14:paraId="15A8B4B6" w14:textId="77777777" w:rsidR="00A74F00" w:rsidRPr="00062207" w:rsidRDefault="00A74F00" w:rsidP="00A74F00">
            <w:pPr>
              <w:jc w:val="center"/>
              <w:rPr>
                <w:rFonts w:ascii="Times New Roman" w:eastAsia="Times New Roman" w:hAnsi="Times New Roman" w:cs="Times New Roman"/>
                <w:b/>
                <w:bCs/>
                <w:sz w:val="22"/>
                <w:szCs w:val="22"/>
                <w:lang w:val="es-GT" w:eastAsia="es-GT"/>
              </w:rPr>
            </w:pPr>
            <w:r w:rsidRPr="00062207">
              <w:rPr>
                <w:rFonts w:ascii="Times New Roman" w:eastAsia="Times New Roman" w:hAnsi="Times New Roman" w:cs="Times New Roman"/>
                <w:b/>
                <w:bCs/>
                <w:sz w:val="22"/>
                <w:szCs w:val="22"/>
                <w:lang w:val="es-GT" w:eastAsia="es-GT"/>
              </w:rPr>
              <w:t>2020</w:t>
            </w:r>
          </w:p>
        </w:tc>
        <w:tc>
          <w:tcPr>
            <w:tcW w:w="1133" w:type="dxa"/>
            <w:vMerge w:val="restart"/>
            <w:tcBorders>
              <w:top w:val="nil"/>
              <w:left w:val="nil"/>
              <w:bottom w:val="single" w:sz="8" w:space="0" w:color="000000"/>
              <w:right w:val="single" w:sz="8" w:space="0" w:color="auto"/>
            </w:tcBorders>
            <w:shd w:val="clear" w:color="000000" w:fill="B8CCE4"/>
            <w:noWrap/>
            <w:vAlign w:val="center"/>
            <w:hideMark/>
          </w:tcPr>
          <w:p w14:paraId="042975F3" w14:textId="77777777" w:rsidR="00A74F00" w:rsidRPr="00062207" w:rsidRDefault="00A74F00" w:rsidP="00A74F00">
            <w:pPr>
              <w:jc w:val="center"/>
              <w:rPr>
                <w:rFonts w:ascii="Times New Roman" w:eastAsia="Times New Roman" w:hAnsi="Times New Roman" w:cs="Times New Roman"/>
                <w:b/>
                <w:bCs/>
                <w:sz w:val="22"/>
                <w:szCs w:val="22"/>
                <w:lang w:val="es-GT" w:eastAsia="es-GT"/>
              </w:rPr>
            </w:pPr>
            <w:r w:rsidRPr="00062207">
              <w:rPr>
                <w:rFonts w:ascii="Times New Roman" w:eastAsia="Times New Roman" w:hAnsi="Times New Roman" w:cs="Times New Roman"/>
                <w:b/>
                <w:bCs/>
                <w:sz w:val="22"/>
                <w:szCs w:val="22"/>
                <w:lang w:val="es-GT" w:eastAsia="es-GT"/>
              </w:rPr>
              <w:t>2021</w:t>
            </w:r>
          </w:p>
        </w:tc>
        <w:tc>
          <w:tcPr>
            <w:tcW w:w="1171" w:type="dxa"/>
            <w:tcBorders>
              <w:top w:val="nil"/>
              <w:left w:val="single" w:sz="8" w:space="0" w:color="auto"/>
              <w:bottom w:val="nil"/>
              <w:right w:val="single" w:sz="4" w:space="0" w:color="auto"/>
            </w:tcBorders>
            <w:shd w:val="clear" w:color="000000" w:fill="B8CCE4"/>
            <w:noWrap/>
            <w:vAlign w:val="center"/>
            <w:hideMark/>
          </w:tcPr>
          <w:p w14:paraId="459E97DC" w14:textId="77777777" w:rsidR="00A74F00" w:rsidRPr="00062207" w:rsidRDefault="00A74F00" w:rsidP="00A74F00">
            <w:pPr>
              <w:jc w:val="center"/>
              <w:rPr>
                <w:rFonts w:ascii="Times New Roman" w:eastAsia="Times New Roman" w:hAnsi="Times New Roman" w:cs="Times New Roman"/>
                <w:b/>
                <w:bCs/>
                <w:sz w:val="22"/>
                <w:szCs w:val="22"/>
                <w:lang w:val="es-GT" w:eastAsia="es-GT"/>
              </w:rPr>
            </w:pPr>
            <w:r w:rsidRPr="00062207">
              <w:rPr>
                <w:rFonts w:ascii="Times New Roman" w:eastAsia="Times New Roman" w:hAnsi="Times New Roman" w:cs="Times New Roman"/>
                <w:b/>
                <w:bCs/>
                <w:sz w:val="22"/>
                <w:szCs w:val="22"/>
                <w:lang w:val="es-GT" w:eastAsia="es-GT"/>
              </w:rPr>
              <w:t>Absolutas</w:t>
            </w:r>
          </w:p>
        </w:tc>
        <w:tc>
          <w:tcPr>
            <w:tcW w:w="1098" w:type="dxa"/>
            <w:tcBorders>
              <w:top w:val="nil"/>
              <w:left w:val="nil"/>
              <w:bottom w:val="nil"/>
              <w:right w:val="single" w:sz="8" w:space="0" w:color="auto"/>
            </w:tcBorders>
            <w:shd w:val="clear" w:color="000000" w:fill="B8CCE4"/>
            <w:noWrap/>
            <w:vAlign w:val="center"/>
            <w:hideMark/>
          </w:tcPr>
          <w:p w14:paraId="7034AFAE" w14:textId="77777777" w:rsidR="00A74F00" w:rsidRPr="00062207" w:rsidRDefault="00A74F00" w:rsidP="00A74F00">
            <w:pPr>
              <w:jc w:val="center"/>
              <w:rPr>
                <w:rFonts w:ascii="Times New Roman" w:eastAsia="Times New Roman" w:hAnsi="Times New Roman" w:cs="Times New Roman"/>
                <w:b/>
                <w:bCs/>
                <w:sz w:val="22"/>
                <w:szCs w:val="22"/>
                <w:lang w:val="es-GT" w:eastAsia="es-GT"/>
              </w:rPr>
            </w:pPr>
            <w:r w:rsidRPr="00062207">
              <w:rPr>
                <w:rFonts w:ascii="Times New Roman" w:eastAsia="Times New Roman" w:hAnsi="Times New Roman" w:cs="Times New Roman"/>
                <w:b/>
                <w:bCs/>
                <w:sz w:val="22"/>
                <w:szCs w:val="22"/>
                <w:lang w:val="es-GT" w:eastAsia="es-GT"/>
              </w:rPr>
              <w:t>Relativas</w:t>
            </w:r>
          </w:p>
        </w:tc>
      </w:tr>
      <w:tr w:rsidR="00062207" w:rsidRPr="00062207" w14:paraId="23DC2150" w14:textId="77777777" w:rsidTr="00EE3A5F">
        <w:trPr>
          <w:trHeight w:val="353"/>
          <w:jc w:val="center"/>
        </w:trPr>
        <w:tc>
          <w:tcPr>
            <w:tcW w:w="3112" w:type="dxa"/>
            <w:vMerge/>
            <w:tcBorders>
              <w:top w:val="single" w:sz="8" w:space="0" w:color="auto"/>
              <w:left w:val="single" w:sz="8" w:space="0" w:color="auto"/>
              <w:bottom w:val="single" w:sz="8" w:space="0" w:color="000000"/>
              <w:right w:val="single" w:sz="8" w:space="0" w:color="auto"/>
            </w:tcBorders>
            <w:vAlign w:val="center"/>
            <w:hideMark/>
          </w:tcPr>
          <w:p w14:paraId="53F34ACA" w14:textId="77777777" w:rsidR="00A74F00" w:rsidRPr="00062207" w:rsidRDefault="00A74F00" w:rsidP="00A74F00">
            <w:pPr>
              <w:rPr>
                <w:rFonts w:ascii="Times New Roman" w:eastAsia="Times New Roman" w:hAnsi="Times New Roman" w:cs="Times New Roman"/>
                <w:b/>
                <w:bCs/>
                <w:sz w:val="22"/>
                <w:szCs w:val="22"/>
                <w:lang w:val="es-GT" w:eastAsia="es-GT"/>
              </w:rPr>
            </w:pPr>
          </w:p>
        </w:tc>
        <w:tc>
          <w:tcPr>
            <w:tcW w:w="1133" w:type="dxa"/>
            <w:vMerge/>
            <w:tcBorders>
              <w:top w:val="nil"/>
              <w:left w:val="nil"/>
              <w:bottom w:val="single" w:sz="8" w:space="0" w:color="000000"/>
              <w:right w:val="single" w:sz="4" w:space="0" w:color="auto"/>
            </w:tcBorders>
            <w:vAlign w:val="center"/>
            <w:hideMark/>
          </w:tcPr>
          <w:p w14:paraId="37890B30" w14:textId="77777777" w:rsidR="00A74F00" w:rsidRPr="00062207" w:rsidRDefault="00A74F00" w:rsidP="00A74F00">
            <w:pPr>
              <w:rPr>
                <w:rFonts w:ascii="Times New Roman" w:eastAsia="Times New Roman" w:hAnsi="Times New Roman" w:cs="Times New Roman"/>
                <w:b/>
                <w:bCs/>
                <w:sz w:val="22"/>
                <w:szCs w:val="22"/>
                <w:lang w:val="es-GT" w:eastAsia="es-GT"/>
              </w:rPr>
            </w:pPr>
          </w:p>
        </w:tc>
        <w:tc>
          <w:tcPr>
            <w:tcW w:w="1133" w:type="dxa"/>
            <w:vMerge/>
            <w:tcBorders>
              <w:top w:val="nil"/>
              <w:left w:val="nil"/>
              <w:bottom w:val="single" w:sz="8" w:space="0" w:color="000000"/>
              <w:right w:val="single" w:sz="8" w:space="0" w:color="auto"/>
            </w:tcBorders>
            <w:vAlign w:val="center"/>
            <w:hideMark/>
          </w:tcPr>
          <w:p w14:paraId="1F7F082E" w14:textId="77777777" w:rsidR="00A74F00" w:rsidRPr="00062207" w:rsidRDefault="00A74F00" w:rsidP="00A74F00">
            <w:pPr>
              <w:rPr>
                <w:rFonts w:ascii="Times New Roman" w:eastAsia="Times New Roman" w:hAnsi="Times New Roman" w:cs="Times New Roman"/>
                <w:b/>
                <w:bCs/>
                <w:sz w:val="22"/>
                <w:szCs w:val="22"/>
                <w:lang w:val="es-GT" w:eastAsia="es-GT"/>
              </w:rPr>
            </w:pPr>
          </w:p>
        </w:tc>
        <w:tc>
          <w:tcPr>
            <w:tcW w:w="1171" w:type="dxa"/>
            <w:tcBorders>
              <w:top w:val="nil"/>
              <w:left w:val="nil"/>
              <w:bottom w:val="single" w:sz="8" w:space="0" w:color="auto"/>
              <w:right w:val="single" w:sz="4" w:space="0" w:color="auto"/>
            </w:tcBorders>
            <w:shd w:val="clear" w:color="000000" w:fill="B8CCE4"/>
            <w:noWrap/>
            <w:vAlign w:val="center"/>
            <w:hideMark/>
          </w:tcPr>
          <w:p w14:paraId="67699B15" w14:textId="77777777" w:rsidR="00A74F00" w:rsidRPr="00062207" w:rsidRDefault="00A74F00" w:rsidP="00A74F00">
            <w:pPr>
              <w:jc w:val="center"/>
              <w:rPr>
                <w:rFonts w:ascii="Times New Roman" w:eastAsia="Times New Roman" w:hAnsi="Times New Roman" w:cs="Times New Roman"/>
                <w:b/>
                <w:bCs/>
                <w:sz w:val="22"/>
                <w:szCs w:val="22"/>
                <w:lang w:val="es-GT" w:eastAsia="es-GT"/>
              </w:rPr>
            </w:pPr>
            <w:r w:rsidRPr="00062207">
              <w:rPr>
                <w:rFonts w:ascii="Times New Roman" w:eastAsia="Times New Roman" w:hAnsi="Times New Roman" w:cs="Times New Roman"/>
                <w:b/>
                <w:bCs/>
                <w:sz w:val="22"/>
                <w:szCs w:val="22"/>
                <w:lang w:val="es-GT" w:eastAsia="es-GT"/>
              </w:rPr>
              <w:t>21-20</w:t>
            </w:r>
          </w:p>
        </w:tc>
        <w:tc>
          <w:tcPr>
            <w:tcW w:w="1098" w:type="dxa"/>
            <w:tcBorders>
              <w:top w:val="nil"/>
              <w:left w:val="nil"/>
              <w:bottom w:val="single" w:sz="8" w:space="0" w:color="auto"/>
              <w:right w:val="single" w:sz="8" w:space="0" w:color="auto"/>
            </w:tcBorders>
            <w:shd w:val="clear" w:color="000000" w:fill="B8CCE4"/>
            <w:noWrap/>
            <w:vAlign w:val="center"/>
            <w:hideMark/>
          </w:tcPr>
          <w:p w14:paraId="596F74AE" w14:textId="77777777" w:rsidR="00A74F00" w:rsidRPr="00062207" w:rsidRDefault="00A74F00" w:rsidP="00A74F00">
            <w:pPr>
              <w:jc w:val="center"/>
              <w:rPr>
                <w:rFonts w:ascii="Times New Roman" w:eastAsia="Times New Roman" w:hAnsi="Times New Roman" w:cs="Times New Roman"/>
                <w:b/>
                <w:bCs/>
                <w:sz w:val="22"/>
                <w:szCs w:val="22"/>
                <w:lang w:val="es-GT" w:eastAsia="es-GT"/>
              </w:rPr>
            </w:pPr>
            <w:r w:rsidRPr="00062207">
              <w:rPr>
                <w:rFonts w:ascii="Times New Roman" w:eastAsia="Times New Roman" w:hAnsi="Times New Roman" w:cs="Times New Roman"/>
                <w:b/>
                <w:bCs/>
                <w:sz w:val="22"/>
                <w:szCs w:val="22"/>
                <w:lang w:val="es-GT" w:eastAsia="es-GT"/>
              </w:rPr>
              <w:t>21-20</w:t>
            </w:r>
          </w:p>
        </w:tc>
      </w:tr>
      <w:tr w:rsidR="00062207" w:rsidRPr="00062207" w14:paraId="0683241C" w14:textId="77777777" w:rsidTr="00EE3A5F">
        <w:trPr>
          <w:trHeight w:val="353"/>
          <w:jc w:val="center"/>
        </w:trPr>
        <w:tc>
          <w:tcPr>
            <w:tcW w:w="3112" w:type="dxa"/>
            <w:tcBorders>
              <w:top w:val="nil"/>
              <w:left w:val="single" w:sz="8" w:space="0" w:color="auto"/>
              <w:bottom w:val="nil"/>
              <w:right w:val="single" w:sz="8" w:space="0" w:color="auto"/>
            </w:tcBorders>
            <w:shd w:val="clear" w:color="auto" w:fill="auto"/>
            <w:noWrap/>
            <w:vAlign w:val="bottom"/>
            <w:hideMark/>
          </w:tcPr>
          <w:p w14:paraId="4EF6B555" w14:textId="77777777" w:rsidR="00A74F00" w:rsidRPr="00062207" w:rsidRDefault="00A74F00" w:rsidP="00A74F00">
            <w:pPr>
              <w:rPr>
                <w:rFonts w:ascii="Times New Roman" w:eastAsia="Times New Roman" w:hAnsi="Times New Roman" w:cs="Times New Roman"/>
                <w:lang w:val="es-GT" w:eastAsia="es-GT"/>
              </w:rPr>
            </w:pPr>
            <w:r w:rsidRPr="00062207">
              <w:rPr>
                <w:rFonts w:ascii="Times New Roman" w:eastAsia="Times New Roman" w:hAnsi="Times New Roman" w:cs="Times New Roman"/>
                <w:lang w:val="es-GT" w:eastAsia="es-GT"/>
              </w:rPr>
              <w:t>Salud y Asistencia Social</w:t>
            </w:r>
          </w:p>
        </w:tc>
        <w:tc>
          <w:tcPr>
            <w:tcW w:w="1133" w:type="dxa"/>
            <w:tcBorders>
              <w:top w:val="nil"/>
              <w:left w:val="nil"/>
              <w:bottom w:val="nil"/>
              <w:right w:val="single" w:sz="4" w:space="0" w:color="auto"/>
            </w:tcBorders>
            <w:shd w:val="clear" w:color="auto" w:fill="auto"/>
            <w:noWrap/>
            <w:vAlign w:val="bottom"/>
            <w:hideMark/>
          </w:tcPr>
          <w:p w14:paraId="69974B5A" w14:textId="77777777" w:rsidR="00A74F00" w:rsidRPr="00062207" w:rsidRDefault="00A74F00" w:rsidP="00A74F00">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11,144.9</w:t>
            </w:r>
          </w:p>
        </w:tc>
        <w:tc>
          <w:tcPr>
            <w:tcW w:w="1133" w:type="dxa"/>
            <w:tcBorders>
              <w:top w:val="nil"/>
              <w:left w:val="nil"/>
              <w:bottom w:val="nil"/>
              <w:right w:val="single" w:sz="8" w:space="0" w:color="auto"/>
            </w:tcBorders>
            <w:shd w:val="clear" w:color="auto" w:fill="auto"/>
            <w:noWrap/>
            <w:vAlign w:val="bottom"/>
            <w:hideMark/>
          </w:tcPr>
          <w:p w14:paraId="6C32B4DA" w14:textId="77777777" w:rsidR="00A74F00" w:rsidRPr="00062207" w:rsidRDefault="00A74F00" w:rsidP="00A74F00">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14,330.7</w:t>
            </w:r>
          </w:p>
        </w:tc>
        <w:tc>
          <w:tcPr>
            <w:tcW w:w="1171" w:type="dxa"/>
            <w:tcBorders>
              <w:top w:val="nil"/>
              <w:left w:val="single" w:sz="8" w:space="0" w:color="auto"/>
              <w:bottom w:val="nil"/>
              <w:right w:val="single" w:sz="4" w:space="0" w:color="auto"/>
            </w:tcBorders>
            <w:shd w:val="clear" w:color="auto" w:fill="auto"/>
            <w:noWrap/>
            <w:vAlign w:val="bottom"/>
            <w:hideMark/>
          </w:tcPr>
          <w:p w14:paraId="70510461" w14:textId="77777777" w:rsidR="00A74F00" w:rsidRPr="00062207" w:rsidRDefault="00A74F00" w:rsidP="00A74F00">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3,185.9</w:t>
            </w:r>
          </w:p>
        </w:tc>
        <w:tc>
          <w:tcPr>
            <w:tcW w:w="1098" w:type="dxa"/>
            <w:tcBorders>
              <w:top w:val="nil"/>
              <w:left w:val="nil"/>
              <w:bottom w:val="nil"/>
              <w:right w:val="single" w:sz="8" w:space="0" w:color="auto"/>
            </w:tcBorders>
            <w:shd w:val="clear" w:color="auto" w:fill="auto"/>
            <w:noWrap/>
            <w:vAlign w:val="bottom"/>
            <w:hideMark/>
          </w:tcPr>
          <w:p w14:paraId="6F2200BC" w14:textId="77777777" w:rsidR="00A74F00" w:rsidRPr="00062207" w:rsidRDefault="00A74F00" w:rsidP="00A74F00">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28.6%</w:t>
            </w:r>
          </w:p>
        </w:tc>
      </w:tr>
      <w:tr w:rsidR="00062207" w:rsidRPr="00062207" w14:paraId="773532C1" w14:textId="77777777" w:rsidTr="00EE3A5F">
        <w:trPr>
          <w:trHeight w:val="353"/>
          <w:jc w:val="center"/>
        </w:trPr>
        <w:tc>
          <w:tcPr>
            <w:tcW w:w="3112" w:type="dxa"/>
            <w:tcBorders>
              <w:top w:val="nil"/>
              <w:left w:val="single" w:sz="8" w:space="0" w:color="auto"/>
              <w:bottom w:val="nil"/>
              <w:right w:val="single" w:sz="8" w:space="0" w:color="auto"/>
            </w:tcBorders>
            <w:shd w:val="clear" w:color="auto" w:fill="auto"/>
            <w:noWrap/>
            <w:vAlign w:val="bottom"/>
            <w:hideMark/>
          </w:tcPr>
          <w:p w14:paraId="700D0ABB" w14:textId="77777777" w:rsidR="00A74F00" w:rsidRPr="00062207" w:rsidRDefault="00A74F00" w:rsidP="00A74F00">
            <w:pPr>
              <w:rPr>
                <w:rFonts w:ascii="Times New Roman" w:eastAsia="Times New Roman" w:hAnsi="Times New Roman" w:cs="Times New Roman"/>
                <w:lang w:val="es-GT" w:eastAsia="es-GT"/>
              </w:rPr>
            </w:pPr>
            <w:r w:rsidRPr="00062207">
              <w:rPr>
                <w:rFonts w:ascii="Times New Roman" w:eastAsia="Times New Roman" w:hAnsi="Times New Roman" w:cs="Times New Roman"/>
                <w:lang w:val="es-GT" w:eastAsia="es-GT"/>
              </w:rPr>
              <w:t>Educación, Ciencia y Cultura</w:t>
            </w:r>
          </w:p>
        </w:tc>
        <w:tc>
          <w:tcPr>
            <w:tcW w:w="1133" w:type="dxa"/>
            <w:tcBorders>
              <w:top w:val="nil"/>
              <w:left w:val="nil"/>
              <w:bottom w:val="nil"/>
              <w:right w:val="single" w:sz="4" w:space="0" w:color="auto"/>
            </w:tcBorders>
            <w:shd w:val="clear" w:color="auto" w:fill="auto"/>
            <w:noWrap/>
            <w:vAlign w:val="center"/>
            <w:hideMark/>
          </w:tcPr>
          <w:p w14:paraId="3F61897E" w14:textId="77777777" w:rsidR="00A74F00" w:rsidRPr="00062207" w:rsidRDefault="00A74F00" w:rsidP="00A74F00">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20,813.9</w:t>
            </w:r>
          </w:p>
        </w:tc>
        <w:tc>
          <w:tcPr>
            <w:tcW w:w="1133" w:type="dxa"/>
            <w:tcBorders>
              <w:top w:val="nil"/>
              <w:left w:val="nil"/>
              <w:bottom w:val="nil"/>
              <w:right w:val="single" w:sz="8" w:space="0" w:color="auto"/>
            </w:tcBorders>
            <w:shd w:val="clear" w:color="auto" w:fill="auto"/>
            <w:noWrap/>
            <w:vAlign w:val="center"/>
            <w:hideMark/>
          </w:tcPr>
          <w:p w14:paraId="1BE46D6F" w14:textId="77777777" w:rsidR="00A74F00" w:rsidRPr="00062207" w:rsidRDefault="00A74F00" w:rsidP="00A74F00">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21,794.3</w:t>
            </w:r>
          </w:p>
        </w:tc>
        <w:tc>
          <w:tcPr>
            <w:tcW w:w="1171" w:type="dxa"/>
            <w:tcBorders>
              <w:top w:val="nil"/>
              <w:left w:val="single" w:sz="8" w:space="0" w:color="auto"/>
              <w:bottom w:val="nil"/>
              <w:right w:val="single" w:sz="4" w:space="0" w:color="auto"/>
            </w:tcBorders>
            <w:shd w:val="clear" w:color="auto" w:fill="auto"/>
            <w:noWrap/>
            <w:vAlign w:val="center"/>
            <w:hideMark/>
          </w:tcPr>
          <w:p w14:paraId="2546F9D1" w14:textId="77777777" w:rsidR="00A74F00" w:rsidRPr="00062207" w:rsidRDefault="00A74F00" w:rsidP="00A74F00">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980.4</w:t>
            </w:r>
          </w:p>
        </w:tc>
        <w:tc>
          <w:tcPr>
            <w:tcW w:w="1098" w:type="dxa"/>
            <w:tcBorders>
              <w:top w:val="nil"/>
              <w:left w:val="nil"/>
              <w:bottom w:val="nil"/>
              <w:right w:val="single" w:sz="8" w:space="0" w:color="auto"/>
            </w:tcBorders>
            <w:shd w:val="clear" w:color="auto" w:fill="auto"/>
            <w:noWrap/>
            <w:vAlign w:val="center"/>
            <w:hideMark/>
          </w:tcPr>
          <w:p w14:paraId="2EEA8D23" w14:textId="77777777" w:rsidR="00A74F00" w:rsidRPr="00062207" w:rsidRDefault="00A74F00" w:rsidP="00A74F00">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4.7%</w:t>
            </w:r>
          </w:p>
        </w:tc>
      </w:tr>
      <w:tr w:rsidR="00062207" w:rsidRPr="00062207" w14:paraId="1561B701" w14:textId="77777777" w:rsidTr="00EE3A5F">
        <w:trPr>
          <w:trHeight w:val="369"/>
          <w:jc w:val="center"/>
        </w:trPr>
        <w:tc>
          <w:tcPr>
            <w:tcW w:w="3112" w:type="dxa"/>
            <w:tcBorders>
              <w:top w:val="nil"/>
              <w:left w:val="single" w:sz="8" w:space="0" w:color="auto"/>
              <w:bottom w:val="nil"/>
              <w:right w:val="single" w:sz="8" w:space="0" w:color="auto"/>
            </w:tcBorders>
            <w:shd w:val="clear" w:color="auto" w:fill="auto"/>
            <w:noWrap/>
            <w:vAlign w:val="bottom"/>
            <w:hideMark/>
          </w:tcPr>
          <w:p w14:paraId="4EE91B69" w14:textId="77777777" w:rsidR="00A74F00" w:rsidRPr="00062207" w:rsidRDefault="00A74F00" w:rsidP="00A74F00">
            <w:pPr>
              <w:rPr>
                <w:rFonts w:ascii="Times New Roman" w:eastAsia="Times New Roman" w:hAnsi="Times New Roman" w:cs="Times New Roman"/>
                <w:lang w:val="es-GT" w:eastAsia="es-GT"/>
              </w:rPr>
            </w:pPr>
            <w:r w:rsidRPr="00062207">
              <w:rPr>
                <w:rFonts w:ascii="Times New Roman" w:eastAsia="Times New Roman" w:hAnsi="Times New Roman" w:cs="Times New Roman"/>
                <w:lang w:val="es-GT" w:eastAsia="es-GT"/>
              </w:rPr>
              <w:t>Vivienda</w:t>
            </w:r>
          </w:p>
        </w:tc>
        <w:tc>
          <w:tcPr>
            <w:tcW w:w="1133" w:type="dxa"/>
            <w:tcBorders>
              <w:top w:val="nil"/>
              <w:left w:val="nil"/>
              <w:bottom w:val="nil"/>
              <w:right w:val="single" w:sz="4" w:space="0" w:color="auto"/>
            </w:tcBorders>
            <w:shd w:val="clear" w:color="auto" w:fill="auto"/>
            <w:noWrap/>
            <w:vAlign w:val="bottom"/>
            <w:hideMark/>
          </w:tcPr>
          <w:p w14:paraId="5FCD6A60" w14:textId="77777777" w:rsidR="00A74F00" w:rsidRPr="00062207" w:rsidRDefault="00A74F00" w:rsidP="00A74F00">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408.9</w:t>
            </w:r>
          </w:p>
        </w:tc>
        <w:tc>
          <w:tcPr>
            <w:tcW w:w="1133" w:type="dxa"/>
            <w:tcBorders>
              <w:top w:val="nil"/>
              <w:left w:val="nil"/>
              <w:bottom w:val="nil"/>
              <w:right w:val="single" w:sz="8" w:space="0" w:color="auto"/>
            </w:tcBorders>
            <w:shd w:val="clear" w:color="auto" w:fill="auto"/>
            <w:noWrap/>
            <w:vAlign w:val="bottom"/>
            <w:hideMark/>
          </w:tcPr>
          <w:p w14:paraId="6676DFE8" w14:textId="77777777" w:rsidR="00A74F00" w:rsidRPr="00062207" w:rsidRDefault="00A74F00" w:rsidP="00A74F00">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377.6</w:t>
            </w:r>
          </w:p>
        </w:tc>
        <w:tc>
          <w:tcPr>
            <w:tcW w:w="1171" w:type="dxa"/>
            <w:tcBorders>
              <w:top w:val="nil"/>
              <w:left w:val="single" w:sz="8" w:space="0" w:color="auto"/>
              <w:bottom w:val="nil"/>
              <w:right w:val="single" w:sz="4" w:space="0" w:color="auto"/>
            </w:tcBorders>
            <w:shd w:val="clear" w:color="auto" w:fill="auto"/>
            <w:noWrap/>
            <w:vAlign w:val="bottom"/>
            <w:hideMark/>
          </w:tcPr>
          <w:p w14:paraId="7978AADC" w14:textId="77777777" w:rsidR="00A74F00" w:rsidRPr="00062207" w:rsidRDefault="00A74F00" w:rsidP="00A74F00">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-31.3</w:t>
            </w:r>
          </w:p>
        </w:tc>
        <w:tc>
          <w:tcPr>
            <w:tcW w:w="1098" w:type="dxa"/>
            <w:tcBorders>
              <w:top w:val="nil"/>
              <w:left w:val="nil"/>
              <w:bottom w:val="nil"/>
              <w:right w:val="single" w:sz="8" w:space="0" w:color="auto"/>
            </w:tcBorders>
            <w:shd w:val="clear" w:color="auto" w:fill="auto"/>
            <w:noWrap/>
            <w:vAlign w:val="bottom"/>
            <w:hideMark/>
          </w:tcPr>
          <w:p w14:paraId="253FA320" w14:textId="77777777" w:rsidR="00A74F00" w:rsidRPr="00062207" w:rsidRDefault="00A74F00" w:rsidP="00A74F00">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-7.6%</w:t>
            </w:r>
          </w:p>
        </w:tc>
      </w:tr>
      <w:tr w:rsidR="00062207" w:rsidRPr="00062207" w14:paraId="3ECDF2CA" w14:textId="77777777" w:rsidTr="00EE3A5F">
        <w:trPr>
          <w:trHeight w:val="353"/>
          <w:jc w:val="center"/>
        </w:trPr>
        <w:tc>
          <w:tcPr>
            <w:tcW w:w="3112" w:type="dxa"/>
            <w:tcBorders>
              <w:top w:val="single" w:sz="8" w:space="0" w:color="auto"/>
              <w:left w:val="single" w:sz="8" w:space="0" w:color="auto"/>
              <w:bottom w:val="single" w:sz="8" w:space="0" w:color="auto"/>
              <w:right w:val="single" w:sz="8" w:space="0" w:color="auto"/>
            </w:tcBorders>
            <w:shd w:val="clear" w:color="000000" w:fill="B8CCE4"/>
            <w:noWrap/>
            <w:vAlign w:val="center"/>
            <w:hideMark/>
          </w:tcPr>
          <w:p w14:paraId="60B65390" w14:textId="77777777" w:rsidR="00A74F00" w:rsidRPr="00062207" w:rsidRDefault="00A74F00" w:rsidP="00A74F00">
            <w:pPr>
              <w:jc w:val="center"/>
              <w:rPr>
                <w:rFonts w:ascii="Times New Roman" w:eastAsia="Times New Roman" w:hAnsi="Times New Roman" w:cs="Times New Roman"/>
                <w:b/>
                <w:bCs/>
                <w:sz w:val="22"/>
                <w:szCs w:val="22"/>
                <w:lang w:val="es-GT" w:eastAsia="es-GT"/>
              </w:rPr>
            </w:pPr>
            <w:r w:rsidRPr="00062207">
              <w:rPr>
                <w:rFonts w:ascii="Times New Roman" w:eastAsia="Times New Roman" w:hAnsi="Times New Roman" w:cs="Times New Roman"/>
                <w:b/>
                <w:bCs/>
                <w:sz w:val="22"/>
                <w:szCs w:val="22"/>
                <w:lang w:val="es-GT" w:eastAsia="es-GT"/>
              </w:rPr>
              <w:t>Sub - Total</w:t>
            </w:r>
          </w:p>
        </w:tc>
        <w:tc>
          <w:tcPr>
            <w:tcW w:w="1133" w:type="dxa"/>
            <w:tcBorders>
              <w:top w:val="single" w:sz="8" w:space="0" w:color="auto"/>
              <w:left w:val="nil"/>
              <w:bottom w:val="single" w:sz="8" w:space="0" w:color="auto"/>
              <w:right w:val="single" w:sz="4" w:space="0" w:color="auto"/>
            </w:tcBorders>
            <w:shd w:val="clear" w:color="000000" w:fill="B8CCE4"/>
            <w:noWrap/>
            <w:vAlign w:val="center"/>
            <w:hideMark/>
          </w:tcPr>
          <w:p w14:paraId="4DB0AFFA" w14:textId="77777777" w:rsidR="00A74F00" w:rsidRPr="00062207" w:rsidRDefault="00A74F00" w:rsidP="00A74F00">
            <w:pPr>
              <w:jc w:val="center"/>
              <w:rPr>
                <w:rFonts w:ascii="Times New Roman" w:eastAsia="Times New Roman" w:hAnsi="Times New Roman" w:cs="Times New Roman"/>
                <w:b/>
                <w:bCs/>
                <w:sz w:val="22"/>
                <w:szCs w:val="22"/>
                <w:lang w:val="es-GT" w:eastAsia="es-GT"/>
              </w:rPr>
            </w:pPr>
            <w:r w:rsidRPr="00062207">
              <w:rPr>
                <w:rFonts w:ascii="Times New Roman" w:eastAsia="Times New Roman" w:hAnsi="Times New Roman" w:cs="Times New Roman"/>
                <w:b/>
                <w:bCs/>
                <w:sz w:val="22"/>
                <w:szCs w:val="22"/>
                <w:lang w:val="es-GT" w:eastAsia="es-GT"/>
              </w:rPr>
              <w:t>32,367.6</w:t>
            </w:r>
          </w:p>
        </w:tc>
        <w:tc>
          <w:tcPr>
            <w:tcW w:w="1133" w:type="dxa"/>
            <w:tcBorders>
              <w:top w:val="single" w:sz="8" w:space="0" w:color="auto"/>
              <w:left w:val="nil"/>
              <w:bottom w:val="single" w:sz="8" w:space="0" w:color="auto"/>
              <w:right w:val="single" w:sz="8" w:space="0" w:color="auto"/>
            </w:tcBorders>
            <w:shd w:val="clear" w:color="000000" w:fill="B8CCE4"/>
            <w:noWrap/>
            <w:vAlign w:val="center"/>
            <w:hideMark/>
          </w:tcPr>
          <w:p w14:paraId="0E5BDC8B" w14:textId="77777777" w:rsidR="00A74F00" w:rsidRPr="00062207" w:rsidRDefault="00A74F00" w:rsidP="00A74F00">
            <w:pPr>
              <w:jc w:val="center"/>
              <w:rPr>
                <w:rFonts w:ascii="Times New Roman" w:eastAsia="Times New Roman" w:hAnsi="Times New Roman" w:cs="Times New Roman"/>
                <w:b/>
                <w:bCs/>
                <w:sz w:val="22"/>
                <w:szCs w:val="22"/>
                <w:lang w:val="es-GT" w:eastAsia="es-GT"/>
              </w:rPr>
            </w:pPr>
            <w:r w:rsidRPr="00062207">
              <w:rPr>
                <w:rFonts w:ascii="Times New Roman" w:eastAsia="Times New Roman" w:hAnsi="Times New Roman" w:cs="Times New Roman"/>
                <w:b/>
                <w:bCs/>
                <w:sz w:val="22"/>
                <w:szCs w:val="22"/>
                <w:lang w:val="es-GT" w:eastAsia="es-GT"/>
              </w:rPr>
              <w:t>36,502.6</w:t>
            </w:r>
          </w:p>
        </w:tc>
        <w:tc>
          <w:tcPr>
            <w:tcW w:w="1171" w:type="dxa"/>
            <w:tcBorders>
              <w:top w:val="single" w:sz="8" w:space="0" w:color="auto"/>
              <w:left w:val="nil"/>
              <w:bottom w:val="single" w:sz="8" w:space="0" w:color="auto"/>
              <w:right w:val="single" w:sz="4" w:space="0" w:color="auto"/>
            </w:tcBorders>
            <w:shd w:val="clear" w:color="000000" w:fill="B8CCE4"/>
            <w:noWrap/>
            <w:vAlign w:val="center"/>
            <w:hideMark/>
          </w:tcPr>
          <w:p w14:paraId="75288859" w14:textId="77777777" w:rsidR="00A74F00" w:rsidRPr="00062207" w:rsidRDefault="00A74F00" w:rsidP="00A74F00">
            <w:pPr>
              <w:jc w:val="center"/>
              <w:rPr>
                <w:rFonts w:ascii="Times New Roman" w:eastAsia="Times New Roman" w:hAnsi="Times New Roman" w:cs="Times New Roman"/>
                <w:b/>
                <w:bCs/>
                <w:sz w:val="22"/>
                <w:szCs w:val="22"/>
                <w:lang w:val="es-GT" w:eastAsia="es-GT"/>
              </w:rPr>
            </w:pPr>
            <w:r w:rsidRPr="00062207">
              <w:rPr>
                <w:rFonts w:ascii="Times New Roman" w:eastAsia="Times New Roman" w:hAnsi="Times New Roman" w:cs="Times New Roman"/>
                <w:b/>
                <w:bCs/>
                <w:sz w:val="22"/>
                <w:szCs w:val="22"/>
                <w:lang w:val="es-GT" w:eastAsia="es-GT"/>
              </w:rPr>
              <w:t>4,135.0</w:t>
            </w:r>
          </w:p>
        </w:tc>
        <w:tc>
          <w:tcPr>
            <w:tcW w:w="1098" w:type="dxa"/>
            <w:tcBorders>
              <w:top w:val="single" w:sz="8" w:space="0" w:color="auto"/>
              <w:left w:val="nil"/>
              <w:bottom w:val="single" w:sz="8" w:space="0" w:color="auto"/>
              <w:right w:val="single" w:sz="8" w:space="0" w:color="auto"/>
            </w:tcBorders>
            <w:shd w:val="clear" w:color="000000" w:fill="B8CCE4"/>
            <w:noWrap/>
            <w:vAlign w:val="center"/>
            <w:hideMark/>
          </w:tcPr>
          <w:p w14:paraId="2F03C5F4" w14:textId="77777777" w:rsidR="00A74F00" w:rsidRPr="00062207" w:rsidRDefault="00A74F00" w:rsidP="00A74F00">
            <w:pPr>
              <w:jc w:val="center"/>
              <w:rPr>
                <w:rFonts w:ascii="Times New Roman" w:eastAsia="Times New Roman" w:hAnsi="Times New Roman" w:cs="Times New Roman"/>
                <w:b/>
                <w:bCs/>
                <w:sz w:val="22"/>
                <w:szCs w:val="22"/>
                <w:lang w:val="es-GT" w:eastAsia="es-GT"/>
              </w:rPr>
            </w:pPr>
            <w:r w:rsidRPr="00062207">
              <w:rPr>
                <w:rFonts w:ascii="Times New Roman" w:eastAsia="Times New Roman" w:hAnsi="Times New Roman" w:cs="Times New Roman"/>
                <w:b/>
                <w:bCs/>
                <w:sz w:val="22"/>
                <w:szCs w:val="22"/>
                <w:lang w:val="es-GT" w:eastAsia="es-GT"/>
              </w:rPr>
              <w:t>12.8%</w:t>
            </w:r>
          </w:p>
        </w:tc>
      </w:tr>
      <w:tr w:rsidR="00062207" w:rsidRPr="00062207" w14:paraId="1310C59F" w14:textId="77777777" w:rsidTr="00EE3A5F">
        <w:trPr>
          <w:trHeight w:val="353"/>
          <w:jc w:val="center"/>
        </w:trPr>
        <w:tc>
          <w:tcPr>
            <w:tcW w:w="3112" w:type="dxa"/>
            <w:tcBorders>
              <w:top w:val="nil"/>
              <w:left w:val="single" w:sz="8" w:space="0" w:color="auto"/>
              <w:bottom w:val="nil"/>
              <w:right w:val="single" w:sz="8" w:space="0" w:color="auto"/>
            </w:tcBorders>
            <w:shd w:val="clear" w:color="auto" w:fill="auto"/>
            <w:noWrap/>
            <w:vAlign w:val="bottom"/>
            <w:hideMark/>
          </w:tcPr>
          <w:p w14:paraId="7DE7FE5B" w14:textId="77777777" w:rsidR="00A74F00" w:rsidRPr="00062207" w:rsidRDefault="00A74F00" w:rsidP="00A74F00">
            <w:pPr>
              <w:rPr>
                <w:rFonts w:ascii="Times New Roman" w:eastAsia="Times New Roman" w:hAnsi="Times New Roman" w:cs="Times New Roman"/>
                <w:lang w:val="es-GT" w:eastAsia="es-GT"/>
              </w:rPr>
            </w:pPr>
            <w:r w:rsidRPr="00062207">
              <w:rPr>
                <w:rFonts w:ascii="Times New Roman" w:eastAsia="Times New Roman" w:hAnsi="Times New Roman" w:cs="Times New Roman"/>
                <w:lang w:val="es-GT" w:eastAsia="es-GT"/>
              </w:rPr>
              <w:t>Seguridad Interna</w:t>
            </w:r>
          </w:p>
        </w:tc>
        <w:tc>
          <w:tcPr>
            <w:tcW w:w="1133" w:type="dxa"/>
            <w:tcBorders>
              <w:top w:val="nil"/>
              <w:left w:val="nil"/>
              <w:bottom w:val="nil"/>
              <w:right w:val="single" w:sz="4" w:space="0" w:color="auto"/>
            </w:tcBorders>
            <w:shd w:val="clear" w:color="auto" w:fill="auto"/>
            <w:noWrap/>
            <w:vAlign w:val="bottom"/>
            <w:hideMark/>
          </w:tcPr>
          <w:p w14:paraId="4815D422" w14:textId="77777777" w:rsidR="00A74F00" w:rsidRPr="00062207" w:rsidRDefault="00A74F00" w:rsidP="00A74F00">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5,359.7</w:t>
            </w:r>
          </w:p>
        </w:tc>
        <w:tc>
          <w:tcPr>
            <w:tcW w:w="1133" w:type="dxa"/>
            <w:tcBorders>
              <w:top w:val="nil"/>
              <w:left w:val="nil"/>
              <w:bottom w:val="nil"/>
              <w:right w:val="single" w:sz="8" w:space="0" w:color="auto"/>
            </w:tcBorders>
            <w:shd w:val="clear" w:color="auto" w:fill="auto"/>
            <w:noWrap/>
            <w:vAlign w:val="bottom"/>
            <w:hideMark/>
          </w:tcPr>
          <w:p w14:paraId="0877E58F" w14:textId="77777777" w:rsidR="00A74F00" w:rsidRPr="00062207" w:rsidRDefault="00A74F00" w:rsidP="00A74F00">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5,946.7</w:t>
            </w:r>
          </w:p>
        </w:tc>
        <w:tc>
          <w:tcPr>
            <w:tcW w:w="1171" w:type="dxa"/>
            <w:tcBorders>
              <w:top w:val="nil"/>
              <w:left w:val="single" w:sz="8" w:space="0" w:color="auto"/>
              <w:bottom w:val="nil"/>
              <w:right w:val="single" w:sz="4" w:space="0" w:color="auto"/>
            </w:tcBorders>
            <w:shd w:val="clear" w:color="auto" w:fill="auto"/>
            <w:noWrap/>
            <w:vAlign w:val="bottom"/>
            <w:hideMark/>
          </w:tcPr>
          <w:p w14:paraId="7AAE642E" w14:textId="77777777" w:rsidR="00A74F00" w:rsidRPr="00062207" w:rsidRDefault="00A74F00" w:rsidP="00A74F00">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587.0</w:t>
            </w:r>
          </w:p>
        </w:tc>
        <w:tc>
          <w:tcPr>
            <w:tcW w:w="1098" w:type="dxa"/>
            <w:tcBorders>
              <w:top w:val="nil"/>
              <w:left w:val="nil"/>
              <w:bottom w:val="nil"/>
              <w:right w:val="single" w:sz="8" w:space="0" w:color="auto"/>
            </w:tcBorders>
            <w:shd w:val="clear" w:color="auto" w:fill="auto"/>
            <w:noWrap/>
            <w:vAlign w:val="bottom"/>
            <w:hideMark/>
          </w:tcPr>
          <w:p w14:paraId="0F46329F" w14:textId="77777777" w:rsidR="00A74F00" w:rsidRPr="00062207" w:rsidRDefault="00A74F00" w:rsidP="00A74F00">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11.0%</w:t>
            </w:r>
          </w:p>
        </w:tc>
      </w:tr>
      <w:tr w:rsidR="00062207" w:rsidRPr="00062207" w14:paraId="0F33115E" w14:textId="77777777" w:rsidTr="00EE3A5F">
        <w:trPr>
          <w:trHeight w:val="353"/>
          <w:jc w:val="center"/>
        </w:trPr>
        <w:tc>
          <w:tcPr>
            <w:tcW w:w="3112" w:type="dxa"/>
            <w:tcBorders>
              <w:top w:val="nil"/>
              <w:left w:val="single" w:sz="8" w:space="0" w:color="auto"/>
              <w:bottom w:val="nil"/>
              <w:right w:val="single" w:sz="8" w:space="0" w:color="auto"/>
            </w:tcBorders>
            <w:shd w:val="clear" w:color="auto" w:fill="auto"/>
            <w:noWrap/>
            <w:vAlign w:val="bottom"/>
            <w:hideMark/>
          </w:tcPr>
          <w:p w14:paraId="057A1FA9" w14:textId="77777777" w:rsidR="00A74F00" w:rsidRPr="00062207" w:rsidRDefault="00A74F00" w:rsidP="00A74F00">
            <w:pPr>
              <w:rPr>
                <w:rFonts w:ascii="Times New Roman" w:eastAsia="Times New Roman" w:hAnsi="Times New Roman" w:cs="Times New Roman"/>
                <w:lang w:val="es-GT" w:eastAsia="es-GT"/>
              </w:rPr>
            </w:pPr>
            <w:r w:rsidRPr="00062207">
              <w:rPr>
                <w:rFonts w:ascii="Times New Roman" w:eastAsia="Times New Roman" w:hAnsi="Times New Roman" w:cs="Times New Roman"/>
                <w:lang w:val="es-GT" w:eastAsia="es-GT"/>
              </w:rPr>
              <w:t>Organismo Judicial y CC</w:t>
            </w:r>
          </w:p>
        </w:tc>
        <w:tc>
          <w:tcPr>
            <w:tcW w:w="1133" w:type="dxa"/>
            <w:tcBorders>
              <w:top w:val="nil"/>
              <w:left w:val="nil"/>
              <w:bottom w:val="nil"/>
              <w:right w:val="single" w:sz="4" w:space="0" w:color="auto"/>
            </w:tcBorders>
            <w:shd w:val="clear" w:color="auto" w:fill="auto"/>
            <w:noWrap/>
            <w:vAlign w:val="bottom"/>
            <w:hideMark/>
          </w:tcPr>
          <w:p w14:paraId="391D4108" w14:textId="77777777" w:rsidR="00A74F00" w:rsidRPr="00062207" w:rsidRDefault="00A74F00" w:rsidP="00A74F00">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2,483.3</w:t>
            </w:r>
          </w:p>
        </w:tc>
        <w:tc>
          <w:tcPr>
            <w:tcW w:w="1133" w:type="dxa"/>
            <w:tcBorders>
              <w:top w:val="nil"/>
              <w:left w:val="nil"/>
              <w:bottom w:val="nil"/>
              <w:right w:val="single" w:sz="8" w:space="0" w:color="auto"/>
            </w:tcBorders>
            <w:shd w:val="clear" w:color="auto" w:fill="auto"/>
            <w:noWrap/>
            <w:vAlign w:val="bottom"/>
            <w:hideMark/>
          </w:tcPr>
          <w:p w14:paraId="325490F2" w14:textId="77777777" w:rsidR="00A74F00" w:rsidRPr="00062207" w:rsidRDefault="00A74F00" w:rsidP="00A74F00">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2,451.8</w:t>
            </w:r>
          </w:p>
        </w:tc>
        <w:tc>
          <w:tcPr>
            <w:tcW w:w="1171" w:type="dxa"/>
            <w:tcBorders>
              <w:top w:val="nil"/>
              <w:left w:val="single" w:sz="8" w:space="0" w:color="auto"/>
              <w:bottom w:val="nil"/>
              <w:right w:val="single" w:sz="4" w:space="0" w:color="auto"/>
            </w:tcBorders>
            <w:shd w:val="clear" w:color="auto" w:fill="auto"/>
            <w:noWrap/>
            <w:vAlign w:val="bottom"/>
            <w:hideMark/>
          </w:tcPr>
          <w:p w14:paraId="714960DD" w14:textId="77777777" w:rsidR="00A74F00" w:rsidRPr="00062207" w:rsidRDefault="00A74F00" w:rsidP="00A74F00">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-31.5</w:t>
            </w:r>
          </w:p>
        </w:tc>
        <w:tc>
          <w:tcPr>
            <w:tcW w:w="1098" w:type="dxa"/>
            <w:tcBorders>
              <w:top w:val="nil"/>
              <w:left w:val="nil"/>
              <w:bottom w:val="nil"/>
              <w:right w:val="single" w:sz="8" w:space="0" w:color="auto"/>
            </w:tcBorders>
            <w:shd w:val="clear" w:color="auto" w:fill="auto"/>
            <w:noWrap/>
            <w:vAlign w:val="bottom"/>
            <w:hideMark/>
          </w:tcPr>
          <w:p w14:paraId="2715ED08" w14:textId="77777777" w:rsidR="00A74F00" w:rsidRPr="00062207" w:rsidRDefault="00A74F00" w:rsidP="00A74F00">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-1.3%</w:t>
            </w:r>
          </w:p>
        </w:tc>
      </w:tr>
      <w:tr w:rsidR="00062207" w:rsidRPr="00062207" w14:paraId="40ABBDE3" w14:textId="77777777" w:rsidTr="00EE3A5F">
        <w:trPr>
          <w:trHeight w:val="369"/>
          <w:jc w:val="center"/>
        </w:trPr>
        <w:tc>
          <w:tcPr>
            <w:tcW w:w="3112" w:type="dxa"/>
            <w:tcBorders>
              <w:top w:val="nil"/>
              <w:left w:val="single" w:sz="8" w:space="0" w:color="auto"/>
              <w:bottom w:val="nil"/>
              <w:right w:val="single" w:sz="8" w:space="0" w:color="auto"/>
            </w:tcBorders>
            <w:shd w:val="clear" w:color="auto" w:fill="auto"/>
            <w:noWrap/>
            <w:vAlign w:val="bottom"/>
            <w:hideMark/>
          </w:tcPr>
          <w:p w14:paraId="352E053C" w14:textId="77777777" w:rsidR="00A74F00" w:rsidRPr="00062207" w:rsidRDefault="00A74F00" w:rsidP="00A74F00">
            <w:pPr>
              <w:rPr>
                <w:rFonts w:ascii="Times New Roman" w:eastAsia="Times New Roman" w:hAnsi="Times New Roman" w:cs="Times New Roman"/>
                <w:lang w:val="es-GT" w:eastAsia="es-GT"/>
              </w:rPr>
            </w:pPr>
            <w:r w:rsidRPr="00062207">
              <w:rPr>
                <w:rFonts w:ascii="Times New Roman" w:eastAsia="Times New Roman" w:hAnsi="Times New Roman" w:cs="Times New Roman"/>
                <w:lang w:val="es-GT" w:eastAsia="es-GT"/>
              </w:rPr>
              <w:t>Ministerio Público</w:t>
            </w:r>
          </w:p>
        </w:tc>
        <w:tc>
          <w:tcPr>
            <w:tcW w:w="1133" w:type="dxa"/>
            <w:tcBorders>
              <w:top w:val="nil"/>
              <w:left w:val="nil"/>
              <w:bottom w:val="nil"/>
              <w:right w:val="single" w:sz="4" w:space="0" w:color="auto"/>
            </w:tcBorders>
            <w:shd w:val="clear" w:color="auto" w:fill="auto"/>
            <w:noWrap/>
            <w:vAlign w:val="bottom"/>
            <w:hideMark/>
          </w:tcPr>
          <w:p w14:paraId="418BB094" w14:textId="77777777" w:rsidR="00A74F00" w:rsidRPr="00062207" w:rsidRDefault="00A74F00" w:rsidP="00A74F00">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1,818.6</w:t>
            </w:r>
          </w:p>
        </w:tc>
        <w:tc>
          <w:tcPr>
            <w:tcW w:w="1133" w:type="dxa"/>
            <w:tcBorders>
              <w:top w:val="nil"/>
              <w:left w:val="nil"/>
              <w:bottom w:val="nil"/>
              <w:right w:val="single" w:sz="8" w:space="0" w:color="auto"/>
            </w:tcBorders>
            <w:shd w:val="clear" w:color="auto" w:fill="auto"/>
            <w:noWrap/>
            <w:vAlign w:val="bottom"/>
            <w:hideMark/>
          </w:tcPr>
          <w:p w14:paraId="2701F92E" w14:textId="77777777" w:rsidR="00A74F00" w:rsidRPr="00062207" w:rsidRDefault="00A74F00" w:rsidP="00A74F00">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1,828.0</w:t>
            </w:r>
          </w:p>
        </w:tc>
        <w:tc>
          <w:tcPr>
            <w:tcW w:w="1171" w:type="dxa"/>
            <w:tcBorders>
              <w:top w:val="nil"/>
              <w:left w:val="single" w:sz="8" w:space="0" w:color="auto"/>
              <w:bottom w:val="nil"/>
              <w:right w:val="single" w:sz="4" w:space="0" w:color="auto"/>
            </w:tcBorders>
            <w:shd w:val="clear" w:color="auto" w:fill="auto"/>
            <w:noWrap/>
            <w:vAlign w:val="bottom"/>
            <w:hideMark/>
          </w:tcPr>
          <w:p w14:paraId="11C12445" w14:textId="77777777" w:rsidR="00A74F00" w:rsidRPr="00062207" w:rsidRDefault="00A74F00" w:rsidP="00A74F00">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9.4</w:t>
            </w:r>
          </w:p>
        </w:tc>
        <w:tc>
          <w:tcPr>
            <w:tcW w:w="1098" w:type="dxa"/>
            <w:tcBorders>
              <w:top w:val="nil"/>
              <w:left w:val="nil"/>
              <w:bottom w:val="nil"/>
              <w:right w:val="single" w:sz="8" w:space="0" w:color="auto"/>
            </w:tcBorders>
            <w:shd w:val="clear" w:color="auto" w:fill="auto"/>
            <w:noWrap/>
            <w:vAlign w:val="bottom"/>
            <w:hideMark/>
          </w:tcPr>
          <w:p w14:paraId="39991447" w14:textId="77777777" w:rsidR="00A74F00" w:rsidRPr="00062207" w:rsidRDefault="00A74F00" w:rsidP="00A74F00">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0.5%</w:t>
            </w:r>
          </w:p>
        </w:tc>
      </w:tr>
      <w:tr w:rsidR="00062207" w:rsidRPr="00062207" w14:paraId="347B81B7" w14:textId="77777777" w:rsidTr="00EE3A5F">
        <w:trPr>
          <w:trHeight w:val="353"/>
          <w:jc w:val="center"/>
        </w:trPr>
        <w:tc>
          <w:tcPr>
            <w:tcW w:w="3112" w:type="dxa"/>
            <w:tcBorders>
              <w:top w:val="single" w:sz="8" w:space="0" w:color="auto"/>
              <w:left w:val="single" w:sz="8" w:space="0" w:color="auto"/>
              <w:bottom w:val="single" w:sz="8" w:space="0" w:color="auto"/>
              <w:right w:val="single" w:sz="8" w:space="0" w:color="auto"/>
            </w:tcBorders>
            <w:shd w:val="clear" w:color="000000" w:fill="B8CCE4"/>
            <w:noWrap/>
            <w:vAlign w:val="center"/>
            <w:hideMark/>
          </w:tcPr>
          <w:p w14:paraId="17A07BFE" w14:textId="77777777" w:rsidR="00A74F00" w:rsidRPr="00062207" w:rsidRDefault="00A74F00" w:rsidP="00A74F00">
            <w:pPr>
              <w:jc w:val="center"/>
              <w:rPr>
                <w:rFonts w:ascii="Times New Roman" w:eastAsia="Times New Roman" w:hAnsi="Times New Roman" w:cs="Times New Roman"/>
                <w:b/>
                <w:bCs/>
                <w:sz w:val="22"/>
                <w:szCs w:val="22"/>
                <w:lang w:val="es-GT" w:eastAsia="es-GT"/>
              </w:rPr>
            </w:pPr>
            <w:r w:rsidRPr="00062207">
              <w:rPr>
                <w:rFonts w:ascii="Times New Roman" w:eastAsia="Times New Roman" w:hAnsi="Times New Roman" w:cs="Times New Roman"/>
                <w:b/>
                <w:bCs/>
                <w:sz w:val="22"/>
                <w:szCs w:val="22"/>
                <w:lang w:val="es-GT" w:eastAsia="es-GT"/>
              </w:rPr>
              <w:t>Total con Acuerdos de Paz</w:t>
            </w:r>
          </w:p>
        </w:tc>
        <w:tc>
          <w:tcPr>
            <w:tcW w:w="1133" w:type="dxa"/>
            <w:tcBorders>
              <w:top w:val="single" w:sz="8" w:space="0" w:color="auto"/>
              <w:left w:val="nil"/>
              <w:bottom w:val="single" w:sz="8" w:space="0" w:color="auto"/>
              <w:right w:val="single" w:sz="4" w:space="0" w:color="auto"/>
            </w:tcBorders>
            <w:shd w:val="clear" w:color="000000" w:fill="B8CCE4"/>
            <w:noWrap/>
            <w:vAlign w:val="center"/>
            <w:hideMark/>
          </w:tcPr>
          <w:p w14:paraId="02C1808A" w14:textId="77777777" w:rsidR="00A74F00" w:rsidRPr="00062207" w:rsidRDefault="00A74F00" w:rsidP="00A74F00">
            <w:pPr>
              <w:jc w:val="center"/>
              <w:rPr>
                <w:rFonts w:ascii="Times New Roman" w:eastAsia="Times New Roman" w:hAnsi="Times New Roman" w:cs="Times New Roman"/>
                <w:b/>
                <w:bCs/>
                <w:sz w:val="22"/>
                <w:szCs w:val="22"/>
                <w:lang w:val="es-GT" w:eastAsia="es-GT"/>
              </w:rPr>
            </w:pPr>
            <w:r w:rsidRPr="00062207">
              <w:rPr>
                <w:rFonts w:ascii="Times New Roman" w:eastAsia="Times New Roman" w:hAnsi="Times New Roman" w:cs="Times New Roman"/>
                <w:b/>
                <w:bCs/>
                <w:sz w:val="22"/>
                <w:szCs w:val="22"/>
                <w:lang w:val="es-GT" w:eastAsia="es-GT"/>
              </w:rPr>
              <w:t>42,029.3</w:t>
            </w:r>
          </w:p>
        </w:tc>
        <w:tc>
          <w:tcPr>
            <w:tcW w:w="1133" w:type="dxa"/>
            <w:tcBorders>
              <w:top w:val="single" w:sz="8" w:space="0" w:color="auto"/>
              <w:left w:val="nil"/>
              <w:bottom w:val="single" w:sz="8" w:space="0" w:color="auto"/>
              <w:right w:val="single" w:sz="8" w:space="0" w:color="auto"/>
            </w:tcBorders>
            <w:shd w:val="clear" w:color="000000" w:fill="B8CCE4"/>
            <w:noWrap/>
            <w:vAlign w:val="center"/>
            <w:hideMark/>
          </w:tcPr>
          <w:p w14:paraId="546CE9A0" w14:textId="77777777" w:rsidR="00A74F00" w:rsidRPr="00062207" w:rsidRDefault="00A74F00" w:rsidP="00A74F00">
            <w:pPr>
              <w:jc w:val="center"/>
              <w:rPr>
                <w:rFonts w:ascii="Times New Roman" w:eastAsia="Times New Roman" w:hAnsi="Times New Roman" w:cs="Times New Roman"/>
                <w:b/>
                <w:bCs/>
                <w:sz w:val="22"/>
                <w:szCs w:val="22"/>
                <w:lang w:val="es-GT" w:eastAsia="es-GT"/>
              </w:rPr>
            </w:pPr>
            <w:r w:rsidRPr="00062207">
              <w:rPr>
                <w:rFonts w:ascii="Times New Roman" w:eastAsia="Times New Roman" w:hAnsi="Times New Roman" w:cs="Times New Roman"/>
                <w:b/>
                <w:bCs/>
                <w:sz w:val="22"/>
                <w:szCs w:val="22"/>
                <w:lang w:val="es-GT" w:eastAsia="es-GT"/>
              </w:rPr>
              <w:t>46,729.1</w:t>
            </w:r>
          </w:p>
        </w:tc>
        <w:tc>
          <w:tcPr>
            <w:tcW w:w="1171" w:type="dxa"/>
            <w:tcBorders>
              <w:top w:val="single" w:sz="8" w:space="0" w:color="auto"/>
              <w:left w:val="nil"/>
              <w:bottom w:val="single" w:sz="8" w:space="0" w:color="auto"/>
              <w:right w:val="single" w:sz="4" w:space="0" w:color="auto"/>
            </w:tcBorders>
            <w:shd w:val="clear" w:color="000000" w:fill="B8CCE4"/>
            <w:noWrap/>
            <w:vAlign w:val="center"/>
            <w:hideMark/>
          </w:tcPr>
          <w:p w14:paraId="714B8181" w14:textId="77777777" w:rsidR="00A74F00" w:rsidRPr="00062207" w:rsidRDefault="00A74F00" w:rsidP="00A74F00">
            <w:pPr>
              <w:jc w:val="center"/>
              <w:rPr>
                <w:rFonts w:ascii="Times New Roman" w:eastAsia="Times New Roman" w:hAnsi="Times New Roman" w:cs="Times New Roman"/>
                <w:b/>
                <w:bCs/>
                <w:sz w:val="22"/>
                <w:szCs w:val="22"/>
                <w:lang w:val="es-GT" w:eastAsia="es-GT"/>
              </w:rPr>
            </w:pPr>
            <w:r w:rsidRPr="00062207">
              <w:rPr>
                <w:rFonts w:ascii="Times New Roman" w:eastAsia="Times New Roman" w:hAnsi="Times New Roman" w:cs="Times New Roman"/>
                <w:b/>
                <w:bCs/>
                <w:sz w:val="22"/>
                <w:szCs w:val="22"/>
                <w:lang w:val="es-GT" w:eastAsia="es-GT"/>
              </w:rPr>
              <w:t>4,699.9</w:t>
            </w:r>
          </w:p>
        </w:tc>
        <w:tc>
          <w:tcPr>
            <w:tcW w:w="1098" w:type="dxa"/>
            <w:tcBorders>
              <w:top w:val="single" w:sz="8" w:space="0" w:color="auto"/>
              <w:left w:val="nil"/>
              <w:bottom w:val="single" w:sz="8" w:space="0" w:color="auto"/>
              <w:right w:val="single" w:sz="8" w:space="0" w:color="auto"/>
            </w:tcBorders>
            <w:shd w:val="clear" w:color="000000" w:fill="B8CCE4"/>
            <w:noWrap/>
            <w:vAlign w:val="center"/>
            <w:hideMark/>
          </w:tcPr>
          <w:p w14:paraId="78B435A9" w14:textId="77777777" w:rsidR="00A74F00" w:rsidRPr="00062207" w:rsidRDefault="00A74F00" w:rsidP="00A74F00">
            <w:pPr>
              <w:jc w:val="center"/>
              <w:rPr>
                <w:rFonts w:ascii="Times New Roman" w:eastAsia="Times New Roman" w:hAnsi="Times New Roman" w:cs="Times New Roman"/>
                <w:b/>
                <w:bCs/>
                <w:sz w:val="22"/>
                <w:szCs w:val="22"/>
                <w:lang w:val="es-GT" w:eastAsia="es-GT"/>
              </w:rPr>
            </w:pPr>
            <w:r w:rsidRPr="00062207">
              <w:rPr>
                <w:rFonts w:ascii="Times New Roman" w:eastAsia="Times New Roman" w:hAnsi="Times New Roman" w:cs="Times New Roman"/>
                <w:b/>
                <w:bCs/>
                <w:sz w:val="22"/>
                <w:szCs w:val="22"/>
                <w:lang w:val="es-GT" w:eastAsia="es-GT"/>
              </w:rPr>
              <w:t>11.2%</w:t>
            </w:r>
          </w:p>
        </w:tc>
      </w:tr>
    </w:tbl>
    <w:p w14:paraId="78E6B664" w14:textId="676569C0" w:rsidR="00795274" w:rsidRPr="00062207" w:rsidRDefault="00F51181" w:rsidP="00A963D6">
      <w:pPr>
        <w:rPr>
          <w:rFonts w:ascii="Times New Roman" w:hAnsi="Times New Roman" w:cs="Times New Roman"/>
          <w:sz w:val="18"/>
        </w:rPr>
      </w:pPr>
      <w:r w:rsidRPr="00062207">
        <w:rPr>
          <w:rFonts w:ascii="Times New Roman" w:hAnsi="Times New Roman" w:cs="Times New Roman"/>
          <w:sz w:val="18"/>
        </w:rPr>
        <w:t xml:space="preserve">              </w:t>
      </w:r>
      <w:r w:rsidR="002B098A" w:rsidRPr="00062207">
        <w:rPr>
          <w:rFonts w:ascii="Times New Roman" w:hAnsi="Times New Roman" w:cs="Times New Roman"/>
          <w:sz w:val="18"/>
        </w:rPr>
        <w:t xml:space="preserve">              </w:t>
      </w:r>
      <w:r w:rsidRPr="00062207">
        <w:rPr>
          <w:rFonts w:ascii="Times New Roman" w:hAnsi="Times New Roman" w:cs="Times New Roman"/>
          <w:sz w:val="18"/>
        </w:rPr>
        <w:t>Fuente: Dirección de Análisis y Política Fiscal</w:t>
      </w:r>
    </w:p>
    <w:p w14:paraId="48382EE2" w14:textId="77777777" w:rsidR="00130716" w:rsidRPr="00062207" w:rsidRDefault="00130716" w:rsidP="00A963D6">
      <w:pPr>
        <w:rPr>
          <w:rFonts w:ascii="Times New Roman" w:hAnsi="Times New Roman" w:cs="Times New Roman"/>
        </w:rPr>
      </w:pPr>
      <w:bookmarkStart w:id="146" w:name="_Toc62724282"/>
    </w:p>
    <w:p w14:paraId="45F02518" w14:textId="7C71709E" w:rsidR="00364844" w:rsidRPr="00062207" w:rsidRDefault="00351803" w:rsidP="00A963D6">
      <w:pPr>
        <w:pStyle w:val="Ttulo2"/>
        <w:spacing w:before="0"/>
        <w:ind w:left="567" w:hanging="283"/>
        <w:rPr>
          <w:rFonts w:ascii="Times New Roman" w:hAnsi="Times New Roman" w:cs="Times New Roman"/>
          <w:color w:val="auto"/>
          <w:sz w:val="24"/>
        </w:rPr>
      </w:pPr>
      <w:bookmarkStart w:id="147" w:name="_Toc94259633"/>
      <w:r w:rsidRPr="00062207">
        <w:rPr>
          <w:rFonts w:ascii="Times New Roman" w:hAnsi="Times New Roman" w:cs="Times New Roman"/>
          <w:color w:val="auto"/>
          <w:sz w:val="24"/>
        </w:rPr>
        <w:t xml:space="preserve">2.5 </w:t>
      </w:r>
      <w:r w:rsidR="00724C04" w:rsidRPr="00062207">
        <w:rPr>
          <w:rFonts w:ascii="Times New Roman" w:hAnsi="Times New Roman" w:cs="Times New Roman"/>
          <w:color w:val="auto"/>
          <w:sz w:val="24"/>
        </w:rPr>
        <w:t>E</w:t>
      </w:r>
      <w:r w:rsidR="00EE52DF" w:rsidRPr="00062207">
        <w:rPr>
          <w:rFonts w:ascii="Times New Roman" w:hAnsi="Times New Roman" w:cs="Times New Roman"/>
          <w:color w:val="auto"/>
          <w:sz w:val="24"/>
        </w:rPr>
        <w:t>jecución institucional</w:t>
      </w:r>
      <w:bookmarkEnd w:id="146"/>
      <w:bookmarkEnd w:id="147"/>
    </w:p>
    <w:p w14:paraId="28CBF2D8" w14:textId="77777777" w:rsidR="00364844" w:rsidRPr="00062207" w:rsidRDefault="00364844" w:rsidP="00364844">
      <w:pPr>
        <w:pStyle w:val="Sinespaciado"/>
        <w:jc w:val="both"/>
        <w:rPr>
          <w:rFonts w:ascii="Times New Roman" w:hAnsi="Times New Roman" w:cs="Times New Roman"/>
          <w:lang w:val="es-MX"/>
        </w:rPr>
      </w:pPr>
    </w:p>
    <w:p w14:paraId="4D6468B7" w14:textId="5B83D30D" w:rsidR="00117846" w:rsidRPr="00062207" w:rsidRDefault="00EC0821" w:rsidP="00EC0821">
      <w:pPr>
        <w:jc w:val="both"/>
        <w:rPr>
          <w:rFonts w:ascii="Times New Roman" w:hAnsi="Times New Roman" w:cs="Times New Roman"/>
          <w:sz w:val="22"/>
        </w:rPr>
      </w:pPr>
      <w:r w:rsidRPr="00062207">
        <w:rPr>
          <w:rFonts w:ascii="Times New Roman" w:hAnsi="Times New Roman" w:cs="Times New Roman"/>
          <w:sz w:val="22"/>
        </w:rPr>
        <w:t>El grado de ejecución presupuestaria, a nivel institucional, se ubicó en Q9</w:t>
      </w:r>
      <w:r w:rsidR="00117846" w:rsidRPr="00062207">
        <w:rPr>
          <w:rFonts w:ascii="Times New Roman" w:hAnsi="Times New Roman" w:cs="Times New Roman"/>
          <w:sz w:val="22"/>
        </w:rPr>
        <w:t>3</w:t>
      </w:r>
      <w:r w:rsidRPr="00062207">
        <w:rPr>
          <w:rFonts w:ascii="Times New Roman" w:hAnsi="Times New Roman" w:cs="Times New Roman"/>
          <w:sz w:val="22"/>
        </w:rPr>
        <w:t>,</w:t>
      </w:r>
      <w:r w:rsidR="00117846" w:rsidRPr="00062207">
        <w:rPr>
          <w:rFonts w:ascii="Times New Roman" w:hAnsi="Times New Roman" w:cs="Times New Roman"/>
          <w:sz w:val="22"/>
        </w:rPr>
        <w:t>005</w:t>
      </w:r>
      <w:r w:rsidRPr="00062207">
        <w:rPr>
          <w:rFonts w:ascii="Times New Roman" w:hAnsi="Times New Roman" w:cs="Times New Roman"/>
          <w:sz w:val="22"/>
        </w:rPr>
        <w:t>.</w:t>
      </w:r>
      <w:r w:rsidR="00117846" w:rsidRPr="00062207">
        <w:rPr>
          <w:rFonts w:ascii="Times New Roman" w:hAnsi="Times New Roman" w:cs="Times New Roman"/>
          <w:sz w:val="22"/>
        </w:rPr>
        <w:t>7</w:t>
      </w:r>
      <w:r w:rsidRPr="00062207">
        <w:rPr>
          <w:rFonts w:ascii="Times New Roman" w:hAnsi="Times New Roman" w:cs="Times New Roman"/>
          <w:sz w:val="22"/>
        </w:rPr>
        <w:t xml:space="preserve"> millones, equivalente a un grado de ejecución de 8</w:t>
      </w:r>
      <w:r w:rsidR="00117846" w:rsidRPr="00062207">
        <w:rPr>
          <w:rFonts w:ascii="Times New Roman" w:hAnsi="Times New Roman" w:cs="Times New Roman"/>
          <w:sz w:val="22"/>
        </w:rPr>
        <w:t>6</w:t>
      </w:r>
      <w:r w:rsidRPr="00062207">
        <w:rPr>
          <w:rFonts w:ascii="Times New Roman" w:hAnsi="Times New Roman" w:cs="Times New Roman"/>
          <w:sz w:val="22"/>
        </w:rPr>
        <w:t>.</w:t>
      </w:r>
      <w:r w:rsidR="00117846" w:rsidRPr="00062207">
        <w:rPr>
          <w:rFonts w:ascii="Times New Roman" w:hAnsi="Times New Roman" w:cs="Times New Roman"/>
          <w:sz w:val="22"/>
        </w:rPr>
        <w:t>5</w:t>
      </w:r>
      <w:r w:rsidRPr="00062207">
        <w:rPr>
          <w:rFonts w:ascii="Times New Roman" w:hAnsi="Times New Roman" w:cs="Times New Roman"/>
          <w:sz w:val="22"/>
        </w:rPr>
        <w:t>%</w:t>
      </w:r>
      <w:r w:rsidR="00117846" w:rsidRPr="00062207">
        <w:rPr>
          <w:rFonts w:ascii="Times New Roman" w:hAnsi="Times New Roman" w:cs="Times New Roman"/>
          <w:sz w:val="22"/>
        </w:rPr>
        <w:t xml:space="preserve">, </w:t>
      </w:r>
      <w:r w:rsidR="000500ED" w:rsidRPr="00062207">
        <w:rPr>
          <w:rFonts w:ascii="Times New Roman" w:hAnsi="Times New Roman" w:cs="Times New Roman"/>
          <w:sz w:val="22"/>
        </w:rPr>
        <w:t>aunque es importante considerar que este corresponde a un presupuesto totalmente atípico e inflado virtualmente derivado de las necesidades que se tuvieron en 2020 y que no correspondían a la realidad y necesidades de 2021. Por ello, el Gobierno</w:t>
      </w:r>
      <w:r w:rsidR="00333087" w:rsidRPr="00062207">
        <w:rPr>
          <w:rFonts w:ascii="Times New Roman" w:hAnsi="Times New Roman" w:cs="Times New Roman"/>
          <w:sz w:val="22"/>
        </w:rPr>
        <w:t xml:space="preserve"> utilizó</w:t>
      </w:r>
      <w:r w:rsidR="000500ED" w:rsidRPr="00062207">
        <w:rPr>
          <w:rFonts w:ascii="Times New Roman" w:hAnsi="Times New Roman" w:cs="Times New Roman"/>
          <w:sz w:val="22"/>
        </w:rPr>
        <w:t xml:space="preserve"> en paralelo un</w:t>
      </w:r>
      <w:r w:rsidR="008E3986" w:rsidRPr="00062207">
        <w:rPr>
          <w:rFonts w:ascii="Times New Roman" w:hAnsi="Times New Roman" w:cs="Times New Roman"/>
          <w:sz w:val="22"/>
        </w:rPr>
        <w:t xml:space="preserve"> presupuesto ajustado </w:t>
      </w:r>
      <w:r w:rsidR="000500ED" w:rsidRPr="00062207">
        <w:rPr>
          <w:rFonts w:ascii="Times New Roman" w:hAnsi="Times New Roman" w:cs="Times New Roman"/>
          <w:sz w:val="22"/>
        </w:rPr>
        <w:t xml:space="preserve">para 2021 de </w:t>
      </w:r>
      <w:r w:rsidR="008E3986" w:rsidRPr="00062207">
        <w:rPr>
          <w:rFonts w:ascii="Times New Roman" w:hAnsi="Times New Roman" w:cs="Times New Roman"/>
          <w:sz w:val="22"/>
        </w:rPr>
        <w:t>Q94,354.0 millones</w:t>
      </w:r>
      <w:r w:rsidR="000500ED" w:rsidRPr="00062207">
        <w:rPr>
          <w:rFonts w:ascii="Times New Roman" w:hAnsi="Times New Roman" w:cs="Times New Roman"/>
          <w:sz w:val="22"/>
        </w:rPr>
        <w:t>,</w:t>
      </w:r>
      <w:r w:rsidR="008E3986" w:rsidRPr="00062207">
        <w:rPr>
          <w:rFonts w:ascii="Times New Roman" w:hAnsi="Times New Roman" w:cs="Times New Roman"/>
          <w:sz w:val="22"/>
        </w:rPr>
        <w:t xml:space="preserve"> el cual fue definido por la no aprobación del presupuesto y para darle certeza a las entidades respecto a</w:t>
      </w:r>
      <w:r w:rsidR="000500ED" w:rsidRPr="00062207">
        <w:rPr>
          <w:rFonts w:ascii="Times New Roman" w:hAnsi="Times New Roman" w:cs="Times New Roman"/>
          <w:sz w:val="22"/>
        </w:rPr>
        <w:t xml:space="preserve"> su</w:t>
      </w:r>
      <w:r w:rsidR="008E3986" w:rsidRPr="00062207">
        <w:rPr>
          <w:rFonts w:ascii="Times New Roman" w:hAnsi="Times New Roman" w:cs="Times New Roman"/>
          <w:sz w:val="22"/>
        </w:rPr>
        <w:t xml:space="preserve"> espacio presupuest</w:t>
      </w:r>
      <w:r w:rsidR="000500ED" w:rsidRPr="00062207">
        <w:rPr>
          <w:rFonts w:ascii="Times New Roman" w:hAnsi="Times New Roman" w:cs="Times New Roman"/>
          <w:sz w:val="22"/>
        </w:rPr>
        <w:t>ario real de ejecución, con ello el grado de ejecución se ubica en 98.6%, siendo el más alto alcanzado en más de 20 años. No obstante, es importante considerar que, en rigor técnico, legal y para los registros oficiales, el porcentaje de ejecución presupuestaria computado es el 86.5%.</w:t>
      </w:r>
    </w:p>
    <w:p w14:paraId="77F9A1A1" w14:textId="36A98F37" w:rsidR="000500ED" w:rsidRPr="00062207" w:rsidRDefault="000500ED" w:rsidP="00EC0821">
      <w:pPr>
        <w:jc w:val="both"/>
        <w:rPr>
          <w:rFonts w:ascii="Times New Roman" w:hAnsi="Times New Roman" w:cs="Times New Roman"/>
          <w:sz w:val="22"/>
        </w:rPr>
      </w:pPr>
    </w:p>
    <w:p w14:paraId="21E803EE" w14:textId="77777777" w:rsidR="00EE3A5F" w:rsidRPr="00062207" w:rsidRDefault="00EE3A5F" w:rsidP="00EC0821">
      <w:pPr>
        <w:jc w:val="both"/>
        <w:rPr>
          <w:rFonts w:ascii="Times New Roman" w:hAnsi="Times New Roman" w:cs="Times New Roman"/>
          <w:sz w:val="22"/>
        </w:rPr>
      </w:pPr>
    </w:p>
    <w:p w14:paraId="33301C3D" w14:textId="05E3CBE2" w:rsidR="00EC0821" w:rsidRPr="00062207" w:rsidRDefault="00EC0821" w:rsidP="00EC0821">
      <w:pPr>
        <w:jc w:val="both"/>
        <w:rPr>
          <w:rFonts w:ascii="Times New Roman" w:hAnsi="Times New Roman" w:cs="Times New Roman"/>
          <w:sz w:val="22"/>
        </w:rPr>
      </w:pPr>
      <w:r w:rsidRPr="00062207">
        <w:rPr>
          <w:rFonts w:ascii="Times New Roman" w:hAnsi="Times New Roman" w:cs="Times New Roman"/>
          <w:sz w:val="22"/>
        </w:rPr>
        <w:lastRenderedPageBreak/>
        <w:t>Dentro de las entidades es posible observar una alta dispersión</w:t>
      </w:r>
      <w:r w:rsidR="00D17DBA" w:rsidRPr="00062207">
        <w:rPr>
          <w:rFonts w:ascii="Times New Roman" w:hAnsi="Times New Roman" w:cs="Times New Roman"/>
          <w:sz w:val="22"/>
        </w:rPr>
        <w:t xml:space="preserve"> en el grado de ejecución presupuestaria,</w:t>
      </w:r>
      <w:r w:rsidRPr="00062207">
        <w:rPr>
          <w:rFonts w:ascii="Times New Roman" w:hAnsi="Times New Roman" w:cs="Times New Roman"/>
          <w:sz w:val="22"/>
        </w:rPr>
        <w:t xml:space="preserve"> la cual está asociada a la capacidad real de ejecución de cada institución, de las fuentes de financiamiento disponibles, de la reprogramación que pudie</w:t>
      </w:r>
      <w:r w:rsidR="00D17DBA" w:rsidRPr="00062207">
        <w:rPr>
          <w:rFonts w:ascii="Times New Roman" w:hAnsi="Times New Roman" w:cs="Times New Roman"/>
          <w:sz w:val="22"/>
        </w:rPr>
        <w:t xml:space="preserve">ran haber hecho durante el año por </w:t>
      </w:r>
      <w:r w:rsidRPr="00062207">
        <w:rPr>
          <w:rFonts w:ascii="Times New Roman" w:hAnsi="Times New Roman" w:cs="Times New Roman"/>
          <w:sz w:val="22"/>
        </w:rPr>
        <w:t>la no aprobación del proyecto de presupuesto 202</w:t>
      </w:r>
      <w:r w:rsidR="00D17DBA" w:rsidRPr="00062207">
        <w:rPr>
          <w:rFonts w:ascii="Times New Roman" w:hAnsi="Times New Roman" w:cs="Times New Roman"/>
          <w:sz w:val="22"/>
        </w:rPr>
        <w:t>1</w:t>
      </w:r>
      <w:r w:rsidRPr="00062207">
        <w:rPr>
          <w:rFonts w:ascii="Times New Roman" w:hAnsi="Times New Roman" w:cs="Times New Roman"/>
          <w:sz w:val="22"/>
        </w:rPr>
        <w:t xml:space="preserve"> y de variables exógenas como rigideces legales o institucionales. </w:t>
      </w:r>
    </w:p>
    <w:p w14:paraId="57B82CD8" w14:textId="77777777" w:rsidR="00EC0821" w:rsidRPr="00062207" w:rsidRDefault="00EC0821" w:rsidP="00EC0821">
      <w:pPr>
        <w:jc w:val="both"/>
        <w:rPr>
          <w:rFonts w:ascii="Times New Roman" w:hAnsi="Times New Roman" w:cs="Times New Roman"/>
          <w:sz w:val="22"/>
        </w:rPr>
      </w:pPr>
      <w:r w:rsidRPr="00062207">
        <w:rPr>
          <w:rFonts w:ascii="Times New Roman" w:hAnsi="Times New Roman" w:cs="Times New Roman"/>
          <w:sz w:val="22"/>
        </w:rPr>
        <w:t xml:space="preserve"> </w:t>
      </w:r>
    </w:p>
    <w:p w14:paraId="7FB8C559" w14:textId="6AABC4F2" w:rsidR="009D5007" w:rsidRPr="00062207" w:rsidRDefault="00EC0821" w:rsidP="009D5007">
      <w:pPr>
        <w:jc w:val="both"/>
        <w:rPr>
          <w:rFonts w:ascii="Times New Roman" w:hAnsi="Times New Roman" w:cs="Times New Roman"/>
          <w:sz w:val="22"/>
        </w:rPr>
      </w:pPr>
      <w:r w:rsidRPr="00062207">
        <w:rPr>
          <w:rFonts w:ascii="Times New Roman" w:hAnsi="Times New Roman" w:cs="Times New Roman"/>
          <w:sz w:val="22"/>
        </w:rPr>
        <w:t xml:space="preserve">De esa cuenta, la entidad que mostró el mayor grado de ejecución fue el Ministerio </w:t>
      </w:r>
      <w:r w:rsidR="00FC3307" w:rsidRPr="00062207">
        <w:rPr>
          <w:rFonts w:ascii="Times New Roman" w:hAnsi="Times New Roman" w:cs="Times New Roman"/>
          <w:sz w:val="22"/>
        </w:rPr>
        <w:t>Defensa Nacional</w:t>
      </w:r>
      <w:r w:rsidRPr="00062207">
        <w:rPr>
          <w:rFonts w:ascii="Times New Roman" w:hAnsi="Times New Roman" w:cs="Times New Roman"/>
          <w:sz w:val="22"/>
        </w:rPr>
        <w:t xml:space="preserve">, con </w:t>
      </w:r>
      <w:r w:rsidR="00FC3307" w:rsidRPr="00062207">
        <w:rPr>
          <w:rFonts w:ascii="Times New Roman" w:hAnsi="Times New Roman" w:cs="Times New Roman"/>
          <w:sz w:val="22"/>
        </w:rPr>
        <w:t>99</w:t>
      </w:r>
      <w:r w:rsidRPr="00062207">
        <w:rPr>
          <w:rFonts w:ascii="Times New Roman" w:hAnsi="Times New Roman" w:cs="Times New Roman"/>
          <w:sz w:val="22"/>
        </w:rPr>
        <w:t>.</w:t>
      </w:r>
      <w:r w:rsidR="00FC3307" w:rsidRPr="00062207">
        <w:rPr>
          <w:rFonts w:ascii="Times New Roman" w:hAnsi="Times New Roman" w:cs="Times New Roman"/>
          <w:sz w:val="22"/>
        </w:rPr>
        <w:t>2</w:t>
      </w:r>
      <w:r w:rsidRPr="00062207">
        <w:rPr>
          <w:rFonts w:ascii="Times New Roman" w:hAnsi="Times New Roman" w:cs="Times New Roman"/>
          <w:sz w:val="22"/>
        </w:rPr>
        <w:t xml:space="preserve">%, siendo impulsado principalmente por el programa </w:t>
      </w:r>
      <w:r w:rsidR="009D5007" w:rsidRPr="00062207">
        <w:rPr>
          <w:rFonts w:ascii="Times New Roman" w:hAnsi="Times New Roman" w:cs="Times New Roman"/>
          <w:sz w:val="22"/>
        </w:rPr>
        <w:t>11</w:t>
      </w:r>
      <w:r w:rsidRPr="00062207">
        <w:rPr>
          <w:rFonts w:ascii="Times New Roman" w:hAnsi="Times New Roman" w:cs="Times New Roman"/>
          <w:sz w:val="22"/>
        </w:rPr>
        <w:t xml:space="preserve"> “</w:t>
      </w:r>
      <w:r w:rsidR="009D5007" w:rsidRPr="00062207">
        <w:rPr>
          <w:rFonts w:ascii="Times New Roman" w:hAnsi="Times New Roman" w:cs="Times New Roman"/>
          <w:sz w:val="22"/>
        </w:rPr>
        <w:t>Defensa de la Soberanía e Integridad Territorial</w:t>
      </w:r>
      <w:r w:rsidRPr="00062207">
        <w:rPr>
          <w:rFonts w:ascii="Times New Roman" w:hAnsi="Times New Roman" w:cs="Times New Roman"/>
          <w:sz w:val="22"/>
        </w:rPr>
        <w:t xml:space="preserve">”, el cual fue ejecutado </w:t>
      </w:r>
      <w:r w:rsidR="009D5007" w:rsidRPr="00062207">
        <w:rPr>
          <w:rFonts w:ascii="Times New Roman" w:hAnsi="Times New Roman" w:cs="Times New Roman"/>
          <w:sz w:val="22"/>
        </w:rPr>
        <w:t xml:space="preserve">casi </w:t>
      </w:r>
      <w:r w:rsidRPr="00062207">
        <w:rPr>
          <w:rFonts w:ascii="Times New Roman" w:hAnsi="Times New Roman" w:cs="Times New Roman"/>
          <w:sz w:val="22"/>
        </w:rPr>
        <w:t xml:space="preserve">en su totalidad. Asimismo, el </w:t>
      </w:r>
      <w:r w:rsidR="009D5007" w:rsidRPr="00062207">
        <w:rPr>
          <w:rFonts w:ascii="Times New Roman" w:hAnsi="Times New Roman" w:cs="Times New Roman"/>
          <w:sz w:val="22"/>
        </w:rPr>
        <w:t>Servicio de la Deuda Pública</w:t>
      </w:r>
      <w:r w:rsidRPr="00062207">
        <w:rPr>
          <w:rFonts w:ascii="Times New Roman" w:hAnsi="Times New Roman" w:cs="Times New Roman"/>
          <w:sz w:val="22"/>
        </w:rPr>
        <w:t xml:space="preserve"> tuvo una alta ejecución, siendo de 9</w:t>
      </w:r>
      <w:r w:rsidR="009D5007" w:rsidRPr="00062207">
        <w:rPr>
          <w:rFonts w:ascii="Times New Roman" w:hAnsi="Times New Roman" w:cs="Times New Roman"/>
          <w:sz w:val="22"/>
        </w:rPr>
        <w:t>9</w:t>
      </w:r>
      <w:r w:rsidRPr="00062207">
        <w:rPr>
          <w:rFonts w:ascii="Times New Roman" w:hAnsi="Times New Roman" w:cs="Times New Roman"/>
          <w:sz w:val="22"/>
        </w:rPr>
        <w:t xml:space="preserve">.1%, </w:t>
      </w:r>
      <w:r w:rsidR="009D5007" w:rsidRPr="00062207">
        <w:rPr>
          <w:rFonts w:ascii="Times New Roman" w:hAnsi="Times New Roman" w:cs="Times New Roman"/>
          <w:sz w:val="22"/>
        </w:rPr>
        <w:t>siendo importante dado que es ahí donde se registra el pago de intereses, comisiones y amortizaciones de deuda pública por compromisos adquiridos con tenedores de títulos de deuda, ventajosamente no fue necesario realizar una ampliación presupuestaria y con el presupuesto inicial que se tenía asignado se pudo cubrir los compromisos de pago de 2021.</w:t>
      </w:r>
    </w:p>
    <w:p w14:paraId="1C575CD6" w14:textId="77777777" w:rsidR="009D5007" w:rsidRPr="00062207" w:rsidRDefault="009D5007" w:rsidP="00EC0821">
      <w:pPr>
        <w:jc w:val="both"/>
        <w:rPr>
          <w:rFonts w:ascii="Times New Roman" w:hAnsi="Times New Roman" w:cs="Times New Roman"/>
          <w:sz w:val="22"/>
        </w:rPr>
      </w:pPr>
    </w:p>
    <w:p w14:paraId="443E1339" w14:textId="19374440" w:rsidR="00B05B5C" w:rsidRPr="00062207" w:rsidRDefault="00B05B5C" w:rsidP="00B05B5C">
      <w:pPr>
        <w:jc w:val="both"/>
        <w:rPr>
          <w:rFonts w:ascii="Times New Roman" w:hAnsi="Times New Roman" w:cs="Times New Roman"/>
          <w:sz w:val="22"/>
        </w:rPr>
      </w:pPr>
      <w:r w:rsidRPr="00062207">
        <w:rPr>
          <w:rFonts w:ascii="Times New Roman" w:hAnsi="Times New Roman" w:cs="Times New Roman"/>
          <w:sz w:val="22"/>
        </w:rPr>
        <w:t xml:space="preserve">Otras entidades cuyo nivel de ejecución se encuentra por arriba de la ejecución total son Relaciones Exteriores (98.1%), la PGN (96.8%), Educación (96.1%), Trabajo (95.4%), Desarrollo Social (95.3%), Ambiente y Recursos Naturales (95.2%), Finanzas Públicas (95.1%), Gobernación (94.1%), Presidencia (93.2%), Energía (93.2%), Agricultura (92.2%), Secretarías (92.1%), Economía (91.1%) y Comunicaciones (90.5%). </w:t>
      </w:r>
    </w:p>
    <w:p w14:paraId="3856CACA" w14:textId="77777777" w:rsidR="009D5007" w:rsidRPr="00062207" w:rsidRDefault="009D5007" w:rsidP="00EC0821">
      <w:pPr>
        <w:jc w:val="both"/>
        <w:rPr>
          <w:rFonts w:ascii="Times New Roman" w:hAnsi="Times New Roman" w:cs="Times New Roman"/>
          <w:sz w:val="22"/>
        </w:rPr>
      </w:pPr>
    </w:p>
    <w:p w14:paraId="46C4991B" w14:textId="7176840C" w:rsidR="008D10A8" w:rsidRPr="00062207" w:rsidRDefault="00B05B5C" w:rsidP="00B05B5C">
      <w:pPr>
        <w:jc w:val="both"/>
        <w:rPr>
          <w:rFonts w:ascii="Times New Roman" w:hAnsi="Times New Roman" w:cs="Times New Roman"/>
          <w:sz w:val="22"/>
        </w:rPr>
      </w:pPr>
      <w:r w:rsidRPr="00062207">
        <w:rPr>
          <w:rFonts w:ascii="Times New Roman" w:hAnsi="Times New Roman" w:cs="Times New Roman"/>
          <w:sz w:val="22"/>
        </w:rPr>
        <w:t>En el caso del Ministerio de Educación vale la pena resaltar el programa de apoyo para el consumo adecuado de alimentos que reporta un</w:t>
      </w:r>
      <w:r w:rsidR="008D10A8" w:rsidRPr="00062207">
        <w:rPr>
          <w:rFonts w:ascii="Times New Roman" w:hAnsi="Times New Roman" w:cs="Times New Roman"/>
          <w:sz w:val="22"/>
        </w:rPr>
        <w:t xml:space="preserve"> nivel de ejecución de 99</w:t>
      </w:r>
      <w:r w:rsidRPr="00062207">
        <w:rPr>
          <w:rFonts w:ascii="Times New Roman" w:hAnsi="Times New Roman" w:cs="Times New Roman"/>
          <w:sz w:val="22"/>
        </w:rPr>
        <w:t>.</w:t>
      </w:r>
      <w:r w:rsidR="008D10A8" w:rsidRPr="00062207">
        <w:rPr>
          <w:rFonts w:ascii="Times New Roman" w:hAnsi="Times New Roman" w:cs="Times New Roman"/>
          <w:sz w:val="22"/>
        </w:rPr>
        <w:t>7</w:t>
      </w:r>
      <w:r w:rsidRPr="00062207">
        <w:rPr>
          <w:rFonts w:ascii="Times New Roman" w:hAnsi="Times New Roman" w:cs="Times New Roman"/>
          <w:sz w:val="22"/>
        </w:rPr>
        <w:t>%,</w:t>
      </w:r>
      <w:r w:rsidR="008D10A8" w:rsidRPr="00062207">
        <w:rPr>
          <w:rFonts w:ascii="Times New Roman" w:hAnsi="Times New Roman" w:cs="Times New Roman"/>
          <w:sz w:val="22"/>
        </w:rPr>
        <w:t xml:space="preserve"> esto</w:t>
      </w:r>
      <w:r w:rsidRPr="00062207">
        <w:rPr>
          <w:rFonts w:ascii="Times New Roman" w:hAnsi="Times New Roman" w:cs="Times New Roman"/>
          <w:sz w:val="22"/>
        </w:rPr>
        <w:t xml:space="preserve"> a pesar de la suspensión de clases en los centros educativos públicos,</w:t>
      </w:r>
      <w:r w:rsidR="008D10A8" w:rsidRPr="00062207">
        <w:rPr>
          <w:rFonts w:ascii="Times New Roman" w:hAnsi="Times New Roman" w:cs="Times New Roman"/>
          <w:sz w:val="22"/>
        </w:rPr>
        <w:t xml:space="preserve"> siendo relevante dado que muchos niños dependen de la alimentación escolar para su subsistencia y con el cierre de las escuelas, medida aún vigente en 2021 por la pandemia COVID-19, su nutrición podía verse comprometida. </w:t>
      </w:r>
    </w:p>
    <w:p w14:paraId="6E6216D8" w14:textId="77777777" w:rsidR="008D10A8" w:rsidRPr="00062207" w:rsidRDefault="008D10A8" w:rsidP="00B05B5C">
      <w:pPr>
        <w:jc w:val="both"/>
        <w:rPr>
          <w:rFonts w:ascii="Times New Roman" w:hAnsi="Times New Roman" w:cs="Times New Roman"/>
          <w:sz w:val="22"/>
        </w:rPr>
      </w:pPr>
    </w:p>
    <w:p w14:paraId="24B9B708" w14:textId="682DB028" w:rsidR="00F0432F" w:rsidRPr="00062207" w:rsidRDefault="00D17DBA" w:rsidP="00D17DBA">
      <w:pPr>
        <w:jc w:val="both"/>
        <w:rPr>
          <w:rFonts w:ascii="Times New Roman" w:hAnsi="Times New Roman" w:cs="Times New Roman"/>
          <w:sz w:val="22"/>
        </w:rPr>
      </w:pPr>
      <w:r w:rsidRPr="00062207">
        <w:rPr>
          <w:rFonts w:ascii="Times New Roman" w:hAnsi="Times New Roman" w:cs="Times New Roman"/>
          <w:sz w:val="22"/>
        </w:rPr>
        <w:t>En el caso del Ministerio de Economía</w:t>
      </w:r>
      <w:r w:rsidR="00F0432F" w:rsidRPr="00062207">
        <w:rPr>
          <w:rFonts w:ascii="Times New Roman" w:hAnsi="Times New Roman" w:cs="Times New Roman"/>
          <w:sz w:val="22"/>
        </w:rPr>
        <w:t xml:space="preserve"> y Ministerio de Desarrollo Social</w:t>
      </w:r>
      <w:r w:rsidRPr="00062207">
        <w:rPr>
          <w:rFonts w:ascii="Times New Roman" w:hAnsi="Times New Roman" w:cs="Times New Roman"/>
          <w:sz w:val="22"/>
        </w:rPr>
        <w:t xml:space="preserve">, </w:t>
      </w:r>
      <w:r w:rsidR="00F0432F" w:rsidRPr="00062207">
        <w:rPr>
          <w:rFonts w:ascii="Times New Roman" w:hAnsi="Times New Roman" w:cs="Times New Roman"/>
          <w:sz w:val="22"/>
        </w:rPr>
        <w:t>fueron las entidades que reportaron las mayores variaciones interanuales negativas (90.5% y 85.2%, respectivamente), derivado que en 2020 estas entidades tuvieron a su cargo los programas sociales y económicos en atención al COVID-19, mientras que en 2021 esos programas ya no se encontraban vigentes por haber cumplido los fines para los cuales fueron diseñados.</w:t>
      </w:r>
    </w:p>
    <w:p w14:paraId="70B34606" w14:textId="77777777" w:rsidR="00F0432F" w:rsidRPr="00062207" w:rsidRDefault="00F0432F" w:rsidP="00D17DBA">
      <w:pPr>
        <w:jc w:val="both"/>
        <w:rPr>
          <w:rFonts w:ascii="Times New Roman" w:hAnsi="Times New Roman" w:cs="Times New Roman"/>
          <w:sz w:val="22"/>
          <w:highlight w:val="yellow"/>
        </w:rPr>
      </w:pPr>
    </w:p>
    <w:p w14:paraId="34174AE5" w14:textId="379F7B38" w:rsidR="00EC0821" w:rsidRPr="00062207" w:rsidRDefault="00EC0821" w:rsidP="00EC0821">
      <w:pPr>
        <w:jc w:val="both"/>
        <w:rPr>
          <w:rFonts w:ascii="Times New Roman" w:hAnsi="Times New Roman" w:cs="Times New Roman"/>
          <w:sz w:val="22"/>
        </w:rPr>
      </w:pPr>
      <w:r w:rsidRPr="00062207">
        <w:rPr>
          <w:rFonts w:ascii="Times New Roman" w:hAnsi="Times New Roman" w:cs="Times New Roman"/>
          <w:sz w:val="22"/>
        </w:rPr>
        <w:t>El Ministerio de Comunicaciones fue la entidad que más cayó en términos absolutos</w:t>
      </w:r>
      <w:r w:rsidR="00C34B32" w:rsidRPr="00062207">
        <w:rPr>
          <w:rFonts w:ascii="Times New Roman" w:hAnsi="Times New Roman" w:cs="Times New Roman"/>
          <w:sz w:val="22"/>
        </w:rPr>
        <w:t xml:space="preserve"> en 2020</w:t>
      </w:r>
      <w:r w:rsidRPr="00062207">
        <w:rPr>
          <w:rFonts w:ascii="Times New Roman" w:hAnsi="Times New Roman" w:cs="Times New Roman"/>
          <w:sz w:val="22"/>
        </w:rPr>
        <w:t xml:space="preserve">, </w:t>
      </w:r>
      <w:r w:rsidR="0066445B" w:rsidRPr="00062207">
        <w:rPr>
          <w:rFonts w:ascii="Times New Roman" w:hAnsi="Times New Roman" w:cs="Times New Roman"/>
          <w:sz w:val="22"/>
        </w:rPr>
        <w:t>y la segunda que reportó el mayor aumento</w:t>
      </w:r>
      <w:r w:rsidR="00C34B32" w:rsidRPr="00062207">
        <w:rPr>
          <w:rFonts w:ascii="Times New Roman" w:hAnsi="Times New Roman" w:cs="Times New Roman"/>
          <w:sz w:val="22"/>
        </w:rPr>
        <w:t xml:space="preserve"> en 2021 con Q1,611.5 millones</w:t>
      </w:r>
      <w:r w:rsidRPr="00062207">
        <w:rPr>
          <w:rFonts w:ascii="Times New Roman" w:hAnsi="Times New Roman" w:cs="Times New Roman"/>
          <w:sz w:val="22"/>
        </w:rPr>
        <w:t>,</w:t>
      </w:r>
      <w:r w:rsidR="00C34B32" w:rsidRPr="00062207">
        <w:rPr>
          <w:rFonts w:ascii="Times New Roman" w:hAnsi="Times New Roman" w:cs="Times New Roman"/>
          <w:sz w:val="22"/>
        </w:rPr>
        <w:t xml:space="preserve"> solo por detrás del Ministerio de Salud Pública y Asistencia Social, lo</w:t>
      </w:r>
      <w:r w:rsidRPr="00062207">
        <w:rPr>
          <w:rFonts w:ascii="Times New Roman" w:hAnsi="Times New Roman" w:cs="Times New Roman"/>
          <w:sz w:val="22"/>
        </w:rPr>
        <w:t xml:space="preserve"> cual se encuentra asociado a la</w:t>
      </w:r>
      <w:r w:rsidR="00C34B32" w:rsidRPr="00062207">
        <w:rPr>
          <w:rFonts w:ascii="Times New Roman" w:hAnsi="Times New Roman" w:cs="Times New Roman"/>
          <w:sz w:val="22"/>
        </w:rPr>
        <w:t xml:space="preserve"> recuperación que tuvo la inversión real directa, aunque aún no logra recuperar el nivel de ejecución que tuvo previo a la pandemia.</w:t>
      </w:r>
    </w:p>
    <w:p w14:paraId="757B4E77" w14:textId="7C997101" w:rsidR="00341033" w:rsidRPr="00062207" w:rsidRDefault="00341033" w:rsidP="00EC0821">
      <w:pPr>
        <w:jc w:val="both"/>
        <w:rPr>
          <w:rFonts w:ascii="Times New Roman" w:hAnsi="Times New Roman" w:cs="Times New Roman"/>
          <w:sz w:val="22"/>
        </w:rPr>
      </w:pPr>
    </w:p>
    <w:p w14:paraId="259133A4" w14:textId="34CC9382" w:rsidR="000405E1" w:rsidRPr="00062207" w:rsidRDefault="000405E1" w:rsidP="00EC0821">
      <w:pPr>
        <w:jc w:val="both"/>
        <w:rPr>
          <w:rFonts w:ascii="Times New Roman" w:hAnsi="Times New Roman" w:cs="Times New Roman"/>
          <w:sz w:val="22"/>
        </w:rPr>
      </w:pPr>
    </w:p>
    <w:p w14:paraId="2743B52D" w14:textId="4F05DE4E" w:rsidR="001E7890" w:rsidRPr="00062207" w:rsidRDefault="001E7890" w:rsidP="00EC0821">
      <w:pPr>
        <w:jc w:val="both"/>
        <w:rPr>
          <w:rFonts w:ascii="Times New Roman" w:hAnsi="Times New Roman" w:cs="Times New Roman"/>
          <w:sz w:val="22"/>
        </w:rPr>
      </w:pPr>
    </w:p>
    <w:p w14:paraId="2F2E22EA" w14:textId="4C36C183" w:rsidR="001E7890" w:rsidRPr="00062207" w:rsidRDefault="001E7890" w:rsidP="00EC0821">
      <w:pPr>
        <w:jc w:val="both"/>
        <w:rPr>
          <w:rFonts w:ascii="Times New Roman" w:hAnsi="Times New Roman" w:cs="Times New Roman"/>
          <w:sz w:val="22"/>
        </w:rPr>
      </w:pPr>
    </w:p>
    <w:p w14:paraId="6BAAA444" w14:textId="6C082B6A" w:rsidR="001E7890" w:rsidRPr="00062207" w:rsidRDefault="001E7890" w:rsidP="00EC0821">
      <w:pPr>
        <w:jc w:val="both"/>
        <w:rPr>
          <w:rFonts w:ascii="Times New Roman" w:hAnsi="Times New Roman" w:cs="Times New Roman"/>
          <w:sz w:val="22"/>
        </w:rPr>
      </w:pPr>
    </w:p>
    <w:p w14:paraId="1076670A" w14:textId="5937B055" w:rsidR="001E7890" w:rsidRPr="00062207" w:rsidRDefault="001E7890" w:rsidP="00EC0821">
      <w:pPr>
        <w:jc w:val="both"/>
        <w:rPr>
          <w:rFonts w:ascii="Times New Roman" w:hAnsi="Times New Roman" w:cs="Times New Roman"/>
          <w:sz w:val="22"/>
        </w:rPr>
      </w:pPr>
    </w:p>
    <w:p w14:paraId="487493D5" w14:textId="3C9CC562" w:rsidR="001E7890" w:rsidRPr="00062207" w:rsidRDefault="001E7890" w:rsidP="00EC0821">
      <w:pPr>
        <w:jc w:val="both"/>
        <w:rPr>
          <w:rFonts w:ascii="Times New Roman" w:hAnsi="Times New Roman" w:cs="Times New Roman"/>
          <w:sz w:val="22"/>
        </w:rPr>
      </w:pPr>
    </w:p>
    <w:p w14:paraId="654D1737" w14:textId="58331AEE" w:rsidR="001E7890" w:rsidRPr="00062207" w:rsidRDefault="001E7890" w:rsidP="00EC0821">
      <w:pPr>
        <w:jc w:val="both"/>
        <w:rPr>
          <w:rFonts w:ascii="Times New Roman" w:hAnsi="Times New Roman" w:cs="Times New Roman"/>
          <w:sz w:val="22"/>
        </w:rPr>
      </w:pPr>
    </w:p>
    <w:p w14:paraId="3B9D0E34" w14:textId="60ABAC11" w:rsidR="001E7890" w:rsidRPr="00062207" w:rsidRDefault="001E7890" w:rsidP="00EC0821">
      <w:pPr>
        <w:jc w:val="both"/>
        <w:rPr>
          <w:rFonts w:ascii="Times New Roman" w:hAnsi="Times New Roman" w:cs="Times New Roman"/>
          <w:sz w:val="22"/>
        </w:rPr>
      </w:pPr>
    </w:p>
    <w:p w14:paraId="34F4E610" w14:textId="28803E14" w:rsidR="001E7890" w:rsidRPr="00062207" w:rsidRDefault="001E7890" w:rsidP="00EC0821">
      <w:pPr>
        <w:jc w:val="both"/>
        <w:rPr>
          <w:rFonts w:ascii="Times New Roman" w:hAnsi="Times New Roman" w:cs="Times New Roman"/>
          <w:sz w:val="22"/>
        </w:rPr>
      </w:pPr>
    </w:p>
    <w:p w14:paraId="5ADA6001" w14:textId="58BB6C68" w:rsidR="001E7890" w:rsidRPr="00062207" w:rsidRDefault="001E7890" w:rsidP="00EC0821">
      <w:pPr>
        <w:jc w:val="both"/>
        <w:rPr>
          <w:rFonts w:ascii="Times New Roman" w:hAnsi="Times New Roman" w:cs="Times New Roman"/>
          <w:sz w:val="22"/>
        </w:rPr>
      </w:pPr>
    </w:p>
    <w:p w14:paraId="293AB2BD" w14:textId="17C8E96A" w:rsidR="001E7890" w:rsidRPr="00062207" w:rsidRDefault="001E7890" w:rsidP="00EC0821">
      <w:pPr>
        <w:jc w:val="both"/>
        <w:rPr>
          <w:rFonts w:ascii="Times New Roman" w:hAnsi="Times New Roman" w:cs="Times New Roman"/>
          <w:sz w:val="22"/>
        </w:rPr>
      </w:pPr>
    </w:p>
    <w:p w14:paraId="11AF58A9" w14:textId="77777777" w:rsidR="001E7890" w:rsidRPr="00062207" w:rsidRDefault="001E7890" w:rsidP="00EC0821">
      <w:pPr>
        <w:jc w:val="both"/>
        <w:rPr>
          <w:rFonts w:ascii="Times New Roman" w:hAnsi="Times New Roman" w:cs="Times New Roman"/>
          <w:sz w:val="22"/>
        </w:rPr>
      </w:pPr>
    </w:p>
    <w:p w14:paraId="7C195E56" w14:textId="20B39278" w:rsidR="000405E1" w:rsidRPr="00062207" w:rsidRDefault="000405E1" w:rsidP="00EC0821">
      <w:pPr>
        <w:jc w:val="both"/>
        <w:rPr>
          <w:rFonts w:ascii="Times New Roman" w:hAnsi="Times New Roman" w:cs="Times New Roman"/>
          <w:sz w:val="22"/>
        </w:rPr>
      </w:pPr>
    </w:p>
    <w:p w14:paraId="7D799597" w14:textId="534173E3" w:rsidR="0008282D" w:rsidRPr="00062207" w:rsidRDefault="0008282D" w:rsidP="0008282D">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center"/>
        <w:rPr>
          <w:rFonts w:ascii="Times New Roman" w:hAnsi="Times New Roman" w:cs="Times New Roman"/>
          <w:b/>
          <w:sz w:val="22"/>
          <w:szCs w:val="22"/>
          <w:lang w:val="es-MX"/>
        </w:rPr>
      </w:pPr>
      <w:r w:rsidRPr="00062207">
        <w:rPr>
          <w:rFonts w:ascii="Times New Roman" w:hAnsi="Times New Roman" w:cs="Times New Roman"/>
          <w:b/>
          <w:sz w:val="22"/>
          <w:szCs w:val="22"/>
          <w:lang w:val="es-MX"/>
        </w:rPr>
        <w:lastRenderedPageBreak/>
        <w:t>Rehabilitación, Administración, Operación, Mantenimiento y Obras Complementarias de la Autopista Escuintla-Puerto Quetzal con cobro de peaje</w:t>
      </w:r>
    </w:p>
    <w:p w14:paraId="3C6CAAE8" w14:textId="77777777" w:rsidR="0008282D" w:rsidRPr="00062207" w:rsidRDefault="0008282D" w:rsidP="0008282D">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center"/>
        <w:rPr>
          <w:rFonts w:ascii="Times New Roman" w:hAnsi="Times New Roman" w:cs="Times New Roman"/>
          <w:b/>
          <w:sz w:val="22"/>
          <w:szCs w:val="22"/>
          <w:lang w:val="es-MX"/>
        </w:rPr>
      </w:pPr>
    </w:p>
    <w:p w14:paraId="2C145353" w14:textId="307363C5" w:rsidR="006D5726" w:rsidRPr="00062207" w:rsidRDefault="0008282D" w:rsidP="006D5726">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t>Por medio del Decreto 18-2021 el Congreso de la República aprobó la primera Alianza Público Privada (APP) de Guatemala siendo el contrato del proyecto denominado “Rehabilitación, Administración, Operación, Mantenimiento y Obras Complementarias de la Autopista Escuintla-Puerto Quetzal con cobro de peaje”</w:t>
      </w:r>
      <w:r w:rsidR="006D5726" w:rsidRPr="00062207">
        <w:rPr>
          <w:rFonts w:ascii="Times New Roman" w:hAnsi="Times New Roman" w:cs="Times New Roman"/>
          <w:sz w:val="22"/>
          <w:szCs w:val="22"/>
          <w:lang w:val="es-MX"/>
        </w:rPr>
        <w:t>.</w:t>
      </w:r>
    </w:p>
    <w:p w14:paraId="55C73DFA" w14:textId="745919F5" w:rsidR="006D5726" w:rsidRPr="00062207" w:rsidRDefault="006D5726" w:rsidP="006D5726">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p>
    <w:p w14:paraId="1945C0F8" w14:textId="0A9C7835" w:rsidR="006D5726" w:rsidRPr="00062207" w:rsidRDefault="006D5726" w:rsidP="006D5726">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t>Para la aprobación se tomó en consideración la mejora de la infraestructura vial en zonas que incrementan el desarrollo económico del país, haciéndose indispensable la construcción de infraestructura económica adecuada que permita satisfacer las necesidades de trasporte de personas y mercancías de forma eficiente.</w:t>
      </w:r>
    </w:p>
    <w:p w14:paraId="2FBC3444" w14:textId="0016FD5D" w:rsidR="006D5726" w:rsidRPr="00062207" w:rsidRDefault="006D5726" w:rsidP="006D5726">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p>
    <w:p w14:paraId="0D029794" w14:textId="60C1B87A" w:rsidR="006D5726" w:rsidRPr="00062207" w:rsidRDefault="006D5726" w:rsidP="006D5726">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t>El Ministerio de Comunicaciones, Infraestructura y Vivienda es la entidad contratante del Estado, y en conjunto con la Agencia Nacional de Alianzas para el Desarrollo de Infraestructura Económica (ANADIE) ejercerán las funciones de supervisión y fiscalización.</w:t>
      </w:r>
    </w:p>
    <w:p w14:paraId="02CEFF2F" w14:textId="26B0C74F" w:rsidR="006D5726" w:rsidRPr="00062207" w:rsidRDefault="006D5726" w:rsidP="006D5726">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p>
    <w:p w14:paraId="66DAEE80" w14:textId="7627067F" w:rsidR="006D5726" w:rsidRPr="00062207" w:rsidRDefault="00282A45" w:rsidP="006772B1">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t>Con el contrato aprobado se busca potenciar el desarrollo</w:t>
      </w:r>
      <w:r w:rsidR="006772B1" w:rsidRPr="00062207">
        <w:rPr>
          <w:rFonts w:ascii="Times New Roman" w:hAnsi="Times New Roman" w:cs="Times New Roman"/>
          <w:sz w:val="22"/>
          <w:szCs w:val="22"/>
          <w:lang w:val="es-MX"/>
        </w:rPr>
        <w:t xml:space="preserve"> integral de la región donde se desarrolla el proyecto, de los recursos provenientes del canon se establece una asignación parcial para financiar en el área de influencia del proyecto proyectos de infraestructura, turismo sostenible e inversión social mediante CODEDES.</w:t>
      </w:r>
    </w:p>
    <w:p w14:paraId="4C42C944" w14:textId="7242BD7B" w:rsidR="006772B1" w:rsidRPr="00062207" w:rsidRDefault="006772B1" w:rsidP="006772B1">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p>
    <w:p w14:paraId="09D208C6" w14:textId="79E61D18" w:rsidR="006772B1" w:rsidRPr="00062207" w:rsidRDefault="006772B1" w:rsidP="0064104D">
      <w:pPr>
        <w:pStyle w:val="Prrafodelista"/>
        <w:numPr>
          <w:ilvl w:val="0"/>
          <w:numId w:val="7"/>
        </w:numPr>
        <w:pBdr>
          <w:top w:val="single" w:sz="4" w:space="0" w:color="auto"/>
          <w:left w:val="single" w:sz="4" w:space="4" w:color="auto"/>
          <w:bottom w:val="single" w:sz="4" w:space="1" w:color="auto"/>
          <w:right w:val="single" w:sz="4" w:space="4" w:color="auto"/>
        </w:pBdr>
        <w:shd w:val="clear" w:color="auto" w:fill="DBE5F1" w:themeFill="accent1" w:themeFillTint="33"/>
        <w:ind w:right="332"/>
        <w:jc w:val="both"/>
        <w:rPr>
          <w:rFonts w:ascii="Times New Roman" w:hAnsi="Times New Roman" w:cs="Times New Roman"/>
          <w:lang w:val="es-MX"/>
        </w:rPr>
      </w:pPr>
      <w:r w:rsidRPr="00062207">
        <w:rPr>
          <w:rFonts w:ascii="Times New Roman" w:hAnsi="Times New Roman" w:cs="Times New Roman"/>
          <w:lang w:val="es-MX"/>
        </w:rPr>
        <w:t>Durante los primeros 8 años de la fase de explotación del proyecto:</w:t>
      </w:r>
    </w:p>
    <w:p w14:paraId="3F5EC6E0" w14:textId="7D1B749A" w:rsidR="006772B1" w:rsidRPr="00062207" w:rsidRDefault="006772B1" w:rsidP="006772B1">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t xml:space="preserve">      *80% del total percibido será distribuido en partes iguales para los Consejos Municipales      ……de Desarrollo de Escuintla, Masagua, Puerto San José, Iztapa y Taxisco. </w:t>
      </w:r>
    </w:p>
    <w:p w14:paraId="4E6F207E" w14:textId="5CBCE20A" w:rsidR="006772B1" w:rsidRPr="00062207" w:rsidRDefault="006772B1" w:rsidP="006772B1">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t xml:space="preserve">      *El 20% restante, pasará a formar parte del fondo común.  </w:t>
      </w:r>
    </w:p>
    <w:p w14:paraId="005D74EC" w14:textId="310A0925" w:rsidR="006D5726" w:rsidRPr="00062207" w:rsidRDefault="006D5726" w:rsidP="006D5726">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p>
    <w:p w14:paraId="408692A2" w14:textId="5EF57850" w:rsidR="006772B1" w:rsidRPr="00062207" w:rsidRDefault="006772B1" w:rsidP="0064104D">
      <w:pPr>
        <w:pStyle w:val="Prrafodelista"/>
        <w:numPr>
          <w:ilvl w:val="0"/>
          <w:numId w:val="7"/>
        </w:numPr>
        <w:pBdr>
          <w:top w:val="single" w:sz="4" w:space="0" w:color="auto"/>
          <w:left w:val="single" w:sz="4" w:space="4" w:color="auto"/>
          <w:bottom w:val="single" w:sz="4" w:space="1" w:color="auto"/>
          <w:right w:val="single" w:sz="4" w:space="4" w:color="auto"/>
        </w:pBdr>
        <w:shd w:val="clear" w:color="auto" w:fill="DBE5F1" w:themeFill="accent1" w:themeFillTint="33"/>
        <w:ind w:right="332"/>
        <w:jc w:val="both"/>
        <w:rPr>
          <w:rFonts w:ascii="Times New Roman" w:hAnsi="Times New Roman" w:cs="Times New Roman"/>
          <w:lang w:val="es-MX"/>
        </w:rPr>
      </w:pPr>
      <w:r w:rsidRPr="00062207">
        <w:rPr>
          <w:rFonts w:ascii="Times New Roman" w:hAnsi="Times New Roman" w:cs="Times New Roman"/>
          <w:lang w:val="es-MX"/>
        </w:rPr>
        <w:t>A partir del año 9 de la fase de explotación del proyecto y hasta que concluya el año 22 de la fase de explotación, la distribución y asignación se ajustará así:</w:t>
      </w:r>
    </w:p>
    <w:p w14:paraId="51555475" w14:textId="6940786A" w:rsidR="006772B1" w:rsidRPr="00062207" w:rsidRDefault="006772B1" w:rsidP="006772B1">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r w:rsidRPr="00062207">
        <w:rPr>
          <w:rFonts w:ascii="Times New Roman" w:hAnsi="Times New Roman" w:cs="Times New Roman"/>
          <w:lang w:val="es-MX"/>
        </w:rPr>
        <w:t xml:space="preserve">      </w:t>
      </w:r>
      <w:r w:rsidRPr="00062207">
        <w:rPr>
          <w:rFonts w:ascii="Times New Roman" w:hAnsi="Times New Roman" w:cs="Times New Roman"/>
          <w:sz w:val="22"/>
          <w:szCs w:val="22"/>
          <w:lang w:val="es-MX"/>
        </w:rPr>
        <w:t>*El 40% del total percibido será distribuido en partes iguales para los Consejos ……Municipales de Desarrollo de Escuintla, Masagua, Puerto San José, Iztapa y Taxisco.</w:t>
      </w:r>
    </w:p>
    <w:p w14:paraId="5E76495C" w14:textId="02C1BDE6" w:rsidR="006772B1" w:rsidRPr="00062207" w:rsidRDefault="006772B1" w:rsidP="006772B1">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t xml:space="preserve">       *El 20% del total percibido será distribuido entre los CODEDES del país, …….proporcionalmente al número de habitantes.</w:t>
      </w:r>
    </w:p>
    <w:p w14:paraId="6A695617" w14:textId="79DAA9B2" w:rsidR="006772B1" w:rsidRPr="00062207" w:rsidRDefault="006772B1" w:rsidP="006772B1">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t xml:space="preserve">       *El 40% del total percibido deberá pasar a formar parte del fondo común. </w:t>
      </w:r>
    </w:p>
    <w:p w14:paraId="39697F3F" w14:textId="3BBCFCFA" w:rsidR="006772B1" w:rsidRPr="00062207" w:rsidRDefault="006772B1" w:rsidP="006772B1">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p>
    <w:p w14:paraId="37363B74" w14:textId="678AB5B0" w:rsidR="006772B1" w:rsidRPr="00062207" w:rsidRDefault="006772B1" w:rsidP="006772B1">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t>Los Consejos que son beneficiarios de la asignación deben destinar los fondos al desarrollo municipal en proyectos de infraestructura, turismo sostenible e inversión social.</w:t>
      </w:r>
    </w:p>
    <w:p w14:paraId="3F509F5B" w14:textId="6C357AE7" w:rsidR="00D60D5B" w:rsidRPr="00062207" w:rsidRDefault="00D60D5B" w:rsidP="006772B1">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p>
    <w:p w14:paraId="5AB8E0E9" w14:textId="615A53B0" w:rsidR="00C76899" w:rsidRPr="00062207" w:rsidRDefault="00C76899" w:rsidP="006772B1">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t>Adicionalmente, el Ministerio de Comunicaciones, Infraestructura y Vivienda (CIV), debe de darle mantenimiento adecuado a la ruta alterna CA9-Sur</w:t>
      </w:r>
      <w:r w:rsidR="00B91D9A" w:rsidRPr="00062207">
        <w:rPr>
          <w:rFonts w:ascii="Times New Roman" w:hAnsi="Times New Roman" w:cs="Times New Roman"/>
          <w:sz w:val="22"/>
          <w:szCs w:val="22"/>
          <w:lang w:val="es-MX"/>
        </w:rPr>
        <w:t xml:space="preserve"> (Escuintla-Masagua-Puerto San José)</w:t>
      </w:r>
      <w:r w:rsidRPr="00062207">
        <w:rPr>
          <w:rFonts w:ascii="Times New Roman" w:hAnsi="Times New Roman" w:cs="Times New Roman"/>
          <w:sz w:val="22"/>
          <w:szCs w:val="22"/>
          <w:lang w:val="es-MX"/>
        </w:rPr>
        <w:t xml:space="preserve">. El Ministerio de Finanzas Públicas deberá asegurar la asignación presupuestaria para garantizar este servicio. </w:t>
      </w:r>
    </w:p>
    <w:p w14:paraId="19AB515A" w14:textId="4D4896CB" w:rsidR="00C76899" w:rsidRPr="00062207" w:rsidRDefault="00C76899" w:rsidP="006772B1">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p>
    <w:p w14:paraId="72A0910F" w14:textId="4F41AF4C" w:rsidR="00C76899" w:rsidRPr="00062207" w:rsidRDefault="00C76899" w:rsidP="006772B1">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t>Por su parte, los vehículos livianos y motos propiedad de las personas que viven en las comunidades del área de influencia del proyecto, tendrán un descuento del 75% de la tarifa específica, salvo mejor propuesta del participante privado.</w:t>
      </w:r>
    </w:p>
    <w:p w14:paraId="10612299" w14:textId="4893D698" w:rsidR="00C76899" w:rsidRPr="00062207" w:rsidRDefault="00C76899" w:rsidP="006772B1">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p>
    <w:p w14:paraId="6D571E7F" w14:textId="6889683B" w:rsidR="00C76899" w:rsidRPr="00062207" w:rsidRDefault="00F94256" w:rsidP="006772B1">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t>Entre los principales beneficios de este proyecto de Alianza Público privada se encuentra:</w:t>
      </w:r>
    </w:p>
    <w:p w14:paraId="4558E5E7" w14:textId="77777777" w:rsidR="00F94256" w:rsidRPr="00062207" w:rsidRDefault="00F94256" w:rsidP="006772B1">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t xml:space="preserve">       </w:t>
      </w:r>
    </w:p>
    <w:p w14:paraId="3D3E1959" w14:textId="277E3AEE" w:rsidR="00F94256" w:rsidRPr="00062207" w:rsidRDefault="00F94256" w:rsidP="006772B1">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t xml:space="preserve">*Contar con una ruta segura y eficiente, con estándares de calidad, mantenimiento y      servicios      </w:t>
      </w:r>
    </w:p>
    <w:p w14:paraId="032FAEE1" w14:textId="120274EB" w:rsidR="00F94256" w:rsidRPr="00062207" w:rsidRDefault="00F94256" w:rsidP="006772B1">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lastRenderedPageBreak/>
        <w:t>* El proyecto sigue siendo propiedad del Estado y en ningún momento es una privatización</w:t>
      </w:r>
    </w:p>
    <w:p w14:paraId="0F8D6955" w14:textId="450355A2" w:rsidR="00341033" w:rsidRPr="00062207" w:rsidRDefault="00F94256" w:rsidP="006772B1">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t xml:space="preserve">* El proyecto conduce a uno de los principales puertos del país y contribuirá al turismo y crecimiento económico de la zona sur del país.  </w:t>
      </w:r>
    </w:p>
    <w:p w14:paraId="5AE591C9" w14:textId="77777777" w:rsidR="00FC3307" w:rsidRPr="00062207" w:rsidRDefault="00341033" w:rsidP="006772B1">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t>*El proyecto cuenta con beneficios para las comunidades de: Escuintla, Masagua, San José e Iztapa.</w:t>
      </w:r>
    </w:p>
    <w:p w14:paraId="515F49A5" w14:textId="4896C3E2" w:rsidR="00DE3D45" w:rsidRPr="00062207" w:rsidRDefault="00DE3D45" w:rsidP="006772B1">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r w:rsidRPr="00062207">
        <w:rPr>
          <w:rFonts w:ascii="Times New Roman" w:hAnsi="Times New Roman" w:cs="Times New Roman"/>
          <w:noProof/>
          <w:sz w:val="22"/>
          <w:szCs w:val="22"/>
          <w:lang w:val="es-GT" w:eastAsia="es-GT"/>
        </w:rPr>
        <mc:AlternateContent>
          <mc:Choice Requires="wpg">
            <w:drawing>
              <wp:anchor distT="0" distB="0" distL="114300" distR="114300" simplePos="0" relativeHeight="251790336" behindDoc="0" locked="0" layoutInCell="1" allowOverlap="1" wp14:anchorId="044BB2A8" wp14:editId="2019E1F2">
                <wp:simplePos x="0" y="0"/>
                <wp:positionH relativeFrom="column">
                  <wp:posOffset>736600</wp:posOffset>
                </wp:positionH>
                <wp:positionV relativeFrom="paragraph">
                  <wp:posOffset>142240</wp:posOffset>
                </wp:positionV>
                <wp:extent cx="4191000" cy="2820951"/>
                <wp:effectExtent l="0" t="0" r="0" b="3810"/>
                <wp:wrapNone/>
                <wp:docPr id="243" name="Group 243"/>
                <wp:cNvGraphicFramePr/>
                <a:graphic xmlns:a="http://schemas.openxmlformats.org/drawingml/2006/main">
                  <a:graphicData uri="http://schemas.microsoft.com/office/word/2010/wordprocessingGroup">
                    <wpg:wgp>
                      <wpg:cNvGrpSpPr/>
                      <wpg:grpSpPr>
                        <a:xfrm>
                          <a:off x="0" y="0"/>
                          <a:ext cx="4191000" cy="2820951"/>
                          <a:chOff x="0" y="0"/>
                          <a:chExt cx="4191000" cy="2820951"/>
                        </a:xfrm>
                      </wpg:grpSpPr>
                      <wpg:grpSp>
                        <wpg:cNvPr id="240" name="Group 240"/>
                        <wpg:cNvGrpSpPr/>
                        <wpg:grpSpPr>
                          <a:xfrm>
                            <a:off x="0" y="0"/>
                            <a:ext cx="4191000" cy="2820951"/>
                            <a:chOff x="0" y="0"/>
                            <a:chExt cx="4191000" cy="2820951"/>
                          </a:xfrm>
                        </wpg:grpSpPr>
                        <pic:pic xmlns:pic="http://schemas.openxmlformats.org/drawingml/2006/picture">
                          <pic:nvPicPr>
                            <pic:cNvPr id="232" name="Picture 232"/>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3830320" cy="2477135"/>
                            </a:xfrm>
                            <a:prstGeom prst="rect">
                              <a:avLst/>
                            </a:prstGeom>
                          </pic:spPr>
                        </pic:pic>
                        <pic:pic xmlns:pic="http://schemas.openxmlformats.org/drawingml/2006/picture">
                          <pic:nvPicPr>
                            <pic:cNvPr id="234" name="Gráfico 6" descr="Barricada de construcción">
                              <a:extLst>
                                <a:ext uri="{FF2B5EF4-FFF2-40B4-BE49-F238E27FC236}">
                                  <a16:creationId xmlns:a16="http://schemas.microsoft.com/office/drawing/2014/main" id="{2025931B-63D4-4517-83E2-14098A4E0C89}"/>
                                </a:ext>
                              </a:extLst>
                            </pic:cNvPr>
                            <pic:cNvPicPr>
                              <a:picLocks noChangeAspect="1"/>
                            </pic:cNvPicPr>
                          </pic:nvPicPr>
                          <pic:blipFill>
                            <a:blip r:embed="rId35"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36"/>
                                </a:ext>
                              </a:extLst>
                            </a:blip>
                            <a:stretch>
                              <a:fillRect/>
                            </a:stretch>
                          </pic:blipFill>
                          <pic:spPr>
                            <a:xfrm>
                              <a:off x="742950" y="66675"/>
                              <a:ext cx="630555" cy="611505"/>
                            </a:xfrm>
                            <a:prstGeom prst="rect">
                              <a:avLst/>
                            </a:prstGeom>
                          </pic:spPr>
                        </pic:pic>
                        <pic:pic xmlns:pic="http://schemas.openxmlformats.org/drawingml/2006/picture">
                          <pic:nvPicPr>
                            <pic:cNvPr id="235" name="Gráfico 15" descr="Camión volteo">
                              <a:extLst>
                                <a:ext uri="{FF2B5EF4-FFF2-40B4-BE49-F238E27FC236}">
                                  <a16:creationId xmlns:a16="http://schemas.microsoft.com/office/drawing/2014/main" id="{6EC8B403-4268-417F-B496-4B80A12C9A58}"/>
                                </a:ext>
                              </a:extLst>
                            </pic:cNvPr>
                            <pic:cNvPicPr>
                              <a:picLocks noChangeAspect="1"/>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38"/>
                                </a:ext>
                              </a:extLst>
                            </a:blip>
                            <a:stretch>
                              <a:fillRect/>
                            </a:stretch>
                          </pic:blipFill>
                          <pic:spPr>
                            <a:xfrm>
                              <a:off x="219075" y="2200274"/>
                              <a:ext cx="587375" cy="620677"/>
                            </a:xfrm>
                            <a:prstGeom prst="rect">
                              <a:avLst/>
                            </a:prstGeom>
                          </pic:spPr>
                        </pic:pic>
                        <pic:pic xmlns:pic="http://schemas.openxmlformats.org/drawingml/2006/picture">
                          <pic:nvPicPr>
                            <pic:cNvPr id="236" name="Gráfico 36" descr="Conexiones">
                              <a:extLst>
                                <a:ext uri="{FF2B5EF4-FFF2-40B4-BE49-F238E27FC236}">
                                  <a16:creationId xmlns:a16="http://schemas.microsoft.com/office/drawing/2014/main" id="{026D0114-7073-4317-8416-479826530F11}"/>
                                </a:ext>
                              </a:extLst>
                            </pic:cNvPr>
                            <pic:cNvPicPr>
                              <a:picLocks noChangeAspect="1"/>
                            </pic:cNvPicPr>
                          </pic:nvPicPr>
                          <pic:blipFill>
                            <a:blip r:embed="rId39"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40"/>
                                </a:ext>
                              </a:extLst>
                            </a:blip>
                            <a:stretch>
                              <a:fillRect/>
                            </a:stretch>
                          </pic:blipFill>
                          <pic:spPr>
                            <a:xfrm>
                              <a:off x="3495675" y="1390650"/>
                              <a:ext cx="568960" cy="568960"/>
                            </a:xfrm>
                            <a:prstGeom prst="rect">
                              <a:avLst/>
                            </a:prstGeom>
                          </pic:spPr>
                        </pic:pic>
                        <pic:pic xmlns:pic="http://schemas.openxmlformats.org/drawingml/2006/picture">
                          <pic:nvPicPr>
                            <pic:cNvPr id="239" name="Gráfico 14" descr="Ciudad">
                              <a:extLst>
                                <a:ext uri="{FF2B5EF4-FFF2-40B4-BE49-F238E27FC236}">
                                  <a16:creationId xmlns:a16="http://schemas.microsoft.com/office/drawing/2014/main" id="{688866D6-F34D-44CF-8683-E2F3D9C1DB88}"/>
                                </a:ext>
                              </a:extLst>
                            </pic:cNvPr>
                            <pic:cNvPicPr>
                              <a:picLocks noChangeAspect="1"/>
                            </pic:cNvPicPr>
                          </pic:nvPicPr>
                          <pic:blipFill>
                            <a:blip r:embed="rId41"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42"/>
                                </a:ext>
                              </a:extLst>
                            </a:blip>
                            <a:stretch>
                              <a:fillRect/>
                            </a:stretch>
                          </pic:blipFill>
                          <pic:spPr>
                            <a:xfrm>
                              <a:off x="3714750" y="628650"/>
                              <a:ext cx="476250" cy="461645"/>
                            </a:xfrm>
                            <a:prstGeom prst="rect">
                              <a:avLst/>
                            </a:prstGeom>
                          </pic:spPr>
                        </pic:pic>
                      </wpg:grpSp>
                      <wps:wsp>
                        <wps:cNvPr id="241" name="Up-Down Arrow 241"/>
                        <wps:cNvSpPr/>
                        <wps:spPr>
                          <a:xfrm rot="658711">
                            <a:off x="2418080" y="971066"/>
                            <a:ext cx="162615" cy="523875"/>
                          </a:xfrm>
                          <a:prstGeom prst="up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2" name="Up-Down Arrow 242"/>
                        <wps:cNvSpPr/>
                        <wps:spPr>
                          <a:xfrm rot="658711">
                            <a:off x="2677446" y="2266658"/>
                            <a:ext cx="165985" cy="523875"/>
                          </a:xfrm>
                          <a:prstGeom prst="upDownArrow">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7344950" id="Group 243" o:spid="_x0000_s1026" style="position:absolute;margin-left:58pt;margin-top:11.2pt;width:330pt;height:222.1pt;z-index:251790336;mso-height-relative:margin" coordsize="41910,28209"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">
                <v:group id="Group 240" o:spid="_x0000_s1027" style="position:absolute;width:41910;height:28209" coordsize="41910,28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2" o:spid="_x0000_s1028" type="#_x0000_t75" style="position:absolute;width:38303;height:24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">
                    <v:imagedata r:id="rId43" o:title=""/>
                  </v:shape>
                  <v:shape id="Gráfico 6" o:spid="_x0000_s1029" type="#_x0000_t75" alt="Barricada de construcción" style="position:absolute;left:7429;top:666;width:6306;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">
                    <v:imagedata r:id="rId44" o:title="Barricada de construcción"/>
                  </v:shape>
                  <v:shape id="Gráfico 15" o:spid="_x0000_s1030" type="#_x0000_t75" alt="Camión volteo" style="position:absolute;left:2190;top:22002;width:5874;height:6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">
                    <v:imagedata r:id="rId45" o:title="Camión volteo"/>
                  </v:shape>
                  <v:shape id="Gráfico 36" o:spid="_x0000_s1031" type="#_x0000_t75" alt="Conexiones" style="position:absolute;left:34956;top:13906;width:5690;height:5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">
                    <v:imagedata r:id="rId46" o:title="Conexiones"/>
                  </v:shape>
                  <v:shape id="Gráfico 14" o:spid="_x0000_s1032" type="#_x0000_t75" alt="Ciudad" style="position:absolute;left:37147;top:6286;width:4763;height:4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">
                    <v:imagedata r:id="rId47" o:title="Ciudad"/>
                  </v:shape>
                </v:group>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Up-Down Arrow 241" o:spid="_x0000_s1033" type="#_x0000_t70" style="position:absolute;left:24180;top:9710;width:1626;height:5239;rotation:71948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" adj=",3352" fillcolor="black [3200]" strokecolor="black [1600]" strokeweight="2pt"/>
                <v:shape id="Up-Down Arrow 242" o:spid="_x0000_s1034" type="#_x0000_t70" style="position:absolute;left:26774;top:22666;width:1660;height:5239;rotation:71948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" adj=",3422" fillcolor="windowText" strokeweight="2pt"/>
              </v:group>
            </w:pict>
          </mc:Fallback>
        </mc:AlternateContent>
      </w:r>
    </w:p>
    <w:p w14:paraId="0C651A26" w14:textId="77777777" w:rsidR="00DE3D45" w:rsidRPr="00062207" w:rsidRDefault="00DE3D45" w:rsidP="006772B1">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p>
    <w:p w14:paraId="4F23A753" w14:textId="77777777" w:rsidR="00DE3D45" w:rsidRPr="00062207" w:rsidRDefault="00DE3D45" w:rsidP="006772B1">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p>
    <w:p w14:paraId="04AC578E" w14:textId="77777777" w:rsidR="00DE3D45" w:rsidRPr="00062207" w:rsidRDefault="00DE3D45" w:rsidP="006772B1">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p>
    <w:p w14:paraId="524F85B5" w14:textId="77777777" w:rsidR="00DE3D45" w:rsidRPr="00062207" w:rsidRDefault="00DE3D45" w:rsidP="006772B1">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p>
    <w:p w14:paraId="534848E2" w14:textId="77777777" w:rsidR="00DE3D45" w:rsidRPr="00062207" w:rsidRDefault="00DE3D45" w:rsidP="006772B1">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p>
    <w:p w14:paraId="53A1FC50" w14:textId="77777777" w:rsidR="00DE3D45" w:rsidRPr="00062207" w:rsidRDefault="00DE3D45" w:rsidP="006772B1">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p>
    <w:p w14:paraId="4493E2F8" w14:textId="77777777" w:rsidR="00DE3D45" w:rsidRPr="00062207" w:rsidRDefault="00DE3D45" w:rsidP="006772B1">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p>
    <w:p w14:paraId="4CDD8C65" w14:textId="77777777" w:rsidR="00DE3D45" w:rsidRPr="00062207" w:rsidRDefault="00DE3D45" w:rsidP="006772B1">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p>
    <w:p w14:paraId="30FFEB26" w14:textId="77777777" w:rsidR="00DE3D45" w:rsidRPr="00062207" w:rsidRDefault="00DE3D45" w:rsidP="006772B1">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p>
    <w:p w14:paraId="55F28FA1" w14:textId="77777777" w:rsidR="00DE3D45" w:rsidRPr="00062207" w:rsidRDefault="00DE3D45" w:rsidP="006772B1">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p>
    <w:p w14:paraId="35C17852" w14:textId="77777777" w:rsidR="00DE3D45" w:rsidRPr="00062207" w:rsidRDefault="00DE3D45" w:rsidP="006772B1">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p>
    <w:p w14:paraId="3FCF4D70" w14:textId="77777777" w:rsidR="00DE3D45" w:rsidRPr="00062207" w:rsidRDefault="00DE3D45" w:rsidP="006772B1">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p>
    <w:p w14:paraId="56011F2D" w14:textId="77777777" w:rsidR="00DE3D45" w:rsidRPr="00062207" w:rsidRDefault="00DE3D45" w:rsidP="006772B1">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p>
    <w:p w14:paraId="080A8137" w14:textId="77777777" w:rsidR="00DE3D45" w:rsidRPr="00062207" w:rsidRDefault="00DE3D45" w:rsidP="006772B1">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p>
    <w:p w14:paraId="6DFE0F19" w14:textId="77777777" w:rsidR="00DE3D45" w:rsidRPr="00062207" w:rsidRDefault="00DE3D45" w:rsidP="006772B1">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p>
    <w:p w14:paraId="3D9295DF" w14:textId="77777777" w:rsidR="00DE3D45" w:rsidRPr="00062207" w:rsidRDefault="00DE3D45" w:rsidP="006772B1">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p>
    <w:p w14:paraId="74FBA048" w14:textId="77777777" w:rsidR="00DE3D45" w:rsidRPr="00062207" w:rsidRDefault="00DE3D45" w:rsidP="006772B1">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p>
    <w:p w14:paraId="1F922030" w14:textId="77777777" w:rsidR="00FC3307" w:rsidRPr="00062207" w:rsidRDefault="00FC3307" w:rsidP="006772B1">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p>
    <w:p w14:paraId="5BE8BCE1" w14:textId="5FB0E01A" w:rsidR="00DE3D45" w:rsidRPr="00062207" w:rsidRDefault="00DE3D45" w:rsidP="006772B1">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t>*Con la implementación del proyecto el Estado recibiría aproximadamente Q1,100 millones, que podrá invertir en más obras</w:t>
      </w:r>
    </w:p>
    <w:p w14:paraId="03DD3566" w14:textId="51A18F6C" w:rsidR="006D5726" w:rsidRPr="00062207" w:rsidRDefault="00DE3D45" w:rsidP="006D5726">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t xml:space="preserve">*Contar con este proyecto aprobado abre la puerta a más Alianzas Público Privado en beneficio de los guatemaltecos en las diferentes categorías: infraestructura vial, transporte, puertos y aeropuertos, edificación pública y otros. </w:t>
      </w:r>
    </w:p>
    <w:p w14:paraId="7391A8D2" w14:textId="770820A9" w:rsidR="00DB1B67" w:rsidRPr="00062207" w:rsidRDefault="00DB1B67" w:rsidP="00EC0821">
      <w:pPr>
        <w:jc w:val="both"/>
        <w:rPr>
          <w:rFonts w:ascii="Times New Roman" w:hAnsi="Times New Roman" w:cs="Times New Roman"/>
          <w:sz w:val="22"/>
          <w:lang w:val="es-MX"/>
        </w:rPr>
      </w:pPr>
    </w:p>
    <w:p w14:paraId="1633EA08" w14:textId="2C412F4C" w:rsidR="00F0432F" w:rsidRPr="00062207" w:rsidRDefault="00F0432F" w:rsidP="009B6215">
      <w:pPr>
        <w:jc w:val="both"/>
        <w:rPr>
          <w:rFonts w:ascii="Times New Roman" w:hAnsi="Times New Roman" w:cs="Times New Roman"/>
          <w:sz w:val="22"/>
        </w:rPr>
      </w:pPr>
      <w:r w:rsidRPr="00062207">
        <w:rPr>
          <w:rFonts w:ascii="Times New Roman" w:hAnsi="Times New Roman" w:cs="Times New Roman"/>
          <w:sz w:val="22"/>
        </w:rPr>
        <w:t>Por su parte, el resto de entidades se encuentra por debajo de la ejecución institu</w:t>
      </w:r>
      <w:r w:rsidR="00DC48F9" w:rsidRPr="00062207">
        <w:rPr>
          <w:rFonts w:ascii="Times New Roman" w:hAnsi="Times New Roman" w:cs="Times New Roman"/>
          <w:sz w:val="22"/>
        </w:rPr>
        <w:t>cional total. Resalta el caso del</w:t>
      </w:r>
      <w:r w:rsidRPr="00062207">
        <w:rPr>
          <w:rFonts w:ascii="Times New Roman" w:hAnsi="Times New Roman" w:cs="Times New Roman"/>
          <w:sz w:val="22"/>
        </w:rPr>
        <w:t xml:space="preserve"> </w:t>
      </w:r>
      <w:r w:rsidR="00DC48F9" w:rsidRPr="00062207">
        <w:rPr>
          <w:rFonts w:ascii="Times New Roman" w:hAnsi="Times New Roman" w:cs="Times New Roman"/>
          <w:sz w:val="22"/>
        </w:rPr>
        <w:t>Ministerio de Salud Pública y Asistencia Social (85</w:t>
      </w:r>
      <w:r w:rsidRPr="00062207">
        <w:rPr>
          <w:rFonts w:ascii="Times New Roman" w:hAnsi="Times New Roman" w:cs="Times New Roman"/>
          <w:sz w:val="22"/>
        </w:rPr>
        <w:t>.</w:t>
      </w:r>
      <w:r w:rsidR="00DC48F9" w:rsidRPr="00062207">
        <w:rPr>
          <w:rFonts w:ascii="Times New Roman" w:hAnsi="Times New Roman" w:cs="Times New Roman"/>
          <w:sz w:val="22"/>
        </w:rPr>
        <w:t>8%) y</w:t>
      </w:r>
      <w:r w:rsidRPr="00062207">
        <w:rPr>
          <w:rFonts w:ascii="Times New Roman" w:hAnsi="Times New Roman" w:cs="Times New Roman"/>
          <w:sz w:val="22"/>
        </w:rPr>
        <w:t xml:space="preserve"> Cultura y Deportes (</w:t>
      </w:r>
      <w:r w:rsidR="00DC48F9" w:rsidRPr="00062207">
        <w:rPr>
          <w:rFonts w:ascii="Times New Roman" w:hAnsi="Times New Roman" w:cs="Times New Roman"/>
          <w:sz w:val="22"/>
        </w:rPr>
        <w:t>8</w:t>
      </w:r>
      <w:r w:rsidRPr="00062207">
        <w:rPr>
          <w:rFonts w:ascii="Times New Roman" w:hAnsi="Times New Roman" w:cs="Times New Roman"/>
          <w:sz w:val="22"/>
        </w:rPr>
        <w:t>5.</w:t>
      </w:r>
      <w:r w:rsidR="00DC48F9" w:rsidRPr="00062207">
        <w:rPr>
          <w:rFonts w:ascii="Times New Roman" w:hAnsi="Times New Roman" w:cs="Times New Roman"/>
          <w:sz w:val="22"/>
        </w:rPr>
        <w:t>5</w:t>
      </w:r>
      <w:r w:rsidRPr="00062207">
        <w:rPr>
          <w:rFonts w:ascii="Times New Roman" w:hAnsi="Times New Roman" w:cs="Times New Roman"/>
          <w:sz w:val="22"/>
        </w:rPr>
        <w:t xml:space="preserve">%). </w:t>
      </w:r>
      <w:r w:rsidR="00DC48F9" w:rsidRPr="00062207">
        <w:rPr>
          <w:rFonts w:ascii="Times New Roman" w:hAnsi="Times New Roman" w:cs="Times New Roman"/>
          <w:sz w:val="22"/>
        </w:rPr>
        <w:t xml:space="preserve">En el caso de Salud Pública tuvo una modificación en su presupuesto por Q3,422.2 millones, explicada en buena medida por el Decreto 11-2021 “Ley de Emergencia Nacional para la atención de la pandemia COVID-19” el cual fue aprobado en septiembre </w:t>
      </w:r>
      <w:r w:rsidR="009B6215" w:rsidRPr="00062207">
        <w:rPr>
          <w:rFonts w:ascii="Times New Roman" w:hAnsi="Times New Roman" w:cs="Times New Roman"/>
          <w:sz w:val="22"/>
        </w:rPr>
        <w:t>por Q1,895.3 millones, creando un mecanismo temporal para la</w:t>
      </w:r>
      <w:r w:rsidR="00DC48F9" w:rsidRPr="00062207">
        <w:rPr>
          <w:rFonts w:ascii="Times New Roman" w:hAnsi="Times New Roman" w:cs="Times New Roman"/>
          <w:sz w:val="22"/>
        </w:rPr>
        <w:t xml:space="preserve"> adquisición </w:t>
      </w:r>
      <w:r w:rsidR="009B6215" w:rsidRPr="00062207">
        <w:rPr>
          <w:rFonts w:ascii="Times New Roman" w:hAnsi="Times New Roman" w:cs="Times New Roman"/>
          <w:sz w:val="22"/>
        </w:rPr>
        <w:t>extraordinaria de medicamentos,</w:t>
      </w:r>
      <w:r w:rsidR="00DC48F9" w:rsidRPr="00062207">
        <w:rPr>
          <w:rFonts w:ascii="Times New Roman" w:hAnsi="Times New Roman" w:cs="Times New Roman"/>
          <w:sz w:val="22"/>
        </w:rPr>
        <w:t xml:space="preserve"> suministros</w:t>
      </w:r>
      <w:r w:rsidR="009B6215" w:rsidRPr="00062207">
        <w:rPr>
          <w:rFonts w:ascii="Times New Roman" w:hAnsi="Times New Roman" w:cs="Times New Roman"/>
          <w:sz w:val="22"/>
        </w:rPr>
        <w:t xml:space="preserve"> y</w:t>
      </w:r>
      <w:r w:rsidR="00DC48F9" w:rsidRPr="00062207">
        <w:rPr>
          <w:rFonts w:ascii="Times New Roman" w:hAnsi="Times New Roman" w:cs="Times New Roman"/>
          <w:sz w:val="22"/>
        </w:rPr>
        <w:t xml:space="preserve"> servicios destina</w:t>
      </w:r>
      <w:r w:rsidR="009B6215" w:rsidRPr="00062207">
        <w:rPr>
          <w:rFonts w:ascii="Times New Roman" w:hAnsi="Times New Roman" w:cs="Times New Roman"/>
          <w:sz w:val="22"/>
        </w:rPr>
        <w:t>dos a la atención de pacientes, de este decreto únicamente se logró una ejecución 55.5%</w:t>
      </w:r>
      <w:r w:rsidR="005D1707" w:rsidRPr="00062207">
        <w:rPr>
          <w:rFonts w:ascii="Times New Roman" w:hAnsi="Times New Roman" w:cs="Times New Roman"/>
          <w:sz w:val="22"/>
        </w:rPr>
        <w:t>, empezando la ejecución de recursos hasta el mes de noviembre</w:t>
      </w:r>
      <w:r w:rsidR="009B6215" w:rsidRPr="00062207">
        <w:rPr>
          <w:rFonts w:ascii="Times New Roman" w:hAnsi="Times New Roman" w:cs="Times New Roman"/>
          <w:sz w:val="22"/>
        </w:rPr>
        <w:t xml:space="preserve">. </w:t>
      </w:r>
    </w:p>
    <w:p w14:paraId="67F80B78" w14:textId="242EC816" w:rsidR="00F0432F" w:rsidRPr="00062207" w:rsidRDefault="00F0432F" w:rsidP="00EC0821">
      <w:pPr>
        <w:jc w:val="both"/>
        <w:rPr>
          <w:rFonts w:ascii="Times New Roman" w:hAnsi="Times New Roman" w:cs="Times New Roman"/>
          <w:sz w:val="22"/>
        </w:rPr>
      </w:pPr>
    </w:p>
    <w:p w14:paraId="0B6CFCE3" w14:textId="6D036036" w:rsidR="009B6215" w:rsidRPr="00062207" w:rsidRDefault="009B6215" w:rsidP="009B6215">
      <w:pPr>
        <w:pStyle w:val="Sinespaciado"/>
        <w:jc w:val="both"/>
        <w:rPr>
          <w:rFonts w:ascii="Times New Roman" w:hAnsi="Times New Roman" w:cs="Times New Roman"/>
        </w:rPr>
      </w:pPr>
      <w:r w:rsidRPr="00062207">
        <w:rPr>
          <w:rFonts w:ascii="Times New Roman" w:hAnsi="Times New Roman" w:cs="Times New Roman"/>
          <w:lang w:val="es-ES_tradnl"/>
        </w:rPr>
        <w:t>Por su parte, de</w:t>
      </w:r>
      <w:r w:rsidRPr="00062207">
        <w:rPr>
          <w:rFonts w:ascii="Times New Roman" w:hAnsi="Times New Roman" w:cs="Times New Roman"/>
        </w:rPr>
        <w:t xml:space="preserve"> las Obligaciones del Estado la baja ejecución se debe a las asignaciones inmovilizadas, es decir, el pres</w:t>
      </w:r>
      <w:r w:rsidR="003350FB" w:rsidRPr="00062207">
        <w:rPr>
          <w:rFonts w:ascii="Times New Roman" w:hAnsi="Times New Roman" w:cs="Times New Roman"/>
        </w:rPr>
        <w:t>upuesto de esta entidad se infló</w:t>
      </w:r>
      <w:r w:rsidRPr="00062207">
        <w:rPr>
          <w:rFonts w:ascii="Times New Roman" w:hAnsi="Times New Roman" w:cs="Times New Roman"/>
        </w:rPr>
        <w:t xml:space="preserve"> virtualmente y su grado de ejecución disminuyó hasta ubicarse en 73.7%, siendo la entidad que reporta el menor nivel de ejecución del 2021. </w:t>
      </w:r>
    </w:p>
    <w:p w14:paraId="31BEC178" w14:textId="5C05CFA2" w:rsidR="009B6215" w:rsidRPr="00062207" w:rsidRDefault="009B6215" w:rsidP="00EC0821">
      <w:pPr>
        <w:jc w:val="both"/>
        <w:rPr>
          <w:rFonts w:ascii="Times New Roman" w:hAnsi="Times New Roman" w:cs="Times New Roman"/>
          <w:sz w:val="22"/>
          <w:lang w:val="es-GT"/>
        </w:rPr>
      </w:pPr>
    </w:p>
    <w:p w14:paraId="2CE48DD9" w14:textId="2AAEE477" w:rsidR="002B098A" w:rsidRPr="00062207" w:rsidRDefault="00A631D0" w:rsidP="00EC0821">
      <w:pPr>
        <w:jc w:val="both"/>
        <w:rPr>
          <w:rFonts w:ascii="Times New Roman" w:hAnsi="Times New Roman" w:cs="Times New Roman"/>
          <w:sz w:val="22"/>
          <w:lang w:val="es-MX"/>
        </w:rPr>
      </w:pPr>
      <w:r w:rsidRPr="00062207">
        <w:rPr>
          <w:rFonts w:ascii="Times New Roman" w:hAnsi="Times New Roman" w:cs="Times New Roman"/>
          <w:sz w:val="22"/>
          <w:lang w:val="es-MX"/>
        </w:rPr>
        <w:t>Derivado que en el Acuerdo Gubernativo de Presupuesto 03-2021 establece que el presupuesto vigente de 2021 de Q107,521.4 millones incluye asignaciones presupuestarias que no cuentan con respaldo financiero, en virtud que cumplieron los fines establecidos en la normativa legal correspondiente, varias entidades del Ejecutivo propusieron débitos y créditos como parte del reordenamiento del Presupuesto de Egresos del Estado, siendo necesario inmovilizar las mismas tras</w:t>
      </w:r>
      <w:r w:rsidR="00BC58B4" w:rsidRPr="00062207">
        <w:rPr>
          <w:rFonts w:ascii="Times New Roman" w:hAnsi="Times New Roman" w:cs="Times New Roman"/>
          <w:sz w:val="22"/>
          <w:lang w:val="es-MX"/>
        </w:rPr>
        <w:t>ladando el espacio presupuestario a las Obligaciones del Estado a cargo del Tesoro, asimismo, se incluye</w:t>
      </w:r>
      <w:r w:rsidR="00342995" w:rsidRPr="00062207">
        <w:rPr>
          <w:rFonts w:ascii="Times New Roman" w:hAnsi="Times New Roman" w:cs="Times New Roman"/>
          <w:sz w:val="22"/>
          <w:lang w:val="es-MX"/>
        </w:rPr>
        <w:t>ron</w:t>
      </w:r>
      <w:r w:rsidR="00BC58B4" w:rsidRPr="00062207">
        <w:rPr>
          <w:rFonts w:ascii="Times New Roman" w:hAnsi="Times New Roman" w:cs="Times New Roman"/>
          <w:sz w:val="22"/>
          <w:lang w:val="es-MX"/>
        </w:rPr>
        <w:t xml:space="preserve"> créditos para algunas entidades en el marco de la Política General de Gobierno; así como asignaciones en previsión en las Obligaciones del Estado a cargo del Tesoro.</w:t>
      </w:r>
    </w:p>
    <w:p w14:paraId="45368EDA" w14:textId="64C2CDE4" w:rsidR="00EC0821" w:rsidRPr="00062207" w:rsidRDefault="00DB1B67" w:rsidP="00EC0821">
      <w:pPr>
        <w:pStyle w:val="Sinespaciado"/>
        <w:jc w:val="center"/>
        <w:rPr>
          <w:rFonts w:ascii="Times New Roman" w:hAnsi="Times New Roman" w:cs="Times New Roman"/>
          <w:b/>
          <w:sz w:val="28"/>
        </w:rPr>
      </w:pPr>
      <w:r w:rsidRPr="00062207">
        <w:rPr>
          <w:rFonts w:ascii="Times New Roman" w:hAnsi="Times New Roman" w:cs="Times New Roman"/>
          <w:b/>
          <w:sz w:val="24"/>
        </w:rPr>
        <w:lastRenderedPageBreak/>
        <w:t>Ejecución Institucional 2021</w:t>
      </w:r>
    </w:p>
    <w:p w14:paraId="591317E3" w14:textId="206181F1" w:rsidR="00EC0821" w:rsidRPr="00062207" w:rsidRDefault="00A616BC" w:rsidP="00EC0821">
      <w:pPr>
        <w:pStyle w:val="Sinespaciado"/>
        <w:jc w:val="center"/>
        <w:rPr>
          <w:rFonts w:ascii="Times New Roman" w:hAnsi="Times New Roman" w:cs="Times New Roman"/>
          <w:sz w:val="20"/>
        </w:rPr>
      </w:pPr>
      <w:r w:rsidRPr="00062207">
        <w:rPr>
          <w:rFonts w:ascii="Times New Roman" w:hAnsi="Times New Roman" w:cs="Times New Roman"/>
          <w:b/>
          <w:noProof/>
          <w:sz w:val="36"/>
          <w:szCs w:val="36"/>
          <w:lang w:eastAsia="es-GT"/>
        </w:rPr>
        <w:drawing>
          <wp:anchor distT="0" distB="0" distL="114300" distR="114300" simplePos="0" relativeHeight="251676672" behindDoc="0" locked="0" layoutInCell="1" allowOverlap="1" wp14:anchorId="6A60AC1D" wp14:editId="77E95326">
            <wp:simplePos x="0" y="0"/>
            <wp:positionH relativeFrom="column">
              <wp:posOffset>23495</wp:posOffset>
            </wp:positionH>
            <wp:positionV relativeFrom="paragraph">
              <wp:posOffset>168910</wp:posOffset>
            </wp:positionV>
            <wp:extent cx="5924550" cy="4162425"/>
            <wp:effectExtent l="0" t="0" r="0" b="0"/>
            <wp:wrapSquare wrapText="bothSides"/>
            <wp:docPr id="49"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page">
              <wp14:pctWidth>0</wp14:pctWidth>
            </wp14:sizeRelH>
            <wp14:sizeRelV relativeFrom="page">
              <wp14:pctHeight>0</wp14:pctHeight>
            </wp14:sizeRelV>
          </wp:anchor>
        </w:drawing>
      </w:r>
      <w:r w:rsidR="00EC0821" w:rsidRPr="00062207">
        <w:rPr>
          <w:rFonts w:ascii="Times New Roman" w:hAnsi="Times New Roman" w:cs="Times New Roman"/>
          <w:sz w:val="20"/>
        </w:rPr>
        <w:t>Millones de quetzales y Porcentajes de Ejecución</w:t>
      </w:r>
    </w:p>
    <w:p w14:paraId="4C883F5F" w14:textId="77777777" w:rsidR="00EC0821" w:rsidRPr="00062207" w:rsidRDefault="00EC0821" w:rsidP="00EC0821">
      <w:pPr>
        <w:rPr>
          <w:rFonts w:ascii="Times New Roman" w:hAnsi="Times New Roman" w:cs="Times New Roman"/>
          <w:sz w:val="18"/>
        </w:rPr>
      </w:pPr>
      <w:r w:rsidRPr="00062207">
        <w:rPr>
          <w:rFonts w:ascii="Times New Roman" w:hAnsi="Times New Roman" w:cs="Times New Roman"/>
          <w:sz w:val="18"/>
        </w:rPr>
        <w:t xml:space="preserve">          Fuente: Dirección de Análisis y Política Fiscal</w:t>
      </w:r>
    </w:p>
    <w:p w14:paraId="21F40C89" w14:textId="2C31BF47" w:rsidR="00EC0821" w:rsidRPr="00062207" w:rsidRDefault="00EC0821" w:rsidP="00EC0821">
      <w:pPr>
        <w:pStyle w:val="Sinespaciado"/>
        <w:jc w:val="both"/>
        <w:rPr>
          <w:rFonts w:ascii="Times New Roman" w:hAnsi="Times New Roman" w:cs="Times New Roman"/>
          <w:sz w:val="20"/>
        </w:rPr>
      </w:pPr>
    </w:p>
    <w:p w14:paraId="601001EC" w14:textId="4FD91980" w:rsidR="00342995" w:rsidRPr="00062207" w:rsidRDefault="00EC0821" w:rsidP="00342995">
      <w:pPr>
        <w:jc w:val="both"/>
        <w:rPr>
          <w:rFonts w:ascii="Times New Roman" w:hAnsi="Times New Roman" w:cs="Times New Roman"/>
          <w:sz w:val="22"/>
        </w:rPr>
      </w:pPr>
      <w:r w:rsidRPr="00062207">
        <w:rPr>
          <w:rFonts w:ascii="Times New Roman" w:hAnsi="Times New Roman" w:cs="Times New Roman"/>
          <w:sz w:val="22"/>
        </w:rPr>
        <w:t>Al finalizar 202</w:t>
      </w:r>
      <w:r w:rsidR="00342995" w:rsidRPr="00062207">
        <w:rPr>
          <w:rFonts w:ascii="Times New Roman" w:hAnsi="Times New Roman" w:cs="Times New Roman"/>
          <w:sz w:val="22"/>
        </w:rPr>
        <w:t>1</w:t>
      </w:r>
      <w:r w:rsidRPr="00062207">
        <w:rPr>
          <w:rFonts w:ascii="Times New Roman" w:hAnsi="Times New Roman" w:cs="Times New Roman"/>
          <w:sz w:val="22"/>
        </w:rPr>
        <w:t>, el grado de ejecución institucional es inferior a la obtenida en 20</w:t>
      </w:r>
      <w:r w:rsidR="00342995" w:rsidRPr="00062207">
        <w:rPr>
          <w:rFonts w:ascii="Times New Roman" w:hAnsi="Times New Roman" w:cs="Times New Roman"/>
          <w:sz w:val="22"/>
        </w:rPr>
        <w:t>20</w:t>
      </w:r>
      <w:r w:rsidRPr="00062207">
        <w:rPr>
          <w:rFonts w:ascii="Times New Roman" w:hAnsi="Times New Roman" w:cs="Times New Roman"/>
          <w:sz w:val="22"/>
        </w:rPr>
        <w:t xml:space="preserve"> (8</w:t>
      </w:r>
      <w:r w:rsidR="00342995" w:rsidRPr="00062207">
        <w:rPr>
          <w:rFonts w:ascii="Times New Roman" w:hAnsi="Times New Roman" w:cs="Times New Roman"/>
          <w:sz w:val="22"/>
        </w:rPr>
        <w:t xml:space="preserve">9.7%) y la variación </w:t>
      </w:r>
      <w:r w:rsidRPr="00062207">
        <w:rPr>
          <w:rFonts w:ascii="Times New Roman" w:hAnsi="Times New Roman" w:cs="Times New Roman"/>
          <w:sz w:val="22"/>
        </w:rPr>
        <w:t>interanual del gasto total</w:t>
      </w:r>
      <w:r w:rsidR="00342995" w:rsidRPr="00062207">
        <w:rPr>
          <w:rFonts w:ascii="Times New Roman" w:hAnsi="Times New Roman" w:cs="Times New Roman"/>
          <w:sz w:val="22"/>
        </w:rPr>
        <w:t xml:space="preserve"> es negativa en 3</w:t>
      </w:r>
      <w:r w:rsidRPr="00062207">
        <w:rPr>
          <w:rFonts w:ascii="Times New Roman" w:hAnsi="Times New Roman" w:cs="Times New Roman"/>
          <w:sz w:val="22"/>
        </w:rPr>
        <w:t>.</w:t>
      </w:r>
      <w:r w:rsidR="00342995" w:rsidRPr="00062207">
        <w:rPr>
          <w:rFonts w:ascii="Times New Roman" w:hAnsi="Times New Roman" w:cs="Times New Roman"/>
          <w:sz w:val="22"/>
        </w:rPr>
        <w:t>7% (equivalente a Q3</w:t>
      </w:r>
      <w:r w:rsidRPr="00062207">
        <w:rPr>
          <w:rFonts w:ascii="Times New Roman" w:hAnsi="Times New Roman" w:cs="Times New Roman"/>
          <w:sz w:val="22"/>
        </w:rPr>
        <w:t>,</w:t>
      </w:r>
      <w:r w:rsidR="00342995" w:rsidRPr="00062207">
        <w:rPr>
          <w:rFonts w:ascii="Times New Roman" w:hAnsi="Times New Roman" w:cs="Times New Roman"/>
          <w:sz w:val="22"/>
        </w:rPr>
        <w:t xml:space="preserve">619.7 millones), </w:t>
      </w:r>
      <w:r w:rsidR="00AD6137" w:rsidRPr="00062207">
        <w:rPr>
          <w:rFonts w:ascii="Times New Roman" w:hAnsi="Times New Roman" w:cs="Times New Roman"/>
          <w:sz w:val="22"/>
        </w:rPr>
        <w:t>d</w:t>
      </w:r>
      <w:r w:rsidR="00342995" w:rsidRPr="00062207">
        <w:rPr>
          <w:rFonts w:ascii="Times New Roman" w:hAnsi="Times New Roman" w:cs="Times New Roman"/>
          <w:sz w:val="22"/>
        </w:rPr>
        <w:t>esde p</w:t>
      </w:r>
      <w:r w:rsidR="00AD6137" w:rsidRPr="00062207">
        <w:rPr>
          <w:rFonts w:ascii="Times New Roman" w:hAnsi="Times New Roman" w:cs="Times New Roman"/>
          <w:sz w:val="22"/>
        </w:rPr>
        <w:t>rincipio de año se conocía cua</w:t>
      </w:r>
      <w:r w:rsidR="00342995" w:rsidRPr="00062207">
        <w:rPr>
          <w:rFonts w:ascii="Times New Roman" w:hAnsi="Times New Roman" w:cs="Times New Roman"/>
          <w:sz w:val="22"/>
        </w:rPr>
        <w:t>l</w:t>
      </w:r>
      <w:r w:rsidR="00AD6137" w:rsidRPr="00062207">
        <w:rPr>
          <w:rFonts w:ascii="Times New Roman" w:hAnsi="Times New Roman" w:cs="Times New Roman"/>
          <w:sz w:val="22"/>
        </w:rPr>
        <w:t xml:space="preserve"> sería el</w:t>
      </w:r>
      <w:r w:rsidR="00342995" w:rsidRPr="00062207">
        <w:rPr>
          <w:rFonts w:ascii="Times New Roman" w:hAnsi="Times New Roman" w:cs="Times New Roman"/>
          <w:sz w:val="22"/>
        </w:rPr>
        <w:t xml:space="preserve"> comportamiento del gasto público </w:t>
      </w:r>
      <w:r w:rsidR="00AD6137" w:rsidRPr="00062207">
        <w:rPr>
          <w:rFonts w:ascii="Times New Roman" w:hAnsi="Times New Roman" w:cs="Times New Roman"/>
          <w:sz w:val="22"/>
        </w:rPr>
        <w:t>derivado que el</w:t>
      </w:r>
      <w:r w:rsidR="00342995" w:rsidRPr="00062207">
        <w:rPr>
          <w:rFonts w:ascii="Times New Roman" w:hAnsi="Times New Roman" w:cs="Times New Roman"/>
          <w:sz w:val="22"/>
        </w:rPr>
        <w:t xml:space="preserve"> presupuesto operativo</w:t>
      </w:r>
      <w:r w:rsidR="00AD6137" w:rsidRPr="00062207">
        <w:rPr>
          <w:rFonts w:ascii="Times New Roman" w:hAnsi="Times New Roman" w:cs="Times New Roman"/>
          <w:sz w:val="22"/>
        </w:rPr>
        <w:t xml:space="preserve"> fijado en </w:t>
      </w:r>
      <w:r w:rsidR="00342995" w:rsidRPr="00062207">
        <w:rPr>
          <w:rFonts w:ascii="Times New Roman" w:hAnsi="Times New Roman" w:cs="Times New Roman"/>
          <w:sz w:val="22"/>
        </w:rPr>
        <w:t>Q94,354.0 millones</w:t>
      </w:r>
      <w:r w:rsidR="00AD6137" w:rsidRPr="00062207">
        <w:rPr>
          <w:rFonts w:ascii="Times New Roman" w:hAnsi="Times New Roman" w:cs="Times New Roman"/>
          <w:sz w:val="22"/>
        </w:rPr>
        <w:t xml:space="preserve"> fue me</w:t>
      </w:r>
      <w:r w:rsidR="005D1707" w:rsidRPr="00062207">
        <w:rPr>
          <w:rFonts w:ascii="Times New Roman" w:hAnsi="Times New Roman" w:cs="Times New Roman"/>
          <w:sz w:val="22"/>
        </w:rPr>
        <w:t>nor que el cierre observado en 2</w:t>
      </w:r>
      <w:r w:rsidR="00AD6137" w:rsidRPr="00062207">
        <w:rPr>
          <w:rFonts w:ascii="Times New Roman" w:hAnsi="Times New Roman" w:cs="Times New Roman"/>
          <w:sz w:val="22"/>
        </w:rPr>
        <w:t xml:space="preserve">020 de </w:t>
      </w:r>
      <w:r w:rsidR="00342995" w:rsidRPr="00062207">
        <w:rPr>
          <w:rFonts w:ascii="Times New Roman" w:hAnsi="Times New Roman" w:cs="Times New Roman"/>
          <w:sz w:val="22"/>
        </w:rPr>
        <w:t>Q96,625.4 millones.</w:t>
      </w:r>
      <w:r w:rsidR="00AD6137" w:rsidRPr="00062207">
        <w:rPr>
          <w:rFonts w:ascii="Times New Roman" w:hAnsi="Times New Roman" w:cs="Times New Roman"/>
          <w:sz w:val="22"/>
        </w:rPr>
        <w:t xml:space="preserve"> Adicionalmente, mientras que en </w:t>
      </w:r>
      <w:r w:rsidR="00342995" w:rsidRPr="00062207">
        <w:rPr>
          <w:rFonts w:ascii="Times New Roman" w:hAnsi="Times New Roman" w:cs="Times New Roman"/>
          <w:sz w:val="22"/>
        </w:rPr>
        <w:t>2020 la dinámica del gasto</w:t>
      </w:r>
      <w:r w:rsidR="00AD6137" w:rsidRPr="00062207">
        <w:rPr>
          <w:rFonts w:ascii="Times New Roman" w:hAnsi="Times New Roman" w:cs="Times New Roman"/>
          <w:sz w:val="22"/>
        </w:rPr>
        <w:t xml:space="preserve"> estuvo fuertemente </w:t>
      </w:r>
      <w:r w:rsidR="00342995" w:rsidRPr="00062207">
        <w:rPr>
          <w:rFonts w:ascii="Times New Roman" w:hAnsi="Times New Roman" w:cs="Times New Roman"/>
          <w:sz w:val="22"/>
        </w:rPr>
        <w:t>influencia</w:t>
      </w:r>
      <w:r w:rsidR="00AD6137" w:rsidRPr="00062207">
        <w:rPr>
          <w:rFonts w:ascii="Times New Roman" w:hAnsi="Times New Roman" w:cs="Times New Roman"/>
          <w:sz w:val="22"/>
        </w:rPr>
        <w:t>da</w:t>
      </w:r>
      <w:r w:rsidR="00342995" w:rsidRPr="00062207">
        <w:rPr>
          <w:rFonts w:ascii="Times New Roman" w:hAnsi="Times New Roman" w:cs="Times New Roman"/>
          <w:sz w:val="22"/>
        </w:rPr>
        <w:t xml:space="preserve"> por la crisis sanitaria y económica del COVID-19, en 2021 el gasto público destinado </w:t>
      </w:r>
      <w:r w:rsidR="00AD6137" w:rsidRPr="00062207">
        <w:rPr>
          <w:rFonts w:ascii="Times New Roman" w:hAnsi="Times New Roman" w:cs="Times New Roman"/>
          <w:sz w:val="22"/>
        </w:rPr>
        <w:t>a la atención del COVID-19 fue</w:t>
      </w:r>
      <w:r w:rsidR="00342995" w:rsidRPr="00062207">
        <w:rPr>
          <w:rFonts w:ascii="Times New Roman" w:hAnsi="Times New Roman" w:cs="Times New Roman"/>
          <w:sz w:val="22"/>
        </w:rPr>
        <w:t xml:space="preserve"> menor, enfocado en </w:t>
      </w:r>
      <w:r w:rsidR="00AD6137" w:rsidRPr="00062207">
        <w:rPr>
          <w:rFonts w:ascii="Times New Roman" w:hAnsi="Times New Roman" w:cs="Times New Roman"/>
          <w:sz w:val="22"/>
        </w:rPr>
        <w:t>la adquisición de la vacuna</w:t>
      </w:r>
      <w:r w:rsidR="00342995" w:rsidRPr="00062207">
        <w:rPr>
          <w:rFonts w:ascii="Times New Roman" w:hAnsi="Times New Roman" w:cs="Times New Roman"/>
          <w:sz w:val="22"/>
        </w:rPr>
        <w:t>, kits de medicamentos y atención a hospitales y centros temporales de atención al COVID-19.</w:t>
      </w:r>
    </w:p>
    <w:p w14:paraId="19D89482" w14:textId="0949524E" w:rsidR="00EE3A5F" w:rsidRPr="00062207" w:rsidRDefault="00EE3A5F" w:rsidP="00EC0821">
      <w:pPr>
        <w:jc w:val="both"/>
        <w:rPr>
          <w:rFonts w:ascii="Times New Roman" w:hAnsi="Times New Roman" w:cs="Times New Roman"/>
          <w:sz w:val="22"/>
        </w:rPr>
      </w:pPr>
    </w:p>
    <w:p w14:paraId="3D54C3EC" w14:textId="3B415EC9" w:rsidR="00DC07DD" w:rsidRPr="00062207" w:rsidRDefault="001142E4" w:rsidP="00DC07DD">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center"/>
        <w:rPr>
          <w:rFonts w:ascii="Times New Roman" w:hAnsi="Times New Roman" w:cs="Times New Roman"/>
          <w:b/>
          <w:sz w:val="22"/>
          <w:szCs w:val="22"/>
          <w:lang w:val="es-MX"/>
        </w:rPr>
      </w:pPr>
      <w:r w:rsidRPr="00062207">
        <w:rPr>
          <w:rFonts w:ascii="Times New Roman" w:hAnsi="Times New Roman" w:cs="Times New Roman"/>
          <w:b/>
          <w:sz w:val="22"/>
          <w:szCs w:val="22"/>
          <w:lang w:val="es-MX"/>
        </w:rPr>
        <w:t>Ley de Apoyo Temporal a los Consumidores de Gas Propano</w:t>
      </w:r>
    </w:p>
    <w:p w14:paraId="55DE2633" w14:textId="77777777" w:rsidR="001142E4" w:rsidRPr="00062207" w:rsidRDefault="001142E4" w:rsidP="00DC07DD">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center"/>
        <w:rPr>
          <w:rFonts w:ascii="Times New Roman" w:hAnsi="Times New Roman" w:cs="Times New Roman"/>
          <w:b/>
          <w:sz w:val="22"/>
          <w:szCs w:val="22"/>
          <w:lang w:val="es-MX"/>
        </w:rPr>
      </w:pPr>
    </w:p>
    <w:p w14:paraId="227F04D8" w14:textId="57632A2C" w:rsidR="00DC07DD" w:rsidRPr="00062207" w:rsidRDefault="001142E4" w:rsidP="001142E4">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t xml:space="preserve">Durante el 2021 se observó un constante aumento de los precios del gas licuado de petróleo (GLP), conocido como gas propano, como resultado de la volatilidad de los precios en el mercado internacional, lo que afecta la economía de los hogares guatemaltecos, principalmente en aquellos sectores más vulnerables. </w:t>
      </w:r>
    </w:p>
    <w:p w14:paraId="64A3DC59" w14:textId="77777777" w:rsidR="001142E4" w:rsidRPr="00062207" w:rsidRDefault="001142E4" w:rsidP="001142E4">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p>
    <w:p w14:paraId="5538D8F5" w14:textId="30E09B20" w:rsidR="001142E4" w:rsidRPr="00062207" w:rsidRDefault="001142E4" w:rsidP="001142E4">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t>Por ello, el Congreso de la R</w:t>
      </w:r>
      <w:r w:rsidR="006C0BD1" w:rsidRPr="00062207">
        <w:rPr>
          <w:rFonts w:ascii="Times New Roman" w:hAnsi="Times New Roman" w:cs="Times New Roman"/>
          <w:sz w:val="22"/>
          <w:szCs w:val="22"/>
          <w:lang w:val="es-MX"/>
        </w:rPr>
        <w:t xml:space="preserve">epública aprobó el </w:t>
      </w:r>
      <w:r w:rsidR="006C0BD1" w:rsidRPr="00062207">
        <w:rPr>
          <w:rFonts w:ascii="Times New Roman" w:hAnsi="Times New Roman" w:cs="Times New Roman"/>
          <w:b/>
          <w:sz w:val="22"/>
          <w:szCs w:val="22"/>
          <w:lang w:val="es-MX"/>
        </w:rPr>
        <w:t>D</w:t>
      </w:r>
      <w:r w:rsidRPr="00062207">
        <w:rPr>
          <w:rFonts w:ascii="Times New Roman" w:hAnsi="Times New Roman" w:cs="Times New Roman"/>
          <w:b/>
          <w:sz w:val="22"/>
          <w:szCs w:val="22"/>
          <w:lang w:val="es-MX"/>
        </w:rPr>
        <w:t>ecreto 15-2021 “Ley de Apoyo Temporal a los Consumidores de Gas Propano”</w:t>
      </w:r>
      <w:r w:rsidRPr="00062207">
        <w:rPr>
          <w:rFonts w:ascii="Times New Roman" w:hAnsi="Times New Roman" w:cs="Times New Roman"/>
          <w:sz w:val="22"/>
          <w:szCs w:val="22"/>
          <w:lang w:val="es-MX"/>
        </w:rPr>
        <w:t xml:space="preserve"> teniendo como objeto establecer un apoyo social temporal a los consumidores de gas propano envasado en cilindros que tienen presentaciones y capacidad de 10, 20, 25 y 35 libras, con el objetivo de beneficiar a la población que consume dicho producto.</w:t>
      </w:r>
    </w:p>
    <w:p w14:paraId="6F37AC6D" w14:textId="2FCF94A9" w:rsidR="001142E4" w:rsidRPr="00062207" w:rsidRDefault="001142E4" w:rsidP="001142E4">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p>
    <w:p w14:paraId="4F261234" w14:textId="201D433E" w:rsidR="00DC07DD" w:rsidRPr="00062207" w:rsidRDefault="001142E4" w:rsidP="001142E4">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lastRenderedPageBreak/>
        <w:t xml:space="preserve">El Ministerio de Energía y Minas es el ente encargado de otorgar el apoyo social temporal para lo cual se estableció que el apoyo será otorgado durante tres meses, </w:t>
      </w:r>
      <w:r w:rsidR="006C0BD1" w:rsidRPr="00062207">
        <w:rPr>
          <w:rFonts w:ascii="Times New Roman" w:hAnsi="Times New Roman" w:cs="Times New Roman"/>
          <w:sz w:val="22"/>
          <w:szCs w:val="22"/>
          <w:lang w:val="es-MX"/>
        </w:rPr>
        <w:t>a</w:t>
      </w:r>
      <w:r w:rsidRPr="00062207">
        <w:rPr>
          <w:rFonts w:ascii="Times New Roman" w:hAnsi="Times New Roman" w:cs="Times New Roman"/>
          <w:sz w:val="22"/>
          <w:szCs w:val="22"/>
          <w:lang w:val="es-MX"/>
        </w:rPr>
        <w:t xml:space="preserve"> partir del 01 </w:t>
      </w:r>
      <w:r w:rsidR="00DC07DD" w:rsidRPr="00062207">
        <w:rPr>
          <w:rFonts w:ascii="Times New Roman" w:hAnsi="Times New Roman" w:cs="Times New Roman"/>
          <w:sz w:val="22"/>
          <w:szCs w:val="22"/>
          <w:lang w:val="es-MX"/>
        </w:rPr>
        <w:t>de diciembre del 2021 cobró vigencia el subsidio</w:t>
      </w:r>
      <w:r w:rsidRPr="00062207">
        <w:rPr>
          <w:rFonts w:ascii="Times New Roman" w:hAnsi="Times New Roman" w:cs="Times New Roman"/>
          <w:sz w:val="22"/>
          <w:szCs w:val="22"/>
          <w:lang w:val="es-MX"/>
        </w:rPr>
        <w:t>. El monto de dicho apoyo se estableció como se detalla:</w:t>
      </w:r>
    </w:p>
    <w:p w14:paraId="127AF1CB" w14:textId="00EDD2A0" w:rsidR="006465E1" w:rsidRPr="00062207" w:rsidRDefault="006465E1" w:rsidP="001142E4">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p>
    <w:p w14:paraId="1547B77E" w14:textId="3C6F9D27" w:rsidR="006465E1" w:rsidRPr="00062207" w:rsidRDefault="006914EB" w:rsidP="006465E1">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center"/>
        <w:rPr>
          <w:rFonts w:ascii="Times New Roman" w:hAnsi="Times New Roman" w:cs="Times New Roman"/>
          <w:sz w:val="22"/>
          <w:szCs w:val="22"/>
          <w:lang w:val="es-MX"/>
        </w:rPr>
      </w:pPr>
      <w:r w:rsidRPr="00062207">
        <w:rPr>
          <w:noProof/>
          <w:lang w:val="es-GT" w:eastAsia="es-GT"/>
        </w:rPr>
        <w:drawing>
          <wp:inline distT="0" distB="0" distL="0" distR="0" wp14:anchorId="20ECB278" wp14:editId="7170D5CE">
            <wp:extent cx="923290" cy="92329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gas.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923290" cy="923290"/>
                    </a:xfrm>
                    <a:prstGeom prst="rect">
                      <a:avLst/>
                    </a:prstGeom>
                  </pic:spPr>
                </pic:pic>
              </a:graphicData>
            </a:graphic>
          </wp:inline>
        </w:drawing>
      </w:r>
      <w:r w:rsidR="006465E1" w:rsidRPr="00062207">
        <w:rPr>
          <w:noProof/>
          <w:lang w:val="es-GT" w:eastAsia="es-GT"/>
        </w:rPr>
        <w:drawing>
          <wp:inline distT="0" distB="0" distL="0" distR="0" wp14:anchorId="1DB49E1D" wp14:editId="10C72F8F">
            <wp:extent cx="1647190" cy="98069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647190" cy="980697"/>
                    </a:xfrm>
                    <a:prstGeom prst="rect">
                      <a:avLst/>
                    </a:prstGeom>
                  </pic:spPr>
                </pic:pic>
              </a:graphicData>
            </a:graphic>
          </wp:inline>
        </w:drawing>
      </w:r>
    </w:p>
    <w:p w14:paraId="636B53C9" w14:textId="72FDF938" w:rsidR="006465E1" w:rsidRPr="00062207" w:rsidRDefault="006465E1" w:rsidP="001142E4">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p>
    <w:p w14:paraId="144EDA60" w14:textId="3C97446C" w:rsidR="006465E1" w:rsidRPr="00062207" w:rsidRDefault="006465E1" w:rsidP="001142E4">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t xml:space="preserve">La disminución del monto correspondiente al subsidio en el precio final de venta aparece reflejada en la factura electrónica que emitan los envasadores de gas licuado de petróleo </w:t>
      </w:r>
      <w:r w:rsidR="006C0BD1" w:rsidRPr="00062207">
        <w:rPr>
          <w:rFonts w:ascii="Times New Roman" w:hAnsi="Times New Roman" w:cs="Times New Roman"/>
          <w:sz w:val="22"/>
          <w:szCs w:val="22"/>
          <w:lang w:val="es-MX"/>
        </w:rPr>
        <w:t>(GLP) en cilindros, a su vez e</w:t>
      </w:r>
      <w:r w:rsidR="006B0BA8" w:rsidRPr="00062207">
        <w:rPr>
          <w:rFonts w:ascii="Times New Roman" w:hAnsi="Times New Roman" w:cs="Times New Roman"/>
          <w:sz w:val="22"/>
          <w:szCs w:val="22"/>
          <w:lang w:val="es-MX"/>
        </w:rPr>
        <w:t xml:space="preserve">l expendedor debe reflejar dicho monto en el precio de venta al consumidor, así como en la factura que corresponda. </w:t>
      </w:r>
    </w:p>
    <w:p w14:paraId="064EBE2F" w14:textId="51591689" w:rsidR="006465E1" w:rsidRPr="00062207" w:rsidRDefault="006465E1" w:rsidP="001142E4">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p>
    <w:p w14:paraId="1CD6D3C4" w14:textId="4505B962" w:rsidR="001142E4" w:rsidRPr="00062207" w:rsidRDefault="006B0BA8" w:rsidP="006F2314">
      <w:pPr>
        <w:pBdr>
          <w:top w:val="single" w:sz="4" w:space="0" w:color="auto"/>
          <w:left w:val="single" w:sz="4" w:space="4" w:color="auto"/>
          <w:bottom w:val="single" w:sz="4" w:space="1" w:color="auto"/>
          <w:right w:val="single" w:sz="4" w:space="4" w:color="auto"/>
        </w:pBdr>
        <w:shd w:val="clear" w:color="auto" w:fill="DBE5F1" w:themeFill="accent1" w:themeFillTint="33"/>
        <w:tabs>
          <w:tab w:val="left" w:pos="3495"/>
        </w:tabs>
        <w:ind w:left="284" w:right="332"/>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t xml:space="preserve">Para el efecto, el Ministerio de Energía y Minas y la Superintendencia de Administración Tributaria (SAT) podrán realizar cruces de información para la verificación del monto de subsidio que corresponde. Por su parte, el Ministerio de Economía, también podrá </w:t>
      </w:r>
      <w:r w:rsidR="006C0BD1" w:rsidRPr="00062207">
        <w:rPr>
          <w:rFonts w:ascii="Times New Roman" w:hAnsi="Times New Roman" w:cs="Times New Roman"/>
          <w:sz w:val="22"/>
          <w:szCs w:val="22"/>
          <w:lang w:val="es-MX"/>
        </w:rPr>
        <w:t>verifica</w:t>
      </w:r>
      <w:r w:rsidRPr="00062207">
        <w:rPr>
          <w:rFonts w:ascii="Times New Roman" w:hAnsi="Times New Roman" w:cs="Times New Roman"/>
          <w:sz w:val="22"/>
          <w:szCs w:val="22"/>
          <w:lang w:val="es-MX"/>
        </w:rPr>
        <w:t>r, en el ámbito de su competencia, la adecuada implementación del apoyo social temporal.</w:t>
      </w:r>
    </w:p>
    <w:p w14:paraId="20C04B97" w14:textId="576A8F7E" w:rsidR="001142E4" w:rsidRPr="00062207" w:rsidRDefault="001142E4" w:rsidP="001142E4">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p>
    <w:p w14:paraId="2E0FC71E" w14:textId="08BF568D" w:rsidR="006F2314" w:rsidRPr="00062207" w:rsidRDefault="006F2314" w:rsidP="001142E4">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t xml:space="preserve">El Ministerio de Finanzas quedó facultado para realizar las readecuaciones con los saldos de caja existentes del ejercicio fiscal 2021 y ajustes presupuestarios necesarios para el financiamiento del subsidio hasta por un monto de </w:t>
      </w:r>
      <w:r w:rsidRPr="00062207">
        <w:rPr>
          <w:rFonts w:ascii="Times New Roman" w:hAnsi="Times New Roman" w:cs="Times New Roman"/>
          <w:b/>
          <w:sz w:val="22"/>
          <w:szCs w:val="22"/>
          <w:lang w:val="es-MX"/>
        </w:rPr>
        <w:t>Q150.0 millones</w:t>
      </w:r>
      <w:r w:rsidRPr="00062207">
        <w:rPr>
          <w:rFonts w:ascii="Times New Roman" w:hAnsi="Times New Roman" w:cs="Times New Roman"/>
          <w:sz w:val="22"/>
          <w:szCs w:val="22"/>
          <w:lang w:val="es-MX"/>
        </w:rPr>
        <w:t xml:space="preserve">. </w:t>
      </w:r>
    </w:p>
    <w:p w14:paraId="584E9F43" w14:textId="39E856D6" w:rsidR="006F2314" w:rsidRPr="00062207" w:rsidRDefault="006F2314" w:rsidP="001142E4">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p>
    <w:p w14:paraId="21582D8E" w14:textId="2F3DB147" w:rsidR="006F2314" w:rsidRPr="00062207" w:rsidRDefault="006914EB" w:rsidP="001142E4">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t xml:space="preserve">Al cierre de 2021, la actividad de apoyo temporal a los consumidores de gas propano tuvo una ejecución de Q19 millones, lo cual corresponde a la primera quincena de diciembre, es decir se subsidiaron alrededor de 23.8 millones de libras de gas propano. </w:t>
      </w:r>
    </w:p>
    <w:p w14:paraId="6CC6C47C" w14:textId="3E4176C0" w:rsidR="00195B95" w:rsidRPr="00062207" w:rsidRDefault="00195B95" w:rsidP="001142E4">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2"/>
          <w:szCs w:val="22"/>
          <w:lang w:val="es-MX"/>
        </w:rPr>
      </w:pPr>
    </w:p>
    <w:p w14:paraId="5CD8F10C" w14:textId="78ED8095" w:rsidR="00EE3A5F" w:rsidRPr="00062207" w:rsidRDefault="00195B95" w:rsidP="00EE3A5F">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eastAsiaTheme="minorHAnsi" w:hAnsi="Times New Roman" w:cs="Times New Roman"/>
          <w:sz w:val="22"/>
          <w:szCs w:val="22"/>
          <w:lang w:val="es-MX" w:eastAsia="en-US"/>
        </w:rPr>
      </w:pPr>
      <w:r w:rsidRPr="00062207">
        <w:rPr>
          <w:rFonts w:ascii="Times New Roman" w:hAnsi="Times New Roman" w:cs="Times New Roman"/>
          <w:sz w:val="22"/>
          <w:szCs w:val="22"/>
          <w:lang w:val="es-MX"/>
        </w:rPr>
        <w:t xml:space="preserve">Derivado que el Decreto 16-2021 “Ley del Presupuesto General de Ingresos y Egresos del Estado para el Ejercicio Fiscal 2022” no incluye el apoyo temporal a los consumidores, será necesario realizar </w:t>
      </w:r>
      <w:r w:rsidR="006C0BD1" w:rsidRPr="00062207">
        <w:rPr>
          <w:rFonts w:ascii="Times New Roman" w:hAnsi="Times New Roman" w:cs="Times New Roman"/>
          <w:sz w:val="22"/>
          <w:szCs w:val="22"/>
          <w:lang w:val="es-MX"/>
        </w:rPr>
        <w:t xml:space="preserve">una </w:t>
      </w:r>
      <w:r w:rsidRPr="00062207">
        <w:rPr>
          <w:rFonts w:ascii="Times New Roman" w:hAnsi="Times New Roman" w:cs="Times New Roman"/>
          <w:sz w:val="22"/>
          <w:szCs w:val="22"/>
          <w:lang w:val="es-MX"/>
        </w:rPr>
        <w:t>ampliación presupuestaria o readecuaciones para cumplir con el subsidio en los meses de enero y febrero de 2022.</w:t>
      </w:r>
    </w:p>
    <w:p w14:paraId="300AAA8D" w14:textId="77777777" w:rsidR="00EC0821" w:rsidRPr="00062207" w:rsidRDefault="00EC0821" w:rsidP="00EC0821">
      <w:pPr>
        <w:jc w:val="both"/>
        <w:rPr>
          <w:rFonts w:ascii="Times New Roman" w:hAnsi="Times New Roman" w:cs="Times New Roman"/>
          <w:sz w:val="22"/>
          <w:lang w:val="es-MX"/>
        </w:rPr>
      </w:pPr>
    </w:p>
    <w:p w14:paraId="243D9E45" w14:textId="22F382C6" w:rsidR="00364844" w:rsidRPr="00062207" w:rsidRDefault="00351803" w:rsidP="00A963D6">
      <w:pPr>
        <w:pStyle w:val="Ttulo2"/>
        <w:spacing w:before="0"/>
        <w:ind w:left="567" w:hanging="283"/>
        <w:jc w:val="both"/>
        <w:rPr>
          <w:rFonts w:ascii="Times New Roman" w:hAnsi="Times New Roman" w:cs="Times New Roman"/>
          <w:color w:val="auto"/>
          <w:sz w:val="24"/>
        </w:rPr>
      </w:pPr>
      <w:bookmarkStart w:id="148" w:name="_Toc62724283"/>
      <w:bookmarkStart w:id="149" w:name="_Toc94259634"/>
      <w:r w:rsidRPr="00062207">
        <w:rPr>
          <w:rFonts w:ascii="Times New Roman" w:hAnsi="Times New Roman" w:cs="Times New Roman"/>
          <w:color w:val="auto"/>
          <w:sz w:val="24"/>
        </w:rPr>
        <w:t xml:space="preserve">2.6 </w:t>
      </w:r>
      <w:r w:rsidR="00556E54" w:rsidRPr="00062207">
        <w:rPr>
          <w:rFonts w:ascii="Times New Roman" w:hAnsi="Times New Roman" w:cs="Times New Roman"/>
          <w:color w:val="auto"/>
          <w:sz w:val="24"/>
        </w:rPr>
        <w:t xml:space="preserve">Seguimiento </w:t>
      </w:r>
      <w:r w:rsidR="009E5EEE" w:rsidRPr="00062207">
        <w:rPr>
          <w:rFonts w:ascii="Times New Roman" w:hAnsi="Times New Roman" w:cs="Times New Roman"/>
          <w:color w:val="auto"/>
          <w:sz w:val="24"/>
        </w:rPr>
        <w:t xml:space="preserve">del gasto </w:t>
      </w:r>
      <w:r w:rsidR="001E1A93" w:rsidRPr="00062207">
        <w:rPr>
          <w:rFonts w:ascii="Times New Roman" w:hAnsi="Times New Roman" w:cs="Times New Roman"/>
          <w:color w:val="auto"/>
          <w:sz w:val="24"/>
        </w:rPr>
        <w:t xml:space="preserve">asociado al </w:t>
      </w:r>
      <w:r w:rsidR="00556E54" w:rsidRPr="00062207">
        <w:rPr>
          <w:rFonts w:ascii="Times New Roman" w:hAnsi="Times New Roman" w:cs="Times New Roman"/>
          <w:color w:val="auto"/>
          <w:sz w:val="24"/>
        </w:rPr>
        <w:t>COVID-19 e intervenciones realizadas para la atención de daños provocados por la depresión tropical ETA</w:t>
      </w:r>
      <w:bookmarkEnd w:id="148"/>
      <w:bookmarkEnd w:id="149"/>
    </w:p>
    <w:p w14:paraId="6AED75A3" w14:textId="77777777" w:rsidR="00364844" w:rsidRPr="00062207" w:rsidRDefault="00364844" w:rsidP="00364844">
      <w:pPr>
        <w:rPr>
          <w:sz w:val="20"/>
        </w:rPr>
      </w:pPr>
    </w:p>
    <w:p w14:paraId="32C6CD60" w14:textId="77777777" w:rsidR="00556E54" w:rsidRPr="00062207" w:rsidRDefault="00556E54" w:rsidP="0064104D">
      <w:pPr>
        <w:pStyle w:val="Prrafodelista"/>
        <w:numPr>
          <w:ilvl w:val="0"/>
          <w:numId w:val="3"/>
        </w:numPr>
        <w:jc w:val="both"/>
        <w:outlineLvl w:val="2"/>
        <w:rPr>
          <w:vanish/>
        </w:rPr>
      </w:pPr>
      <w:bookmarkStart w:id="150" w:name="_Toc62724063"/>
      <w:bookmarkStart w:id="151" w:name="_Toc62724126"/>
      <w:bookmarkStart w:id="152" w:name="_Toc62724210"/>
      <w:bookmarkStart w:id="153" w:name="_Toc62724284"/>
      <w:bookmarkStart w:id="154" w:name="_Toc94250349"/>
      <w:bookmarkStart w:id="155" w:name="_Toc94250417"/>
      <w:bookmarkStart w:id="156" w:name="_Toc94251057"/>
      <w:bookmarkStart w:id="157" w:name="_Toc94257719"/>
      <w:bookmarkStart w:id="158" w:name="_Toc94259635"/>
      <w:bookmarkEnd w:id="150"/>
      <w:bookmarkEnd w:id="151"/>
      <w:bookmarkEnd w:id="152"/>
      <w:bookmarkEnd w:id="153"/>
      <w:bookmarkEnd w:id="154"/>
      <w:bookmarkEnd w:id="155"/>
      <w:bookmarkEnd w:id="156"/>
      <w:bookmarkEnd w:id="157"/>
      <w:bookmarkEnd w:id="158"/>
    </w:p>
    <w:p w14:paraId="0FC1A9BB" w14:textId="77777777" w:rsidR="00556E54" w:rsidRPr="00062207" w:rsidRDefault="00556E54" w:rsidP="0064104D">
      <w:pPr>
        <w:pStyle w:val="Prrafodelista"/>
        <w:numPr>
          <w:ilvl w:val="1"/>
          <w:numId w:val="3"/>
        </w:numPr>
        <w:jc w:val="both"/>
        <w:outlineLvl w:val="2"/>
        <w:rPr>
          <w:vanish/>
        </w:rPr>
      </w:pPr>
      <w:bookmarkStart w:id="159" w:name="_Toc62724064"/>
      <w:bookmarkStart w:id="160" w:name="_Toc62724127"/>
      <w:bookmarkStart w:id="161" w:name="_Toc62724211"/>
      <w:bookmarkStart w:id="162" w:name="_Toc62724285"/>
      <w:bookmarkStart w:id="163" w:name="_Toc94250350"/>
      <w:bookmarkStart w:id="164" w:name="_Toc94250418"/>
      <w:bookmarkStart w:id="165" w:name="_Toc94251058"/>
      <w:bookmarkStart w:id="166" w:name="_Toc94257720"/>
      <w:bookmarkStart w:id="167" w:name="_Toc94259636"/>
      <w:bookmarkEnd w:id="159"/>
      <w:bookmarkEnd w:id="160"/>
      <w:bookmarkEnd w:id="161"/>
      <w:bookmarkEnd w:id="162"/>
      <w:bookmarkEnd w:id="163"/>
      <w:bookmarkEnd w:id="164"/>
      <w:bookmarkEnd w:id="165"/>
      <w:bookmarkEnd w:id="166"/>
      <w:bookmarkEnd w:id="167"/>
    </w:p>
    <w:p w14:paraId="139913D9" w14:textId="77777777" w:rsidR="00556E54" w:rsidRPr="00062207" w:rsidRDefault="00556E54" w:rsidP="0064104D">
      <w:pPr>
        <w:pStyle w:val="Prrafodelista"/>
        <w:numPr>
          <w:ilvl w:val="1"/>
          <w:numId w:val="3"/>
        </w:numPr>
        <w:jc w:val="both"/>
        <w:outlineLvl w:val="2"/>
        <w:rPr>
          <w:vanish/>
        </w:rPr>
      </w:pPr>
      <w:bookmarkStart w:id="168" w:name="_Toc62724065"/>
      <w:bookmarkStart w:id="169" w:name="_Toc62724128"/>
      <w:bookmarkStart w:id="170" w:name="_Toc62724212"/>
      <w:bookmarkStart w:id="171" w:name="_Toc62724286"/>
      <w:bookmarkStart w:id="172" w:name="_Toc94250351"/>
      <w:bookmarkStart w:id="173" w:name="_Toc94250419"/>
      <w:bookmarkStart w:id="174" w:name="_Toc94251059"/>
      <w:bookmarkStart w:id="175" w:name="_Toc94257721"/>
      <w:bookmarkStart w:id="176" w:name="_Toc94259637"/>
      <w:bookmarkEnd w:id="168"/>
      <w:bookmarkEnd w:id="169"/>
      <w:bookmarkEnd w:id="170"/>
      <w:bookmarkEnd w:id="171"/>
      <w:bookmarkEnd w:id="172"/>
      <w:bookmarkEnd w:id="173"/>
      <w:bookmarkEnd w:id="174"/>
      <w:bookmarkEnd w:id="175"/>
      <w:bookmarkEnd w:id="176"/>
    </w:p>
    <w:p w14:paraId="729B260C" w14:textId="77777777" w:rsidR="00556E54" w:rsidRPr="00062207" w:rsidRDefault="00556E54" w:rsidP="0064104D">
      <w:pPr>
        <w:pStyle w:val="Prrafodelista"/>
        <w:numPr>
          <w:ilvl w:val="1"/>
          <w:numId w:val="3"/>
        </w:numPr>
        <w:jc w:val="both"/>
        <w:outlineLvl w:val="2"/>
        <w:rPr>
          <w:vanish/>
        </w:rPr>
      </w:pPr>
      <w:bookmarkStart w:id="177" w:name="_Toc62724066"/>
      <w:bookmarkStart w:id="178" w:name="_Toc62724129"/>
      <w:bookmarkStart w:id="179" w:name="_Toc62724213"/>
      <w:bookmarkStart w:id="180" w:name="_Toc62724287"/>
      <w:bookmarkStart w:id="181" w:name="_Toc94250352"/>
      <w:bookmarkStart w:id="182" w:name="_Toc94250420"/>
      <w:bookmarkStart w:id="183" w:name="_Toc94251060"/>
      <w:bookmarkStart w:id="184" w:name="_Toc94257722"/>
      <w:bookmarkStart w:id="185" w:name="_Toc94259638"/>
      <w:bookmarkEnd w:id="177"/>
      <w:bookmarkEnd w:id="178"/>
      <w:bookmarkEnd w:id="179"/>
      <w:bookmarkEnd w:id="180"/>
      <w:bookmarkEnd w:id="181"/>
      <w:bookmarkEnd w:id="182"/>
      <w:bookmarkEnd w:id="183"/>
      <w:bookmarkEnd w:id="184"/>
      <w:bookmarkEnd w:id="185"/>
    </w:p>
    <w:p w14:paraId="450F9FBB" w14:textId="77777777" w:rsidR="00556E54" w:rsidRPr="00062207" w:rsidRDefault="00556E54" w:rsidP="0064104D">
      <w:pPr>
        <w:pStyle w:val="Prrafodelista"/>
        <w:numPr>
          <w:ilvl w:val="1"/>
          <w:numId w:val="3"/>
        </w:numPr>
        <w:jc w:val="both"/>
        <w:outlineLvl w:val="2"/>
        <w:rPr>
          <w:vanish/>
        </w:rPr>
      </w:pPr>
      <w:bookmarkStart w:id="186" w:name="_Toc62724067"/>
      <w:bookmarkStart w:id="187" w:name="_Toc62724130"/>
      <w:bookmarkStart w:id="188" w:name="_Toc62724214"/>
      <w:bookmarkStart w:id="189" w:name="_Toc62724288"/>
      <w:bookmarkStart w:id="190" w:name="_Toc94250353"/>
      <w:bookmarkStart w:id="191" w:name="_Toc94250421"/>
      <w:bookmarkStart w:id="192" w:name="_Toc94251061"/>
      <w:bookmarkStart w:id="193" w:name="_Toc94257723"/>
      <w:bookmarkStart w:id="194" w:name="_Toc94259639"/>
      <w:bookmarkEnd w:id="186"/>
      <w:bookmarkEnd w:id="187"/>
      <w:bookmarkEnd w:id="188"/>
      <w:bookmarkEnd w:id="189"/>
      <w:bookmarkEnd w:id="190"/>
      <w:bookmarkEnd w:id="191"/>
      <w:bookmarkEnd w:id="192"/>
      <w:bookmarkEnd w:id="193"/>
      <w:bookmarkEnd w:id="194"/>
    </w:p>
    <w:p w14:paraId="036FAF11" w14:textId="77777777" w:rsidR="00556E54" w:rsidRPr="00062207" w:rsidRDefault="00556E54" w:rsidP="0064104D">
      <w:pPr>
        <w:pStyle w:val="Prrafodelista"/>
        <w:numPr>
          <w:ilvl w:val="1"/>
          <w:numId w:val="3"/>
        </w:numPr>
        <w:jc w:val="both"/>
        <w:outlineLvl w:val="2"/>
        <w:rPr>
          <w:vanish/>
        </w:rPr>
      </w:pPr>
      <w:bookmarkStart w:id="195" w:name="_Toc62724068"/>
      <w:bookmarkStart w:id="196" w:name="_Toc62724131"/>
      <w:bookmarkStart w:id="197" w:name="_Toc62724215"/>
      <w:bookmarkStart w:id="198" w:name="_Toc62724289"/>
      <w:bookmarkStart w:id="199" w:name="_Toc94250354"/>
      <w:bookmarkStart w:id="200" w:name="_Toc94250422"/>
      <w:bookmarkStart w:id="201" w:name="_Toc94251062"/>
      <w:bookmarkStart w:id="202" w:name="_Toc94257724"/>
      <w:bookmarkStart w:id="203" w:name="_Toc94259640"/>
      <w:bookmarkEnd w:id="195"/>
      <w:bookmarkEnd w:id="196"/>
      <w:bookmarkEnd w:id="197"/>
      <w:bookmarkEnd w:id="198"/>
      <w:bookmarkEnd w:id="199"/>
      <w:bookmarkEnd w:id="200"/>
      <w:bookmarkEnd w:id="201"/>
      <w:bookmarkEnd w:id="202"/>
      <w:bookmarkEnd w:id="203"/>
    </w:p>
    <w:p w14:paraId="6E9BC264" w14:textId="77777777" w:rsidR="00556E54" w:rsidRPr="00062207" w:rsidRDefault="00556E54" w:rsidP="0064104D">
      <w:pPr>
        <w:pStyle w:val="Prrafodelista"/>
        <w:numPr>
          <w:ilvl w:val="1"/>
          <w:numId w:val="3"/>
        </w:numPr>
        <w:jc w:val="both"/>
        <w:outlineLvl w:val="2"/>
        <w:rPr>
          <w:vanish/>
        </w:rPr>
      </w:pPr>
      <w:bookmarkStart w:id="204" w:name="_Toc62724069"/>
      <w:bookmarkStart w:id="205" w:name="_Toc62724132"/>
      <w:bookmarkStart w:id="206" w:name="_Toc62724216"/>
      <w:bookmarkStart w:id="207" w:name="_Toc62724290"/>
      <w:bookmarkStart w:id="208" w:name="_Toc94250355"/>
      <w:bookmarkStart w:id="209" w:name="_Toc94250423"/>
      <w:bookmarkStart w:id="210" w:name="_Toc94251063"/>
      <w:bookmarkStart w:id="211" w:name="_Toc94257725"/>
      <w:bookmarkStart w:id="212" w:name="_Toc94259641"/>
      <w:bookmarkEnd w:id="204"/>
      <w:bookmarkEnd w:id="205"/>
      <w:bookmarkEnd w:id="206"/>
      <w:bookmarkEnd w:id="207"/>
      <w:bookmarkEnd w:id="208"/>
      <w:bookmarkEnd w:id="209"/>
      <w:bookmarkEnd w:id="210"/>
      <w:bookmarkEnd w:id="211"/>
      <w:bookmarkEnd w:id="212"/>
    </w:p>
    <w:p w14:paraId="687D5E67" w14:textId="1D48DFF6" w:rsidR="00556E54" w:rsidRPr="00062207" w:rsidRDefault="00351803" w:rsidP="00A963D6">
      <w:pPr>
        <w:tabs>
          <w:tab w:val="left" w:pos="1134"/>
        </w:tabs>
        <w:ind w:left="851" w:hanging="284"/>
        <w:jc w:val="both"/>
        <w:outlineLvl w:val="2"/>
        <w:rPr>
          <w:rFonts w:ascii="Times New Roman" w:hAnsi="Times New Roman" w:cs="Times New Roman"/>
          <w:b/>
        </w:rPr>
      </w:pPr>
      <w:bookmarkStart w:id="213" w:name="_Toc62724291"/>
      <w:bookmarkStart w:id="214" w:name="_Toc94259642"/>
      <w:r w:rsidRPr="00062207">
        <w:rPr>
          <w:rFonts w:ascii="Times New Roman" w:hAnsi="Times New Roman" w:cs="Times New Roman"/>
          <w:b/>
        </w:rPr>
        <w:t xml:space="preserve">2.6.1 </w:t>
      </w:r>
      <w:r w:rsidR="009E5EEE" w:rsidRPr="00062207">
        <w:rPr>
          <w:rFonts w:ascii="Times New Roman" w:hAnsi="Times New Roman" w:cs="Times New Roman"/>
          <w:b/>
        </w:rPr>
        <w:t xml:space="preserve">Gasto </w:t>
      </w:r>
      <w:r w:rsidR="00556E54" w:rsidRPr="00062207">
        <w:rPr>
          <w:rFonts w:ascii="Times New Roman" w:hAnsi="Times New Roman" w:cs="Times New Roman"/>
          <w:b/>
        </w:rPr>
        <w:t>asociado al COVID-19</w:t>
      </w:r>
      <w:bookmarkEnd w:id="213"/>
      <w:bookmarkEnd w:id="214"/>
    </w:p>
    <w:p w14:paraId="2C9B7ACC" w14:textId="77777777" w:rsidR="00556E54" w:rsidRPr="00062207" w:rsidRDefault="00556E54" w:rsidP="00EE52DF">
      <w:pPr>
        <w:pStyle w:val="BodyText2Sgl"/>
        <w:spacing w:after="0"/>
        <w:ind w:firstLine="0"/>
        <w:jc w:val="both"/>
        <w:rPr>
          <w:rFonts w:cs="Times New Roman"/>
          <w:sz w:val="22"/>
          <w:szCs w:val="22"/>
          <w:lang w:val="es-GT"/>
        </w:rPr>
      </w:pPr>
      <w:bookmarkStart w:id="215" w:name="_Toc411347499"/>
    </w:p>
    <w:p w14:paraId="1614AC21" w14:textId="50A13BBE" w:rsidR="00D37DA7" w:rsidRPr="00062207" w:rsidRDefault="00D63D13" w:rsidP="00766903">
      <w:pPr>
        <w:jc w:val="both"/>
        <w:rPr>
          <w:rFonts w:ascii="Times New Roman" w:hAnsi="Times New Roman" w:cs="Times New Roman"/>
          <w:sz w:val="22"/>
          <w:szCs w:val="36"/>
        </w:rPr>
      </w:pPr>
      <w:r w:rsidRPr="00062207">
        <w:rPr>
          <w:rFonts w:ascii="Times New Roman" w:hAnsi="Times New Roman" w:cs="Times New Roman"/>
          <w:sz w:val="22"/>
          <w:szCs w:val="36"/>
          <w:lang w:val="es-GT"/>
        </w:rPr>
        <w:t>E</w:t>
      </w:r>
      <w:r w:rsidRPr="00062207">
        <w:rPr>
          <w:rFonts w:ascii="Times New Roman" w:hAnsi="Times New Roman" w:cs="Times New Roman"/>
          <w:sz w:val="22"/>
          <w:szCs w:val="36"/>
        </w:rPr>
        <w:t xml:space="preserve">l </w:t>
      </w:r>
      <w:r w:rsidR="00766903" w:rsidRPr="00062207">
        <w:rPr>
          <w:rFonts w:ascii="Times New Roman" w:hAnsi="Times New Roman" w:cs="Times New Roman"/>
          <w:sz w:val="22"/>
          <w:szCs w:val="36"/>
        </w:rPr>
        <w:t xml:space="preserve">seguimiento </w:t>
      </w:r>
      <w:r w:rsidRPr="00062207">
        <w:rPr>
          <w:rFonts w:ascii="Times New Roman" w:hAnsi="Times New Roman" w:cs="Times New Roman"/>
          <w:sz w:val="22"/>
          <w:szCs w:val="36"/>
        </w:rPr>
        <w:t>de</w:t>
      </w:r>
      <w:r w:rsidR="00766903" w:rsidRPr="00062207">
        <w:rPr>
          <w:rFonts w:ascii="Times New Roman" w:hAnsi="Times New Roman" w:cs="Times New Roman"/>
          <w:sz w:val="22"/>
          <w:szCs w:val="36"/>
        </w:rPr>
        <w:t xml:space="preserve"> la ejecución del gasto relacionado a la pandemia COVID-19, </w:t>
      </w:r>
      <w:r w:rsidRPr="00062207">
        <w:rPr>
          <w:rFonts w:ascii="Times New Roman" w:hAnsi="Times New Roman" w:cs="Times New Roman"/>
          <w:sz w:val="22"/>
          <w:szCs w:val="36"/>
        </w:rPr>
        <w:t xml:space="preserve">se da por medio del </w:t>
      </w:r>
      <w:r w:rsidR="00766903" w:rsidRPr="00062207">
        <w:rPr>
          <w:rFonts w:ascii="Times New Roman" w:hAnsi="Times New Roman" w:cs="Times New Roman"/>
          <w:sz w:val="22"/>
          <w:szCs w:val="36"/>
        </w:rPr>
        <w:t>programa</w:t>
      </w:r>
      <w:r w:rsidRPr="00062207">
        <w:rPr>
          <w:rFonts w:ascii="Times New Roman" w:hAnsi="Times New Roman" w:cs="Times New Roman"/>
          <w:sz w:val="22"/>
          <w:szCs w:val="36"/>
        </w:rPr>
        <w:t xml:space="preserve"> 94 </w:t>
      </w:r>
      <w:r w:rsidR="00D37DA7" w:rsidRPr="00062207">
        <w:rPr>
          <w:rFonts w:ascii="Times New Roman" w:hAnsi="Times New Roman" w:cs="Times New Roman"/>
          <w:sz w:val="22"/>
          <w:szCs w:val="36"/>
        </w:rPr>
        <w:t>“Atención por Desastres Naturales y Calamidades Públicas” y por medio de dos subprogramas, el subprograma 09 “Estado de Calamidad Pública por Emergencia COVID-19 (DG 5-2020)” y el subprograma 13 “Ley de Emergencia Nacional para la atención de la pandemia COVID-19”.</w:t>
      </w:r>
    </w:p>
    <w:p w14:paraId="059395CA" w14:textId="77777777" w:rsidR="00D37DA7" w:rsidRPr="00062207" w:rsidRDefault="00D37DA7" w:rsidP="00766903">
      <w:pPr>
        <w:jc w:val="both"/>
        <w:rPr>
          <w:rFonts w:ascii="Times New Roman" w:hAnsi="Times New Roman" w:cs="Times New Roman"/>
          <w:sz w:val="22"/>
          <w:szCs w:val="36"/>
        </w:rPr>
      </w:pPr>
    </w:p>
    <w:p w14:paraId="08604123" w14:textId="5553A10E" w:rsidR="00A616BC" w:rsidRPr="00062207" w:rsidRDefault="00D37DA7" w:rsidP="00766903">
      <w:pPr>
        <w:jc w:val="both"/>
        <w:rPr>
          <w:rFonts w:ascii="Times New Roman" w:hAnsi="Times New Roman" w:cs="Times New Roman"/>
          <w:sz w:val="22"/>
          <w:szCs w:val="36"/>
        </w:rPr>
      </w:pPr>
      <w:r w:rsidRPr="00062207">
        <w:rPr>
          <w:rFonts w:ascii="Times New Roman" w:hAnsi="Times New Roman" w:cs="Times New Roman"/>
          <w:sz w:val="22"/>
          <w:szCs w:val="36"/>
        </w:rPr>
        <w:t>D</w:t>
      </w:r>
      <w:r w:rsidR="00766903" w:rsidRPr="00062207">
        <w:rPr>
          <w:rFonts w:ascii="Times New Roman" w:hAnsi="Times New Roman" w:cs="Times New Roman"/>
          <w:sz w:val="22"/>
          <w:szCs w:val="36"/>
        </w:rPr>
        <w:t>urante el</w:t>
      </w:r>
      <w:r w:rsidRPr="00062207">
        <w:rPr>
          <w:rFonts w:ascii="Times New Roman" w:hAnsi="Times New Roman" w:cs="Times New Roman"/>
          <w:sz w:val="22"/>
          <w:szCs w:val="36"/>
        </w:rPr>
        <w:t xml:space="preserve"> 2021</w:t>
      </w:r>
      <w:r w:rsidR="006632BF" w:rsidRPr="00062207">
        <w:rPr>
          <w:rFonts w:ascii="Times New Roman" w:hAnsi="Times New Roman" w:cs="Times New Roman"/>
          <w:sz w:val="22"/>
          <w:szCs w:val="36"/>
        </w:rPr>
        <w:t>,</w:t>
      </w:r>
      <w:r w:rsidRPr="00062207">
        <w:rPr>
          <w:rFonts w:ascii="Times New Roman" w:hAnsi="Times New Roman" w:cs="Times New Roman"/>
          <w:sz w:val="22"/>
          <w:szCs w:val="36"/>
        </w:rPr>
        <w:t xml:space="preserve"> s</w:t>
      </w:r>
      <w:r w:rsidR="00766903" w:rsidRPr="00062207">
        <w:rPr>
          <w:rFonts w:ascii="Times New Roman" w:hAnsi="Times New Roman" w:cs="Times New Roman"/>
          <w:sz w:val="22"/>
          <w:szCs w:val="36"/>
        </w:rPr>
        <w:t xml:space="preserve">e </w:t>
      </w:r>
      <w:r w:rsidRPr="00062207">
        <w:rPr>
          <w:rFonts w:ascii="Times New Roman" w:hAnsi="Times New Roman" w:cs="Times New Roman"/>
          <w:sz w:val="22"/>
          <w:szCs w:val="36"/>
        </w:rPr>
        <w:t>dieron</w:t>
      </w:r>
      <w:r w:rsidR="00766903" w:rsidRPr="00062207">
        <w:rPr>
          <w:rFonts w:ascii="Times New Roman" w:hAnsi="Times New Roman" w:cs="Times New Roman"/>
          <w:sz w:val="22"/>
          <w:szCs w:val="36"/>
        </w:rPr>
        <w:t xml:space="preserve"> gastos importantes a nivel de </w:t>
      </w:r>
      <w:r w:rsidRPr="00062207">
        <w:rPr>
          <w:rFonts w:ascii="Times New Roman" w:hAnsi="Times New Roman" w:cs="Times New Roman"/>
          <w:sz w:val="22"/>
          <w:szCs w:val="36"/>
        </w:rPr>
        <w:t>cuatro entidades</w:t>
      </w:r>
      <w:r w:rsidR="00766903" w:rsidRPr="00062207">
        <w:rPr>
          <w:rFonts w:ascii="Times New Roman" w:hAnsi="Times New Roman" w:cs="Times New Roman"/>
          <w:sz w:val="22"/>
          <w:szCs w:val="36"/>
        </w:rPr>
        <w:t>, siendo el caso de Ministerio de Salud Pública y Asistencia Social por Q2,</w:t>
      </w:r>
      <w:r w:rsidRPr="00062207">
        <w:rPr>
          <w:rFonts w:ascii="Times New Roman" w:hAnsi="Times New Roman" w:cs="Times New Roman"/>
          <w:sz w:val="22"/>
          <w:szCs w:val="36"/>
        </w:rPr>
        <w:t>988</w:t>
      </w:r>
      <w:r w:rsidR="00766903" w:rsidRPr="00062207">
        <w:rPr>
          <w:rFonts w:ascii="Times New Roman" w:hAnsi="Times New Roman" w:cs="Times New Roman"/>
          <w:sz w:val="22"/>
          <w:szCs w:val="36"/>
        </w:rPr>
        <w:t>.</w:t>
      </w:r>
      <w:r w:rsidRPr="00062207">
        <w:rPr>
          <w:rFonts w:ascii="Times New Roman" w:hAnsi="Times New Roman" w:cs="Times New Roman"/>
          <w:sz w:val="22"/>
          <w:szCs w:val="36"/>
        </w:rPr>
        <w:t>2</w:t>
      </w:r>
      <w:r w:rsidR="00766903" w:rsidRPr="00062207">
        <w:rPr>
          <w:rFonts w:ascii="Times New Roman" w:hAnsi="Times New Roman" w:cs="Times New Roman"/>
          <w:sz w:val="22"/>
          <w:szCs w:val="36"/>
        </w:rPr>
        <w:t xml:space="preserve"> millones, </w:t>
      </w:r>
      <w:r w:rsidRPr="00062207">
        <w:rPr>
          <w:rFonts w:ascii="Times New Roman" w:hAnsi="Times New Roman" w:cs="Times New Roman"/>
          <w:sz w:val="22"/>
          <w:szCs w:val="36"/>
        </w:rPr>
        <w:t xml:space="preserve">Ministerio de Agricultura, Ganadería y Alimentación por Q113.3 millones, </w:t>
      </w:r>
      <w:r w:rsidR="00766903" w:rsidRPr="00062207">
        <w:rPr>
          <w:rFonts w:ascii="Times New Roman" w:hAnsi="Times New Roman" w:cs="Times New Roman"/>
          <w:sz w:val="22"/>
          <w:szCs w:val="36"/>
        </w:rPr>
        <w:t xml:space="preserve">Ministerio de Desarrollo Social por Q103.0 millones y </w:t>
      </w:r>
      <w:r w:rsidRPr="00062207">
        <w:rPr>
          <w:rFonts w:ascii="Times New Roman" w:hAnsi="Times New Roman" w:cs="Times New Roman"/>
          <w:sz w:val="22"/>
          <w:szCs w:val="36"/>
        </w:rPr>
        <w:t xml:space="preserve">Secretarías y otras Dependencias del Ejecutivo por Q13.7 millones, que </w:t>
      </w:r>
      <w:r w:rsidR="00766903" w:rsidRPr="00062207">
        <w:rPr>
          <w:rFonts w:ascii="Times New Roman" w:hAnsi="Times New Roman" w:cs="Times New Roman"/>
          <w:sz w:val="22"/>
          <w:szCs w:val="36"/>
        </w:rPr>
        <w:t>totalizan intervenciones por Q</w:t>
      </w:r>
      <w:r w:rsidRPr="00062207">
        <w:rPr>
          <w:rFonts w:ascii="Times New Roman" w:hAnsi="Times New Roman" w:cs="Times New Roman"/>
          <w:sz w:val="22"/>
          <w:szCs w:val="36"/>
        </w:rPr>
        <w:t>3</w:t>
      </w:r>
      <w:r w:rsidR="00766903" w:rsidRPr="00062207">
        <w:rPr>
          <w:rFonts w:ascii="Times New Roman" w:hAnsi="Times New Roman" w:cs="Times New Roman"/>
          <w:sz w:val="22"/>
          <w:szCs w:val="36"/>
        </w:rPr>
        <w:t>,</w:t>
      </w:r>
      <w:r w:rsidRPr="00062207">
        <w:rPr>
          <w:rFonts w:ascii="Times New Roman" w:hAnsi="Times New Roman" w:cs="Times New Roman"/>
          <w:sz w:val="22"/>
          <w:szCs w:val="36"/>
        </w:rPr>
        <w:t>218.</w:t>
      </w:r>
      <w:r w:rsidR="003E6905" w:rsidRPr="00062207">
        <w:rPr>
          <w:rFonts w:ascii="Times New Roman" w:hAnsi="Times New Roman" w:cs="Times New Roman"/>
          <w:sz w:val="22"/>
          <w:szCs w:val="36"/>
        </w:rPr>
        <w:t xml:space="preserve">2 millones. </w:t>
      </w:r>
    </w:p>
    <w:p w14:paraId="2984AC30" w14:textId="77777777" w:rsidR="00A616BC" w:rsidRPr="00062207" w:rsidRDefault="00A616BC" w:rsidP="00766903">
      <w:pPr>
        <w:jc w:val="both"/>
        <w:rPr>
          <w:rFonts w:ascii="Times New Roman" w:hAnsi="Times New Roman" w:cs="Times New Roman"/>
          <w:sz w:val="22"/>
          <w:szCs w:val="36"/>
        </w:rPr>
      </w:pPr>
    </w:p>
    <w:p w14:paraId="4AF7C382" w14:textId="0CCCD7EF" w:rsidR="00766903" w:rsidRPr="00062207" w:rsidRDefault="003E6905" w:rsidP="00766903">
      <w:pPr>
        <w:jc w:val="both"/>
        <w:rPr>
          <w:rFonts w:ascii="Times New Roman" w:hAnsi="Times New Roman" w:cs="Times New Roman"/>
          <w:sz w:val="22"/>
          <w:szCs w:val="36"/>
        </w:rPr>
      </w:pPr>
      <w:r w:rsidRPr="00062207">
        <w:rPr>
          <w:rFonts w:ascii="Times New Roman" w:hAnsi="Times New Roman" w:cs="Times New Roman"/>
          <w:sz w:val="22"/>
          <w:szCs w:val="36"/>
        </w:rPr>
        <w:lastRenderedPageBreak/>
        <w:t>En 2020</w:t>
      </w:r>
      <w:r w:rsidR="00766903" w:rsidRPr="00062207">
        <w:rPr>
          <w:rFonts w:ascii="Times New Roman" w:hAnsi="Times New Roman" w:cs="Times New Roman"/>
          <w:sz w:val="22"/>
          <w:szCs w:val="36"/>
        </w:rPr>
        <w:t xml:space="preserve"> las intervenciones por COVID-19 alcanza</w:t>
      </w:r>
      <w:r w:rsidRPr="00062207">
        <w:rPr>
          <w:rFonts w:ascii="Times New Roman" w:hAnsi="Times New Roman" w:cs="Times New Roman"/>
          <w:sz w:val="22"/>
          <w:szCs w:val="36"/>
        </w:rPr>
        <w:t>ron</w:t>
      </w:r>
      <w:r w:rsidR="00766903" w:rsidRPr="00062207">
        <w:rPr>
          <w:rFonts w:ascii="Times New Roman" w:hAnsi="Times New Roman" w:cs="Times New Roman"/>
          <w:sz w:val="22"/>
          <w:szCs w:val="36"/>
        </w:rPr>
        <w:t xml:space="preserve"> los Q1</w:t>
      </w:r>
      <w:r w:rsidRPr="00062207">
        <w:rPr>
          <w:rFonts w:ascii="Times New Roman" w:hAnsi="Times New Roman" w:cs="Times New Roman"/>
          <w:sz w:val="22"/>
          <w:szCs w:val="36"/>
        </w:rPr>
        <w:t>3</w:t>
      </w:r>
      <w:r w:rsidR="00766903" w:rsidRPr="00062207">
        <w:rPr>
          <w:rFonts w:ascii="Times New Roman" w:hAnsi="Times New Roman" w:cs="Times New Roman"/>
          <w:sz w:val="22"/>
          <w:szCs w:val="36"/>
        </w:rPr>
        <w:t>,</w:t>
      </w:r>
      <w:r w:rsidRPr="00062207">
        <w:rPr>
          <w:rFonts w:ascii="Times New Roman" w:hAnsi="Times New Roman" w:cs="Times New Roman"/>
          <w:sz w:val="22"/>
          <w:szCs w:val="36"/>
        </w:rPr>
        <w:t>520</w:t>
      </w:r>
      <w:r w:rsidR="00766903" w:rsidRPr="00062207">
        <w:rPr>
          <w:rFonts w:ascii="Times New Roman" w:hAnsi="Times New Roman" w:cs="Times New Roman"/>
          <w:sz w:val="22"/>
          <w:szCs w:val="36"/>
        </w:rPr>
        <w:t>.</w:t>
      </w:r>
      <w:r w:rsidRPr="00062207">
        <w:rPr>
          <w:rFonts w:ascii="Times New Roman" w:hAnsi="Times New Roman" w:cs="Times New Roman"/>
          <w:sz w:val="22"/>
          <w:szCs w:val="36"/>
        </w:rPr>
        <w:t>2</w:t>
      </w:r>
      <w:r w:rsidR="00766903" w:rsidRPr="00062207">
        <w:rPr>
          <w:rFonts w:ascii="Times New Roman" w:hAnsi="Times New Roman" w:cs="Times New Roman"/>
          <w:sz w:val="22"/>
          <w:szCs w:val="36"/>
        </w:rPr>
        <w:t xml:space="preserve"> millones, ejecución que estaba siendo impulsada por tres programas principalmente, Bono Familia, Fondo para Capital de Trabajo y Fondo de Protección de Empleo.</w:t>
      </w:r>
    </w:p>
    <w:p w14:paraId="1E142ADE" w14:textId="16D01824" w:rsidR="00766903" w:rsidRPr="00062207" w:rsidRDefault="00766903" w:rsidP="00766903">
      <w:pPr>
        <w:jc w:val="both"/>
        <w:rPr>
          <w:rFonts w:ascii="Times New Roman" w:hAnsi="Times New Roman" w:cs="Times New Roman"/>
          <w:sz w:val="22"/>
          <w:szCs w:val="36"/>
        </w:rPr>
      </w:pPr>
    </w:p>
    <w:p w14:paraId="06BD5BEC" w14:textId="2751FB09" w:rsidR="00766903" w:rsidRPr="00062207" w:rsidRDefault="00766903" w:rsidP="00766903">
      <w:pPr>
        <w:jc w:val="both"/>
        <w:rPr>
          <w:rFonts w:ascii="Times New Roman" w:hAnsi="Times New Roman" w:cs="Times New Roman"/>
          <w:sz w:val="22"/>
          <w:szCs w:val="36"/>
        </w:rPr>
      </w:pPr>
      <w:r w:rsidRPr="00062207">
        <w:rPr>
          <w:rFonts w:ascii="Times New Roman" w:hAnsi="Times New Roman" w:cs="Times New Roman"/>
          <w:sz w:val="22"/>
          <w:szCs w:val="36"/>
        </w:rPr>
        <w:t>Dentro de los gastos, resalta la ejecución relacionada al esquema de vacunación contra el COVID-19 (Q</w:t>
      </w:r>
      <w:r w:rsidR="006B486E" w:rsidRPr="00062207">
        <w:rPr>
          <w:rFonts w:ascii="Times New Roman" w:hAnsi="Times New Roman" w:cs="Times New Roman"/>
          <w:sz w:val="22"/>
          <w:szCs w:val="36"/>
        </w:rPr>
        <w:t>1,015</w:t>
      </w:r>
      <w:r w:rsidRPr="00062207">
        <w:rPr>
          <w:rFonts w:ascii="Times New Roman" w:hAnsi="Times New Roman" w:cs="Times New Roman"/>
          <w:sz w:val="22"/>
          <w:szCs w:val="36"/>
        </w:rPr>
        <w:t>.</w:t>
      </w:r>
      <w:r w:rsidR="006B486E" w:rsidRPr="00062207">
        <w:rPr>
          <w:rFonts w:ascii="Times New Roman" w:hAnsi="Times New Roman" w:cs="Times New Roman"/>
          <w:sz w:val="22"/>
          <w:szCs w:val="36"/>
        </w:rPr>
        <w:t>3</w:t>
      </w:r>
      <w:r w:rsidRPr="00062207">
        <w:rPr>
          <w:rFonts w:ascii="Times New Roman" w:hAnsi="Times New Roman" w:cs="Times New Roman"/>
          <w:sz w:val="22"/>
          <w:szCs w:val="36"/>
        </w:rPr>
        <w:t xml:space="preserve"> millones), el cual representa el </w:t>
      </w:r>
      <w:r w:rsidR="006B486E" w:rsidRPr="00062207">
        <w:rPr>
          <w:rFonts w:ascii="Times New Roman" w:hAnsi="Times New Roman" w:cs="Times New Roman"/>
          <w:sz w:val="22"/>
          <w:szCs w:val="36"/>
        </w:rPr>
        <w:t>3</w:t>
      </w:r>
      <w:r w:rsidRPr="00062207">
        <w:rPr>
          <w:rFonts w:ascii="Times New Roman" w:hAnsi="Times New Roman" w:cs="Times New Roman"/>
          <w:sz w:val="22"/>
          <w:szCs w:val="36"/>
        </w:rPr>
        <w:t>1.</w:t>
      </w:r>
      <w:r w:rsidR="006B486E" w:rsidRPr="00062207">
        <w:rPr>
          <w:rFonts w:ascii="Times New Roman" w:hAnsi="Times New Roman" w:cs="Times New Roman"/>
          <w:sz w:val="22"/>
          <w:szCs w:val="36"/>
        </w:rPr>
        <w:t>5</w:t>
      </w:r>
      <w:r w:rsidRPr="00062207">
        <w:rPr>
          <w:rFonts w:ascii="Times New Roman" w:hAnsi="Times New Roman" w:cs="Times New Roman"/>
          <w:sz w:val="22"/>
          <w:szCs w:val="36"/>
        </w:rPr>
        <w:t>% de la ejecución del gasto total COVID-19 del 2021, dentro del Ministerio de Salud Pública también se han dado otras intervenciones como la atención de la emergencia COVID-19 (Q8</w:t>
      </w:r>
      <w:r w:rsidR="006B486E" w:rsidRPr="00062207">
        <w:rPr>
          <w:rFonts w:ascii="Times New Roman" w:hAnsi="Times New Roman" w:cs="Times New Roman"/>
          <w:sz w:val="22"/>
          <w:szCs w:val="36"/>
        </w:rPr>
        <w:t xml:space="preserve">50.0 millones), </w:t>
      </w:r>
      <w:r w:rsidRPr="00062207">
        <w:rPr>
          <w:rFonts w:ascii="Times New Roman" w:hAnsi="Times New Roman" w:cs="Times New Roman"/>
          <w:sz w:val="22"/>
          <w:szCs w:val="36"/>
        </w:rPr>
        <w:t>laboratorios beneficiados con materiales y equipo de atención de la emergencia COVID-19 (Q</w:t>
      </w:r>
      <w:r w:rsidR="006B486E" w:rsidRPr="00062207">
        <w:rPr>
          <w:rFonts w:ascii="Times New Roman" w:hAnsi="Times New Roman" w:cs="Times New Roman"/>
          <w:sz w:val="22"/>
          <w:szCs w:val="36"/>
        </w:rPr>
        <w:t>71</w:t>
      </w:r>
      <w:r w:rsidRPr="00062207">
        <w:rPr>
          <w:rFonts w:ascii="Times New Roman" w:hAnsi="Times New Roman" w:cs="Times New Roman"/>
          <w:sz w:val="22"/>
          <w:szCs w:val="36"/>
        </w:rPr>
        <w:t>.</w:t>
      </w:r>
      <w:r w:rsidR="006B486E" w:rsidRPr="00062207">
        <w:rPr>
          <w:rFonts w:ascii="Times New Roman" w:hAnsi="Times New Roman" w:cs="Times New Roman"/>
          <w:sz w:val="22"/>
          <w:szCs w:val="36"/>
        </w:rPr>
        <w:t>3</w:t>
      </w:r>
      <w:r w:rsidR="001654A0" w:rsidRPr="00062207">
        <w:rPr>
          <w:rFonts w:ascii="Times New Roman" w:hAnsi="Times New Roman" w:cs="Times New Roman"/>
          <w:sz w:val="22"/>
          <w:szCs w:val="36"/>
        </w:rPr>
        <w:t xml:space="preserve"> millones), prevención, recuperación y kits de tratamiento COVID-19 (Q1,051.5 millones).</w:t>
      </w:r>
    </w:p>
    <w:p w14:paraId="0F185F1D" w14:textId="66ABFE8C" w:rsidR="001654A0" w:rsidRPr="00062207" w:rsidRDefault="001654A0" w:rsidP="00766903">
      <w:pPr>
        <w:jc w:val="both"/>
        <w:rPr>
          <w:rFonts w:ascii="Times New Roman" w:hAnsi="Times New Roman" w:cs="Times New Roman"/>
          <w:sz w:val="22"/>
          <w:szCs w:val="36"/>
        </w:rPr>
      </w:pPr>
    </w:p>
    <w:p w14:paraId="6F513CA3" w14:textId="6DAA88F8" w:rsidR="001654A0" w:rsidRPr="00062207" w:rsidRDefault="001654A0" w:rsidP="001654A0">
      <w:pPr>
        <w:jc w:val="both"/>
        <w:rPr>
          <w:rFonts w:ascii="Times New Roman" w:hAnsi="Times New Roman" w:cs="Times New Roman"/>
          <w:sz w:val="22"/>
          <w:szCs w:val="36"/>
        </w:rPr>
      </w:pPr>
      <w:r w:rsidRPr="00062207">
        <w:rPr>
          <w:rFonts w:ascii="Times New Roman" w:hAnsi="Times New Roman" w:cs="Times New Roman"/>
          <w:sz w:val="22"/>
          <w:szCs w:val="36"/>
        </w:rPr>
        <w:t>En el caso del Ministerio de Desarrollo Social y Ministerio de Agricultura, Ganadería y Alimentación la ejecución corresponde a la regularización del anticipo dado en 2020 al Programa Mundial de Alimentos (PMA), que consiste en cupones canjeables y entregas en especie de la actividad dotación alimentaria. Adicionalmente, Desarrollo Social reporta una ejecución pequeña en otras intervenciones realizadas para la atención de la emergencia COVID-19.</w:t>
      </w:r>
    </w:p>
    <w:p w14:paraId="42557500" w14:textId="044C80F6" w:rsidR="001654A0" w:rsidRPr="00062207" w:rsidRDefault="001654A0" w:rsidP="001654A0">
      <w:pPr>
        <w:jc w:val="both"/>
        <w:rPr>
          <w:rFonts w:ascii="Times New Roman" w:hAnsi="Times New Roman" w:cs="Times New Roman"/>
          <w:sz w:val="22"/>
          <w:szCs w:val="36"/>
        </w:rPr>
      </w:pPr>
    </w:p>
    <w:p w14:paraId="1A51EB61" w14:textId="23F38A46" w:rsidR="00556E54" w:rsidRPr="00062207" w:rsidRDefault="001654A0" w:rsidP="00084C3C">
      <w:pPr>
        <w:jc w:val="both"/>
        <w:rPr>
          <w:rFonts w:ascii="Times New Roman" w:hAnsi="Times New Roman" w:cs="Times New Roman"/>
          <w:sz w:val="22"/>
          <w:szCs w:val="36"/>
        </w:rPr>
      </w:pPr>
      <w:r w:rsidRPr="00062207">
        <w:rPr>
          <w:rFonts w:ascii="Times New Roman" w:hAnsi="Times New Roman" w:cs="Times New Roman"/>
          <w:sz w:val="22"/>
          <w:szCs w:val="36"/>
        </w:rPr>
        <w:t>Por último, la Secretaría de Comunicación Social reporta una ejecución de Q13.7 millones, los cuales corresponden a divulgación de las acciones del gobierno para informar a la población a través de medios digitales y medios de comunicación no gubernamentales.</w:t>
      </w:r>
    </w:p>
    <w:p w14:paraId="2376604B" w14:textId="7C0AAD91" w:rsidR="00500BE2" w:rsidRPr="00062207" w:rsidRDefault="00500BE2" w:rsidP="00084C3C">
      <w:pPr>
        <w:jc w:val="both"/>
        <w:rPr>
          <w:rFonts w:ascii="Times New Roman" w:hAnsi="Times New Roman" w:cs="Times New Roman"/>
          <w:sz w:val="22"/>
          <w:szCs w:val="36"/>
        </w:rPr>
      </w:pPr>
    </w:p>
    <w:tbl>
      <w:tblPr>
        <w:tblStyle w:val="Tablaconcuadrcula"/>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335"/>
        <w:gridCol w:w="4069"/>
      </w:tblGrid>
      <w:tr w:rsidR="00062207" w:rsidRPr="00062207" w14:paraId="62CA7338" w14:textId="77777777" w:rsidTr="00500BE2">
        <w:trPr>
          <w:trHeight w:val="2348"/>
        </w:trPr>
        <w:tc>
          <w:tcPr>
            <w:tcW w:w="5335" w:type="dxa"/>
          </w:tcPr>
          <w:p w14:paraId="0C78E7D0" w14:textId="6537A730" w:rsidR="00766903" w:rsidRPr="00062207" w:rsidRDefault="00766903" w:rsidP="00766903">
            <w:pPr>
              <w:jc w:val="both"/>
              <w:rPr>
                <w:rFonts w:ascii="Times New Roman" w:hAnsi="Times New Roman" w:cs="Times New Roman"/>
                <w:sz w:val="20"/>
                <w:szCs w:val="20"/>
              </w:rPr>
            </w:pPr>
            <w:r w:rsidRPr="00062207">
              <w:rPr>
                <w:rFonts w:ascii="Times New Roman" w:hAnsi="Times New Roman" w:cs="Times New Roman"/>
                <w:noProof/>
                <w:sz w:val="20"/>
                <w:szCs w:val="20"/>
                <w:lang w:val="es-GT" w:eastAsia="es-GT"/>
              </w:rPr>
              <w:drawing>
                <wp:inline distT="0" distB="0" distL="0" distR="0" wp14:anchorId="2315BA8D" wp14:editId="44782DD5">
                  <wp:extent cx="3315694" cy="3200400"/>
                  <wp:effectExtent l="0" t="0" r="0" b="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tc>
        <w:tc>
          <w:tcPr>
            <w:tcW w:w="4069" w:type="dxa"/>
          </w:tcPr>
          <w:p w14:paraId="1561C4E0" w14:textId="46BB9E75" w:rsidR="00766903" w:rsidRPr="00062207" w:rsidRDefault="00054C47" w:rsidP="00685D46">
            <w:pPr>
              <w:jc w:val="center"/>
              <w:rPr>
                <w:rFonts w:ascii="Times New Roman" w:hAnsi="Times New Roman" w:cs="Times New Roman"/>
                <w:sz w:val="22"/>
                <w:szCs w:val="36"/>
              </w:rPr>
            </w:pPr>
            <w:r w:rsidRPr="00062207">
              <w:rPr>
                <w:rFonts w:ascii="Times New Roman" w:hAnsi="Times New Roman" w:cs="Times New Roman"/>
                <w:noProof/>
                <w:sz w:val="22"/>
                <w:szCs w:val="36"/>
                <w:lang w:val="es-GT" w:eastAsia="es-GT"/>
              </w:rPr>
              <w:drawing>
                <wp:inline distT="0" distB="0" distL="0" distR="0" wp14:anchorId="5EE4E289" wp14:editId="518316A6">
                  <wp:extent cx="2491105" cy="3158837"/>
                  <wp:effectExtent l="0" t="0" r="4445" b="381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tc>
      </w:tr>
    </w:tbl>
    <w:p w14:paraId="6D98F1D4" w14:textId="0B60242F" w:rsidR="00246573" w:rsidRPr="00062207" w:rsidRDefault="00246573" w:rsidP="00246573">
      <w:pPr>
        <w:rPr>
          <w:rFonts w:ascii="Times New Roman" w:hAnsi="Times New Roman" w:cs="Times New Roman"/>
          <w:sz w:val="16"/>
        </w:rPr>
      </w:pPr>
      <w:r w:rsidRPr="00062207">
        <w:rPr>
          <w:rFonts w:ascii="Times New Roman" w:hAnsi="Times New Roman" w:cs="Times New Roman"/>
          <w:sz w:val="16"/>
        </w:rPr>
        <w:t>Fuente: Dirección de Análisis y Política Fiscal</w:t>
      </w:r>
    </w:p>
    <w:p w14:paraId="1F823779" w14:textId="5ED39918" w:rsidR="00246573" w:rsidRPr="00062207" w:rsidRDefault="00246573" w:rsidP="00556E54">
      <w:pPr>
        <w:jc w:val="both"/>
        <w:rPr>
          <w:rFonts w:ascii="Times New Roman" w:hAnsi="Times New Roman" w:cs="Times New Roman"/>
          <w:szCs w:val="36"/>
        </w:rPr>
      </w:pPr>
    </w:p>
    <w:p w14:paraId="76A50CCD" w14:textId="3EA52069" w:rsidR="00084C3C" w:rsidRPr="00062207" w:rsidRDefault="00084C3C" w:rsidP="00556E54">
      <w:pPr>
        <w:jc w:val="both"/>
        <w:rPr>
          <w:rFonts w:ascii="Times New Roman" w:hAnsi="Times New Roman" w:cs="Times New Roman"/>
          <w:szCs w:val="36"/>
        </w:rPr>
      </w:pPr>
    </w:p>
    <w:p w14:paraId="5FD93382" w14:textId="384AEA93" w:rsidR="009D6295" w:rsidRPr="00062207" w:rsidRDefault="009D6295" w:rsidP="00556E54">
      <w:pPr>
        <w:jc w:val="both"/>
        <w:rPr>
          <w:rFonts w:ascii="Times New Roman" w:hAnsi="Times New Roman" w:cs="Times New Roman"/>
          <w:szCs w:val="36"/>
        </w:rPr>
      </w:pPr>
    </w:p>
    <w:p w14:paraId="2D15EBB6" w14:textId="37617DC4" w:rsidR="009D6295" w:rsidRPr="00062207" w:rsidRDefault="009D6295" w:rsidP="00556E54">
      <w:pPr>
        <w:jc w:val="both"/>
        <w:rPr>
          <w:rFonts w:ascii="Times New Roman" w:hAnsi="Times New Roman" w:cs="Times New Roman"/>
          <w:szCs w:val="36"/>
        </w:rPr>
      </w:pPr>
    </w:p>
    <w:p w14:paraId="3222A2B8" w14:textId="32325762" w:rsidR="009D6295" w:rsidRPr="00062207" w:rsidRDefault="009D6295" w:rsidP="00556E54">
      <w:pPr>
        <w:jc w:val="both"/>
        <w:rPr>
          <w:rFonts w:ascii="Times New Roman" w:hAnsi="Times New Roman" w:cs="Times New Roman"/>
          <w:szCs w:val="36"/>
        </w:rPr>
      </w:pPr>
    </w:p>
    <w:p w14:paraId="504F117C" w14:textId="1E0C008B" w:rsidR="009D6295" w:rsidRPr="00062207" w:rsidRDefault="009D6295" w:rsidP="00556E54">
      <w:pPr>
        <w:jc w:val="both"/>
        <w:rPr>
          <w:rFonts w:ascii="Times New Roman" w:hAnsi="Times New Roman" w:cs="Times New Roman"/>
          <w:szCs w:val="36"/>
        </w:rPr>
      </w:pPr>
    </w:p>
    <w:p w14:paraId="4D7D911D" w14:textId="77777777" w:rsidR="009D6295" w:rsidRPr="00062207" w:rsidRDefault="009D6295" w:rsidP="00556E54">
      <w:pPr>
        <w:jc w:val="both"/>
        <w:rPr>
          <w:rFonts w:ascii="Times New Roman" w:hAnsi="Times New Roman" w:cs="Times New Roman"/>
          <w:szCs w:val="36"/>
        </w:rPr>
      </w:pPr>
    </w:p>
    <w:p w14:paraId="6CA3AD20" w14:textId="450D2EBD" w:rsidR="00084C3C" w:rsidRPr="00062207" w:rsidRDefault="00084C3C" w:rsidP="00556E54">
      <w:pPr>
        <w:jc w:val="both"/>
        <w:rPr>
          <w:rFonts w:ascii="Times New Roman" w:hAnsi="Times New Roman" w:cs="Times New Roman"/>
          <w:szCs w:val="36"/>
        </w:rPr>
      </w:pPr>
    </w:p>
    <w:p w14:paraId="5AC7D6CE" w14:textId="64D6C8CD" w:rsidR="00BE7739" w:rsidRPr="00062207" w:rsidRDefault="00BE7739" w:rsidP="00BE7739">
      <w:pPr>
        <w:jc w:val="center"/>
        <w:rPr>
          <w:rFonts w:ascii="Times New Roman" w:hAnsi="Times New Roman" w:cs="Times New Roman"/>
          <w:b/>
          <w:szCs w:val="36"/>
        </w:rPr>
      </w:pPr>
      <w:r w:rsidRPr="00062207">
        <w:rPr>
          <w:rFonts w:ascii="Times New Roman" w:hAnsi="Times New Roman" w:cs="Times New Roman"/>
          <w:b/>
          <w:szCs w:val="36"/>
        </w:rPr>
        <w:lastRenderedPageBreak/>
        <w:t xml:space="preserve">Seguimiento de Programas </w:t>
      </w:r>
      <w:r w:rsidR="00A616BC" w:rsidRPr="00062207">
        <w:rPr>
          <w:rFonts w:ascii="Times New Roman" w:hAnsi="Times New Roman" w:cs="Times New Roman"/>
          <w:b/>
          <w:szCs w:val="36"/>
        </w:rPr>
        <w:t>en A</w:t>
      </w:r>
      <w:r w:rsidRPr="00062207">
        <w:rPr>
          <w:rFonts w:ascii="Times New Roman" w:hAnsi="Times New Roman" w:cs="Times New Roman"/>
          <w:b/>
          <w:szCs w:val="36"/>
        </w:rPr>
        <w:t>tención al COVID-19</w:t>
      </w:r>
    </w:p>
    <w:p w14:paraId="64B082A5" w14:textId="5803CEF0" w:rsidR="001E7890" w:rsidRPr="00062207" w:rsidRDefault="00B7396A" w:rsidP="00BE7739">
      <w:pPr>
        <w:jc w:val="center"/>
        <w:rPr>
          <w:rFonts w:ascii="Times New Roman" w:hAnsi="Times New Roman" w:cs="Times New Roman"/>
          <w:sz w:val="22"/>
          <w:szCs w:val="36"/>
        </w:rPr>
      </w:pPr>
      <w:r w:rsidRPr="00062207">
        <w:rPr>
          <w:rFonts w:ascii="Times New Roman" w:hAnsi="Times New Roman" w:cs="Times New Roman"/>
          <w:sz w:val="22"/>
          <w:szCs w:val="36"/>
        </w:rPr>
        <w:t>Millones de quetzales y porcentajes</w:t>
      </w:r>
    </w:p>
    <w:tbl>
      <w:tblPr>
        <w:tblW w:w="9488" w:type="dxa"/>
        <w:jc w:val="center"/>
        <w:tblCellMar>
          <w:left w:w="70" w:type="dxa"/>
          <w:right w:w="70" w:type="dxa"/>
        </w:tblCellMar>
        <w:tblLook w:val="04A0" w:firstRow="1" w:lastRow="0" w:firstColumn="1" w:lastColumn="0" w:noHBand="0" w:noVBand="1"/>
      </w:tblPr>
      <w:tblGrid>
        <w:gridCol w:w="5245"/>
        <w:gridCol w:w="1701"/>
        <w:gridCol w:w="1276"/>
        <w:gridCol w:w="1266"/>
      </w:tblGrid>
      <w:tr w:rsidR="00062207" w:rsidRPr="00062207" w14:paraId="7EEA915C" w14:textId="77777777" w:rsidTr="004C07BF">
        <w:trPr>
          <w:trHeight w:val="300"/>
          <w:jc w:val="center"/>
        </w:trPr>
        <w:tc>
          <w:tcPr>
            <w:tcW w:w="5245" w:type="dxa"/>
            <w:vMerge w:val="restart"/>
            <w:tcBorders>
              <w:top w:val="single" w:sz="8" w:space="0" w:color="auto"/>
              <w:left w:val="single" w:sz="8" w:space="0" w:color="auto"/>
              <w:bottom w:val="single" w:sz="8" w:space="0" w:color="000000"/>
              <w:right w:val="nil"/>
            </w:tcBorders>
            <w:shd w:val="clear" w:color="auto" w:fill="auto"/>
            <w:noWrap/>
            <w:vAlign w:val="center"/>
            <w:hideMark/>
          </w:tcPr>
          <w:p w14:paraId="2F4BEB66" w14:textId="77777777" w:rsidR="00BE7739" w:rsidRPr="00062207" w:rsidRDefault="00BE7739" w:rsidP="00BE7739">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Actividades</w:t>
            </w:r>
          </w:p>
        </w:tc>
        <w:tc>
          <w:tcPr>
            <w:tcW w:w="2977" w:type="dxa"/>
            <w:gridSpan w:val="2"/>
            <w:tcBorders>
              <w:top w:val="single" w:sz="8" w:space="0" w:color="auto"/>
              <w:left w:val="single" w:sz="8" w:space="0" w:color="auto"/>
              <w:bottom w:val="single" w:sz="4" w:space="0" w:color="auto"/>
              <w:right w:val="single" w:sz="4" w:space="0" w:color="000000"/>
            </w:tcBorders>
            <w:shd w:val="clear" w:color="auto" w:fill="auto"/>
            <w:noWrap/>
            <w:vAlign w:val="center"/>
            <w:hideMark/>
          </w:tcPr>
          <w:p w14:paraId="0E9282CC" w14:textId="77777777" w:rsidR="00BE7739" w:rsidRPr="00062207" w:rsidRDefault="00BE7739" w:rsidP="004C07BF">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2021</w:t>
            </w:r>
          </w:p>
        </w:tc>
        <w:tc>
          <w:tcPr>
            <w:tcW w:w="1266" w:type="dxa"/>
            <w:vMerge w:val="restart"/>
            <w:tcBorders>
              <w:top w:val="single" w:sz="8" w:space="0" w:color="auto"/>
              <w:left w:val="nil"/>
              <w:bottom w:val="single" w:sz="8" w:space="0" w:color="000000"/>
              <w:right w:val="single" w:sz="8" w:space="0" w:color="auto"/>
            </w:tcBorders>
            <w:shd w:val="clear" w:color="auto" w:fill="auto"/>
            <w:noWrap/>
            <w:vAlign w:val="center"/>
            <w:hideMark/>
          </w:tcPr>
          <w:p w14:paraId="25B07E50" w14:textId="77777777" w:rsidR="00BE7739" w:rsidRPr="00062207" w:rsidRDefault="00BE7739" w:rsidP="00BE7739">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 de Ejecución</w:t>
            </w:r>
          </w:p>
        </w:tc>
      </w:tr>
      <w:tr w:rsidR="00062207" w:rsidRPr="00062207" w14:paraId="664C5B02" w14:textId="77777777" w:rsidTr="004C07BF">
        <w:trPr>
          <w:trHeight w:val="600"/>
          <w:jc w:val="center"/>
        </w:trPr>
        <w:tc>
          <w:tcPr>
            <w:tcW w:w="5245" w:type="dxa"/>
            <w:vMerge/>
            <w:tcBorders>
              <w:top w:val="single" w:sz="8" w:space="0" w:color="auto"/>
              <w:left w:val="single" w:sz="8" w:space="0" w:color="auto"/>
              <w:bottom w:val="single" w:sz="8" w:space="0" w:color="000000"/>
              <w:right w:val="nil"/>
            </w:tcBorders>
            <w:vAlign w:val="center"/>
            <w:hideMark/>
          </w:tcPr>
          <w:p w14:paraId="07D76F82" w14:textId="77777777" w:rsidR="00BE7739" w:rsidRPr="00062207" w:rsidRDefault="00BE7739" w:rsidP="00BE7739">
            <w:pPr>
              <w:rPr>
                <w:rFonts w:ascii="Times New Roman" w:eastAsia="Times New Roman" w:hAnsi="Times New Roman" w:cs="Times New Roman"/>
                <w:b/>
                <w:bCs/>
                <w:sz w:val="20"/>
                <w:szCs w:val="20"/>
                <w:lang w:val="es-GT" w:eastAsia="es-GT"/>
              </w:rPr>
            </w:pPr>
          </w:p>
        </w:tc>
        <w:tc>
          <w:tcPr>
            <w:tcW w:w="1701" w:type="dxa"/>
            <w:tcBorders>
              <w:top w:val="nil"/>
              <w:left w:val="single" w:sz="8" w:space="0" w:color="auto"/>
              <w:bottom w:val="single" w:sz="8" w:space="0" w:color="auto"/>
              <w:right w:val="single" w:sz="4" w:space="0" w:color="auto"/>
            </w:tcBorders>
            <w:shd w:val="clear" w:color="auto" w:fill="auto"/>
            <w:vAlign w:val="center"/>
            <w:hideMark/>
          </w:tcPr>
          <w:p w14:paraId="6EDD9615" w14:textId="52C794F0" w:rsidR="00BE7739" w:rsidRPr="00062207" w:rsidRDefault="00BE7739" w:rsidP="004C07BF">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Presupuesto Vigente</w:t>
            </w:r>
          </w:p>
        </w:tc>
        <w:tc>
          <w:tcPr>
            <w:tcW w:w="1276" w:type="dxa"/>
            <w:tcBorders>
              <w:top w:val="nil"/>
              <w:left w:val="nil"/>
              <w:bottom w:val="single" w:sz="8" w:space="0" w:color="auto"/>
              <w:right w:val="single" w:sz="4" w:space="0" w:color="auto"/>
            </w:tcBorders>
            <w:shd w:val="clear" w:color="auto" w:fill="auto"/>
            <w:noWrap/>
            <w:vAlign w:val="center"/>
            <w:hideMark/>
          </w:tcPr>
          <w:p w14:paraId="45D384E3" w14:textId="77777777" w:rsidR="00BE7739" w:rsidRPr="00062207" w:rsidRDefault="00BE7739" w:rsidP="004C07BF">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Ejecución</w:t>
            </w:r>
          </w:p>
        </w:tc>
        <w:tc>
          <w:tcPr>
            <w:tcW w:w="1266" w:type="dxa"/>
            <w:vMerge/>
            <w:tcBorders>
              <w:top w:val="single" w:sz="8" w:space="0" w:color="auto"/>
              <w:left w:val="nil"/>
              <w:bottom w:val="single" w:sz="8" w:space="0" w:color="000000"/>
              <w:right w:val="single" w:sz="8" w:space="0" w:color="auto"/>
            </w:tcBorders>
            <w:vAlign w:val="center"/>
            <w:hideMark/>
          </w:tcPr>
          <w:p w14:paraId="5E9DC99C" w14:textId="77777777" w:rsidR="00BE7739" w:rsidRPr="00062207" w:rsidRDefault="00BE7739" w:rsidP="00BE7739">
            <w:pPr>
              <w:rPr>
                <w:rFonts w:ascii="Times New Roman" w:eastAsia="Times New Roman" w:hAnsi="Times New Roman" w:cs="Times New Roman"/>
                <w:b/>
                <w:bCs/>
                <w:sz w:val="20"/>
                <w:szCs w:val="20"/>
                <w:lang w:val="es-GT" w:eastAsia="es-GT"/>
              </w:rPr>
            </w:pPr>
          </w:p>
        </w:tc>
      </w:tr>
      <w:tr w:rsidR="00062207" w:rsidRPr="00062207" w14:paraId="493DBFD1" w14:textId="77777777" w:rsidTr="00BE7739">
        <w:trPr>
          <w:trHeight w:val="300"/>
          <w:jc w:val="center"/>
        </w:trPr>
        <w:tc>
          <w:tcPr>
            <w:tcW w:w="5245" w:type="dxa"/>
            <w:tcBorders>
              <w:top w:val="nil"/>
              <w:left w:val="single" w:sz="8" w:space="0" w:color="auto"/>
              <w:bottom w:val="nil"/>
              <w:right w:val="nil"/>
            </w:tcBorders>
            <w:shd w:val="clear" w:color="auto" w:fill="auto"/>
            <w:noWrap/>
            <w:vAlign w:val="center"/>
            <w:hideMark/>
          </w:tcPr>
          <w:p w14:paraId="1A4C46CD" w14:textId="77777777" w:rsidR="00BE7739" w:rsidRPr="00062207" w:rsidRDefault="00BE7739" w:rsidP="00BE7739">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Total</w:t>
            </w:r>
          </w:p>
        </w:tc>
        <w:tc>
          <w:tcPr>
            <w:tcW w:w="1701" w:type="dxa"/>
            <w:tcBorders>
              <w:top w:val="nil"/>
              <w:left w:val="single" w:sz="8" w:space="0" w:color="auto"/>
              <w:bottom w:val="nil"/>
              <w:right w:val="single" w:sz="4" w:space="0" w:color="auto"/>
            </w:tcBorders>
            <w:shd w:val="clear" w:color="auto" w:fill="auto"/>
            <w:vAlign w:val="center"/>
            <w:hideMark/>
          </w:tcPr>
          <w:p w14:paraId="7B44EF99" w14:textId="77777777" w:rsidR="00BE7739" w:rsidRPr="00062207" w:rsidRDefault="00BE7739" w:rsidP="00BE7739">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4,670.9</w:t>
            </w:r>
          </w:p>
        </w:tc>
        <w:tc>
          <w:tcPr>
            <w:tcW w:w="1276" w:type="dxa"/>
            <w:tcBorders>
              <w:top w:val="nil"/>
              <w:left w:val="single" w:sz="4" w:space="0" w:color="auto"/>
              <w:bottom w:val="nil"/>
              <w:right w:val="single" w:sz="4" w:space="0" w:color="auto"/>
            </w:tcBorders>
            <w:shd w:val="clear" w:color="auto" w:fill="auto"/>
            <w:noWrap/>
            <w:vAlign w:val="center"/>
            <w:hideMark/>
          </w:tcPr>
          <w:p w14:paraId="1EA8CB94" w14:textId="77777777" w:rsidR="00BE7739" w:rsidRPr="00062207" w:rsidRDefault="00BE7739" w:rsidP="00BE7739">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3,218.2</w:t>
            </w:r>
          </w:p>
        </w:tc>
        <w:tc>
          <w:tcPr>
            <w:tcW w:w="1266" w:type="dxa"/>
            <w:tcBorders>
              <w:top w:val="nil"/>
              <w:left w:val="nil"/>
              <w:bottom w:val="nil"/>
              <w:right w:val="single" w:sz="8" w:space="0" w:color="auto"/>
            </w:tcBorders>
            <w:shd w:val="clear" w:color="auto" w:fill="auto"/>
            <w:noWrap/>
            <w:vAlign w:val="center"/>
            <w:hideMark/>
          </w:tcPr>
          <w:p w14:paraId="4C969E25" w14:textId="77777777" w:rsidR="00BE7739" w:rsidRPr="00062207" w:rsidRDefault="00BE7739" w:rsidP="00BE7739">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68.9</w:t>
            </w:r>
          </w:p>
        </w:tc>
      </w:tr>
      <w:tr w:rsidR="00062207" w:rsidRPr="00062207" w14:paraId="3AAC0A20" w14:textId="77777777" w:rsidTr="00BE7739">
        <w:trPr>
          <w:trHeight w:val="570"/>
          <w:jc w:val="center"/>
        </w:trPr>
        <w:tc>
          <w:tcPr>
            <w:tcW w:w="5245" w:type="dxa"/>
            <w:tcBorders>
              <w:top w:val="single" w:sz="4" w:space="0" w:color="auto"/>
              <w:left w:val="single" w:sz="8" w:space="0" w:color="auto"/>
              <w:bottom w:val="single" w:sz="4" w:space="0" w:color="auto"/>
              <w:right w:val="nil"/>
            </w:tcBorders>
            <w:shd w:val="clear" w:color="000000" w:fill="1F4E78"/>
            <w:vAlign w:val="center"/>
            <w:hideMark/>
          </w:tcPr>
          <w:p w14:paraId="60F48E9D" w14:textId="77777777" w:rsidR="00BE7739" w:rsidRPr="00062207" w:rsidRDefault="00BE7739" w:rsidP="004C07BF">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Subprograma 09 Estado de Calamidad Pública por Emergencia COVID-19</w:t>
            </w:r>
          </w:p>
        </w:tc>
        <w:tc>
          <w:tcPr>
            <w:tcW w:w="1701" w:type="dxa"/>
            <w:tcBorders>
              <w:top w:val="single" w:sz="4" w:space="0" w:color="auto"/>
              <w:left w:val="single" w:sz="8" w:space="0" w:color="auto"/>
              <w:bottom w:val="single" w:sz="4" w:space="0" w:color="auto"/>
              <w:right w:val="single" w:sz="4" w:space="0" w:color="auto"/>
            </w:tcBorders>
            <w:shd w:val="clear" w:color="000000" w:fill="1F4E78"/>
            <w:vAlign w:val="center"/>
            <w:hideMark/>
          </w:tcPr>
          <w:p w14:paraId="21100723" w14:textId="77777777" w:rsidR="00BE7739" w:rsidRPr="00062207" w:rsidRDefault="00BE7739" w:rsidP="00BE7739">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2,760.8</w:t>
            </w:r>
          </w:p>
        </w:tc>
        <w:tc>
          <w:tcPr>
            <w:tcW w:w="1276" w:type="dxa"/>
            <w:tcBorders>
              <w:top w:val="single" w:sz="4" w:space="0" w:color="auto"/>
              <w:left w:val="single" w:sz="4" w:space="0" w:color="auto"/>
              <w:bottom w:val="single" w:sz="4" w:space="0" w:color="auto"/>
              <w:right w:val="single" w:sz="4" w:space="0" w:color="auto"/>
            </w:tcBorders>
            <w:shd w:val="clear" w:color="000000" w:fill="1F4E78"/>
            <w:noWrap/>
            <w:vAlign w:val="center"/>
            <w:hideMark/>
          </w:tcPr>
          <w:p w14:paraId="7EEE84FB" w14:textId="77777777" w:rsidR="00BE7739" w:rsidRPr="00062207" w:rsidRDefault="00BE7739" w:rsidP="00BE7739">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2,153.0</w:t>
            </w:r>
          </w:p>
        </w:tc>
        <w:tc>
          <w:tcPr>
            <w:tcW w:w="1266" w:type="dxa"/>
            <w:tcBorders>
              <w:top w:val="single" w:sz="4" w:space="0" w:color="auto"/>
              <w:left w:val="nil"/>
              <w:bottom w:val="single" w:sz="4" w:space="0" w:color="auto"/>
              <w:right w:val="single" w:sz="8" w:space="0" w:color="auto"/>
            </w:tcBorders>
            <w:shd w:val="clear" w:color="000000" w:fill="1F4E78"/>
            <w:noWrap/>
            <w:vAlign w:val="center"/>
            <w:hideMark/>
          </w:tcPr>
          <w:p w14:paraId="1F708506" w14:textId="77777777" w:rsidR="00BE7739" w:rsidRPr="00062207" w:rsidRDefault="00BE7739" w:rsidP="00BE7739">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78.0</w:t>
            </w:r>
          </w:p>
        </w:tc>
      </w:tr>
      <w:tr w:rsidR="00062207" w:rsidRPr="00062207" w14:paraId="4B13C122" w14:textId="77777777" w:rsidTr="00BE7739">
        <w:trPr>
          <w:trHeight w:val="300"/>
          <w:jc w:val="center"/>
        </w:trPr>
        <w:tc>
          <w:tcPr>
            <w:tcW w:w="5245" w:type="dxa"/>
            <w:tcBorders>
              <w:top w:val="nil"/>
              <w:left w:val="single" w:sz="8" w:space="0" w:color="auto"/>
              <w:bottom w:val="nil"/>
              <w:right w:val="nil"/>
            </w:tcBorders>
            <w:shd w:val="clear" w:color="000000" w:fill="D9E1F2"/>
            <w:vAlign w:val="center"/>
            <w:hideMark/>
          </w:tcPr>
          <w:p w14:paraId="750D4A62" w14:textId="77777777" w:rsidR="00BE7739" w:rsidRPr="00062207" w:rsidRDefault="00BE7739" w:rsidP="00BE7739">
            <w:pP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Ministerio de Salud Pública y Asistencia Social</w:t>
            </w:r>
          </w:p>
        </w:tc>
        <w:tc>
          <w:tcPr>
            <w:tcW w:w="1701" w:type="dxa"/>
            <w:tcBorders>
              <w:top w:val="nil"/>
              <w:left w:val="single" w:sz="8" w:space="0" w:color="auto"/>
              <w:bottom w:val="nil"/>
              <w:right w:val="single" w:sz="4" w:space="0" w:color="auto"/>
            </w:tcBorders>
            <w:shd w:val="clear" w:color="000000" w:fill="D9E1F2"/>
            <w:vAlign w:val="center"/>
            <w:hideMark/>
          </w:tcPr>
          <w:p w14:paraId="19EB8CDC" w14:textId="77777777" w:rsidR="00BE7739" w:rsidRPr="00062207" w:rsidRDefault="00BE7739" w:rsidP="00BE7739">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2,544.4</w:t>
            </w:r>
          </w:p>
        </w:tc>
        <w:tc>
          <w:tcPr>
            <w:tcW w:w="1276" w:type="dxa"/>
            <w:tcBorders>
              <w:top w:val="nil"/>
              <w:left w:val="single" w:sz="4" w:space="0" w:color="auto"/>
              <w:bottom w:val="nil"/>
              <w:right w:val="single" w:sz="4" w:space="0" w:color="auto"/>
            </w:tcBorders>
            <w:shd w:val="clear" w:color="000000" w:fill="D9E1F2"/>
            <w:noWrap/>
            <w:vAlign w:val="center"/>
            <w:hideMark/>
          </w:tcPr>
          <w:p w14:paraId="7C87A61D" w14:textId="77777777" w:rsidR="00BE7739" w:rsidRPr="00062207" w:rsidRDefault="00BE7739" w:rsidP="00BE7739">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1,936.6</w:t>
            </w:r>
          </w:p>
        </w:tc>
        <w:tc>
          <w:tcPr>
            <w:tcW w:w="1266" w:type="dxa"/>
            <w:tcBorders>
              <w:top w:val="nil"/>
              <w:left w:val="nil"/>
              <w:bottom w:val="nil"/>
              <w:right w:val="single" w:sz="8" w:space="0" w:color="auto"/>
            </w:tcBorders>
            <w:shd w:val="clear" w:color="000000" w:fill="D9E1F2"/>
            <w:noWrap/>
            <w:vAlign w:val="center"/>
            <w:hideMark/>
          </w:tcPr>
          <w:p w14:paraId="7AFCB0B3" w14:textId="77777777" w:rsidR="00BE7739" w:rsidRPr="00062207" w:rsidRDefault="00BE7739" w:rsidP="00BE7739">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76.1</w:t>
            </w:r>
          </w:p>
        </w:tc>
      </w:tr>
      <w:tr w:rsidR="00062207" w:rsidRPr="00062207" w14:paraId="2A928C9E" w14:textId="77777777" w:rsidTr="00BE7739">
        <w:trPr>
          <w:trHeight w:val="600"/>
          <w:jc w:val="center"/>
        </w:trPr>
        <w:tc>
          <w:tcPr>
            <w:tcW w:w="5245" w:type="dxa"/>
            <w:tcBorders>
              <w:top w:val="nil"/>
              <w:left w:val="single" w:sz="8" w:space="0" w:color="auto"/>
              <w:bottom w:val="nil"/>
              <w:right w:val="nil"/>
            </w:tcBorders>
            <w:shd w:val="clear" w:color="auto" w:fill="auto"/>
            <w:vAlign w:val="center"/>
            <w:hideMark/>
          </w:tcPr>
          <w:p w14:paraId="4FE503CD" w14:textId="2EF38879" w:rsidR="00BE7739" w:rsidRPr="00062207" w:rsidRDefault="00BE7739" w:rsidP="00BE7739">
            <w:pPr>
              <w:ind w:firstLineChars="200" w:firstLine="400"/>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Intervenciones realizadas para la atención de la ……emergencia (laboratorios beneficiados con materiales y ……equipo y otros)</w:t>
            </w:r>
          </w:p>
        </w:tc>
        <w:tc>
          <w:tcPr>
            <w:tcW w:w="1701" w:type="dxa"/>
            <w:tcBorders>
              <w:top w:val="nil"/>
              <w:left w:val="single" w:sz="8" w:space="0" w:color="auto"/>
              <w:bottom w:val="nil"/>
              <w:right w:val="single" w:sz="4" w:space="0" w:color="auto"/>
            </w:tcBorders>
            <w:shd w:val="clear" w:color="auto" w:fill="auto"/>
            <w:vAlign w:val="center"/>
            <w:hideMark/>
          </w:tcPr>
          <w:p w14:paraId="1FCFB022" w14:textId="77777777" w:rsidR="00BE7739" w:rsidRPr="00062207" w:rsidRDefault="00BE7739" w:rsidP="00BE7739">
            <w:pPr>
              <w:jc w:val="center"/>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1,044.4</w:t>
            </w:r>
          </w:p>
        </w:tc>
        <w:tc>
          <w:tcPr>
            <w:tcW w:w="1276" w:type="dxa"/>
            <w:tcBorders>
              <w:top w:val="nil"/>
              <w:left w:val="single" w:sz="4" w:space="0" w:color="auto"/>
              <w:bottom w:val="nil"/>
              <w:right w:val="single" w:sz="4" w:space="0" w:color="auto"/>
            </w:tcBorders>
            <w:shd w:val="clear" w:color="auto" w:fill="auto"/>
            <w:noWrap/>
            <w:vAlign w:val="center"/>
            <w:hideMark/>
          </w:tcPr>
          <w:p w14:paraId="7DA4C7F6" w14:textId="77777777" w:rsidR="00BE7739" w:rsidRPr="00062207" w:rsidRDefault="00BE7739" w:rsidP="00BE7739">
            <w:pPr>
              <w:jc w:val="center"/>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921.3</w:t>
            </w:r>
          </w:p>
        </w:tc>
        <w:tc>
          <w:tcPr>
            <w:tcW w:w="1266" w:type="dxa"/>
            <w:tcBorders>
              <w:top w:val="nil"/>
              <w:left w:val="nil"/>
              <w:bottom w:val="nil"/>
              <w:right w:val="single" w:sz="8" w:space="0" w:color="auto"/>
            </w:tcBorders>
            <w:shd w:val="clear" w:color="auto" w:fill="auto"/>
            <w:noWrap/>
            <w:vAlign w:val="center"/>
            <w:hideMark/>
          </w:tcPr>
          <w:p w14:paraId="359830BD" w14:textId="77777777" w:rsidR="00BE7739" w:rsidRPr="00062207" w:rsidRDefault="00BE7739" w:rsidP="00BE7739">
            <w:pPr>
              <w:jc w:val="center"/>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88.2</w:t>
            </w:r>
          </w:p>
        </w:tc>
      </w:tr>
      <w:tr w:rsidR="00062207" w:rsidRPr="00062207" w14:paraId="5C556F6A" w14:textId="77777777" w:rsidTr="00BE7739">
        <w:trPr>
          <w:trHeight w:val="300"/>
          <w:jc w:val="center"/>
        </w:trPr>
        <w:tc>
          <w:tcPr>
            <w:tcW w:w="5245" w:type="dxa"/>
            <w:tcBorders>
              <w:top w:val="nil"/>
              <w:left w:val="single" w:sz="8" w:space="0" w:color="auto"/>
              <w:bottom w:val="nil"/>
              <w:right w:val="nil"/>
            </w:tcBorders>
            <w:shd w:val="clear" w:color="auto" w:fill="auto"/>
            <w:vAlign w:val="center"/>
            <w:hideMark/>
          </w:tcPr>
          <w:p w14:paraId="53294797" w14:textId="77777777" w:rsidR="00BE7739" w:rsidRPr="00062207" w:rsidRDefault="00BE7739" w:rsidP="00BE7739">
            <w:pPr>
              <w:ind w:firstLineChars="200" w:firstLine="400"/>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Vacuna COVID-19</w:t>
            </w:r>
          </w:p>
        </w:tc>
        <w:tc>
          <w:tcPr>
            <w:tcW w:w="1701" w:type="dxa"/>
            <w:tcBorders>
              <w:top w:val="nil"/>
              <w:left w:val="single" w:sz="8" w:space="0" w:color="auto"/>
              <w:bottom w:val="nil"/>
              <w:right w:val="single" w:sz="4" w:space="0" w:color="auto"/>
            </w:tcBorders>
            <w:shd w:val="clear" w:color="auto" w:fill="auto"/>
            <w:vAlign w:val="center"/>
            <w:hideMark/>
          </w:tcPr>
          <w:p w14:paraId="71AC3C8D" w14:textId="77777777" w:rsidR="00BE7739" w:rsidRPr="00062207" w:rsidRDefault="00BE7739" w:rsidP="00BE7739">
            <w:pPr>
              <w:jc w:val="center"/>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1,500.0</w:t>
            </w:r>
          </w:p>
        </w:tc>
        <w:tc>
          <w:tcPr>
            <w:tcW w:w="1276" w:type="dxa"/>
            <w:tcBorders>
              <w:top w:val="nil"/>
              <w:left w:val="single" w:sz="4" w:space="0" w:color="auto"/>
              <w:bottom w:val="nil"/>
              <w:right w:val="single" w:sz="4" w:space="0" w:color="auto"/>
            </w:tcBorders>
            <w:shd w:val="clear" w:color="auto" w:fill="auto"/>
            <w:noWrap/>
            <w:vAlign w:val="center"/>
            <w:hideMark/>
          </w:tcPr>
          <w:p w14:paraId="779BDF1C" w14:textId="77777777" w:rsidR="00BE7739" w:rsidRPr="00062207" w:rsidRDefault="00BE7739" w:rsidP="00BE7739">
            <w:pPr>
              <w:jc w:val="center"/>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1,015.3</w:t>
            </w:r>
          </w:p>
        </w:tc>
        <w:tc>
          <w:tcPr>
            <w:tcW w:w="1266" w:type="dxa"/>
            <w:tcBorders>
              <w:top w:val="nil"/>
              <w:left w:val="nil"/>
              <w:bottom w:val="nil"/>
              <w:right w:val="single" w:sz="8" w:space="0" w:color="auto"/>
            </w:tcBorders>
            <w:shd w:val="clear" w:color="auto" w:fill="auto"/>
            <w:noWrap/>
            <w:vAlign w:val="center"/>
            <w:hideMark/>
          </w:tcPr>
          <w:p w14:paraId="31CB38F9" w14:textId="77777777" w:rsidR="00BE7739" w:rsidRPr="00062207" w:rsidRDefault="00BE7739" w:rsidP="00BE7739">
            <w:pPr>
              <w:jc w:val="center"/>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67.7</w:t>
            </w:r>
          </w:p>
        </w:tc>
      </w:tr>
      <w:tr w:rsidR="00062207" w:rsidRPr="00062207" w14:paraId="3B3388F1" w14:textId="77777777" w:rsidTr="00BE7739">
        <w:trPr>
          <w:trHeight w:val="300"/>
          <w:jc w:val="center"/>
        </w:trPr>
        <w:tc>
          <w:tcPr>
            <w:tcW w:w="5245" w:type="dxa"/>
            <w:tcBorders>
              <w:top w:val="nil"/>
              <w:left w:val="single" w:sz="8" w:space="0" w:color="auto"/>
              <w:bottom w:val="nil"/>
              <w:right w:val="nil"/>
            </w:tcBorders>
            <w:shd w:val="clear" w:color="000000" w:fill="D9E1F2"/>
            <w:vAlign w:val="center"/>
            <w:hideMark/>
          </w:tcPr>
          <w:p w14:paraId="54A00FDF" w14:textId="77777777" w:rsidR="00BE7739" w:rsidRPr="00062207" w:rsidRDefault="00BE7739" w:rsidP="00BE7739">
            <w:pP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Ministerio de Desarrollo Social</w:t>
            </w:r>
          </w:p>
        </w:tc>
        <w:tc>
          <w:tcPr>
            <w:tcW w:w="1701" w:type="dxa"/>
            <w:tcBorders>
              <w:top w:val="nil"/>
              <w:left w:val="single" w:sz="8" w:space="0" w:color="auto"/>
              <w:bottom w:val="nil"/>
              <w:right w:val="single" w:sz="4" w:space="0" w:color="auto"/>
            </w:tcBorders>
            <w:shd w:val="clear" w:color="000000" w:fill="D9E1F2"/>
            <w:vAlign w:val="center"/>
            <w:hideMark/>
          </w:tcPr>
          <w:p w14:paraId="1B8DBA1A" w14:textId="77777777" w:rsidR="00BE7739" w:rsidRPr="00062207" w:rsidRDefault="00BE7739" w:rsidP="00BE7739">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103.0</w:t>
            </w:r>
          </w:p>
        </w:tc>
        <w:tc>
          <w:tcPr>
            <w:tcW w:w="1276" w:type="dxa"/>
            <w:tcBorders>
              <w:top w:val="nil"/>
              <w:left w:val="single" w:sz="4" w:space="0" w:color="auto"/>
              <w:bottom w:val="nil"/>
              <w:right w:val="single" w:sz="4" w:space="0" w:color="auto"/>
            </w:tcBorders>
            <w:shd w:val="clear" w:color="000000" w:fill="D9E1F2"/>
            <w:noWrap/>
            <w:vAlign w:val="center"/>
            <w:hideMark/>
          </w:tcPr>
          <w:p w14:paraId="272933FD" w14:textId="77777777" w:rsidR="00BE7739" w:rsidRPr="00062207" w:rsidRDefault="00BE7739" w:rsidP="00BE7739">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103.0</w:t>
            </w:r>
          </w:p>
        </w:tc>
        <w:tc>
          <w:tcPr>
            <w:tcW w:w="1266" w:type="dxa"/>
            <w:tcBorders>
              <w:top w:val="nil"/>
              <w:left w:val="nil"/>
              <w:bottom w:val="nil"/>
              <w:right w:val="single" w:sz="8" w:space="0" w:color="auto"/>
            </w:tcBorders>
            <w:shd w:val="clear" w:color="000000" w:fill="D9E1F2"/>
            <w:noWrap/>
            <w:vAlign w:val="center"/>
            <w:hideMark/>
          </w:tcPr>
          <w:p w14:paraId="72BC41C1" w14:textId="77777777" w:rsidR="00BE7739" w:rsidRPr="00062207" w:rsidRDefault="00BE7739" w:rsidP="00BE7739">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100.0</w:t>
            </w:r>
          </w:p>
        </w:tc>
      </w:tr>
      <w:tr w:rsidR="00062207" w:rsidRPr="00062207" w14:paraId="0E39F134" w14:textId="77777777" w:rsidTr="00BE7739">
        <w:trPr>
          <w:trHeight w:val="300"/>
          <w:jc w:val="center"/>
        </w:trPr>
        <w:tc>
          <w:tcPr>
            <w:tcW w:w="5245" w:type="dxa"/>
            <w:tcBorders>
              <w:top w:val="nil"/>
              <w:left w:val="single" w:sz="8" w:space="0" w:color="auto"/>
              <w:bottom w:val="nil"/>
              <w:right w:val="nil"/>
            </w:tcBorders>
            <w:shd w:val="clear" w:color="auto" w:fill="auto"/>
            <w:vAlign w:val="center"/>
            <w:hideMark/>
          </w:tcPr>
          <w:p w14:paraId="43195AE5" w14:textId="77777777" w:rsidR="00BE7739" w:rsidRPr="00062207" w:rsidRDefault="00BE7739" w:rsidP="00BE7739">
            <w:pPr>
              <w:ind w:firstLineChars="200" w:firstLine="400"/>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Alimentos para personas (regularización con el PMA)</w:t>
            </w:r>
          </w:p>
        </w:tc>
        <w:tc>
          <w:tcPr>
            <w:tcW w:w="1701" w:type="dxa"/>
            <w:tcBorders>
              <w:top w:val="nil"/>
              <w:left w:val="single" w:sz="8" w:space="0" w:color="auto"/>
              <w:bottom w:val="nil"/>
              <w:right w:val="single" w:sz="4" w:space="0" w:color="auto"/>
            </w:tcBorders>
            <w:shd w:val="clear" w:color="auto" w:fill="auto"/>
            <w:vAlign w:val="center"/>
            <w:hideMark/>
          </w:tcPr>
          <w:p w14:paraId="3EC0D8C3" w14:textId="77777777" w:rsidR="00BE7739" w:rsidRPr="00062207" w:rsidRDefault="00BE7739" w:rsidP="00BE7739">
            <w:pPr>
              <w:jc w:val="center"/>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103.0</w:t>
            </w:r>
          </w:p>
        </w:tc>
        <w:tc>
          <w:tcPr>
            <w:tcW w:w="1276" w:type="dxa"/>
            <w:tcBorders>
              <w:top w:val="nil"/>
              <w:left w:val="single" w:sz="4" w:space="0" w:color="auto"/>
              <w:bottom w:val="nil"/>
              <w:right w:val="single" w:sz="4" w:space="0" w:color="auto"/>
            </w:tcBorders>
            <w:shd w:val="clear" w:color="auto" w:fill="auto"/>
            <w:noWrap/>
            <w:vAlign w:val="center"/>
            <w:hideMark/>
          </w:tcPr>
          <w:p w14:paraId="074874F4" w14:textId="77777777" w:rsidR="00BE7739" w:rsidRPr="00062207" w:rsidRDefault="00BE7739" w:rsidP="00BE7739">
            <w:pPr>
              <w:jc w:val="center"/>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103.0</w:t>
            </w:r>
          </w:p>
        </w:tc>
        <w:tc>
          <w:tcPr>
            <w:tcW w:w="1266" w:type="dxa"/>
            <w:tcBorders>
              <w:top w:val="nil"/>
              <w:left w:val="nil"/>
              <w:bottom w:val="nil"/>
              <w:right w:val="single" w:sz="8" w:space="0" w:color="auto"/>
            </w:tcBorders>
            <w:shd w:val="clear" w:color="auto" w:fill="auto"/>
            <w:noWrap/>
            <w:vAlign w:val="center"/>
            <w:hideMark/>
          </w:tcPr>
          <w:p w14:paraId="01BB6C64" w14:textId="77777777" w:rsidR="00BE7739" w:rsidRPr="00062207" w:rsidRDefault="00BE7739" w:rsidP="00BE7739">
            <w:pPr>
              <w:jc w:val="center"/>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100.0</w:t>
            </w:r>
          </w:p>
        </w:tc>
      </w:tr>
      <w:tr w:rsidR="00062207" w:rsidRPr="00062207" w14:paraId="77718A3A" w14:textId="77777777" w:rsidTr="00BE7739">
        <w:trPr>
          <w:trHeight w:val="300"/>
          <w:jc w:val="center"/>
        </w:trPr>
        <w:tc>
          <w:tcPr>
            <w:tcW w:w="5245" w:type="dxa"/>
            <w:tcBorders>
              <w:top w:val="nil"/>
              <w:left w:val="single" w:sz="8" w:space="0" w:color="auto"/>
              <w:bottom w:val="nil"/>
              <w:right w:val="nil"/>
            </w:tcBorders>
            <w:shd w:val="clear" w:color="000000" w:fill="D9E1F2"/>
            <w:vAlign w:val="center"/>
            <w:hideMark/>
          </w:tcPr>
          <w:p w14:paraId="5FE70632" w14:textId="77777777" w:rsidR="00BE7739" w:rsidRPr="00062207" w:rsidRDefault="00BE7739" w:rsidP="00BE7739">
            <w:pP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Ministerio de Agricultura, Ganadería y Alimentación</w:t>
            </w:r>
          </w:p>
        </w:tc>
        <w:tc>
          <w:tcPr>
            <w:tcW w:w="1701" w:type="dxa"/>
            <w:tcBorders>
              <w:top w:val="nil"/>
              <w:left w:val="single" w:sz="8" w:space="0" w:color="auto"/>
              <w:bottom w:val="nil"/>
              <w:right w:val="single" w:sz="4" w:space="0" w:color="auto"/>
            </w:tcBorders>
            <w:shd w:val="clear" w:color="000000" w:fill="D9E1F2"/>
            <w:vAlign w:val="center"/>
            <w:hideMark/>
          </w:tcPr>
          <w:p w14:paraId="3CE5A6BF" w14:textId="77777777" w:rsidR="00BE7739" w:rsidRPr="00062207" w:rsidRDefault="00BE7739" w:rsidP="00BE7739">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113.3</w:t>
            </w:r>
          </w:p>
        </w:tc>
        <w:tc>
          <w:tcPr>
            <w:tcW w:w="1276" w:type="dxa"/>
            <w:tcBorders>
              <w:top w:val="nil"/>
              <w:left w:val="single" w:sz="4" w:space="0" w:color="auto"/>
              <w:bottom w:val="nil"/>
              <w:right w:val="single" w:sz="4" w:space="0" w:color="auto"/>
            </w:tcBorders>
            <w:shd w:val="clear" w:color="000000" w:fill="D9E1F2"/>
            <w:noWrap/>
            <w:vAlign w:val="center"/>
            <w:hideMark/>
          </w:tcPr>
          <w:p w14:paraId="513ACD85" w14:textId="77777777" w:rsidR="00BE7739" w:rsidRPr="00062207" w:rsidRDefault="00BE7739" w:rsidP="00BE7739">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113.3</w:t>
            </w:r>
          </w:p>
        </w:tc>
        <w:tc>
          <w:tcPr>
            <w:tcW w:w="1266" w:type="dxa"/>
            <w:tcBorders>
              <w:top w:val="nil"/>
              <w:left w:val="nil"/>
              <w:bottom w:val="nil"/>
              <w:right w:val="single" w:sz="8" w:space="0" w:color="auto"/>
            </w:tcBorders>
            <w:shd w:val="clear" w:color="000000" w:fill="D9E1F2"/>
            <w:noWrap/>
            <w:vAlign w:val="center"/>
            <w:hideMark/>
          </w:tcPr>
          <w:p w14:paraId="57EB42E1" w14:textId="77777777" w:rsidR="00BE7739" w:rsidRPr="00062207" w:rsidRDefault="00BE7739" w:rsidP="00BE7739">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100.0</w:t>
            </w:r>
          </w:p>
        </w:tc>
      </w:tr>
      <w:tr w:rsidR="00062207" w:rsidRPr="00062207" w14:paraId="2F6228B5" w14:textId="77777777" w:rsidTr="00BE7739">
        <w:trPr>
          <w:trHeight w:val="300"/>
          <w:jc w:val="center"/>
        </w:trPr>
        <w:tc>
          <w:tcPr>
            <w:tcW w:w="5245" w:type="dxa"/>
            <w:tcBorders>
              <w:top w:val="nil"/>
              <w:left w:val="single" w:sz="8" w:space="0" w:color="auto"/>
              <w:bottom w:val="nil"/>
              <w:right w:val="nil"/>
            </w:tcBorders>
            <w:shd w:val="clear" w:color="auto" w:fill="auto"/>
            <w:vAlign w:val="center"/>
            <w:hideMark/>
          </w:tcPr>
          <w:p w14:paraId="59D0C0C4" w14:textId="77777777" w:rsidR="00BE7739" w:rsidRPr="00062207" w:rsidRDefault="00BE7739" w:rsidP="00BE7739">
            <w:pPr>
              <w:ind w:firstLineChars="200" w:firstLine="400"/>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Alimentos para personas (regularización con el PMA)</w:t>
            </w:r>
          </w:p>
        </w:tc>
        <w:tc>
          <w:tcPr>
            <w:tcW w:w="1701" w:type="dxa"/>
            <w:tcBorders>
              <w:top w:val="nil"/>
              <w:left w:val="single" w:sz="8" w:space="0" w:color="auto"/>
              <w:bottom w:val="nil"/>
              <w:right w:val="single" w:sz="4" w:space="0" w:color="auto"/>
            </w:tcBorders>
            <w:shd w:val="clear" w:color="auto" w:fill="auto"/>
            <w:vAlign w:val="center"/>
            <w:hideMark/>
          </w:tcPr>
          <w:p w14:paraId="387FF60C" w14:textId="77777777" w:rsidR="00BE7739" w:rsidRPr="00062207" w:rsidRDefault="00BE7739" w:rsidP="00BE7739">
            <w:pPr>
              <w:jc w:val="center"/>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113.3</w:t>
            </w:r>
          </w:p>
        </w:tc>
        <w:tc>
          <w:tcPr>
            <w:tcW w:w="1276" w:type="dxa"/>
            <w:tcBorders>
              <w:top w:val="nil"/>
              <w:left w:val="single" w:sz="4" w:space="0" w:color="auto"/>
              <w:bottom w:val="nil"/>
              <w:right w:val="single" w:sz="4" w:space="0" w:color="auto"/>
            </w:tcBorders>
            <w:shd w:val="clear" w:color="auto" w:fill="auto"/>
            <w:noWrap/>
            <w:vAlign w:val="center"/>
            <w:hideMark/>
          </w:tcPr>
          <w:p w14:paraId="200EF1D8" w14:textId="77777777" w:rsidR="00BE7739" w:rsidRPr="00062207" w:rsidRDefault="00BE7739" w:rsidP="00BE7739">
            <w:pPr>
              <w:jc w:val="center"/>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113.3</w:t>
            </w:r>
          </w:p>
        </w:tc>
        <w:tc>
          <w:tcPr>
            <w:tcW w:w="1266" w:type="dxa"/>
            <w:tcBorders>
              <w:top w:val="nil"/>
              <w:left w:val="nil"/>
              <w:bottom w:val="nil"/>
              <w:right w:val="single" w:sz="8" w:space="0" w:color="auto"/>
            </w:tcBorders>
            <w:shd w:val="clear" w:color="auto" w:fill="auto"/>
            <w:noWrap/>
            <w:vAlign w:val="center"/>
            <w:hideMark/>
          </w:tcPr>
          <w:p w14:paraId="7860A9E2" w14:textId="77777777" w:rsidR="00BE7739" w:rsidRPr="00062207" w:rsidRDefault="00BE7739" w:rsidP="00BE7739">
            <w:pPr>
              <w:jc w:val="center"/>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100.0</w:t>
            </w:r>
          </w:p>
        </w:tc>
      </w:tr>
      <w:tr w:rsidR="00062207" w:rsidRPr="00062207" w14:paraId="0BF6C46F" w14:textId="77777777" w:rsidTr="00BE7739">
        <w:trPr>
          <w:trHeight w:val="570"/>
          <w:jc w:val="center"/>
        </w:trPr>
        <w:tc>
          <w:tcPr>
            <w:tcW w:w="5245" w:type="dxa"/>
            <w:tcBorders>
              <w:top w:val="single" w:sz="4" w:space="0" w:color="auto"/>
              <w:left w:val="single" w:sz="8" w:space="0" w:color="auto"/>
              <w:bottom w:val="single" w:sz="4" w:space="0" w:color="auto"/>
              <w:right w:val="nil"/>
            </w:tcBorders>
            <w:shd w:val="clear" w:color="000000" w:fill="1F4E78"/>
            <w:vAlign w:val="center"/>
            <w:hideMark/>
          </w:tcPr>
          <w:p w14:paraId="63C066EB" w14:textId="77777777" w:rsidR="00BE7739" w:rsidRPr="00062207" w:rsidRDefault="00BE7739" w:rsidP="004C07BF">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Subprograma 13 Ley de Emergencia Nacional para la atención de la Pandemia COVID-19</w:t>
            </w:r>
          </w:p>
        </w:tc>
        <w:tc>
          <w:tcPr>
            <w:tcW w:w="1701" w:type="dxa"/>
            <w:tcBorders>
              <w:top w:val="single" w:sz="4" w:space="0" w:color="auto"/>
              <w:left w:val="single" w:sz="8" w:space="0" w:color="auto"/>
              <w:bottom w:val="single" w:sz="4" w:space="0" w:color="auto"/>
              <w:right w:val="single" w:sz="4" w:space="0" w:color="auto"/>
            </w:tcBorders>
            <w:shd w:val="clear" w:color="000000" w:fill="1F4E78"/>
            <w:noWrap/>
            <w:vAlign w:val="center"/>
            <w:hideMark/>
          </w:tcPr>
          <w:p w14:paraId="673923EE" w14:textId="77777777" w:rsidR="00BE7739" w:rsidRPr="00062207" w:rsidRDefault="00BE7739" w:rsidP="00BE7739">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1,910.2</w:t>
            </w:r>
          </w:p>
        </w:tc>
        <w:tc>
          <w:tcPr>
            <w:tcW w:w="1276" w:type="dxa"/>
            <w:tcBorders>
              <w:top w:val="single" w:sz="4" w:space="0" w:color="auto"/>
              <w:left w:val="single" w:sz="4" w:space="0" w:color="auto"/>
              <w:bottom w:val="single" w:sz="4" w:space="0" w:color="auto"/>
              <w:right w:val="single" w:sz="4" w:space="0" w:color="auto"/>
            </w:tcBorders>
            <w:shd w:val="clear" w:color="000000" w:fill="1F4E78"/>
            <w:noWrap/>
            <w:vAlign w:val="center"/>
            <w:hideMark/>
          </w:tcPr>
          <w:p w14:paraId="16244425" w14:textId="77777777" w:rsidR="00BE7739" w:rsidRPr="00062207" w:rsidRDefault="00BE7739" w:rsidP="00BE7739">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1,065.2</w:t>
            </w:r>
          </w:p>
        </w:tc>
        <w:tc>
          <w:tcPr>
            <w:tcW w:w="1266" w:type="dxa"/>
            <w:tcBorders>
              <w:top w:val="single" w:sz="4" w:space="0" w:color="auto"/>
              <w:left w:val="nil"/>
              <w:bottom w:val="single" w:sz="4" w:space="0" w:color="auto"/>
              <w:right w:val="single" w:sz="8" w:space="0" w:color="auto"/>
            </w:tcBorders>
            <w:shd w:val="clear" w:color="000000" w:fill="1F4E78"/>
            <w:noWrap/>
            <w:vAlign w:val="center"/>
            <w:hideMark/>
          </w:tcPr>
          <w:p w14:paraId="0856FB63" w14:textId="77777777" w:rsidR="00BE7739" w:rsidRPr="00062207" w:rsidRDefault="00BE7739" w:rsidP="00BE7739">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55.8</w:t>
            </w:r>
          </w:p>
        </w:tc>
      </w:tr>
      <w:tr w:rsidR="00062207" w:rsidRPr="00062207" w14:paraId="6DEF82A5" w14:textId="77777777" w:rsidTr="00BE7739">
        <w:trPr>
          <w:trHeight w:val="300"/>
          <w:jc w:val="center"/>
        </w:trPr>
        <w:tc>
          <w:tcPr>
            <w:tcW w:w="5245" w:type="dxa"/>
            <w:tcBorders>
              <w:top w:val="nil"/>
              <w:left w:val="single" w:sz="8" w:space="0" w:color="auto"/>
              <w:bottom w:val="nil"/>
              <w:right w:val="nil"/>
            </w:tcBorders>
            <w:shd w:val="clear" w:color="000000" w:fill="D9E1F2"/>
            <w:vAlign w:val="center"/>
            <w:hideMark/>
          </w:tcPr>
          <w:p w14:paraId="14DA8409" w14:textId="77777777" w:rsidR="00BE7739" w:rsidRPr="00062207" w:rsidRDefault="00BE7739" w:rsidP="00BE7739">
            <w:pP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Ministerio de Salud Pública y Asistencia Social</w:t>
            </w:r>
          </w:p>
        </w:tc>
        <w:tc>
          <w:tcPr>
            <w:tcW w:w="1701" w:type="dxa"/>
            <w:tcBorders>
              <w:top w:val="nil"/>
              <w:left w:val="single" w:sz="8" w:space="0" w:color="auto"/>
              <w:bottom w:val="nil"/>
              <w:right w:val="single" w:sz="4" w:space="0" w:color="auto"/>
            </w:tcBorders>
            <w:shd w:val="clear" w:color="000000" w:fill="D9E1F2"/>
            <w:noWrap/>
            <w:vAlign w:val="center"/>
            <w:hideMark/>
          </w:tcPr>
          <w:p w14:paraId="1E07F91B" w14:textId="77777777" w:rsidR="00BE7739" w:rsidRPr="00062207" w:rsidRDefault="00BE7739" w:rsidP="00BE7739">
            <w:pPr>
              <w:jc w:val="center"/>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1,895.3</w:t>
            </w:r>
          </w:p>
        </w:tc>
        <w:tc>
          <w:tcPr>
            <w:tcW w:w="1276" w:type="dxa"/>
            <w:tcBorders>
              <w:top w:val="nil"/>
              <w:left w:val="single" w:sz="4" w:space="0" w:color="auto"/>
              <w:bottom w:val="nil"/>
              <w:right w:val="single" w:sz="4" w:space="0" w:color="auto"/>
            </w:tcBorders>
            <w:shd w:val="clear" w:color="000000" w:fill="D9E1F2"/>
            <w:noWrap/>
            <w:vAlign w:val="center"/>
            <w:hideMark/>
          </w:tcPr>
          <w:p w14:paraId="32EC3E40" w14:textId="77777777" w:rsidR="00BE7739" w:rsidRPr="00062207" w:rsidRDefault="00BE7739" w:rsidP="00BE7739">
            <w:pPr>
              <w:jc w:val="center"/>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1,051.5</w:t>
            </w:r>
          </w:p>
        </w:tc>
        <w:tc>
          <w:tcPr>
            <w:tcW w:w="1266" w:type="dxa"/>
            <w:tcBorders>
              <w:top w:val="nil"/>
              <w:left w:val="nil"/>
              <w:bottom w:val="nil"/>
              <w:right w:val="single" w:sz="8" w:space="0" w:color="auto"/>
            </w:tcBorders>
            <w:shd w:val="clear" w:color="000000" w:fill="D9E1F2"/>
            <w:noWrap/>
            <w:vAlign w:val="center"/>
            <w:hideMark/>
          </w:tcPr>
          <w:p w14:paraId="2C1CF4FE" w14:textId="77777777" w:rsidR="00BE7739" w:rsidRPr="00062207" w:rsidRDefault="00BE7739" w:rsidP="00BE7739">
            <w:pPr>
              <w:jc w:val="center"/>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55.5</w:t>
            </w:r>
          </w:p>
        </w:tc>
      </w:tr>
      <w:tr w:rsidR="00062207" w:rsidRPr="00062207" w14:paraId="4364255F" w14:textId="77777777" w:rsidTr="00BE7739">
        <w:trPr>
          <w:trHeight w:val="600"/>
          <w:jc w:val="center"/>
        </w:trPr>
        <w:tc>
          <w:tcPr>
            <w:tcW w:w="5245" w:type="dxa"/>
            <w:tcBorders>
              <w:top w:val="nil"/>
              <w:left w:val="single" w:sz="8" w:space="0" w:color="auto"/>
              <w:bottom w:val="nil"/>
              <w:right w:val="nil"/>
            </w:tcBorders>
            <w:shd w:val="clear" w:color="auto" w:fill="auto"/>
            <w:vAlign w:val="center"/>
            <w:hideMark/>
          </w:tcPr>
          <w:p w14:paraId="1873F3FF" w14:textId="207E5669" w:rsidR="00BE7739" w:rsidRPr="00062207" w:rsidRDefault="00BE7739" w:rsidP="00BE7739">
            <w:pPr>
              <w:ind w:firstLineChars="200" w:firstLine="400"/>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Intervenciones de prevención, recuperación para la    ……pandemia COVID-19 y kits de tratamiento COVID-19</w:t>
            </w:r>
          </w:p>
        </w:tc>
        <w:tc>
          <w:tcPr>
            <w:tcW w:w="1701" w:type="dxa"/>
            <w:tcBorders>
              <w:top w:val="nil"/>
              <w:left w:val="single" w:sz="8" w:space="0" w:color="auto"/>
              <w:bottom w:val="nil"/>
              <w:right w:val="single" w:sz="4" w:space="0" w:color="auto"/>
            </w:tcBorders>
            <w:shd w:val="clear" w:color="auto" w:fill="auto"/>
            <w:noWrap/>
            <w:vAlign w:val="center"/>
            <w:hideMark/>
          </w:tcPr>
          <w:p w14:paraId="33644173" w14:textId="77777777" w:rsidR="00BE7739" w:rsidRPr="00062207" w:rsidRDefault="00BE7739" w:rsidP="00BE7739">
            <w:pPr>
              <w:jc w:val="center"/>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1,895.3</w:t>
            </w:r>
          </w:p>
        </w:tc>
        <w:tc>
          <w:tcPr>
            <w:tcW w:w="1276" w:type="dxa"/>
            <w:tcBorders>
              <w:top w:val="nil"/>
              <w:left w:val="single" w:sz="4" w:space="0" w:color="auto"/>
              <w:bottom w:val="nil"/>
              <w:right w:val="single" w:sz="4" w:space="0" w:color="auto"/>
            </w:tcBorders>
            <w:shd w:val="clear" w:color="auto" w:fill="auto"/>
            <w:noWrap/>
            <w:vAlign w:val="center"/>
            <w:hideMark/>
          </w:tcPr>
          <w:p w14:paraId="282F9B04" w14:textId="77777777" w:rsidR="00BE7739" w:rsidRPr="00062207" w:rsidRDefault="00BE7739" w:rsidP="00BE7739">
            <w:pPr>
              <w:jc w:val="center"/>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1,051.5</w:t>
            </w:r>
          </w:p>
        </w:tc>
        <w:tc>
          <w:tcPr>
            <w:tcW w:w="1266" w:type="dxa"/>
            <w:tcBorders>
              <w:top w:val="nil"/>
              <w:left w:val="nil"/>
              <w:bottom w:val="nil"/>
              <w:right w:val="single" w:sz="8" w:space="0" w:color="auto"/>
            </w:tcBorders>
            <w:shd w:val="clear" w:color="auto" w:fill="auto"/>
            <w:noWrap/>
            <w:vAlign w:val="center"/>
            <w:hideMark/>
          </w:tcPr>
          <w:p w14:paraId="455AB1CF" w14:textId="77777777" w:rsidR="00BE7739" w:rsidRPr="00062207" w:rsidRDefault="00BE7739" w:rsidP="00BE7739">
            <w:pPr>
              <w:jc w:val="center"/>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55.5</w:t>
            </w:r>
          </w:p>
        </w:tc>
      </w:tr>
      <w:tr w:rsidR="00062207" w:rsidRPr="00062207" w14:paraId="1EB1AF76" w14:textId="77777777" w:rsidTr="00BE7739">
        <w:trPr>
          <w:trHeight w:val="300"/>
          <w:jc w:val="center"/>
        </w:trPr>
        <w:tc>
          <w:tcPr>
            <w:tcW w:w="5245" w:type="dxa"/>
            <w:tcBorders>
              <w:top w:val="nil"/>
              <w:left w:val="single" w:sz="8" w:space="0" w:color="auto"/>
              <w:bottom w:val="nil"/>
              <w:right w:val="nil"/>
            </w:tcBorders>
            <w:shd w:val="clear" w:color="000000" w:fill="D9E1F2"/>
            <w:vAlign w:val="center"/>
            <w:hideMark/>
          </w:tcPr>
          <w:p w14:paraId="73FA78D0" w14:textId="77777777" w:rsidR="00BE7739" w:rsidRPr="00062207" w:rsidRDefault="00BE7739" w:rsidP="00BE7739">
            <w:pP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Secretarías y otras dependencias del Ejecutivo</w:t>
            </w:r>
          </w:p>
        </w:tc>
        <w:tc>
          <w:tcPr>
            <w:tcW w:w="1701" w:type="dxa"/>
            <w:tcBorders>
              <w:top w:val="nil"/>
              <w:left w:val="single" w:sz="8" w:space="0" w:color="auto"/>
              <w:bottom w:val="nil"/>
              <w:right w:val="single" w:sz="4" w:space="0" w:color="auto"/>
            </w:tcBorders>
            <w:shd w:val="clear" w:color="000000" w:fill="D9E1F2"/>
            <w:noWrap/>
            <w:vAlign w:val="center"/>
            <w:hideMark/>
          </w:tcPr>
          <w:p w14:paraId="6AF9B274" w14:textId="77777777" w:rsidR="00BE7739" w:rsidRPr="00062207" w:rsidRDefault="00BE7739" w:rsidP="00BE7739">
            <w:pPr>
              <w:jc w:val="center"/>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14.9</w:t>
            </w:r>
          </w:p>
        </w:tc>
        <w:tc>
          <w:tcPr>
            <w:tcW w:w="1276" w:type="dxa"/>
            <w:tcBorders>
              <w:top w:val="nil"/>
              <w:left w:val="single" w:sz="4" w:space="0" w:color="auto"/>
              <w:bottom w:val="nil"/>
              <w:right w:val="single" w:sz="4" w:space="0" w:color="auto"/>
            </w:tcBorders>
            <w:shd w:val="clear" w:color="000000" w:fill="D9E1F2"/>
            <w:noWrap/>
            <w:vAlign w:val="center"/>
            <w:hideMark/>
          </w:tcPr>
          <w:p w14:paraId="084005C1" w14:textId="77777777" w:rsidR="00BE7739" w:rsidRPr="00062207" w:rsidRDefault="00BE7739" w:rsidP="00BE7739">
            <w:pPr>
              <w:jc w:val="center"/>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13.7</w:t>
            </w:r>
          </w:p>
        </w:tc>
        <w:tc>
          <w:tcPr>
            <w:tcW w:w="1266" w:type="dxa"/>
            <w:tcBorders>
              <w:top w:val="nil"/>
              <w:left w:val="nil"/>
              <w:bottom w:val="nil"/>
              <w:right w:val="single" w:sz="8" w:space="0" w:color="auto"/>
            </w:tcBorders>
            <w:shd w:val="clear" w:color="000000" w:fill="D9E1F2"/>
            <w:noWrap/>
            <w:vAlign w:val="center"/>
            <w:hideMark/>
          </w:tcPr>
          <w:p w14:paraId="1B296919" w14:textId="77777777" w:rsidR="00BE7739" w:rsidRPr="00062207" w:rsidRDefault="00BE7739" w:rsidP="00BE7739">
            <w:pPr>
              <w:jc w:val="center"/>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92.1</w:t>
            </w:r>
          </w:p>
        </w:tc>
      </w:tr>
      <w:tr w:rsidR="00062207" w:rsidRPr="00062207" w14:paraId="3CB1A78C" w14:textId="77777777" w:rsidTr="00BE7739">
        <w:trPr>
          <w:trHeight w:val="315"/>
          <w:jc w:val="center"/>
        </w:trPr>
        <w:tc>
          <w:tcPr>
            <w:tcW w:w="5245" w:type="dxa"/>
            <w:tcBorders>
              <w:top w:val="nil"/>
              <w:left w:val="single" w:sz="8" w:space="0" w:color="auto"/>
              <w:bottom w:val="single" w:sz="8" w:space="0" w:color="auto"/>
              <w:right w:val="nil"/>
            </w:tcBorders>
            <w:shd w:val="clear" w:color="auto" w:fill="auto"/>
            <w:vAlign w:val="center"/>
            <w:hideMark/>
          </w:tcPr>
          <w:p w14:paraId="21A5115E" w14:textId="77777777" w:rsidR="00BE7739" w:rsidRPr="00062207" w:rsidRDefault="00BE7739" w:rsidP="00BE7739">
            <w:pPr>
              <w:ind w:firstLineChars="200" w:firstLine="400"/>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Divulgación de información</w:t>
            </w:r>
          </w:p>
        </w:tc>
        <w:tc>
          <w:tcPr>
            <w:tcW w:w="1701" w:type="dxa"/>
            <w:tcBorders>
              <w:top w:val="nil"/>
              <w:left w:val="single" w:sz="8" w:space="0" w:color="auto"/>
              <w:bottom w:val="single" w:sz="8" w:space="0" w:color="auto"/>
              <w:right w:val="single" w:sz="4" w:space="0" w:color="auto"/>
            </w:tcBorders>
            <w:shd w:val="clear" w:color="auto" w:fill="auto"/>
            <w:noWrap/>
            <w:vAlign w:val="center"/>
            <w:hideMark/>
          </w:tcPr>
          <w:p w14:paraId="54981246" w14:textId="77777777" w:rsidR="00BE7739" w:rsidRPr="00062207" w:rsidRDefault="00BE7739" w:rsidP="00BE7739">
            <w:pPr>
              <w:jc w:val="center"/>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14.9</w:t>
            </w:r>
          </w:p>
        </w:tc>
        <w:tc>
          <w:tcPr>
            <w:tcW w:w="1276" w:type="dxa"/>
            <w:tcBorders>
              <w:top w:val="nil"/>
              <w:left w:val="nil"/>
              <w:bottom w:val="single" w:sz="8" w:space="0" w:color="auto"/>
              <w:right w:val="single" w:sz="4" w:space="0" w:color="auto"/>
            </w:tcBorders>
            <w:shd w:val="clear" w:color="auto" w:fill="auto"/>
            <w:noWrap/>
            <w:vAlign w:val="center"/>
            <w:hideMark/>
          </w:tcPr>
          <w:p w14:paraId="6901DA13" w14:textId="77777777" w:rsidR="00BE7739" w:rsidRPr="00062207" w:rsidRDefault="00BE7739" w:rsidP="00BE7739">
            <w:pPr>
              <w:jc w:val="center"/>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13.7</w:t>
            </w:r>
          </w:p>
        </w:tc>
        <w:tc>
          <w:tcPr>
            <w:tcW w:w="1266" w:type="dxa"/>
            <w:tcBorders>
              <w:top w:val="nil"/>
              <w:left w:val="nil"/>
              <w:bottom w:val="single" w:sz="8" w:space="0" w:color="auto"/>
              <w:right w:val="single" w:sz="8" w:space="0" w:color="auto"/>
            </w:tcBorders>
            <w:shd w:val="clear" w:color="auto" w:fill="auto"/>
            <w:noWrap/>
            <w:vAlign w:val="center"/>
            <w:hideMark/>
          </w:tcPr>
          <w:p w14:paraId="0717F228" w14:textId="77777777" w:rsidR="00BE7739" w:rsidRPr="00062207" w:rsidRDefault="00BE7739" w:rsidP="00BE7739">
            <w:pPr>
              <w:jc w:val="center"/>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92.1</w:t>
            </w:r>
          </w:p>
        </w:tc>
      </w:tr>
    </w:tbl>
    <w:p w14:paraId="1326FB04" w14:textId="149A6C04" w:rsidR="00BE7739" w:rsidRPr="00062207" w:rsidRDefault="00BE7739" w:rsidP="00BE7739">
      <w:pPr>
        <w:rPr>
          <w:rFonts w:ascii="Times New Roman" w:hAnsi="Times New Roman" w:cs="Times New Roman"/>
          <w:sz w:val="18"/>
        </w:rPr>
      </w:pPr>
      <w:r w:rsidRPr="00062207">
        <w:rPr>
          <w:rFonts w:ascii="Times New Roman" w:hAnsi="Times New Roman" w:cs="Times New Roman"/>
          <w:sz w:val="18"/>
        </w:rPr>
        <w:t>Fuente: SICOIN y SIGES</w:t>
      </w:r>
    </w:p>
    <w:p w14:paraId="032E94FF" w14:textId="77777777" w:rsidR="006E0CFB" w:rsidRPr="00062207" w:rsidRDefault="006E0CFB" w:rsidP="00BE7739">
      <w:pPr>
        <w:rPr>
          <w:rFonts w:ascii="Times New Roman" w:hAnsi="Times New Roman" w:cs="Times New Roman"/>
          <w:sz w:val="16"/>
        </w:rPr>
      </w:pPr>
    </w:p>
    <w:p w14:paraId="3699CB36" w14:textId="4B267C7C" w:rsidR="00404B85" w:rsidRPr="00062207" w:rsidRDefault="00404B85" w:rsidP="00404B85">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center"/>
        <w:rPr>
          <w:rFonts w:ascii="Times New Roman" w:hAnsi="Times New Roman" w:cs="Times New Roman"/>
          <w:sz w:val="20"/>
          <w:szCs w:val="22"/>
          <w:lang w:val="es-MX"/>
        </w:rPr>
      </w:pPr>
      <w:r w:rsidRPr="00062207">
        <w:rPr>
          <w:rFonts w:ascii="Times New Roman" w:hAnsi="Times New Roman" w:cs="Times New Roman"/>
          <w:b/>
          <w:sz w:val="20"/>
          <w:szCs w:val="22"/>
          <w:lang w:val="es-MX"/>
        </w:rPr>
        <w:t>Decretos aprobados para la atención del COVID-19 en 2021</w:t>
      </w:r>
    </w:p>
    <w:p w14:paraId="4515B16E" w14:textId="165D4255" w:rsidR="00404B85" w:rsidRPr="00062207" w:rsidRDefault="00404B85" w:rsidP="00404B85">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0"/>
          <w:szCs w:val="22"/>
          <w:lang w:val="es-MX"/>
        </w:rPr>
      </w:pPr>
    </w:p>
    <w:p w14:paraId="12C68256" w14:textId="0A9CDE8B" w:rsidR="00404B85" w:rsidRPr="00062207" w:rsidRDefault="00A616BC" w:rsidP="00404B85">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0"/>
          <w:szCs w:val="22"/>
          <w:lang w:val="es-MX"/>
        </w:rPr>
      </w:pPr>
      <w:r w:rsidRPr="00062207">
        <w:rPr>
          <w:rFonts w:ascii="Times New Roman" w:hAnsi="Times New Roman" w:cs="Times New Roman"/>
          <w:sz w:val="20"/>
          <w:szCs w:val="22"/>
          <w:lang w:val="es-MX"/>
        </w:rPr>
        <w:t>Durante 2021 se continuó</w:t>
      </w:r>
      <w:r w:rsidR="00404B85" w:rsidRPr="00062207">
        <w:rPr>
          <w:rFonts w:ascii="Times New Roman" w:hAnsi="Times New Roman" w:cs="Times New Roman"/>
          <w:sz w:val="20"/>
          <w:szCs w:val="22"/>
          <w:lang w:val="es-MX"/>
        </w:rPr>
        <w:t xml:space="preserve"> dando atención oportuna al COVID-19, en enero fue aprobado el </w:t>
      </w:r>
      <w:r w:rsidR="00404B85" w:rsidRPr="00062207">
        <w:rPr>
          <w:rFonts w:ascii="Times New Roman" w:hAnsi="Times New Roman" w:cs="Times New Roman"/>
          <w:b/>
          <w:sz w:val="20"/>
          <w:szCs w:val="22"/>
          <w:lang w:val="es-MX"/>
        </w:rPr>
        <w:t>Decreto 01-2021</w:t>
      </w:r>
      <w:r w:rsidR="00404B85" w:rsidRPr="00062207">
        <w:rPr>
          <w:rFonts w:ascii="Times New Roman" w:hAnsi="Times New Roman" w:cs="Times New Roman"/>
          <w:sz w:val="20"/>
          <w:szCs w:val="22"/>
          <w:lang w:val="es-MX"/>
        </w:rPr>
        <w:t xml:space="preserve"> </w:t>
      </w:r>
      <w:r w:rsidR="00404B85" w:rsidRPr="00062207">
        <w:rPr>
          <w:rFonts w:ascii="Times New Roman" w:hAnsi="Times New Roman" w:cs="Times New Roman"/>
          <w:b/>
          <w:sz w:val="20"/>
          <w:szCs w:val="22"/>
          <w:lang w:val="es-MX"/>
        </w:rPr>
        <w:t>“Ley para el financiamiento y adquisición de vacunas contra el coronavirus COVID-19”,</w:t>
      </w:r>
      <w:r w:rsidR="00404B85" w:rsidRPr="00062207">
        <w:rPr>
          <w:rFonts w:ascii="Times New Roman" w:hAnsi="Times New Roman" w:cs="Times New Roman"/>
          <w:sz w:val="20"/>
          <w:szCs w:val="22"/>
          <w:lang w:val="es-MX"/>
        </w:rPr>
        <w:t xml:space="preserve"> considerando que el Proyecto de Presupuesto 2021 no fue aprobado y no se disponían de los mecanismos legales y recursos para el financiamiento, adquisición y distribución de la vacuna. </w:t>
      </w:r>
      <w:r w:rsidRPr="00062207">
        <w:rPr>
          <w:rFonts w:ascii="Times New Roman" w:hAnsi="Times New Roman" w:cs="Times New Roman"/>
          <w:sz w:val="20"/>
          <w:szCs w:val="22"/>
          <w:lang w:val="es-MX"/>
        </w:rPr>
        <w:t>Por ello, este decreto contemplo</w:t>
      </w:r>
      <w:r w:rsidR="00404B85" w:rsidRPr="00062207">
        <w:rPr>
          <w:rFonts w:ascii="Times New Roman" w:hAnsi="Times New Roman" w:cs="Times New Roman"/>
          <w:sz w:val="20"/>
          <w:szCs w:val="22"/>
          <w:lang w:val="es-MX"/>
        </w:rPr>
        <w:t xml:space="preserve"> la readecuación del presupuesto hasta por el monto de Q1,500 millones con el objetivo de incrementar el presupuesto de egresos del Ministerio de Salud Pública y Asistencia Social para la adquisición de la vacuna contra el COVID-19 y de esta forma el Estado cumpliera su objetivo de garantizar la vacunación gratuita.</w:t>
      </w:r>
    </w:p>
    <w:p w14:paraId="221469DC" w14:textId="21795885" w:rsidR="00404B85" w:rsidRPr="00062207" w:rsidRDefault="00404B85" w:rsidP="00404B85">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0"/>
          <w:szCs w:val="22"/>
          <w:lang w:val="es-MX"/>
        </w:rPr>
      </w:pPr>
    </w:p>
    <w:p w14:paraId="227CBB24" w14:textId="77777777" w:rsidR="00404B85" w:rsidRPr="00062207" w:rsidRDefault="00404B85" w:rsidP="00404B85">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0"/>
          <w:szCs w:val="22"/>
          <w:lang w:val="es-MX"/>
        </w:rPr>
      </w:pPr>
      <w:r w:rsidRPr="00062207">
        <w:rPr>
          <w:rFonts w:ascii="Times New Roman" w:hAnsi="Times New Roman" w:cs="Times New Roman"/>
          <w:sz w:val="20"/>
          <w:szCs w:val="22"/>
          <w:lang w:val="es-MX"/>
        </w:rPr>
        <w:t xml:space="preserve">Adicionalmente, el Ministerio de Salud Pública y Asistencia Social y el Instituto Guatemalteco de Seguridad Social (IGSS), quedaron autorizados para la compra de las vacunas y del equipo y servicios necesarios para su conservación y movilización en forma directa del fabricante, quedando exentos del cumplimiento de los requerimientos de la Ley de Contrataciones del Estado y su reglamento. </w:t>
      </w:r>
    </w:p>
    <w:p w14:paraId="2624265A" w14:textId="77777777" w:rsidR="00404B85" w:rsidRPr="00062207" w:rsidRDefault="00404B85" w:rsidP="00404B85">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0"/>
          <w:szCs w:val="22"/>
          <w:lang w:val="es-MX"/>
        </w:rPr>
      </w:pPr>
    </w:p>
    <w:p w14:paraId="4745A974" w14:textId="53E00F1B" w:rsidR="00404B85" w:rsidRPr="00062207" w:rsidRDefault="00404B85" w:rsidP="00404B85">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b/>
          <w:sz w:val="20"/>
          <w:szCs w:val="22"/>
          <w:lang w:val="es-MX"/>
        </w:rPr>
      </w:pPr>
      <w:r w:rsidRPr="00062207">
        <w:rPr>
          <w:rFonts w:ascii="Times New Roman" w:hAnsi="Times New Roman" w:cs="Times New Roman"/>
          <w:sz w:val="20"/>
          <w:szCs w:val="22"/>
          <w:lang w:val="es-MX"/>
        </w:rPr>
        <w:t xml:space="preserve">En julio se aprobó el </w:t>
      </w:r>
      <w:r w:rsidRPr="00062207">
        <w:rPr>
          <w:rFonts w:ascii="Times New Roman" w:hAnsi="Times New Roman" w:cs="Times New Roman"/>
          <w:b/>
          <w:sz w:val="20"/>
          <w:szCs w:val="22"/>
          <w:lang w:val="es-MX"/>
        </w:rPr>
        <w:t>Decreto 08-2021 “Ley de Exención de Responsabilidad y Creación del Mecanismo de Compensación por el Uso de Vacunas Contra la COVID-19 que posean Autorización de Uso de Emergencia por la Pandemia del Virus SARS-CoV-2”.</w:t>
      </w:r>
    </w:p>
    <w:p w14:paraId="0CDB0C98" w14:textId="1CF265E9" w:rsidR="00404B85" w:rsidRPr="00062207" w:rsidRDefault="00404B85" w:rsidP="00404B85">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0"/>
          <w:szCs w:val="22"/>
          <w:lang w:val="es-MX"/>
        </w:rPr>
      </w:pPr>
    </w:p>
    <w:p w14:paraId="27CEAD42" w14:textId="77777777" w:rsidR="00404B85" w:rsidRPr="00062207" w:rsidRDefault="00404B85" w:rsidP="00404B85">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0"/>
          <w:szCs w:val="22"/>
          <w:lang w:val="es-MX"/>
        </w:rPr>
      </w:pPr>
      <w:r w:rsidRPr="00062207">
        <w:rPr>
          <w:rFonts w:ascii="Times New Roman" w:hAnsi="Times New Roman" w:cs="Times New Roman"/>
          <w:sz w:val="20"/>
          <w:szCs w:val="22"/>
          <w:lang w:val="es-MX"/>
        </w:rPr>
        <w:t xml:space="preserve">En este decreto el Estado de Guatemala asume la responsabilidad y define el mecanismo de compensación a las personas afectadas, con reacción adversa seria, como parte del proceso de inmunización con vacunas adquiridas por compra o donación en los siguientes 24 meses de la aprobación del decreto. El decreto contempla tres formas de compensación: </w:t>
      </w:r>
    </w:p>
    <w:p w14:paraId="522D05C6" w14:textId="77777777" w:rsidR="00404B85" w:rsidRPr="00062207" w:rsidRDefault="00404B85" w:rsidP="00404B85">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0"/>
          <w:szCs w:val="22"/>
          <w:lang w:val="es-MX"/>
        </w:rPr>
      </w:pPr>
    </w:p>
    <w:p w14:paraId="25A59E68" w14:textId="7FAAEE79" w:rsidR="00404B85" w:rsidRPr="00062207" w:rsidRDefault="00404B85" w:rsidP="00404B85">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0"/>
          <w:szCs w:val="22"/>
          <w:lang w:val="es-MX"/>
        </w:rPr>
      </w:pPr>
      <w:r w:rsidRPr="00062207">
        <w:rPr>
          <w:rFonts w:ascii="Times New Roman" w:hAnsi="Times New Roman" w:cs="Times New Roman"/>
          <w:sz w:val="20"/>
          <w:szCs w:val="22"/>
          <w:lang w:val="es-MX"/>
        </w:rPr>
        <w:t xml:space="preserve">   a) Si la persona es hospitalizada será compensada con su hospitalización garantizándole cuidados y            ……medicamentos necesarios y económicamente por cada día de internamiento y los subsiguientes de ……recuperación y rehabilitación por el monto que establezca el salario mínimo.</w:t>
      </w:r>
    </w:p>
    <w:p w14:paraId="5DBAD0E6" w14:textId="5FF384F5" w:rsidR="00404B85" w:rsidRPr="00062207" w:rsidRDefault="00404B85" w:rsidP="00404B85">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0"/>
          <w:szCs w:val="22"/>
          <w:lang w:val="es-MX"/>
        </w:rPr>
      </w:pPr>
      <w:r w:rsidRPr="00062207">
        <w:rPr>
          <w:rFonts w:ascii="Times New Roman" w:hAnsi="Times New Roman" w:cs="Times New Roman"/>
          <w:sz w:val="20"/>
          <w:szCs w:val="22"/>
          <w:lang w:val="es-MX"/>
        </w:rPr>
        <w:t xml:space="preserve">   b)</w:t>
      </w:r>
      <w:r w:rsidRPr="00062207">
        <w:rPr>
          <w:rFonts w:ascii="Times New Roman" w:hAnsi="Times New Roman" w:cs="Times New Roman"/>
          <w:sz w:val="20"/>
          <w:szCs w:val="22"/>
          <w:lang w:val="es-MX"/>
        </w:rPr>
        <w:tab/>
        <w:t xml:space="preserve">Si la persona sufre discapacidad o incapacidad persistente o significativa, será compensada ……económicamente por un pago total equivalente a diez salarios mínimos mensuales. </w:t>
      </w:r>
    </w:p>
    <w:p w14:paraId="62ECEE94" w14:textId="661A62AC" w:rsidR="00404B85" w:rsidRPr="00062207" w:rsidRDefault="00404B85" w:rsidP="00404B85">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0"/>
          <w:szCs w:val="22"/>
          <w:lang w:val="es-MX"/>
        </w:rPr>
      </w:pPr>
      <w:r w:rsidRPr="00062207">
        <w:rPr>
          <w:rFonts w:ascii="Times New Roman" w:hAnsi="Times New Roman" w:cs="Times New Roman"/>
          <w:sz w:val="20"/>
          <w:szCs w:val="22"/>
          <w:lang w:val="es-MX"/>
        </w:rPr>
        <w:t xml:space="preserve">   c)</w:t>
      </w:r>
      <w:r w:rsidRPr="00062207">
        <w:rPr>
          <w:rFonts w:ascii="Times New Roman" w:hAnsi="Times New Roman" w:cs="Times New Roman"/>
          <w:sz w:val="20"/>
          <w:szCs w:val="22"/>
          <w:lang w:val="es-MX"/>
        </w:rPr>
        <w:tab/>
        <w:t>Si la persona muere, será compensada económicamente la persona reclamante por un pago total   ……equivalente a quince salarios mínimos mensuales.</w:t>
      </w:r>
    </w:p>
    <w:p w14:paraId="36899A9A" w14:textId="77777777" w:rsidR="00404B85" w:rsidRPr="00062207" w:rsidRDefault="00404B85" w:rsidP="00404B85">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0"/>
          <w:szCs w:val="22"/>
          <w:lang w:val="es-MX"/>
        </w:rPr>
      </w:pPr>
    </w:p>
    <w:p w14:paraId="57FCE2EE" w14:textId="77777777" w:rsidR="00404B85" w:rsidRPr="00062207" w:rsidRDefault="00404B85" w:rsidP="00404B85">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0"/>
          <w:szCs w:val="22"/>
          <w:lang w:val="es-MX"/>
        </w:rPr>
      </w:pPr>
      <w:r w:rsidRPr="00062207">
        <w:rPr>
          <w:rFonts w:ascii="Times New Roman" w:hAnsi="Times New Roman" w:cs="Times New Roman"/>
          <w:sz w:val="20"/>
          <w:szCs w:val="22"/>
          <w:lang w:val="es-MX"/>
        </w:rPr>
        <w:t xml:space="preserve">Para las tres formas de compensación se aplica el salario mínimo de actividades no agrícolas. En caso el afectado sea beneficiario del seguro social, se le aplicará la legislación específica del IGSS. </w:t>
      </w:r>
    </w:p>
    <w:p w14:paraId="1B9AAE43" w14:textId="77777777" w:rsidR="00404B85" w:rsidRPr="00062207" w:rsidRDefault="00404B85" w:rsidP="00404B85">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0"/>
          <w:szCs w:val="22"/>
          <w:lang w:val="es-MX"/>
        </w:rPr>
      </w:pPr>
    </w:p>
    <w:p w14:paraId="181C061A" w14:textId="77777777" w:rsidR="00404B85" w:rsidRPr="00062207" w:rsidRDefault="00404B85" w:rsidP="00404B85">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0"/>
          <w:szCs w:val="22"/>
          <w:lang w:val="es-MX"/>
        </w:rPr>
      </w:pPr>
      <w:r w:rsidRPr="00062207">
        <w:rPr>
          <w:rFonts w:ascii="Times New Roman" w:hAnsi="Times New Roman" w:cs="Times New Roman"/>
          <w:sz w:val="20"/>
          <w:szCs w:val="22"/>
          <w:lang w:val="es-MX"/>
        </w:rPr>
        <w:t xml:space="preserve">Derivado de este decreto se creó el Fondo de Compensación Económica vacuna COVID-19 con una asignación de Q20 millones en el Ministerio de Salud Pública y Asistencia Social para atender a los reclamantes y se autorizó al Ministerio de Finanzas Públicas para realizar las readecuaciones presupuestarias necesarias para el Fondo. </w:t>
      </w:r>
    </w:p>
    <w:p w14:paraId="0622CB0C" w14:textId="77777777" w:rsidR="00404B85" w:rsidRPr="00062207" w:rsidRDefault="00404B85" w:rsidP="00404B85">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0"/>
          <w:szCs w:val="22"/>
          <w:lang w:val="es-MX"/>
        </w:rPr>
      </w:pPr>
    </w:p>
    <w:p w14:paraId="738FDAB3" w14:textId="1B45D82A" w:rsidR="00404B85" w:rsidRPr="00062207" w:rsidRDefault="00404B85" w:rsidP="00404B85">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0"/>
          <w:szCs w:val="22"/>
          <w:lang w:val="es-MX"/>
        </w:rPr>
      </w:pPr>
      <w:r w:rsidRPr="00062207">
        <w:rPr>
          <w:rFonts w:ascii="Times New Roman" w:hAnsi="Times New Roman" w:cs="Times New Roman"/>
          <w:sz w:val="20"/>
          <w:szCs w:val="22"/>
          <w:lang w:val="es-MX"/>
        </w:rPr>
        <w:t>Por su parte, el Presidente de la República por medio del Decreto Gubernativo 06-2021 y 08-2021 de fecha de agosto y septiembre, respectivamente, intentó reforzar la lucha contra el COVID-19 declarando el Estado de Calamidad Pública en todo el territorio nacional, con plazo de 30 días. Ambos fueron improbados por el Congreso de la República, por medio de los Decretos 09-2021 y 10-2021.</w:t>
      </w:r>
    </w:p>
    <w:p w14:paraId="70C5FFC2" w14:textId="77777777" w:rsidR="00404B85" w:rsidRPr="00062207" w:rsidRDefault="00404B85" w:rsidP="00404B85">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0"/>
          <w:szCs w:val="22"/>
          <w:lang w:val="es-MX"/>
        </w:rPr>
      </w:pPr>
    </w:p>
    <w:p w14:paraId="76F1A3B1" w14:textId="60B6E793" w:rsidR="00404B85" w:rsidRPr="00062207" w:rsidRDefault="00404B85" w:rsidP="00404B85">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0"/>
          <w:szCs w:val="22"/>
          <w:lang w:val="es-MX"/>
        </w:rPr>
      </w:pPr>
      <w:r w:rsidRPr="00062207">
        <w:rPr>
          <w:rFonts w:ascii="Times New Roman" w:hAnsi="Times New Roman" w:cs="Times New Roman"/>
          <w:sz w:val="20"/>
          <w:szCs w:val="22"/>
          <w:lang w:val="es-MX"/>
        </w:rPr>
        <w:t xml:space="preserve">No obstante, en septiembre fue publicado el </w:t>
      </w:r>
      <w:r w:rsidRPr="00062207">
        <w:rPr>
          <w:rFonts w:ascii="Times New Roman" w:hAnsi="Times New Roman" w:cs="Times New Roman"/>
          <w:b/>
          <w:sz w:val="20"/>
          <w:szCs w:val="22"/>
          <w:lang w:val="es-MX"/>
        </w:rPr>
        <w:t>Decreto 11-2021 “Ley de Emergencia Nacional para la atención de la pandemia COVID-19”</w:t>
      </w:r>
      <w:r w:rsidRPr="00062207">
        <w:rPr>
          <w:rFonts w:ascii="Times New Roman" w:hAnsi="Times New Roman" w:cs="Times New Roman"/>
          <w:sz w:val="20"/>
          <w:szCs w:val="22"/>
          <w:lang w:val="es-MX"/>
        </w:rPr>
        <w:t xml:space="preserve"> considerando que es necesario crear un mecanismo temporal de adquisición temporal extraordinaria de medicamentos, suministros, material quirúrgico y servicios destinados a la atención de pacientes. Dentro del decreto se contempla que las adquisiciones realizadas deben publicarse y gestionarse en el sistema Guatecompras, además las compras que se realicen al amparo de la ley sean ágiles y cuenten con los mejores precios, quedando exentas del pago de IVA, las importaciones de los insumos de salud que se adquieran de convenios con agencias del Sistema de Naciones Unidas.</w:t>
      </w:r>
    </w:p>
    <w:p w14:paraId="2F21C4FF" w14:textId="77777777" w:rsidR="00404B85" w:rsidRPr="00062207" w:rsidRDefault="00404B85" w:rsidP="00404B85">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0"/>
          <w:szCs w:val="22"/>
          <w:lang w:val="es-MX"/>
        </w:rPr>
      </w:pPr>
    </w:p>
    <w:p w14:paraId="3D8F42AE" w14:textId="469E8658" w:rsidR="00404B85" w:rsidRPr="00062207" w:rsidRDefault="00404B85" w:rsidP="00404B85">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0"/>
          <w:szCs w:val="22"/>
          <w:lang w:val="es-MX"/>
        </w:rPr>
      </w:pPr>
      <w:r w:rsidRPr="00062207">
        <w:rPr>
          <w:rFonts w:ascii="Times New Roman" w:hAnsi="Times New Roman" w:cs="Times New Roman"/>
          <w:sz w:val="20"/>
          <w:szCs w:val="22"/>
          <w:lang w:val="es-MX"/>
        </w:rPr>
        <w:t>Asimismo, el decreto contempla</w:t>
      </w:r>
      <w:r w:rsidR="006E0CFB" w:rsidRPr="00062207">
        <w:rPr>
          <w:rFonts w:ascii="Times New Roman" w:hAnsi="Times New Roman" w:cs="Times New Roman"/>
          <w:sz w:val="20"/>
          <w:szCs w:val="22"/>
          <w:lang w:val="es-MX"/>
        </w:rPr>
        <w:t>ba</w:t>
      </w:r>
      <w:r w:rsidRPr="00062207">
        <w:rPr>
          <w:rFonts w:ascii="Times New Roman" w:hAnsi="Times New Roman" w:cs="Times New Roman"/>
          <w:sz w:val="20"/>
          <w:szCs w:val="22"/>
          <w:lang w:val="es-MX"/>
        </w:rPr>
        <w:t xml:space="preserve"> un beneficio monetario único por Q2 mil a todo el personal del Ministerio de Salud Pública y Asistencia Social. </w:t>
      </w:r>
    </w:p>
    <w:p w14:paraId="3BFDD119" w14:textId="77777777" w:rsidR="00404B85" w:rsidRPr="00062207" w:rsidRDefault="00404B85" w:rsidP="00404B85">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0"/>
          <w:szCs w:val="22"/>
          <w:lang w:val="es-MX"/>
        </w:rPr>
      </w:pPr>
    </w:p>
    <w:p w14:paraId="134B754A" w14:textId="4AAE022D" w:rsidR="00404B85" w:rsidRPr="00062207" w:rsidRDefault="00404B85" w:rsidP="00404B85">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0"/>
          <w:szCs w:val="22"/>
          <w:lang w:val="es-MX"/>
        </w:rPr>
      </w:pPr>
      <w:r w:rsidRPr="00062207">
        <w:rPr>
          <w:rFonts w:ascii="Times New Roman" w:hAnsi="Times New Roman" w:cs="Times New Roman"/>
          <w:sz w:val="20"/>
          <w:szCs w:val="22"/>
          <w:lang w:val="es-MX"/>
        </w:rPr>
        <w:t>Dentro del portal del Ministerio de Finanzas Publicas se creó un tablero de control para el seguimiento de las adquisiciones realizadas al amparo de esta ley. Adicionalmente, se creó el subprograma 13 “Ley de Emergencia Nacional para la Atención de la Pandemia COVID-19” el cual cuenta con un presupuesto de Q1,878.0 millones, estando asignado en su totalidad en el Ministerio de Salud Pública y Asistencia Social</w:t>
      </w:r>
      <w:r w:rsidR="006E0CFB" w:rsidRPr="00062207">
        <w:rPr>
          <w:rFonts w:ascii="Times New Roman" w:hAnsi="Times New Roman" w:cs="Times New Roman"/>
          <w:sz w:val="20"/>
          <w:szCs w:val="22"/>
          <w:lang w:val="es-MX"/>
        </w:rPr>
        <w:t>.</w:t>
      </w:r>
    </w:p>
    <w:p w14:paraId="50DF5D1E" w14:textId="77777777" w:rsidR="00404B85" w:rsidRPr="00062207" w:rsidRDefault="00404B85" w:rsidP="00404B85">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0"/>
          <w:szCs w:val="22"/>
          <w:lang w:val="es-MX"/>
        </w:rPr>
      </w:pPr>
    </w:p>
    <w:p w14:paraId="7ED4FFD6" w14:textId="50BD0734" w:rsidR="00404B85" w:rsidRPr="00062207" w:rsidRDefault="00404B85" w:rsidP="00404B85">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0"/>
          <w:szCs w:val="22"/>
          <w:lang w:val="es-MX"/>
        </w:rPr>
      </w:pPr>
      <w:r w:rsidRPr="00062207">
        <w:rPr>
          <w:rFonts w:ascii="Times New Roman" w:hAnsi="Times New Roman" w:cs="Times New Roman"/>
          <w:sz w:val="20"/>
          <w:szCs w:val="22"/>
          <w:lang w:val="es-MX"/>
        </w:rPr>
        <w:t>Por su parte, se declararon exentas de todos los impuestos de importación y del IVA y derechos arancelarios todas las donaciones</w:t>
      </w:r>
      <w:r w:rsidRPr="00062207">
        <w:t xml:space="preserve"> </w:t>
      </w:r>
      <w:r w:rsidRPr="00062207">
        <w:rPr>
          <w:rFonts w:ascii="Times New Roman" w:hAnsi="Times New Roman" w:cs="Times New Roman"/>
          <w:sz w:val="20"/>
          <w:szCs w:val="22"/>
          <w:lang w:val="es-MX"/>
        </w:rPr>
        <w:t>vinculadas directamente con la prevención y atención de la enfermedad COVID-19. El Ministerio de Finanzas quedó facultado a reprogramar y ajustar las fuentes de financiamiento que se identifiquen dentro del presupuesto con el objeto de viabilizar la readecuación presupuestaria por Q1,878.0 millones, con el objetivo de incrementar el presupuesto del Ministerio de Salud Pública y Asistencia Social.  Adicionalmente, se facult</w:t>
      </w:r>
      <w:r w:rsidR="006E0CFB" w:rsidRPr="00062207">
        <w:rPr>
          <w:rFonts w:ascii="Times New Roman" w:hAnsi="Times New Roman" w:cs="Times New Roman"/>
          <w:sz w:val="20"/>
          <w:szCs w:val="22"/>
          <w:lang w:val="es-MX"/>
        </w:rPr>
        <w:t>o</w:t>
      </w:r>
      <w:r w:rsidRPr="00062207">
        <w:rPr>
          <w:rFonts w:ascii="Times New Roman" w:hAnsi="Times New Roman" w:cs="Times New Roman"/>
          <w:sz w:val="20"/>
          <w:szCs w:val="22"/>
          <w:lang w:val="es-MX"/>
        </w:rPr>
        <w:t xml:space="preserve"> a que puedan realizarse reuniones semanales extraordinarias para someter a consideración del</w:t>
      </w:r>
      <w:r w:rsidR="006E0CFB" w:rsidRPr="00062207">
        <w:rPr>
          <w:rFonts w:ascii="Times New Roman" w:hAnsi="Times New Roman" w:cs="Times New Roman"/>
          <w:sz w:val="20"/>
          <w:szCs w:val="22"/>
          <w:lang w:val="es-MX"/>
        </w:rPr>
        <w:t xml:space="preserve"> Comité de Programación de la Ejecución Presupuestaria (</w:t>
      </w:r>
      <w:r w:rsidRPr="00062207">
        <w:rPr>
          <w:rFonts w:ascii="Times New Roman" w:hAnsi="Times New Roman" w:cs="Times New Roman"/>
          <w:sz w:val="20"/>
          <w:szCs w:val="22"/>
          <w:lang w:val="es-MX"/>
        </w:rPr>
        <w:t>COPEP</w:t>
      </w:r>
      <w:r w:rsidR="006E0CFB" w:rsidRPr="00062207">
        <w:rPr>
          <w:rFonts w:ascii="Times New Roman" w:hAnsi="Times New Roman" w:cs="Times New Roman"/>
          <w:sz w:val="20"/>
          <w:szCs w:val="22"/>
          <w:lang w:val="es-MX"/>
        </w:rPr>
        <w:t>)</w:t>
      </w:r>
      <w:r w:rsidRPr="00062207">
        <w:rPr>
          <w:rFonts w:ascii="Times New Roman" w:hAnsi="Times New Roman" w:cs="Times New Roman"/>
          <w:sz w:val="20"/>
          <w:szCs w:val="22"/>
          <w:lang w:val="es-MX"/>
        </w:rPr>
        <w:t xml:space="preserve"> los requerimientos de cuota financiera que permitan dar cumplimiento a las erogaciones aprobadas. </w:t>
      </w:r>
    </w:p>
    <w:p w14:paraId="4C67BE9C" w14:textId="77777777" w:rsidR="00404B85" w:rsidRPr="00062207" w:rsidRDefault="00404B85" w:rsidP="00404B85">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hAnsi="Times New Roman" w:cs="Times New Roman"/>
          <w:sz w:val="20"/>
          <w:szCs w:val="22"/>
          <w:lang w:val="es-MX"/>
        </w:rPr>
      </w:pPr>
    </w:p>
    <w:p w14:paraId="4FD2D7F0" w14:textId="253991E1" w:rsidR="00A963D6" w:rsidRPr="00062207" w:rsidRDefault="00404B85" w:rsidP="000674D4">
      <w:pPr>
        <w:pBdr>
          <w:top w:val="single" w:sz="4" w:space="0" w:color="auto"/>
          <w:left w:val="single" w:sz="4" w:space="4" w:color="auto"/>
          <w:bottom w:val="single" w:sz="4" w:space="1" w:color="auto"/>
          <w:right w:val="single" w:sz="4" w:space="4" w:color="auto"/>
        </w:pBdr>
        <w:shd w:val="clear" w:color="auto" w:fill="DBE5F1" w:themeFill="accent1" w:themeFillTint="33"/>
        <w:ind w:left="284" w:right="332"/>
        <w:jc w:val="both"/>
        <w:rPr>
          <w:rFonts w:ascii="Times New Roman" w:eastAsiaTheme="minorHAnsi" w:hAnsi="Times New Roman" w:cs="Times New Roman"/>
          <w:sz w:val="22"/>
          <w:szCs w:val="22"/>
          <w:lang w:val="es-MX" w:eastAsia="en-US"/>
        </w:rPr>
      </w:pPr>
      <w:r w:rsidRPr="00062207">
        <w:rPr>
          <w:rFonts w:ascii="Times New Roman" w:hAnsi="Times New Roman" w:cs="Times New Roman"/>
          <w:sz w:val="20"/>
          <w:szCs w:val="22"/>
          <w:lang w:val="es-MX"/>
        </w:rPr>
        <w:t>Entre otras acciones relevantes aprobadas por el Decreto 11-2021 se encuentra la actualización de las disposiciones emitidas relacionadas a los aforos, cordones sanitarios, pruebas de diagnóstico con el fin de buscar la reducción de contagios, revisar medidas alternativas de trabajo presencial, programar y desarrollar el proceso de vacunación en menores de edad comprendidos entre los 12 a 17 años, facultar al MSPAS e IGSS a suscribir convenios de cooperación a título gratuito con farmacias y entidades afines para ampliar el sistema de vacunación, incrementar las becas estudiantiles a todo estudiante que presta sus servicios para atender la emergencia del COVID-19 (siendo equivalente al monto del salario mínimo), permiso laboral a los trabajadores para que asistan a los centros de vacunación autorizados, entre otros.</w:t>
      </w:r>
      <w:bookmarkStart w:id="216" w:name="_Toc62724292"/>
    </w:p>
    <w:p w14:paraId="6E1C73EE" w14:textId="25F1FF10" w:rsidR="009C497E" w:rsidRPr="00062207" w:rsidRDefault="00351803" w:rsidP="00A963D6">
      <w:pPr>
        <w:tabs>
          <w:tab w:val="left" w:pos="1134"/>
        </w:tabs>
        <w:ind w:left="851" w:hanging="284"/>
        <w:jc w:val="both"/>
        <w:outlineLvl w:val="2"/>
        <w:rPr>
          <w:rFonts w:ascii="Times New Roman" w:hAnsi="Times New Roman" w:cs="Times New Roman"/>
          <w:b/>
          <w:szCs w:val="36"/>
        </w:rPr>
      </w:pPr>
      <w:bookmarkStart w:id="217" w:name="_Toc94259643"/>
      <w:r w:rsidRPr="00062207">
        <w:rPr>
          <w:rFonts w:ascii="Times New Roman" w:hAnsi="Times New Roman" w:cs="Times New Roman"/>
          <w:b/>
          <w:szCs w:val="36"/>
        </w:rPr>
        <w:lastRenderedPageBreak/>
        <w:t xml:space="preserve">2.6.2 </w:t>
      </w:r>
      <w:r w:rsidR="00685D46" w:rsidRPr="00062207">
        <w:rPr>
          <w:rFonts w:ascii="Times New Roman" w:hAnsi="Times New Roman" w:cs="Times New Roman"/>
          <w:b/>
          <w:szCs w:val="36"/>
        </w:rPr>
        <w:t>I</w:t>
      </w:r>
      <w:r w:rsidR="009C497E" w:rsidRPr="00062207">
        <w:rPr>
          <w:rFonts w:ascii="Times New Roman" w:hAnsi="Times New Roman" w:cs="Times New Roman"/>
          <w:b/>
          <w:szCs w:val="36"/>
        </w:rPr>
        <w:t>ntervenciones realizadas para la atención de daños provocados por la depresión tropical ETA</w:t>
      </w:r>
      <w:bookmarkEnd w:id="216"/>
      <w:bookmarkEnd w:id="217"/>
    </w:p>
    <w:p w14:paraId="54986825" w14:textId="77777777" w:rsidR="009C497E" w:rsidRPr="00062207" w:rsidRDefault="009C497E" w:rsidP="00556E54">
      <w:pPr>
        <w:jc w:val="both"/>
        <w:rPr>
          <w:rFonts w:ascii="Times New Roman" w:hAnsi="Times New Roman" w:cs="Times New Roman"/>
          <w:szCs w:val="36"/>
        </w:rPr>
      </w:pPr>
    </w:p>
    <w:p w14:paraId="685856DD" w14:textId="7BCFE7D7" w:rsidR="00DA27E0" w:rsidRPr="00062207" w:rsidRDefault="009C497E" w:rsidP="009C497E">
      <w:pPr>
        <w:jc w:val="both"/>
        <w:rPr>
          <w:rFonts w:ascii="Times New Roman" w:hAnsi="Times New Roman" w:cs="Times New Roman"/>
          <w:sz w:val="22"/>
          <w:szCs w:val="22"/>
        </w:rPr>
      </w:pPr>
      <w:r w:rsidRPr="00062207">
        <w:rPr>
          <w:rFonts w:ascii="Times New Roman" w:hAnsi="Times New Roman" w:cs="Times New Roman"/>
          <w:sz w:val="22"/>
          <w:szCs w:val="22"/>
        </w:rPr>
        <w:t xml:space="preserve">A finales de 2020, el país fue azotado por dos tormentas tropicales identificadas como ETA e IOTA, las cuales causaron significativos daños y pérdidas en el territorio nacional. </w:t>
      </w:r>
      <w:r w:rsidR="00DA27E0" w:rsidRPr="00062207">
        <w:rPr>
          <w:rFonts w:ascii="Times New Roman" w:hAnsi="Times New Roman" w:cs="Times New Roman"/>
          <w:sz w:val="22"/>
          <w:szCs w:val="22"/>
        </w:rPr>
        <w:t>A pesar que ETA e IOTA no tocaron el territorio de Guatemala, en la zona de influencia de ambas ocurrieron intensas tormentas tropicales, siendo el departamento de Alta Verapaz el más afectado, seguido por los departamentos de Izabal, Quiché, Huehuetenango, Petén, Zacapa y Chiquimula. El impacto económico ascendió a Q 5,597.0 millones</w:t>
      </w:r>
      <w:r w:rsidR="00E20277" w:rsidRPr="00062207">
        <w:rPr>
          <w:rFonts w:ascii="Times New Roman" w:hAnsi="Times New Roman" w:cs="Times New Roman"/>
          <w:sz w:val="22"/>
          <w:szCs w:val="22"/>
        </w:rPr>
        <w:t xml:space="preserve">, equivalente a 0.9% del PIB. </w:t>
      </w:r>
    </w:p>
    <w:p w14:paraId="47F4C97E" w14:textId="77777777" w:rsidR="00DA27E0" w:rsidRPr="00062207" w:rsidRDefault="00DA27E0" w:rsidP="009C497E">
      <w:pPr>
        <w:jc w:val="both"/>
        <w:rPr>
          <w:rFonts w:ascii="Times New Roman" w:hAnsi="Times New Roman" w:cs="Times New Roman"/>
          <w:sz w:val="22"/>
          <w:szCs w:val="22"/>
        </w:rPr>
      </w:pPr>
    </w:p>
    <w:p w14:paraId="75E048DA" w14:textId="67522C6C" w:rsidR="009C497E" w:rsidRPr="00062207" w:rsidRDefault="009C497E" w:rsidP="009C497E">
      <w:pPr>
        <w:jc w:val="both"/>
        <w:rPr>
          <w:rFonts w:ascii="Times New Roman" w:hAnsi="Times New Roman" w:cs="Times New Roman"/>
          <w:sz w:val="22"/>
          <w:szCs w:val="22"/>
        </w:rPr>
      </w:pPr>
      <w:r w:rsidRPr="00062207">
        <w:rPr>
          <w:rFonts w:ascii="Times New Roman" w:hAnsi="Times New Roman" w:cs="Times New Roman"/>
          <w:sz w:val="22"/>
          <w:szCs w:val="22"/>
        </w:rPr>
        <w:t>Derivado de ello, el gobierno cr</w:t>
      </w:r>
      <w:r w:rsidR="00E20277" w:rsidRPr="00062207">
        <w:rPr>
          <w:rFonts w:ascii="Times New Roman" w:hAnsi="Times New Roman" w:cs="Times New Roman"/>
          <w:sz w:val="22"/>
          <w:szCs w:val="22"/>
        </w:rPr>
        <w:t xml:space="preserve">eo </w:t>
      </w:r>
      <w:r w:rsidRPr="00062207">
        <w:rPr>
          <w:rFonts w:ascii="Times New Roman" w:hAnsi="Times New Roman" w:cs="Times New Roman"/>
          <w:sz w:val="22"/>
          <w:szCs w:val="22"/>
        </w:rPr>
        <w:t xml:space="preserve">el subprograma 11 “Estado de Calamidad Pública por Depresión Tropical ETA”, el cual lleva registro de las intervenciones realizadas para la atención de daños provocados por la depresión tropical, este se encuentra bajo el programa 94 “Atención por Desastres Naturales y Calamidades Públicas”. </w:t>
      </w:r>
    </w:p>
    <w:p w14:paraId="3857C53D" w14:textId="77777777" w:rsidR="009C497E" w:rsidRPr="00062207" w:rsidRDefault="009C497E" w:rsidP="009C497E">
      <w:pPr>
        <w:jc w:val="both"/>
        <w:rPr>
          <w:rFonts w:ascii="Times New Roman" w:hAnsi="Times New Roman" w:cs="Times New Roman"/>
          <w:sz w:val="22"/>
          <w:szCs w:val="22"/>
        </w:rPr>
      </w:pPr>
    </w:p>
    <w:p w14:paraId="06B271DF" w14:textId="153BD874" w:rsidR="002A34E0" w:rsidRPr="00062207" w:rsidRDefault="00E20277" w:rsidP="009C497E">
      <w:pPr>
        <w:jc w:val="both"/>
        <w:rPr>
          <w:rFonts w:ascii="Times New Roman" w:hAnsi="Times New Roman" w:cs="Times New Roman"/>
          <w:sz w:val="22"/>
          <w:szCs w:val="22"/>
        </w:rPr>
      </w:pPr>
      <w:r w:rsidRPr="00062207">
        <w:rPr>
          <w:rFonts w:ascii="Times New Roman" w:hAnsi="Times New Roman" w:cs="Times New Roman"/>
          <w:sz w:val="22"/>
          <w:szCs w:val="22"/>
        </w:rPr>
        <w:t>Para 2021 se le asignó un presupuesto de Q</w:t>
      </w:r>
      <w:r w:rsidR="009C497E" w:rsidRPr="00062207">
        <w:rPr>
          <w:rFonts w:ascii="Times New Roman" w:hAnsi="Times New Roman" w:cs="Times New Roman"/>
          <w:sz w:val="22"/>
          <w:szCs w:val="22"/>
        </w:rPr>
        <w:t>5</w:t>
      </w:r>
      <w:r w:rsidRPr="00062207">
        <w:rPr>
          <w:rFonts w:ascii="Times New Roman" w:hAnsi="Times New Roman" w:cs="Times New Roman"/>
          <w:sz w:val="22"/>
          <w:szCs w:val="22"/>
        </w:rPr>
        <w:t>72</w:t>
      </w:r>
      <w:r w:rsidR="009C497E" w:rsidRPr="00062207">
        <w:rPr>
          <w:rFonts w:ascii="Times New Roman" w:hAnsi="Times New Roman" w:cs="Times New Roman"/>
          <w:sz w:val="22"/>
          <w:szCs w:val="22"/>
        </w:rPr>
        <w:t>.</w:t>
      </w:r>
      <w:r w:rsidRPr="00062207">
        <w:rPr>
          <w:rFonts w:ascii="Times New Roman" w:hAnsi="Times New Roman" w:cs="Times New Roman"/>
          <w:sz w:val="22"/>
          <w:szCs w:val="22"/>
        </w:rPr>
        <w:t>5</w:t>
      </w:r>
      <w:r w:rsidR="009C497E" w:rsidRPr="00062207">
        <w:rPr>
          <w:rFonts w:ascii="Times New Roman" w:hAnsi="Times New Roman" w:cs="Times New Roman"/>
          <w:sz w:val="22"/>
          <w:szCs w:val="22"/>
        </w:rPr>
        <w:t xml:space="preserve"> millones, para la atención de la emergencia provocada por la depresión tropical, </w:t>
      </w:r>
      <w:r w:rsidRPr="00062207">
        <w:rPr>
          <w:rFonts w:ascii="Times New Roman" w:hAnsi="Times New Roman" w:cs="Times New Roman"/>
          <w:sz w:val="22"/>
          <w:szCs w:val="22"/>
        </w:rPr>
        <w:t>con una ejecución de Q521</w:t>
      </w:r>
      <w:r w:rsidR="009C497E" w:rsidRPr="00062207">
        <w:rPr>
          <w:rFonts w:ascii="Times New Roman" w:hAnsi="Times New Roman" w:cs="Times New Roman"/>
          <w:sz w:val="22"/>
          <w:szCs w:val="22"/>
        </w:rPr>
        <w:t>.</w:t>
      </w:r>
      <w:r w:rsidRPr="00062207">
        <w:rPr>
          <w:rFonts w:ascii="Times New Roman" w:hAnsi="Times New Roman" w:cs="Times New Roman"/>
          <w:sz w:val="22"/>
          <w:szCs w:val="22"/>
        </w:rPr>
        <w:t>6</w:t>
      </w:r>
      <w:r w:rsidR="009C497E" w:rsidRPr="00062207">
        <w:rPr>
          <w:rFonts w:ascii="Times New Roman" w:hAnsi="Times New Roman" w:cs="Times New Roman"/>
          <w:sz w:val="22"/>
          <w:szCs w:val="22"/>
        </w:rPr>
        <w:t xml:space="preserve"> millones al final del ejercicio, siendo equivalente a un grado de</w:t>
      </w:r>
      <w:r w:rsidRPr="00062207">
        <w:rPr>
          <w:rFonts w:ascii="Times New Roman" w:hAnsi="Times New Roman" w:cs="Times New Roman"/>
          <w:sz w:val="22"/>
          <w:szCs w:val="22"/>
        </w:rPr>
        <w:t xml:space="preserve"> ejecución de</w:t>
      </w:r>
      <w:r w:rsidR="009C497E" w:rsidRPr="00062207">
        <w:rPr>
          <w:rFonts w:ascii="Times New Roman" w:hAnsi="Times New Roman" w:cs="Times New Roman"/>
          <w:sz w:val="22"/>
          <w:szCs w:val="22"/>
        </w:rPr>
        <w:t xml:space="preserve"> </w:t>
      </w:r>
      <w:r w:rsidRPr="00062207">
        <w:rPr>
          <w:rFonts w:ascii="Times New Roman" w:hAnsi="Times New Roman" w:cs="Times New Roman"/>
          <w:sz w:val="22"/>
          <w:szCs w:val="22"/>
        </w:rPr>
        <w:t>91</w:t>
      </w:r>
      <w:r w:rsidR="009C497E" w:rsidRPr="00062207">
        <w:rPr>
          <w:rFonts w:ascii="Times New Roman" w:hAnsi="Times New Roman" w:cs="Times New Roman"/>
          <w:sz w:val="22"/>
          <w:szCs w:val="22"/>
        </w:rPr>
        <w:t>.</w:t>
      </w:r>
      <w:r w:rsidRPr="00062207">
        <w:rPr>
          <w:rFonts w:ascii="Times New Roman" w:hAnsi="Times New Roman" w:cs="Times New Roman"/>
          <w:sz w:val="22"/>
          <w:szCs w:val="22"/>
        </w:rPr>
        <w:t>1</w:t>
      </w:r>
      <w:r w:rsidR="00EE3A5F" w:rsidRPr="00062207">
        <w:rPr>
          <w:rFonts w:ascii="Times New Roman" w:hAnsi="Times New Roman" w:cs="Times New Roman"/>
          <w:sz w:val="22"/>
          <w:szCs w:val="22"/>
        </w:rPr>
        <w:t xml:space="preserve">%.   </w:t>
      </w:r>
      <w:r w:rsidR="009C497E" w:rsidRPr="00062207">
        <w:rPr>
          <w:rFonts w:ascii="Times New Roman" w:hAnsi="Times New Roman" w:cs="Times New Roman"/>
          <w:sz w:val="22"/>
          <w:szCs w:val="22"/>
        </w:rPr>
        <w:t>En</w:t>
      </w:r>
      <w:r w:rsidR="002A34E0" w:rsidRPr="00062207">
        <w:rPr>
          <w:rFonts w:ascii="Times New Roman" w:hAnsi="Times New Roman" w:cs="Times New Roman"/>
          <w:sz w:val="22"/>
          <w:szCs w:val="22"/>
        </w:rPr>
        <w:t xml:space="preserve"> el Ministerio de Comunicaciones, Infraestructura y Vivienda se reporta la mayor ejecución con Q518.1 millones, que corresponde al mantenimiento y reparación de carreteras y caminos que fueron dañados por las tormentas tropicales, y en menor medida al subsidio para la construcción de viviendas </w:t>
      </w:r>
      <w:r w:rsidR="000674D4" w:rsidRPr="00062207">
        <w:rPr>
          <w:rFonts w:ascii="Times New Roman" w:hAnsi="Times New Roman" w:cs="Times New Roman"/>
          <w:sz w:val="22"/>
          <w:szCs w:val="22"/>
        </w:rPr>
        <w:t xml:space="preserve">otorgado a familias afectadas.  </w:t>
      </w:r>
      <w:r w:rsidR="002A34E0" w:rsidRPr="00062207">
        <w:rPr>
          <w:rFonts w:ascii="Times New Roman" w:hAnsi="Times New Roman" w:cs="Times New Roman"/>
          <w:sz w:val="22"/>
          <w:szCs w:val="22"/>
        </w:rPr>
        <w:t>En lo que respecta al Ministerio de Cultura y Deportes reporta intervenciones por Q1.8 millones para la at</w:t>
      </w:r>
      <w:r w:rsidR="000674D4" w:rsidRPr="00062207">
        <w:rPr>
          <w:rFonts w:ascii="Times New Roman" w:hAnsi="Times New Roman" w:cs="Times New Roman"/>
          <w:sz w:val="22"/>
          <w:szCs w:val="22"/>
        </w:rPr>
        <w:t xml:space="preserve">ención de los daños provocados.  </w:t>
      </w:r>
      <w:r w:rsidR="002A34E0" w:rsidRPr="00062207">
        <w:rPr>
          <w:rFonts w:ascii="Times New Roman" w:hAnsi="Times New Roman" w:cs="Times New Roman"/>
          <w:sz w:val="22"/>
          <w:szCs w:val="22"/>
        </w:rPr>
        <w:t>Por último, el</w:t>
      </w:r>
      <w:r w:rsidR="009C497E" w:rsidRPr="00062207">
        <w:rPr>
          <w:rFonts w:ascii="Times New Roman" w:hAnsi="Times New Roman" w:cs="Times New Roman"/>
          <w:sz w:val="22"/>
          <w:szCs w:val="22"/>
        </w:rPr>
        <w:t xml:space="preserve"> Ministerio de Desarrollo Social,</w:t>
      </w:r>
      <w:r w:rsidR="002A34E0" w:rsidRPr="00062207">
        <w:rPr>
          <w:rFonts w:ascii="Times New Roman" w:hAnsi="Times New Roman" w:cs="Times New Roman"/>
          <w:sz w:val="22"/>
          <w:szCs w:val="22"/>
        </w:rPr>
        <w:t xml:space="preserve"> reporta una ejecución de Q1.7 millones, el cual corresponde a raciones de alimentos y al mantenimiento y reparación de bienes.</w:t>
      </w:r>
    </w:p>
    <w:p w14:paraId="79698C05" w14:textId="5A383DED" w:rsidR="002A34E0" w:rsidRPr="00062207" w:rsidRDefault="002A34E0" w:rsidP="009C497E">
      <w:pPr>
        <w:jc w:val="both"/>
        <w:rPr>
          <w:rFonts w:ascii="Times New Roman" w:hAnsi="Times New Roman" w:cs="Times New Roman"/>
          <w:sz w:val="22"/>
          <w:szCs w:val="22"/>
        </w:rPr>
      </w:pPr>
    </w:p>
    <w:p w14:paraId="0B0C2048" w14:textId="7119DD6B" w:rsidR="009C497E" w:rsidRPr="00062207" w:rsidRDefault="009C497E" w:rsidP="009C497E">
      <w:pPr>
        <w:jc w:val="center"/>
        <w:rPr>
          <w:rFonts w:ascii="Times New Roman" w:hAnsi="Times New Roman" w:cs="Times New Roman"/>
          <w:b/>
          <w:sz w:val="22"/>
        </w:rPr>
      </w:pPr>
      <w:r w:rsidRPr="00062207">
        <w:rPr>
          <w:rFonts w:ascii="Times New Roman" w:hAnsi="Times New Roman" w:cs="Times New Roman"/>
          <w:b/>
          <w:sz w:val="22"/>
        </w:rPr>
        <w:t>Seguimiento de Programas en atención a la Depresión Tropical ETA</w:t>
      </w:r>
    </w:p>
    <w:p w14:paraId="66C9AE69" w14:textId="7ED7188B" w:rsidR="00E20277" w:rsidRPr="00062207" w:rsidRDefault="009C497E" w:rsidP="000674D4">
      <w:pPr>
        <w:jc w:val="center"/>
        <w:rPr>
          <w:rFonts w:ascii="Times New Roman" w:hAnsi="Times New Roman" w:cs="Times New Roman"/>
          <w:sz w:val="20"/>
        </w:rPr>
      </w:pPr>
      <w:r w:rsidRPr="00062207">
        <w:rPr>
          <w:rFonts w:ascii="Times New Roman" w:hAnsi="Times New Roman" w:cs="Times New Roman"/>
          <w:sz w:val="20"/>
        </w:rPr>
        <w:t xml:space="preserve">Millones de quetzales y porcentajes </w:t>
      </w:r>
    </w:p>
    <w:tbl>
      <w:tblPr>
        <w:tblW w:w="8637" w:type="dxa"/>
        <w:jc w:val="center"/>
        <w:tblCellMar>
          <w:left w:w="70" w:type="dxa"/>
          <w:right w:w="70" w:type="dxa"/>
        </w:tblCellMar>
        <w:tblLook w:val="04A0" w:firstRow="1" w:lastRow="0" w:firstColumn="1" w:lastColumn="0" w:noHBand="0" w:noVBand="1"/>
      </w:tblPr>
      <w:tblGrid>
        <w:gridCol w:w="4668"/>
        <w:gridCol w:w="1418"/>
        <w:gridCol w:w="1134"/>
        <w:gridCol w:w="1417"/>
      </w:tblGrid>
      <w:tr w:rsidR="00062207" w:rsidRPr="00062207" w14:paraId="02FCCA01" w14:textId="77777777" w:rsidTr="000674D4">
        <w:trPr>
          <w:trHeight w:val="123"/>
          <w:jc w:val="center"/>
        </w:trPr>
        <w:tc>
          <w:tcPr>
            <w:tcW w:w="4668" w:type="dxa"/>
            <w:vMerge w:val="restart"/>
            <w:tcBorders>
              <w:top w:val="single" w:sz="8" w:space="0" w:color="auto"/>
              <w:left w:val="single" w:sz="8" w:space="0" w:color="auto"/>
              <w:bottom w:val="single" w:sz="8" w:space="0" w:color="000000"/>
              <w:right w:val="nil"/>
            </w:tcBorders>
            <w:shd w:val="clear" w:color="000000" w:fill="808080"/>
            <w:noWrap/>
            <w:vAlign w:val="center"/>
            <w:hideMark/>
          </w:tcPr>
          <w:p w14:paraId="247E5FC1" w14:textId="77777777" w:rsidR="00E20277" w:rsidRPr="00062207" w:rsidRDefault="00E20277" w:rsidP="00E20277">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Actividades</w:t>
            </w:r>
          </w:p>
        </w:tc>
        <w:tc>
          <w:tcPr>
            <w:tcW w:w="2552" w:type="dxa"/>
            <w:gridSpan w:val="2"/>
            <w:tcBorders>
              <w:top w:val="single" w:sz="8" w:space="0" w:color="auto"/>
              <w:left w:val="single" w:sz="8" w:space="0" w:color="auto"/>
              <w:bottom w:val="single" w:sz="4" w:space="0" w:color="auto"/>
              <w:right w:val="single" w:sz="4" w:space="0" w:color="000000"/>
            </w:tcBorders>
            <w:shd w:val="clear" w:color="000000" w:fill="808080"/>
            <w:noWrap/>
            <w:vAlign w:val="center"/>
            <w:hideMark/>
          </w:tcPr>
          <w:p w14:paraId="1F2C2C7B" w14:textId="77777777" w:rsidR="00E20277" w:rsidRPr="00062207" w:rsidRDefault="00E20277" w:rsidP="00E20277">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2021</w:t>
            </w:r>
          </w:p>
        </w:tc>
        <w:tc>
          <w:tcPr>
            <w:tcW w:w="1417" w:type="dxa"/>
            <w:vMerge w:val="restart"/>
            <w:tcBorders>
              <w:top w:val="single" w:sz="8" w:space="0" w:color="auto"/>
              <w:left w:val="nil"/>
              <w:bottom w:val="single" w:sz="8" w:space="0" w:color="000000"/>
              <w:right w:val="single" w:sz="8" w:space="0" w:color="auto"/>
            </w:tcBorders>
            <w:shd w:val="clear" w:color="000000" w:fill="808080"/>
            <w:noWrap/>
            <w:vAlign w:val="center"/>
            <w:hideMark/>
          </w:tcPr>
          <w:p w14:paraId="7CB33B74" w14:textId="77777777" w:rsidR="00E20277" w:rsidRPr="00062207" w:rsidRDefault="00E20277" w:rsidP="00E20277">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 de Ejecución</w:t>
            </w:r>
          </w:p>
        </w:tc>
      </w:tr>
      <w:tr w:rsidR="00062207" w:rsidRPr="00062207" w14:paraId="7AE29A71" w14:textId="77777777" w:rsidTr="000674D4">
        <w:trPr>
          <w:trHeight w:val="439"/>
          <w:jc w:val="center"/>
        </w:trPr>
        <w:tc>
          <w:tcPr>
            <w:tcW w:w="4668" w:type="dxa"/>
            <w:vMerge/>
            <w:tcBorders>
              <w:top w:val="single" w:sz="8" w:space="0" w:color="auto"/>
              <w:left w:val="single" w:sz="8" w:space="0" w:color="auto"/>
              <w:bottom w:val="single" w:sz="8" w:space="0" w:color="000000"/>
              <w:right w:val="nil"/>
            </w:tcBorders>
            <w:vAlign w:val="center"/>
            <w:hideMark/>
          </w:tcPr>
          <w:p w14:paraId="36DE3B64" w14:textId="77777777" w:rsidR="00E20277" w:rsidRPr="00062207" w:rsidRDefault="00E20277" w:rsidP="00E20277">
            <w:pPr>
              <w:rPr>
                <w:rFonts w:ascii="Times New Roman" w:eastAsia="Times New Roman" w:hAnsi="Times New Roman" w:cs="Times New Roman"/>
                <w:b/>
                <w:bCs/>
                <w:sz w:val="20"/>
                <w:szCs w:val="20"/>
                <w:lang w:val="es-GT" w:eastAsia="es-GT"/>
              </w:rPr>
            </w:pPr>
          </w:p>
        </w:tc>
        <w:tc>
          <w:tcPr>
            <w:tcW w:w="1418" w:type="dxa"/>
            <w:tcBorders>
              <w:top w:val="nil"/>
              <w:left w:val="single" w:sz="8" w:space="0" w:color="auto"/>
              <w:bottom w:val="single" w:sz="8" w:space="0" w:color="auto"/>
              <w:right w:val="single" w:sz="4" w:space="0" w:color="auto"/>
            </w:tcBorders>
            <w:shd w:val="clear" w:color="000000" w:fill="808080"/>
            <w:vAlign w:val="center"/>
            <w:hideMark/>
          </w:tcPr>
          <w:p w14:paraId="0699398F" w14:textId="4BEA1AEC" w:rsidR="00E20277" w:rsidRPr="00062207" w:rsidRDefault="00E20277" w:rsidP="00E20277">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Presupuesto Vigente</w:t>
            </w:r>
          </w:p>
        </w:tc>
        <w:tc>
          <w:tcPr>
            <w:tcW w:w="1134" w:type="dxa"/>
            <w:tcBorders>
              <w:top w:val="nil"/>
              <w:left w:val="nil"/>
              <w:bottom w:val="single" w:sz="8" w:space="0" w:color="auto"/>
              <w:right w:val="single" w:sz="4" w:space="0" w:color="auto"/>
            </w:tcBorders>
            <w:shd w:val="clear" w:color="000000" w:fill="808080"/>
            <w:noWrap/>
            <w:vAlign w:val="center"/>
            <w:hideMark/>
          </w:tcPr>
          <w:p w14:paraId="3F41DF57" w14:textId="77777777" w:rsidR="00E20277" w:rsidRPr="00062207" w:rsidRDefault="00E20277" w:rsidP="00E20277">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Ejecución</w:t>
            </w:r>
          </w:p>
        </w:tc>
        <w:tc>
          <w:tcPr>
            <w:tcW w:w="1417" w:type="dxa"/>
            <w:vMerge/>
            <w:tcBorders>
              <w:top w:val="single" w:sz="8" w:space="0" w:color="auto"/>
              <w:left w:val="nil"/>
              <w:bottom w:val="single" w:sz="8" w:space="0" w:color="000000"/>
              <w:right w:val="single" w:sz="8" w:space="0" w:color="auto"/>
            </w:tcBorders>
            <w:vAlign w:val="center"/>
            <w:hideMark/>
          </w:tcPr>
          <w:p w14:paraId="5D21F5E1" w14:textId="77777777" w:rsidR="00E20277" w:rsidRPr="00062207" w:rsidRDefault="00E20277" w:rsidP="00E20277">
            <w:pPr>
              <w:rPr>
                <w:rFonts w:ascii="Times New Roman" w:eastAsia="Times New Roman" w:hAnsi="Times New Roman" w:cs="Times New Roman"/>
                <w:b/>
                <w:bCs/>
                <w:sz w:val="20"/>
                <w:szCs w:val="20"/>
                <w:lang w:val="es-GT" w:eastAsia="es-GT"/>
              </w:rPr>
            </w:pPr>
          </w:p>
        </w:tc>
      </w:tr>
      <w:tr w:rsidR="00062207" w:rsidRPr="00062207" w14:paraId="6E981966" w14:textId="77777777" w:rsidTr="000674D4">
        <w:trPr>
          <w:trHeight w:val="106"/>
          <w:jc w:val="center"/>
        </w:trPr>
        <w:tc>
          <w:tcPr>
            <w:tcW w:w="4668" w:type="dxa"/>
            <w:tcBorders>
              <w:top w:val="nil"/>
              <w:left w:val="single" w:sz="8" w:space="0" w:color="auto"/>
              <w:bottom w:val="nil"/>
              <w:right w:val="nil"/>
            </w:tcBorders>
            <w:shd w:val="clear" w:color="auto" w:fill="auto"/>
            <w:noWrap/>
            <w:vAlign w:val="center"/>
            <w:hideMark/>
          </w:tcPr>
          <w:p w14:paraId="624BDBDB" w14:textId="77777777" w:rsidR="00E20277" w:rsidRPr="00062207" w:rsidRDefault="00E20277" w:rsidP="00E20277">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Total</w:t>
            </w:r>
          </w:p>
        </w:tc>
        <w:tc>
          <w:tcPr>
            <w:tcW w:w="1418" w:type="dxa"/>
            <w:tcBorders>
              <w:top w:val="nil"/>
              <w:left w:val="single" w:sz="8" w:space="0" w:color="auto"/>
              <w:bottom w:val="nil"/>
              <w:right w:val="single" w:sz="4" w:space="0" w:color="auto"/>
            </w:tcBorders>
            <w:shd w:val="clear" w:color="auto" w:fill="auto"/>
            <w:vAlign w:val="center"/>
            <w:hideMark/>
          </w:tcPr>
          <w:p w14:paraId="133E55AD" w14:textId="77777777" w:rsidR="00E20277" w:rsidRPr="00062207" w:rsidRDefault="00E20277" w:rsidP="00E20277">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572.5</w:t>
            </w:r>
          </w:p>
        </w:tc>
        <w:tc>
          <w:tcPr>
            <w:tcW w:w="1134" w:type="dxa"/>
            <w:tcBorders>
              <w:top w:val="nil"/>
              <w:left w:val="single" w:sz="4" w:space="0" w:color="auto"/>
              <w:bottom w:val="nil"/>
              <w:right w:val="single" w:sz="4" w:space="0" w:color="auto"/>
            </w:tcBorders>
            <w:shd w:val="clear" w:color="auto" w:fill="auto"/>
            <w:noWrap/>
            <w:vAlign w:val="center"/>
            <w:hideMark/>
          </w:tcPr>
          <w:p w14:paraId="59697DA7" w14:textId="77777777" w:rsidR="00E20277" w:rsidRPr="00062207" w:rsidRDefault="00E20277" w:rsidP="00E20277">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521.6</w:t>
            </w:r>
          </w:p>
        </w:tc>
        <w:tc>
          <w:tcPr>
            <w:tcW w:w="1417" w:type="dxa"/>
            <w:tcBorders>
              <w:top w:val="nil"/>
              <w:left w:val="nil"/>
              <w:bottom w:val="nil"/>
              <w:right w:val="single" w:sz="8" w:space="0" w:color="auto"/>
            </w:tcBorders>
            <w:shd w:val="clear" w:color="auto" w:fill="auto"/>
            <w:noWrap/>
            <w:vAlign w:val="center"/>
            <w:hideMark/>
          </w:tcPr>
          <w:p w14:paraId="3F064529" w14:textId="77777777" w:rsidR="00E20277" w:rsidRPr="00062207" w:rsidRDefault="00E20277" w:rsidP="00E20277">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91.1</w:t>
            </w:r>
          </w:p>
        </w:tc>
      </w:tr>
      <w:tr w:rsidR="00062207" w:rsidRPr="00062207" w14:paraId="584C9D2F" w14:textId="77777777" w:rsidTr="000674D4">
        <w:trPr>
          <w:trHeight w:val="171"/>
          <w:jc w:val="center"/>
        </w:trPr>
        <w:tc>
          <w:tcPr>
            <w:tcW w:w="4668" w:type="dxa"/>
            <w:tcBorders>
              <w:top w:val="nil"/>
              <w:left w:val="single" w:sz="8" w:space="0" w:color="auto"/>
              <w:bottom w:val="nil"/>
              <w:right w:val="nil"/>
            </w:tcBorders>
            <w:shd w:val="clear" w:color="000000" w:fill="DBDBDB"/>
            <w:noWrap/>
            <w:vAlign w:val="center"/>
            <w:hideMark/>
          </w:tcPr>
          <w:p w14:paraId="5C134049" w14:textId="77777777" w:rsidR="00E20277" w:rsidRPr="00062207" w:rsidRDefault="00E20277" w:rsidP="00E20277">
            <w:pP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Ministerio de Comunicaciones, Infraestructura y Vivienda</w:t>
            </w:r>
          </w:p>
        </w:tc>
        <w:tc>
          <w:tcPr>
            <w:tcW w:w="1418" w:type="dxa"/>
            <w:tcBorders>
              <w:top w:val="nil"/>
              <w:left w:val="single" w:sz="8" w:space="0" w:color="auto"/>
              <w:bottom w:val="nil"/>
              <w:right w:val="single" w:sz="4" w:space="0" w:color="auto"/>
            </w:tcBorders>
            <w:shd w:val="clear" w:color="000000" w:fill="DBDBDB"/>
            <w:vAlign w:val="center"/>
            <w:hideMark/>
          </w:tcPr>
          <w:p w14:paraId="69960F74" w14:textId="77777777" w:rsidR="00E20277" w:rsidRPr="00062207" w:rsidRDefault="00E20277" w:rsidP="00E20277">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569.0</w:t>
            </w:r>
          </w:p>
        </w:tc>
        <w:tc>
          <w:tcPr>
            <w:tcW w:w="1134" w:type="dxa"/>
            <w:tcBorders>
              <w:top w:val="nil"/>
              <w:left w:val="single" w:sz="4" w:space="0" w:color="auto"/>
              <w:bottom w:val="nil"/>
              <w:right w:val="single" w:sz="4" w:space="0" w:color="auto"/>
            </w:tcBorders>
            <w:shd w:val="clear" w:color="000000" w:fill="DBDBDB"/>
            <w:noWrap/>
            <w:vAlign w:val="center"/>
            <w:hideMark/>
          </w:tcPr>
          <w:p w14:paraId="3CDBB44D" w14:textId="77777777" w:rsidR="00E20277" w:rsidRPr="00062207" w:rsidRDefault="00E20277" w:rsidP="00E20277">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518.1</w:t>
            </w:r>
          </w:p>
        </w:tc>
        <w:tc>
          <w:tcPr>
            <w:tcW w:w="1417" w:type="dxa"/>
            <w:tcBorders>
              <w:top w:val="nil"/>
              <w:left w:val="nil"/>
              <w:bottom w:val="nil"/>
              <w:right w:val="single" w:sz="8" w:space="0" w:color="auto"/>
            </w:tcBorders>
            <w:shd w:val="clear" w:color="000000" w:fill="DBDBDB"/>
            <w:noWrap/>
            <w:vAlign w:val="center"/>
            <w:hideMark/>
          </w:tcPr>
          <w:p w14:paraId="53A0BBAC" w14:textId="77777777" w:rsidR="00E20277" w:rsidRPr="00062207" w:rsidRDefault="00E20277" w:rsidP="00E20277">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91.1</w:t>
            </w:r>
          </w:p>
        </w:tc>
      </w:tr>
      <w:tr w:rsidR="00062207" w:rsidRPr="00062207" w14:paraId="24D0D269" w14:textId="77777777" w:rsidTr="000674D4">
        <w:trPr>
          <w:trHeight w:val="688"/>
          <w:jc w:val="center"/>
        </w:trPr>
        <w:tc>
          <w:tcPr>
            <w:tcW w:w="4668" w:type="dxa"/>
            <w:tcBorders>
              <w:top w:val="nil"/>
              <w:left w:val="single" w:sz="8" w:space="0" w:color="auto"/>
              <w:bottom w:val="nil"/>
              <w:right w:val="nil"/>
            </w:tcBorders>
            <w:shd w:val="clear" w:color="auto" w:fill="auto"/>
            <w:vAlign w:val="center"/>
            <w:hideMark/>
          </w:tcPr>
          <w:p w14:paraId="0E36FCE7" w14:textId="157098C6" w:rsidR="00E20277" w:rsidRPr="00062207" w:rsidRDefault="00E20277" w:rsidP="000674D4">
            <w:pPr>
              <w:ind w:firstLineChars="104" w:firstLine="208"/>
              <w:jc w:val="both"/>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 xml:space="preserve">Intervenciones realizadas para la atención de daños </w:t>
            </w:r>
            <w:r w:rsidR="000674D4" w:rsidRPr="00062207">
              <w:rPr>
                <w:rFonts w:ascii="Times New Roman" w:eastAsia="Times New Roman" w:hAnsi="Times New Roman" w:cs="Times New Roman"/>
                <w:sz w:val="20"/>
                <w:szCs w:val="20"/>
                <w:lang w:val="es-GT" w:eastAsia="es-GT"/>
              </w:rPr>
              <w:t>…</w:t>
            </w:r>
            <w:r w:rsidRPr="00062207">
              <w:rPr>
                <w:rFonts w:ascii="Times New Roman" w:eastAsia="Times New Roman" w:hAnsi="Times New Roman" w:cs="Times New Roman"/>
                <w:sz w:val="20"/>
                <w:szCs w:val="20"/>
                <w:lang w:val="es-GT" w:eastAsia="es-GT"/>
              </w:rPr>
              <w:t xml:space="preserve">provocados por Depresión Tropical ETA </w:t>
            </w:r>
            <w:r w:rsidR="000674D4" w:rsidRPr="00062207">
              <w:rPr>
                <w:rFonts w:ascii="Times New Roman" w:eastAsia="Times New Roman" w:hAnsi="Times New Roman" w:cs="Times New Roman"/>
                <w:sz w:val="20"/>
                <w:szCs w:val="20"/>
                <w:lang w:val="es-GT" w:eastAsia="es-GT"/>
              </w:rPr>
              <w:t>…</w:t>
            </w:r>
            <w:r w:rsidRPr="00062207">
              <w:rPr>
                <w:rFonts w:ascii="Times New Roman" w:eastAsia="Times New Roman" w:hAnsi="Times New Roman" w:cs="Times New Roman"/>
                <w:sz w:val="20"/>
                <w:szCs w:val="20"/>
                <w:lang w:val="es-GT" w:eastAsia="es-GT"/>
              </w:rPr>
              <w:t xml:space="preserve">(Mantenimiento y reparación de bienes nacionales </w:t>
            </w:r>
            <w:r w:rsidR="000674D4" w:rsidRPr="00062207">
              <w:rPr>
                <w:rFonts w:ascii="Times New Roman" w:eastAsia="Times New Roman" w:hAnsi="Times New Roman" w:cs="Times New Roman"/>
                <w:sz w:val="20"/>
                <w:szCs w:val="20"/>
                <w:lang w:val="es-GT" w:eastAsia="es-GT"/>
              </w:rPr>
              <w:t>…</w:t>
            </w:r>
            <w:r w:rsidRPr="00062207">
              <w:rPr>
                <w:rFonts w:ascii="Times New Roman" w:eastAsia="Times New Roman" w:hAnsi="Times New Roman" w:cs="Times New Roman"/>
                <w:sz w:val="20"/>
                <w:szCs w:val="20"/>
                <w:lang w:val="es-GT" w:eastAsia="es-GT"/>
              </w:rPr>
              <w:t>de uso común)</w:t>
            </w:r>
          </w:p>
        </w:tc>
        <w:tc>
          <w:tcPr>
            <w:tcW w:w="1418" w:type="dxa"/>
            <w:tcBorders>
              <w:top w:val="nil"/>
              <w:left w:val="single" w:sz="8" w:space="0" w:color="auto"/>
              <w:bottom w:val="nil"/>
              <w:right w:val="single" w:sz="4" w:space="0" w:color="auto"/>
            </w:tcBorders>
            <w:shd w:val="clear" w:color="auto" w:fill="auto"/>
            <w:vAlign w:val="center"/>
            <w:hideMark/>
          </w:tcPr>
          <w:p w14:paraId="6E90E1D0" w14:textId="77777777" w:rsidR="00E20277" w:rsidRPr="00062207" w:rsidRDefault="00E20277" w:rsidP="00E20277">
            <w:pPr>
              <w:jc w:val="center"/>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543.2</w:t>
            </w:r>
          </w:p>
        </w:tc>
        <w:tc>
          <w:tcPr>
            <w:tcW w:w="1134" w:type="dxa"/>
            <w:tcBorders>
              <w:top w:val="nil"/>
              <w:left w:val="single" w:sz="4" w:space="0" w:color="auto"/>
              <w:bottom w:val="nil"/>
              <w:right w:val="single" w:sz="4" w:space="0" w:color="auto"/>
            </w:tcBorders>
            <w:shd w:val="clear" w:color="auto" w:fill="auto"/>
            <w:noWrap/>
            <w:vAlign w:val="center"/>
            <w:hideMark/>
          </w:tcPr>
          <w:p w14:paraId="4733D5BC" w14:textId="77777777" w:rsidR="00E20277" w:rsidRPr="00062207" w:rsidRDefault="00E20277" w:rsidP="00E20277">
            <w:pPr>
              <w:jc w:val="center"/>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516.0</w:t>
            </w:r>
          </w:p>
        </w:tc>
        <w:tc>
          <w:tcPr>
            <w:tcW w:w="1417" w:type="dxa"/>
            <w:tcBorders>
              <w:top w:val="nil"/>
              <w:left w:val="nil"/>
              <w:bottom w:val="nil"/>
              <w:right w:val="single" w:sz="8" w:space="0" w:color="auto"/>
            </w:tcBorders>
            <w:shd w:val="clear" w:color="auto" w:fill="auto"/>
            <w:noWrap/>
            <w:vAlign w:val="center"/>
            <w:hideMark/>
          </w:tcPr>
          <w:p w14:paraId="2A9B59CD" w14:textId="77777777" w:rsidR="00E20277" w:rsidRPr="00062207" w:rsidRDefault="00E20277" w:rsidP="00E20277">
            <w:pPr>
              <w:jc w:val="center"/>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95.0</w:t>
            </w:r>
          </w:p>
        </w:tc>
      </w:tr>
      <w:tr w:rsidR="00062207" w:rsidRPr="00062207" w14:paraId="5A1DA2D2" w14:textId="77777777" w:rsidTr="000674D4">
        <w:trPr>
          <w:trHeight w:val="205"/>
          <w:jc w:val="center"/>
        </w:trPr>
        <w:tc>
          <w:tcPr>
            <w:tcW w:w="4668" w:type="dxa"/>
            <w:tcBorders>
              <w:top w:val="nil"/>
              <w:left w:val="single" w:sz="8" w:space="0" w:color="auto"/>
              <w:bottom w:val="nil"/>
              <w:right w:val="nil"/>
            </w:tcBorders>
            <w:shd w:val="clear" w:color="auto" w:fill="auto"/>
            <w:vAlign w:val="center"/>
            <w:hideMark/>
          </w:tcPr>
          <w:p w14:paraId="7A24BDD0" w14:textId="2BA30D56" w:rsidR="00E20277" w:rsidRPr="00062207" w:rsidRDefault="00E20277" w:rsidP="000674D4">
            <w:pPr>
              <w:ind w:firstLineChars="104" w:firstLine="208"/>
              <w:jc w:val="both"/>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 xml:space="preserve">Familias beneficiadas con subsidio para </w:t>
            </w:r>
            <w:r w:rsidR="000674D4" w:rsidRPr="00062207">
              <w:rPr>
                <w:rFonts w:ascii="Times New Roman" w:eastAsia="Times New Roman" w:hAnsi="Times New Roman" w:cs="Times New Roman"/>
                <w:sz w:val="20"/>
                <w:szCs w:val="20"/>
                <w:lang w:val="es-GT" w:eastAsia="es-GT"/>
              </w:rPr>
              <w:t>…</w:t>
            </w:r>
            <w:r w:rsidRPr="00062207">
              <w:rPr>
                <w:rFonts w:ascii="Times New Roman" w:eastAsia="Times New Roman" w:hAnsi="Times New Roman" w:cs="Times New Roman"/>
                <w:sz w:val="20"/>
                <w:szCs w:val="20"/>
                <w:lang w:val="es-GT" w:eastAsia="es-GT"/>
              </w:rPr>
              <w:t>construcción de vivienda por atención de daños</w:t>
            </w:r>
          </w:p>
        </w:tc>
        <w:tc>
          <w:tcPr>
            <w:tcW w:w="1418" w:type="dxa"/>
            <w:tcBorders>
              <w:top w:val="nil"/>
              <w:left w:val="single" w:sz="8" w:space="0" w:color="auto"/>
              <w:bottom w:val="nil"/>
              <w:right w:val="single" w:sz="4" w:space="0" w:color="auto"/>
            </w:tcBorders>
            <w:shd w:val="clear" w:color="auto" w:fill="auto"/>
            <w:vAlign w:val="center"/>
            <w:hideMark/>
          </w:tcPr>
          <w:p w14:paraId="6E92D330" w14:textId="77777777" w:rsidR="00E20277" w:rsidRPr="00062207" w:rsidRDefault="00E20277" w:rsidP="00E20277">
            <w:pPr>
              <w:jc w:val="center"/>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25.8</w:t>
            </w:r>
          </w:p>
        </w:tc>
        <w:tc>
          <w:tcPr>
            <w:tcW w:w="1134" w:type="dxa"/>
            <w:tcBorders>
              <w:top w:val="nil"/>
              <w:left w:val="single" w:sz="4" w:space="0" w:color="auto"/>
              <w:bottom w:val="nil"/>
              <w:right w:val="single" w:sz="4" w:space="0" w:color="auto"/>
            </w:tcBorders>
            <w:shd w:val="clear" w:color="auto" w:fill="auto"/>
            <w:noWrap/>
            <w:vAlign w:val="center"/>
            <w:hideMark/>
          </w:tcPr>
          <w:p w14:paraId="11BCD7BE" w14:textId="77777777" w:rsidR="00E20277" w:rsidRPr="00062207" w:rsidRDefault="00E20277" w:rsidP="00E20277">
            <w:pPr>
              <w:jc w:val="center"/>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2.1</w:t>
            </w:r>
          </w:p>
        </w:tc>
        <w:tc>
          <w:tcPr>
            <w:tcW w:w="1417" w:type="dxa"/>
            <w:tcBorders>
              <w:top w:val="nil"/>
              <w:left w:val="nil"/>
              <w:bottom w:val="nil"/>
              <w:right w:val="single" w:sz="8" w:space="0" w:color="auto"/>
            </w:tcBorders>
            <w:shd w:val="clear" w:color="auto" w:fill="auto"/>
            <w:noWrap/>
            <w:vAlign w:val="center"/>
            <w:hideMark/>
          </w:tcPr>
          <w:p w14:paraId="14AD5EE1" w14:textId="77777777" w:rsidR="00E20277" w:rsidRPr="00062207" w:rsidRDefault="00E20277" w:rsidP="00E20277">
            <w:pPr>
              <w:jc w:val="center"/>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8.1</w:t>
            </w:r>
          </w:p>
        </w:tc>
      </w:tr>
      <w:tr w:rsidR="00062207" w:rsidRPr="00062207" w14:paraId="21A13417" w14:textId="77777777" w:rsidTr="000674D4">
        <w:trPr>
          <w:trHeight w:val="169"/>
          <w:jc w:val="center"/>
        </w:trPr>
        <w:tc>
          <w:tcPr>
            <w:tcW w:w="4668" w:type="dxa"/>
            <w:tcBorders>
              <w:top w:val="nil"/>
              <w:left w:val="single" w:sz="8" w:space="0" w:color="auto"/>
              <w:bottom w:val="nil"/>
              <w:right w:val="nil"/>
            </w:tcBorders>
            <w:shd w:val="clear" w:color="000000" w:fill="DBDBDB"/>
            <w:noWrap/>
            <w:vAlign w:val="center"/>
            <w:hideMark/>
          </w:tcPr>
          <w:p w14:paraId="3DFC3E43" w14:textId="77777777" w:rsidR="00E20277" w:rsidRPr="00062207" w:rsidRDefault="00E20277" w:rsidP="00E20277">
            <w:pP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 xml:space="preserve">Ministerio de Cultura y Deportes </w:t>
            </w:r>
          </w:p>
        </w:tc>
        <w:tc>
          <w:tcPr>
            <w:tcW w:w="1418" w:type="dxa"/>
            <w:tcBorders>
              <w:top w:val="nil"/>
              <w:left w:val="single" w:sz="8" w:space="0" w:color="auto"/>
              <w:bottom w:val="nil"/>
              <w:right w:val="single" w:sz="4" w:space="0" w:color="auto"/>
            </w:tcBorders>
            <w:shd w:val="clear" w:color="000000" w:fill="DBDBDB"/>
            <w:noWrap/>
            <w:vAlign w:val="center"/>
            <w:hideMark/>
          </w:tcPr>
          <w:p w14:paraId="10ED605E" w14:textId="77777777" w:rsidR="00E20277" w:rsidRPr="00062207" w:rsidRDefault="00E20277" w:rsidP="00E20277">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1.8</w:t>
            </w:r>
          </w:p>
        </w:tc>
        <w:tc>
          <w:tcPr>
            <w:tcW w:w="1134" w:type="dxa"/>
            <w:tcBorders>
              <w:top w:val="nil"/>
              <w:left w:val="single" w:sz="4" w:space="0" w:color="auto"/>
              <w:bottom w:val="nil"/>
              <w:right w:val="single" w:sz="4" w:space="0" w:color="auto"/>
            </w:tcBorders>
            <w:shd w:val="clear" w:color="000000" w:fill="DBDBDB"/>
            <w:noWrap/>
            <w:vAlign w:val="center"/>
            <w:hideMark/>
          </w:tcPr>
          <w:p w14:paraId="7D96A952" w14:textId="77777777" w:rsidR="00E20277" w:rsidRPr="00062207" w:rsidRDefault="00E20277" w:rsidP="00E20277">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1.8</w:t>
            </w:r>
          </w:p>
        </w:tc>
        <w:tc>
          <w:tcPr>
            <w:tcW w:w="1417" w:type="dxa"/>
            <w:tcBorders>
              <w:top w:val="nil"/>
              <w:left w:val="nil"/>
              <w:bottom w:val="nil"/>
              <w:right w:val="single" w:sz="8" w:space="0" w:color="auto"/>
            </w:tcBorders>
            <w:shd w:val="clear" w:color="000000" w:fill="DBDBDB"/>
            <w:noWrap/>
            <w:vAlign w:val="center"/>
            <w:hideMark/>
          </w:tcPr>
          <w:p w14:paraId="17EAB151" w14:textId="77777777" w:rsidR="00E20277" w:rsidRPr="00062207" w:rsidRDefault="00E20277" w:rsidP="00E20277">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100.0</w:t>
            </w:r>
          </w:p>
        </w:tc>
      </w:tr>
      <w:tr w:rsidR="00062207" w:rsidRPr="00062207" w14:paraId="7A3249A6" w14:textId="77777777" w:rsidTr="000674D4">
        <w:trPr>
          <w:trHeight w:val="357"/>
          <w:jc w:val="center"/>
        </w:trPr>
        <w:tc>
          <w:tcPr>
            <w:tcW w:w="4668" w:type="dxa"/>
            <w:tcBorders>
              <w:top w:val="nil"/>
              <w:left w:val="single" w:sz="8" w:space="0" w:color="auto"/>
              <w:bottom w:val="nil"/>
              <w:right w:val="nil"/>
            </w:tcBorders>
            <w:shd w:val="clear" w:color="auto" w:fill="auto"/>
            <w:vAlign w:val="center"/>
            <w:hideMark/>
          </w:tcPr>
          <w:p w14:paraId="40580AA8" w14:textId="58AC6E10" w:rsidR="00E20277" w:rsidRPr="00062207" w:rsidRDefault="00E20277" w:rsidP="000674D4">
            <w:pPr>
              <w:ind w:firstLineChars="104" w:firstLine="208"/>
              <w:jc w:val="both"/>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 xml:space="preserve">Intervenciones realizadas para la atención de daños </w:t>
            </w:r>
            <w:r w:rsidR="000674D4" w:rsidRPr="00062207">
              <w:rPr>
                <w:rFonts w:ascii="Times New Roman" w:eastAsia="Times New Roman" w:hAnsi="Times New Roman" w:cs="Times New Roman"/>
                <w:sz w:val="20"/>
                <w:szCs w:val="20"/>
                <w:lang w:val="es-GT" w:eastAsia="es-GT"/>
              </w:rPr>
              <w:t>…</w:t>
            </w:r>
            <w:r w:rsidRPr="00062207">
              <w:rPr>
                <w:rFonts w:ascii="Times New Roman" w:eastAsia="Times New Roman" w:hAnsi="Times New Roman" w:cs="Times New Roman"/>
                <w:sz w:val="20"/>
                <w:szCs w:val="20"/>
                <w:lang w:val="es-GT" w:eastAsia="es-GT"/>
              </w:rPr>
              <w:t>provocados por Depresión Tropical ETA</w:t>
            </w:r>
          </w:p>
        </w:tc>
        <w:tc>
          <w:tcPr>
            <w:tcW w:w="1418" w:type="dxa"/>
            <w:tcBorders>
              <w:top w:val="nil"/>
              <w:left w:val="single" w:sz="8" w:space="0" w:color="auto"/>
              <w:bottom w:val="nil"/>
              <w:right w:val="single" w:sz="4" w:space="0" w:color="auto"/>
            </w:tcBorders>
            <w:shd w:val="clear" w:color="auto" w:fill="auto"/>
            <w:noWrap/>
            <w:vAlign w:val="center"/>
            <w:hideMark/>
          </w:tcPr>
          <w:p w14:paraId="0C9DA0A2" w14:textId="77777777" w:rsidR="00E20277" w:rsidRPr="00062207" w:rsidRDefault="00E20277" w:rsidP="00E20277">
            <w:pPr>
              <w:jc w:val="center"/>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1.8</w:t>
            </w:r>
          </w:p>
        </w:tc>
        <w:tc>
          <w:tcPr>
            <w:tcW w:w="1134" w:type="dxa"/>
            <w:tcBorders>
              <w:top w:val="nil"/>
              <w:left w:val="single" w:sz="4" w:space="0" w:color="auto"/>
              <w:bottom w:val="nil"/>
              <w:right w:val="single" w:sz="4" w:space="0" w:color="auto"/>
            </w:tcBorders>
            <w:shd w:val="clear" w:color="auto" w:fill="auto"/>
            <w:noWrap/>
            <w:vAlign w:val="center"/>
            <w:hideMark/>
          </w:tcPr>
          <w:p w14:paraId="162812EA" w14:textId="77777777" w:rsidR="00E20277" w:rsidRPr="00062207" w:rsidRDefault="00E20277" w:rsidP="00E20277">
            <w:pPr>
              <w:jc w:val="center"/>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1.8</w:t>
            </w:r>
          </w:p>
        </w:tc>
        <w:tc>
          <w:tcPr>
            <w:tcW w:w="1417" w:type="dxa"/>
            <w:tcBorders>
              <w:top w:val="nil"/>
              <w:left w:val="nil"/>
              <w:bottom w:val="nil"/>
              <w:right w:val="single" w:sz="8" w:space="0" w:color="auto"/>
            </w:tcBorders>
            <w:shd w:val="clear" w:color="auto" w:fill="auto"/>
            <w:noWrap/>
            <w:vAlign w:val="center"/>
            <w:hideMark/>
          </w:tcPr>
          <w:p w14:paraId="1A6A46FE" w14:textId="77777777" w:rsidR="00E20277" w:rsidRPr="00062207" w:rsidRDefault="00E20277" w:rsidP="00E20277">
            <w:pPr>
              <w:jc w:val="center"/>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100.0</w:t>
            </w:r>
          </w:p>
        </w:tc>
      </w:tr>
      <w:tr w:rsidR="00062207" w:rsidRPr="00062207" w14:paraId="13DD1D01" w14:textId="77777777" w:rsidTr="000674D4">
        <w:trPr>
          <w:trHeight w:val="179"/>
          <w:jc w:val="center"/>
        </w:trPr>
        <w:tc>
          <w:tcPr>
            <w:tcW w:w="4668" w:type="dxa"/>
            <w:tcBorders>
              <w:top w:val="nil"/>
              <w:left w:val="single" w:sz="8" w:space="0" w:color="auto"/>
              <w:bottom w:val="nil"/>
              <w:right w:val="single" w:sz="8" w:space="0" w:color="auto"/>
            </w:tcBorders>
            <w:shd w:val="clear" w:color="000000" w:fill="DBDBDB"/>
            <w:noWrap/>
            <w:vAlign w:val="bottom"/>
            <w:hideMark/>
          </w:tcPr>
          <w:p w14:paraId="76405B2A" w14:textId="77777777" w:rsidR="00E20277" w:rsidRPr="00062207" w:rsidRDefault="00E20277" w:rsidP="00E20277">
            <w:pP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Ministerio de Desarrollo Social</w:t>
            </w:r>
          </w:p>
        </w:tc>
        <w:tc>
          <w:tcPr>
            <w:tcW w:w="1418" w:type="dxa"/>
            <w:tcBorders>
              <w:top w:val="nil"/>
              <w:left w:val="single" w:sz="8" w:space="0" w:color="auto"/>
              <w:bottom w:val="nil"/>
              <w:right w:val="single" w:sz="4" w:space="0" w:color="auto"/>
            </w:tcBorders>
            <w:shd w:val="clear" w:color="000000" w:fill="DBDBDB"/>
            <w:noWrap/>
            <w:vAlign w:val="center"/>
            <w:hideMark/>
          </w:tcPr>
          <w:p w14:paraId="1DF64FD3" w14:textId="77777777" w:rsidR="00E20277" w:rsidRPr="00062207" w:rsidRDefault="00E20277" w:rsidP="00E20277">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1.7</w:t>
            </w:r>
          </w:p>
        </w:tc>
        <w:tc>
          <w:tcPr>
            <w:tcW w:w="1134" w:type="dxa"/>
            <w:tcBorders>
              <w:top w:val="nil"/>
              <w:left w:val="single" w:sz="4" w:space="0" w:color="auto"/>
              <w:bottom w:val="nil"/>
              <w:right w:val="single" w:sz="4" w:space="0" w:color="auto"/>
            </w:tcBorders>
            <w:shd w:val="clear" w:color="000000" w:fill="DBDBDB"/>
            <w:noWrap/>
            <w:vAlign w:val="center"/>
            <w:hideMark/>
          </w:tcPr>
          <w:p w14:paraId="0D6104FB" w14:textId="77777777" w:rsidR="00E20277" w:rsidRPr="00062207" w:rsidRDefault="00E20277" w:rsidP="00E20277">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1.7</w:t>
            </w:r>
          </w:p>
        </w:tc>
        <w:tc>
          <w:tcPr>
            <w:tcW w:w="1417" w:type="dxa"/>
            <w:tcBorders>
              <w:top w:val="nil"/>
              <w:left w:val="nil"/>
              <w:bottom w:val="nil"/>
              <w:right w:val="single" w:sz="8" w:space="0" w:color="auto"/>
            </w:tcBorders>
            <w:shd w:val="clear" w:color="000000" w:fill="DBDBDB"/>
            <w:noWrap/>
            <w:vAlign w:val="center"/>
            <w:hideMark/>
          </w:tcPr>
          <w:p w14:paraId="5E08D4EB" w14:textId="77777777" w:rsidR="00E20277" w:rsidRPr="00062207" w:rsidRDefault="00E20277" w:rsidP="00E20277">
            <w:pPr>
              <w:jc w:val="center"/>
              <w:rPr>
                <w:rFonts w:ascii="Times New Roman" w:eastAsia="Times New Roman" w:hAnsi="Times New Roman" w:cs="Times New Roman"/>
                <w:b/>
                <w:bCs/>
                <w:sz w:val="20"/>
                <w:szCs w:val="20"/>
                <w:lang w:val="es-GT" w:eastAsia="es-GT"/>
              </w:rPr>
            </w:pPr>
            <w:r w:rsidRPr="00062207">
              <w:rPr>
                <w:rFonts w:ascii="Times New Roman" w:eastAsia="Times New Roman" w:hAnsi="Times New Roman" w:cs="Times New Roman"/>
                <w:b/>
                <w:bCs/>
                <w:sz w:val="20"/>
                <w:szCs w:val="20"/>
                <w:lang w:val="es-GT" w:eastAsia="es-GT"/>
              </w:rPr>
              <w:t>100.0</w:t>
            </w:r>
          </w:p>
        </w:tc>
      </w:tr>
      <w:tr w:rsidR="00062207" w:rsidRPr="00062207" w14:paraId="26DB6E45" w14:textId="77777777" w:rsidTr="00E20277">
        <w:trPr>
          <w:trHeight w:val="900"/>
          <w:jc w:val="center"/>
        </w:trPr>
        <w:tc>
          <w:tcPr>
            <w:tcW w:w="4668" w:type="dxa"/>
            <w:tcBorders>
              <w:top w:val="nil"/>
              <w:left w:val="single" w:sz="8" w:space="0" w:color="auto"/>
              <w:bottom w:val="nil"/>
              <w:right w:val="nil"/>
            </w:tcBorders>
            <w:shd w:val="clear" w:color="auto" w:fill="auto"/>
            <w:vAlign w:val="bottom"/>
            <w:hideMark/>
          </w:tcPr>
          <w:p w14:paraId="24AE7CD7" w14:textId="27A99213" w:rsidR="00E20277" w:rsidRPr="00062207" w:rsidRDefault="00E20277" w:rsidP="000674D4">
            <w:pPr>
              <w:ind w:firstLineChars="104" w:firstLine="208"/>
              <w:jc w:val="both"/>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 xml:space="preserve">Intervenciones realizadas para la atención de daños </w:t>
            </w:r>
            <w:r w:rsidR="000674D4" w:rsidRPr="00062207">
              <w:rPr>
                <w:rFonts w:ascii="Times New Roman" w:eastAsia="Times New Roman" w:hAnsi="Times New Roman" w:cs="Times New Roman"/>
                <w:sz w:val="20"/>
                <w:szCs w:val="20"/>
                <w:lang w:val="es-GT" w:eastAsia="es-GT"/>
              </w:rPr>
              <w:t>…</w:t>
            </w:r>
            <w:r w:rsidRPr="00062207">
              <w:rPr>
                <w:rFonts w:ascii="Times New Roman" w:eastAsia="Times New Roman" w:hAnsi="Times New Roman" w:cs="Times New Roman"/>
                <w:sz w:val="20"/>
                <w:szCs w:val="20"/>
                <w:lang w:val="es-GT" w:eastAsia="es-GT"/>
              </w:rPr>
              <w:t xml:space="preserve">provocados por Depresión Tropical ETA </w:t>
            </w:r>
            <w:r w:rsidR="000674D4" w:rsidRPr="00062207">
              <w:rPr>
                <w:rFonts w:ascii="Times New Roman" w:eastAsia="Times New Roman" w:hAnsi="Times New Roman" w:cs="Times New Roman"/>
                <w:sz w:val="20"/>
                <w:szCs w:val="20"/>
                <w:lang w:val="es-GT" w:eastAsia="es-GT"/>
              </w:rPr>
              <w:t>…</w:t>
            </w:r>
            <w:r w:rsidRPr="00062207">
              <w:rPr>
                <w:rFonts w:ascii="Times New Roman" w:eastAsia="Times New Roman" w:hAnsi="Times New Roman" w:cs="Times New Roman"/>
                <w:sz w:val="20"/>
                <w:szCs w:val="20"/>
                <w:lang w:val="es-GT" w:eastAsia="es-GT"/>
              </w:rPr>
              <w:t xml:space="preserve">(Mantenimiento y reparación de bienes nacionales </w:t>
            </w:r>
            <w:r w:rsidR="000674D4" w:rsidRPr="00062207">
              <w:rPr>
                <w:rFonts w:ascii="Times New Roman" w:eastAsia="Times New Roman" w:hAnsi="Times New Roman" w:cs="Times New Roman"/>
                <w:sz w:val="20"/>
                <w:szCs w:val="20"/>
                <w:lang w:val="es-GT" w:eastAsia="es-GT"/>
              </w:rPr>
              <w:t>…</w:t>
            </w:r>
            <w:r w:rsidRPr="00062207">
              <w:rPr>
                <w:rFonts w:ascii="Times New Roman" w:eastAsia="Times New Roman" w:hAnsi="Times New Roman" w:cs="Times New Roman"/>
                <w:sz w:val="20"/>
                <w:szCs w:val="20"/>
                <w:lang w:val="es-GT" w:eastAsia="es-GT"/>
              </w:rPr>
              <w:t>de uso común)</w:t>
            </w:r>
          </w:p>
        </w:tc>
        <w:tc>
          <w:tcPr>
            <w:tcW w:w="1418" w:type="dxa"/>
            <w:tcBorders>
              <w:top w:val="nil"/>
              <w:left w:val="single" w:sz="8" w:space="0" w:color="auto"/>
              <w:bottom w:val="nil"/>
              <w:right w:val="single" w:sz="4" w:space="0" w:color="auto"/>
            </w:tcBorders>
            <w:shd w:val="clear" w:color="auto" w:fill="auto"/>
            <w:noWrap/>
            <w:vAlign w:val="center"/>
            <w:hideMark/>
          </w:tcPr>
          <w:p w14:paraId="54F816E6" w14:textId="77777777" w:rsidR="00E20277" w:rsidRPr="00062207" w:rsidRDefault="00E20277" w:rsidP="00E20277">
            <w:pPr>
              <w:jc w:val="center"/>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0.6</w:t>
            </w:r>
          </w:p>
        </w:tc>
        <w:tc>
          <w:tcPr>
            <w:tcW w:w="1134" w:type="dxa"/>
            <w:tcBorders>
              <w:top w:val="nil"/>
              <w:left w:val="single" w:sz="4" w:space="0" w:color="auto"/>
              <w:bottom w:val="nil"/>
              <w:right w:val="single" w:sz="4" w:space="0" w:color="auto"/>
            </w:tcBorders>
            <w:shd w:val="clear" w:color="auto" w:fill="auto"/>
            <w:noWrap/>
            <w:vAlign w:val="center"/>
            <w:hideMark/>
          </w:tcPr>
          <w:p w14:paraId="4C936ABE" w14:textId="77777777" w:rsidR="00E20277" w:rsidRPr="00062207" w:rsidRDefault="00E20277" w:rsidP="00E20277">
            <w:pPr>
              <w:jc w:val="center"/>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0.6</w:t>
            </w:r>
          </w:p>
        </w:tc>
        <w:tc>
          <w:tcPr>
            <w:tcW w:w="1417" w:type="dxa"/>
            <w:tcBorders>
              <w:top w:val="nil"/>
              <w:left w:val="nil"/>
              <w:bottom w:val="nil"/>
              <w:right w:val="single" w:sz="8" w:space="0" w:color="auto"/>
            </w:tcBorders>
            <w:shd w:val="clear" w:color="auto" w:fill="auto"/>
            <w:noWrap/>
            <w:vAlign w:val="center"/>
            <w:hideMark/>
          </w:tcPr>
          <w:p w14:paraId="4E72D829" w14:textId="77777777" w:rsidR="00E20277" w:rsidRPr="00062207" w:rsidRDefault="00E20277" w:rsidP="00E20277">
            <w:pPr>
              <w:jc w:val="center"/>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100.0</w:t>
            </w:r>
          </w:p>
        </w:tc>
      </w:tr>
      <w:tr w:rsidR="00062207" w:rsidRPr="00062207" w14:paraId="7C62487E" w14:textId="77777777" w:rsidTr="000674D4">
        <w:trPr>
          <w:trHeight w:val="450"/>
          <w:jc w:val="center"/>
        </w:trPr>
        <w:tc>
          <w:tcPr>
            <w:tcW w:w="4668" w:type="dxa"/>
            <w:tcBorders>
              <w:top w:val="nil"/>
              <w:left w:val="single" w:sz="8" w:space="0" w:color="auto"/>
              <w:bottom w:val="single" w:sz="8" w:space="0" w:color="auto"/>
              <w:right w:val="nil"/>
            </w:tcBorders>
            <w:shd w:val="clear" w:color="auto" w:fill="auto"/>
            <w:vAlign w:val="bottom"/>
            <w:hideMark/>
          </w:tcPr>
          <w:p w14:paraId="4B220A95" w14:textId="4435B49F" w:rsidR="00E20277" w:rsidRPr="00062207" w:rsidRDefault="00E20277" w:rsidP="000674D4">
            <w:pPr>
              <w:ind w:firstLineChars="104" w:firstLine="208"/>
              <w:jc w:val="both"/>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 xml:space="preserve">Raciones de alimentos para personas atendidas por </w:t>
            </w:r>
            <w:r w:rsidR="000674D4" w:rsidRPr="00062207">
              <w:rPr>
                <w:rFonts w:ascii="Times New Roman" w:eastAsia="Times New Roman" w:hAnsi="Times New Roman" w:cs="Times New Roman"/>
                <w:sz w:val="20"/>
                <w:szCs w:val="20"/>
                <w:lang w:val="es-GT" w:eastAsia="es-GT"/>
              </w:rPr>
              <w:t>…</w:t>
            </w:r>
            <w:r w:rsidRPr="00062207">
              <w:rPr>
                <w:rFonts w:ascii="Times New Roman" w:eastAsia="Times New Roman" w:hAnsi="Times New Roman" w:cs="Times New Roman"/>
                <w:sz w:val="20"/>
                <w:szCs w:val="20"/>
                <w:lang w:val="es-GT" w:eastAsia="es-GT"/>
              </w:rPr>
              <w:t xml:space="preserve">la emergencia causadas por la Depresión Tropical </w:t>
            </w:r>
            <w:r w:rsidR="000674D4" w:rsidRPr="00062207">
              <w:rPr>
                <w:rFonts w:ascii="Times New Roman" w:eastAsia="Times New Roman" w:hAnsi="Times New Roman" w:cs="Times New Roman"/>
                <w:sz w:val="20"/>
                <w:szCs w:val="20"/>
                <w:lang w:val="es-GT" w:eastAsia="es-GT"/>
              </w:rPr>
              <w:t>…</w:t>
            </w:r>
            <w:r w:rsidRPr="00062207">
              <w:rPr>
                <w:rFonts w:ascii="Times New Roman" w:eastAsia="Times New Roman" w:hAnsi="Times New Roman" w:cs="Times New Roman"/>
                <w:sz w:val="20"/>
                <w:szCs w:val="20"/>
                <w:lang w:val="es-GT" w:eastAsia="es-GT"/>
              </w:rPr>
              <w:t>ETA</w:t>
            </w:r>
          </w:p>
        </w:tc>
        <w:tc>
          <w:tcPr>
            <w:tcW w:w="1418" w:type="dxa"/>
            <w:tcBorders>
              <w:top w:val="nil"/>
              <w:left w:val="single" w:sz="8" w:space="0" w:color="auto"/>
              <w:bottom w:val="single" w:sz="8" w:space="0" w:color="auto"/>
              <w:right w:val="single" w:sz="4" w:space="0" w:color="auto"/>
            </w:tcBorders>
            <w:shd w:val="clear" w:color="auto" w:fill="auto"/>
            <w:noWrap/>
            <w:vAlign w:val="center"/>
            <w:hideMark/>
          </w:tcPr>
          <w:p w14:paraId="73FCD4D6" w14:textId="77777777" w:rsidR="00E20277" w:rsidRPr="00062207" w:rsidRDefault="00E20277" w:rsidP="00E20277">
            <w:pPr>
              <w:jc w:val="center"/>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1.1</w:t>
            </w:r>
          </w:p>
        </w:tc>
        <w:tc>
          <w:tcPr>
            <w:tcW w:w="1134" w:type="dxa"/>
            <w:tcBorders>
              <w:top w:val="nil"/>
              <w:left w:val="nil"/>
              <w:bottom w:val="single" w:sz="8" w:space="0" w:color="auto"/>
              <w:right w:val="single" w:sz="4" w:space="0" w:color="auto"/>
            </w:tcBorders>
            <w:shd w:val="clear" w:color="auto" w:fill="auto"/>
            <w:noWrap/>
            <w:vAlign w:val="center"/>
            <w:hideMark/>
          </w:tcPr>
          <w:p w14:paraId="457E065C" w14:textId="77777777" w:rsidR="00E20277" w:rsidRPr="00062207" w:rsidRDefault="00E20277" w:rsidP="00E20277">
            <w:pPr>
              <w:jc w:val="center"/>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1.1</w:t>
            </w:r>
          </w:p>
        </w:tc>
        <w:tc>
          <w:tcPr>
            <w:tcW w:w="1417" w:type="dxa"/>
            <w:tcBorders>
              <w:top w:val="nil"/>
              <w:left w:val="nil"/>
              <w:bottom w:val="single" w:sz="8" w:space="0" w:color="auto"/>
              <w:right w:val="single" w:sz="8" w:space="0" w:color="auto"/>
            </w:tcBorders>
            <w:shd w:val="clear" w:color="auto" w:fill="auto"/>
            <w:noWrap/>
            <w:vAlign w:val="center"/>
            <w:hideMark/>
          </w:tcPr>
          <w:p w14:paraId="0EC6D190" w14:textId="77777777" w:rsidR="00E20277" w:rsidRPr="00062207" w:rsidRDefault="00E20277" w:rsidP="00E20277">
            <w:pPr>
              <w:jc w:val="center"/>
              <w:rPr>
                <w:rFonts w:ascii="Times New Roman" w:eastAsia="Times New Roman" w:hAnsi="Times New Roman" w:cs="Times New Roman"/>
                <w:sz w:val="20"/>
                <w:szCs w:val="20"/>
                <w:lang w:val="es-GT" w:eastAsia="es-GT"/>
              </w:rPr>
            </w:pPr>
            <w:r w:rsidRPr="00062207">
              <w:rPr>
                <w:rFonts w:ascii="Times New Roman" w:eastAsia="Times New Roman" w:hAnsi="Times New Roman" w:cs="Times New Roman"/>
                <w:sz w:val="20"/>
                <w:szCs w:val="20"/>
                <w:lang w:val="es-GT" w:eastAsia="es-GT"/>
              </w:rPr>
              <w:t>100.0</w:t>
            </w:r>
          </w:p>
        </w:tc>
      </w:tr>
    </w:tbl>
    <w:p w14:paraId="6D279349" w14:textId="5365A1B9" w:rsidR="00EE3A5F" w:rsidRPr="00062207" w:rsidRDefault="00EE3A5F" w:rsidP="00EE3A5F">
      <w:pPr>
        <w:rPr>
          <w:rFonts w:ascii="Times New Roman" w:hAnsi="Times New Roman" w:cs="Times New Roman"/>
          <w:sz w:val="18"/>
          <w:szCs w:val="18"/>
          <w:lang w:val="es-MX"/>
        </w:rPr>
      </w:pPr>
      <w:bookmarkStart w:id="218" w:name="_Toc62724293"/>
      <w:r w:rsidRPr="00062207">
        <w:rPr>
          <w:rFonts w:ascii="Times New Roman" w:hAnsi="Times New Roman" w:cs="Times New Roman"/>
          <w:sz w:val="18"/>
          <w:szCs w:val="18"/>
          <w:lang w:val="es-MX"/>
        </w:rPr>
        <w:t xml:space="preserve">           Fuente: Ministerio de Finanzas Públicas.</w:t>
      </w:r>
    </w:p>
    <w:p w14:paraId="0775C527" w14:textId="77777777" w:rsidR="00EE3A5F" w:rsidRPr="00062207" w:rsidRDefault="00EE3A5F" w:rsidP="00EE3A5F">
      <w:pPr>
        <w:rPr>
          <w:rFonts w:ascii="Times New Roman" w:hAnsi="Times New Roman" w:cs="Times New Roman"/>
          <w:b/>
          <w:sz w:val="26"/>
          <w:szCs w:val="26"/>
          <w:lang w:val="es-MX"/>
        </w:rPr>
      </w:pPr>
    </w:p>
    <w:p w14:paraId="6434CAB3" w14:textId="0E2DA092" w:rsidR="00C84436" w:rsidRPr="00062207" w:rsidRDefault="00351803" w:rsidP="00E20277">
      <w:pPr>
        <w:jc w:val="both"/>
        <w:outlineLvl w:val="0"/>
        <w:rPr>
          <w:rFonts w:ascii="Times New Roman" w:hAnsi="Times New Roman" w:cs="Times New Roman"/>
          <w:b/>
          <w:sz w:val="26"/>
          <w:szCs w:val="26"/>
          <w:lang w:val="es-MX"/>
        </w:rPr>
      </w:pPr>
      <w:bookmarkStart w:id="219" w:name="_Toc94259644"/>
      <w:r w:rsidRPr="00062207">
        <w:rPr>
          <w:rFonts w:ascii="Times New Roman" w:hAnsi="Times New Roman" w:cs="Times New Roman"/>
          <w:b/>
          <w:sz w:val="26"/>
          <w:szCs w:val="26"/>
          <w:lang w:val="es-MX"/>
        </w:rPr>
        <w:lastRenderedPageBreak/>
        <w:t xml:space="preserve">III. </w:t>
      </w:r>
      <w:r w:rsidR="00C84436" w:rsidRPr="00062207">
        <w:rPr>
          <w:rFonts w:ascii="Times New Roman" w:hAnsi="Times New Roman" w:cs="Times New Roman"/>
          <w:b/>
          <w:sz w:val="26"/>
          <w:szCs w:val="26"/>
          <w:lang w:val="es-MX"/>
        </w:rPr>
        <w:t>Resultado Fiscal y Financiamiento</w:t>
      </w:r>
      <w:bookmarkEnd w:id="218"/>
      <w:bookmarkEnd w:id="219"/>
    </w:p>
    <w:p w14:paraId="3B7A2C61" w14:textId="77777777" w:rsidR="00C84436" w:rsidRPr="00062207" w:rsidRDefault="00C84436" w:rsidP="0064104D">
      <w:pPr>
        <w:pStyle w:val="Prrafodelista"/>
        <w:keepNext/>
        <w:keepLines/>
        <w:numPr>
          <w:ilvl w:val="0"/>
          <w:numId w:val="1"/>
        </w:numPr>
        <w:contextualSpacing w:val="0"/>
        <w:outlineLvl w:val="1"/>
        <w:rPr>
          <w:rFonts w:ascii="Times New Roman" w:eastAsiaTheme="majorEastAsia" w:hAnsi="Times New Roman" w:cs="Times New Roman"/>
          <w:b/>
          <w:bCs/>
          <w:vanish/>
          <w:sz w:val="24"/>
          <w:szCs w:val="26"/>
          <w:lang w:val="es-ES_tradnl" w:eastAsia="es-ES"/>
        </w:rPr>
      </w:pPr>
      <w:bookmarkStart w:id="220" w:name="_Toc31624513"/>
      <w:bookmarkStart w:id="221" w:name="_Toc62724073"/>
      <w:bookmarkStart w:id="222" w:name="_Toc62724136"/>
      <w:bookmarkStart w:id="223" w:name="_Toc62724220"/>
      <w:bookmarkStart w:id="224" w:name="_Toc62724294"/>
      <w:bookmarkStart w:id="225" w:name="_Toc94250359"/>
      <w:bookmarkStart w:id="226" w:name="_Toc94250427"/>
      <w:bookmarkStart w:id="227" w:name="_Toc94251067"/>
      <w:bookmarkStart w:id="228" w:name="_Toc94257729"/>
      <w:bookmarkStart w:id="229" w:name="_Toc94259645"/>
      <w:bookmarkEnd w:id="220"/>
      <w:bookmarkEnd w:id="221"/>
      <w:bookmarkEnd w:id="222"/>
      <w:bookmarkEnd w:id="223"/>
      <w:bookmarkEnd w:id="224"/>
      <w:bookmarkEnd w:id="225"/>
      <w:bookmarkEnd w:id="226"/>
      <w:bookmarkEnd w:id="227"/>
      <w:bookmarkEnd w:id="228"/>
      <w:bookmarkEnd w:id="229"/>
    </w:p>
    <w:p w14:paraId="151BE460" w14:textId="77777777" w:rsidR="00E20277" w:rsidRPr="00062207" w:rsidRDefault="00E20277" w:rsidP="000674D4">
      <w:pPr>
        <w:rPr>
          <w:rFonts w:ascii="Times New Roman" w:hAnsi="Times New Roman" w:cs="Times New Roman"/>
          <w:sz w:val="22"/>
        </w:rPr>
      </w:pPr>
      <w:bookmarkStart w:id="230" w:name="_Toc62724295"/>
    </w:p>
    <w:p w14:paraId="59054A2C" w14:textId="04EF4D32" w:rsidR="00364844" w:rsidRPr="00062207" w:rsidRDefault="00351803" w:rsidP="00A963D6">
      <w:pPr>
        <w:pStyle w:val="Ttulo2"/>
        <w:spacing w:before="0"/>
        <w:ind w:left="567" w:hanging="283"/>
        <w:rPr>
          <w:rFonts w:ascii="Times New Roman" w:hAnsi="Times New Roman" w:cs="Times New Roman"/>
          <w:color w:val="auto"/>
          <w:sz w:val="24"/>
          <w:szCs w:val="24"/>
        </w:rPr>
      </w:pPr>
      <w:bookmarkStart w:id="231" w:name="_Toc94259646"/>
      <w:r w:rsidRPr="00062207">
        <w:rPr>
          <w:rFonts w:ascii="Times New Roman" w:hAnsi="Times New Roman" w:cs="Times New Roman"/>
          <w:color w:val="auto"/>
          <w:sz w:val="24"/>
          <w:szCs w:val="24"/>
        </w:rPr>
        <w:t xml:space="preserve">3.1 </w:t>
      </w:r>
      <w:r w:rsidR="00547B82" w:rsidRPr="00062207">
        <w:rPr>
          <w:rFonts w:ascii="Times New Roman" w:hAnsi="Times New Roman" w:cs="Times New Roman"/>
          <w:color w:val="auto"/>
          <w:sz w:val="24"/>
          <w:szCs w:val="24"/>
        </w:rPr>
        <w:t>Disminución</w:t>
      </w:r>
      <w:r w:rsidR="00367243" w:rsidRPr="00062207">
        <w:rPr>
          <w:rFonts w:ascii="Times New Roman" w:hAnsi="Times New Roman" w:cs="Times New Roman"/>
          <w:color w:val="auto"/>
          <w:sz w:val="24"/>
          <w:szCs w:val="24"/>
        </w:rPr>
        <w:t xml:space="preserve"> </w:t>
      </w:r>
      <w:r w:rsidR="00EE52DF" w:rsidRPr="00062207">
        <w:rPr>
          <w:rFonts w:ascii="Times New Roman" w:hAnsi="Times New Roman" w:cs="Times New Roman"/>
          <w:color w:val="auto"/>
          <w:sz w:val="24"/>
          <w:szCs w:val="24"/>
        </w:rPr>
        <w:t xml:space="preserve">del déficit fiscal </w:t>
      </w:r>
      <w:bookmarkEnd w:id="215"/>
      <w:bookmarkEnd w:id="230"/>
      <w:r w:rsidR="00A80029" w:rsidRPr="00062207">
        <w:rPr>
          <w:rFonts w:ascii="Times New Roman" w:hAnsi="Times New Roman" w:cs="Times New Roman"/>
          <w:color w:val="auto"/>
          <w:sz w:val="24"/>
          <w:szCs w:val="24"/>
        </w:rPr>
        <w:t>por incremento importante en ingresos tributarios</w:t>
      </w:r>
      <w:bookmarkEnd w:id="231"/>
    </w:p>
    <w:p w14:paraId="4E4C37EA" w14:textId="77777777" w:rsidR="005A309C" w:rsidRPr="00062207" w:rsidRDefault="005A309C" w:rsidP="002D48F3">
      <w:pPr>
        <w:pStyle w:val="Sinespaciado"/>
        <w:jc w:val="both"/>
        <w:rPr>
          <w:rFonts w:eastAsiaTheme="minorEastAsia"/>
          <w:lang w:val="es-ES_tradnl" w:eastAsia="es-ES"/>
        </w:rPr>
      </w:pPr>
    </w:p>
    <w:p w14:paraId="46A68128" w14:textId="77777777" w:rsidR="001030D1" w:rsidRPr="00062207" w:rsidRDefault="001030D1" w:rsidP="001030D1">
      <w:pPr>
        <w:pStyle w:val="Sinespaciado"/>
        <w:jc w:val="both"/>
        <w:rPr>
          <w:rFonts w:ascii="Times New Roman" w:hAnsi="Times New Roman" w:cs="Times New Roman"/>
        </w:rPr>
      </w:pPr>
      <w:r w:rsidRPr="00062207">
        <w:rPr>
          <w:rFonts w:ascii="Times New Roman" w:hAnsi="Times New Roman" w:cs="Times New Roman"/>
          <w:lang w:val="es-ES_tradnl"/>
        </w:rPr>
        <w:t xml:space="preserve">Desde el </w:t>
      </w:r>
      <w:r w:rsidRPr="00062207">
        <w:rPr>
          <w:rFonts w:ascii="Times New Roman" w:hAnsi="Times New Roman" w:cs="Times New Roman"/>
        </w:rPr>
        <w:t>primer mes del 2021, se observó un comportamiento acelerado en la recaudación tributaria, a partir de enero se empezó a reportar una brecha positiva en la recaudación tributaria respecto a la meta establecida, brecha que continúo ampliando y reflejándose a lo largo del año debido a una mejora en las acciones de fiscalización por parte de la Administración Tributaria. De esa cuenta, dada la dinámica entre los ingresos y los gastos, el déficit fiscal se ubicó en Q7,808.5 millones, equivalente al 1.2% del PIB.</w:t>
      </w:r>
    </w:p>
    <w:p w14:paraId="0236BD71" w14:textId="77777777" w:rsidR="005A309C" w:rsidRPr="00062207" w:rsidRDefault="005A309C" w:rsidP="002D48F3">
      <w:pPr>
        <w:pStyle w:val="Sinespaciado"/>
        <w:jc w:val="both"/>
        <w:rPr>
          <w:rFonts w:ascii="Times New Roman" w:hAnsi="Times New Roman" w:cs="Times New Roman"/>
        </w:rPr>
      </w:pPr>
    </w:p>
    <w:p w14:paraId="4E2E4751" w14:textId="0796A590" w:rsidR="005A309C" w:rsidRPr="00062207" w:rsidRDefault="002D48F3" w:rsidP="002D48F3">
      <w:pPr>
        <w:pStyle w:val="Sinespaciado"/>
        <w:jc w:val="both"/>
        <w:rPr>
          <w:rFonts w:ascii="Times New Roman" w:hAnsi="Times New Roman" w:cs="Times New Roman"/>
        </w:rPr>
      </w:pPr>
      <w:r w:rsidRPr="00062207">
        <w:rPr>
          <w:rFonts w:ascii="Times New Roman" w:hAnsi="Times New Roman" w:cs="Times New Roman"/>
        </w:rPr>
        <w:t>Este déficit fiscal es el m</w:t>
      </w:r>
      <w:r w:rsidR="005A309C" w:rsidRPr="00062207">
        <w:rPr>
          <w:rFonts w:ascii="Times New Roman" w:hAnsi="Times New Roman" w:cs="Times New Roman"/>
        </w:rPr>
        <w:t>eno</w:t>
      </w:r>
      <w:r w:rsidRPr="00062207">
        <w:rPr>
          <w:rFonts w:ascii="Times New Roman" w:hAnsi="Times New Roman" w:cs="Times New Roman"/>
        </w:rPr>
        <w:t>r de</w:t>
      </w:r>
      <w:r w:rsidR="005A309C" w:rsidRPr="00062207">
        <w:rPr>
          <w:rFonts w:ascii="Times New Roman" w:hAnsi="Times New Roman" w:cs="Times New Roman"/>
        </w:rPr>
        <w:t>sde 2016, cuando se ubicó en el mismo nivel respecto al PIB.</w:t>
      </w:r>
      <w:r w:rsidRPr="00062207">
        <w:rPr>
          <w:rFonts w:ascii="Times New Roman" w:hAnsi="Times New Roman" w:cs="Times New Roman"/>
        </w:rPr>
        <w:t xml:space="preserve"> </w:t>
      </w:r>
      <w:r w:rsidR="005A309C" w:rsidRPr="00062207">
        <w:rPr>
          <w:rFonts w:ascii="Times New Roman" w:hAnsi="Times New Roman" w:cs="Times New Roman"/>
        </w:rPr>
        <w:t>Con esto se busca retornar el déficit fiscal a los niveles previos a la crisis</w:t>
      </w:r>
      <w:r w:rsidR="001E7890" w:rsidRPr="00062207">
        <w:rPr>
          <w:rFonts w:ascii="Times New Roman" w:hAnsi="Times New Roman" w:cs="Times New Roman"/>
        </w:rPr>
        <w:t>, logrando</w:t>
      </w:r>
      <w:r w:rsidR="005A309C" w:rsidRPr="00062207">
        <w:rPr>
          <w:rFonts w:ascii="Times New Roman" w:hAnsi="Times New Roman" w:cs="Times New Roman"/>
        </w:rPr>
        <w:t xml:space="preserve"> </w:t>
      </w:r>
      <w:r w:rsidR="001E7890" w:rsidRPr="00062207">
        <w:rPr>
          <w:rFonts w:ascii="Times New Roman" w:hAnsi="Times New Roman" w:cs="Times New Roman"/>
        </w:rPr>
        <w:t>la consolidación fiscal para preservar el espacio fiscal para reactivar la economía o para afrontar otro shock externo en el futuro.</w:t>
      </w:r>
    </w:p>
    <w:p w14:paraId="395A351E" w14:textId="1C57C7DB" w:rsidR="001E7890" w:rsidRPr="00062207" w:rsidRDefault="001E7890" w:rsidP="002D48F3">
      <w:pPr>
        <w:pStyle w:val="Sinespaciado"/>
        <w:jc w:val="both"/>
        <w:rPr>
          <w:rFonts w:ascii="Times New Roman" w:hAnsi="Times New Roman" w:cs="Times New Roman"/>
        </w:rPr>
      </w:pPr>
    </w:p>
    <w:p w14:paraId="6C60261A" w14:textId="0EDB1D4C" w:rsidR="002D48F3" w:rsidRPr="00062207" w:rsidRDefault="00E72A57" w:rsidP="002D48F3">
      <w:pPr>
        <w:pStyle w:val="Sinespaciado"/>
        <w:jc w:val="both"/>
        <w:rPr>
          <w:rFonts w:ascii="Times New Roman" w:hAnsi="Times New Roman" w:cs="Times New Roman"/>
        </w:rPr>
      </w:pPr>
      <w:r w:rsidRPr="00062207">
        <w:rPr>
          <w:rFonts w:ascii="Times New Roman" w:hAnsi="Times New Roman" w:cs="Times New Roman"/>
        </w:rPr>
        <w:t>E</w:t>
      </w:r>
      <w:r w:rsidR="002D48F3" w:rsidRPr="00062207">
        <w:rPr>
          <w:rFonts w:ascii="Times New Roman" w:hAnsi="Times New Roman" w:cs="Times New Roman"/>
        </w:rPr>
        <w:t>l ni</w:t>
      </w:r>
      <w:r w:rsidRPr="00062207">
        <w:rPr>
          <w:rFonts w:ascii="Times New Roman" w:hAnsi="Times New Roman" w:cs="Times New Roman"/>
        </w:rPr>
        <w:t>vel de déficit observado en 2021</w:t>
      </w:r>
      <w:r w:rsidR="00125C0D" w:rsidRPr="00062207">
        <w:rPr>
          <w:rFonts w:ascii="Times New Roman" w:hAnsi="Times New Roman" w:cs="Times New Roman"/>
        </w:rPr>
        <w:t xml:space="preserve">, </w:t>
      </w:r>
      <w:r w:rsidR="002D48F3" w:rsidRPr="00062207">
        <w:rPr>
          <w:rFonts w:ascii="Times New Roman" w:hAnsi="Times New Roman" w:cs="Times New Roman"/>
        </w:rPr>
        <w:t>estuvo por debajo de lo programado en el presupuesto para dicho año, el cual se estimaba en 5.</w:t>
      </w:r>
      <w:r w:rsidRPr="00062207">
        <w:rPr>
          <w:rFonts w:ascii="Times New Roman" w:hAnsi="Times New Roman" w:cs="Times New Roman"/>
        </w:rPr>
        <w:t xml:space="preserve">4% del PIB, aunque tomando en consideración el presupuesto operativo, el déficit fiscal se estimaba en 3.3%, </w:t>
      </w:r>
      <w:r w:rsidR="001E7890" w:rsidRPr="00062207">
        <w:rPr>
          <w:rFonts w:ascii="Times New Roman" w:hAnsi="Times New Roman" w:cs="Times New Roman"/>
        </w:rPr>
        <w:t xml:space="preserve">-luego que en 2020 el déficit fiscal había sido de 4.9% por el impulso del gasto público el cual debía ser de carácter temporal para resguardar la prudencia fiscal que ha caracterizado al país-, </w:t>
      </w:r>
      <w:r w:rsidR="002D48F3" w:rsidRPr="00062207">
        <w:rPr>
          <w:rFonts w:ascii="Times New Roman" w:hAnsi="Times New Roman" w:cs="Times New Roman"/>
        </w:rPr>
        <w:t xml:space="preserve">al final del </w:t>
      </w:r>
      <w:r w:rsidR="001E7890" w:rsidRPr="00062207">
        <w:rPr>
          <w:rFonts w:ascii="Times New Roman" w:hAnsi="Times New Roman" w:cs="Times New Roman"/>
        </w:rPr>
        <w:t>2021</w:t>
      </w:r>
      <w:r w:rsidR="002D48F3" w:rsidRPr="00062207">
        <w:rPr>
          <w:rFonts w:ascii="Times New Roman" w:hAnsi="Times New Roman" w:cs="Times New Roman"/>
        </w:rPr>
        <w:t xml:space="preserve"> se ubicó </w:t>
      </w:r>
      <w:r w:rsidRPr="00062207">
        <w:rPr>
          <w:rFonts w:ascii="Times New Roman" w:hAnsi="Times New Roman" w:cs="Times New Roman"/>
        </w:rPr>
        <w:t>muy por debajo de lo presupuestado.</w:t>
      </w:r>
    </w:p>
    <w:p w14:paraId="3FA2B080" w14:textId="77777777" w:rsidR="002D48F3" w:rsidRPr="00062207" w:rsidRDefault="002D48F3" w:rsidP="002D48F3">
      <w:pPr>
        <w:rPr>
          <w:rFonts w:ascii="Times New Roman" w:hAnsi="Times New Roman" w:cs="Times New Roman"/>
          <w:lang w:val="es-GT"/>
        </w:rPr>
      </w:pPr>
    </w:p>
    <w:p w14:paraId="5F59FE7B" w14:textId="00282E41" w:rsidR="002D48F3" w:rsidRPr="00062207" w:rsidRDefault="002D48F3" w:rsidP="002D48F3">
      <w:pPr>
        <w:pStyle w:val="Sinespaciado"/>
        <w:jc w:val="center"/>
        <w:rPr>
          <w:rFonts w:ascii="Times New Roman" w:hAnsi="Times New Roman" w:cs="Times New Roman"/>
          <w:b/>
          <w:sz w:val="24"/>
          <w:szCs w:val="24"/>
        </w:rPr>
      </w:pPr>
      <w:r w:rsidRPr="00062207">
        <w:rPr>
          <w:rFonts w:ascii="Times New Roman" w:hAnsi="Times New Roman" w:cs="Times New Roman"/>
          <w:b/>
          <w:sz w:val="24"/>
          <w:szCs w:val="24"/>
        </w:rPr>
        <w:t>Situación Financiera</w:t>
      </w:r>
      <w:r w:rsidR="00E72A57" w:rsidRPr="00062207">
        <w:rPr>
          <w:rFonts w:ascii="Times New Roman" w:hAnsi="Times New Roman" w:cs="Times New Roman"/>
          <w:b/>
          <w:sz w:val="24"/>
          <w:szCs w:val="24"/>
        </w:rPr>
        <w:t xml:space="preserve"> Resumida</w:t>
      </w:r>
    </w:p>
    <w:p w14:paraId="1A84A8AD" w14:textId="1D15C383" w:rsidR="002D48F3" w:rsidRPr="00062207" w:rsidRDefault="002D48F3" w:rsidP="002D48F3">
      <w:pPr>
        <w:pStyle w:val="Sinespaciado"/>
        <w:jc w:val="center"/>
        <w:rPr>
          <w:rFonts w:ascii="Times New Roman" w:hAnsi="Times New Roman" w:cs="Times New Roman"/>
        </w:rPr>
      </w:pPr>
      <w:r w:rsidRPr="00062207">
        <w:rPr>
          <w:rFonts w:ascii="Times New Roman" w:hAnsi="Times New Roman" w:cs="Times New Roman"/>
        </w:rPr>
        <w:t>Observado 20</w:t>
      </w:r>
      <w:r w:rsidR="00E72A57" w:rsidRPr="00062207">
        <w:rPr>
          <w:rFonts w:ascii="Times New Roman" w:hAnsi="Times New Roman" w:cs="Times New Roman"/>
        </w:rPr>
        <w:t>20</w:t>
      </w:r>
      <w:r w:rsidRPr="00062207">
        <w:rPr>
          <w:rFonts w:ascii="Times New Roman" w:hAnsi="Times New Roman" w:cs="Times New Roman"/>
        </w:rPr>
        <w:t>, presupuesto y ejecución preliminar 202</w:t>
      </w:r>
      <w:r w:rsidR="00E72A57" w:rsidRPr="00062207">
        <w:rPr>
          <w:rFonts w:ascii="Times New Roman" w:hAnsi="Times New Roman" w:cs="Times New Roman"/>
        </w:rPr>
        <w:t>1</w:t>
      </w:r>
    </w:p>
    <w:p w14:paraId="69ADE76D" w14:textId="3A782F1A" w:rsidR="00351803" w:rsidRPr="00062207" w:rsidRDefault="002D48F3" w:rsidP="000674D4">
      <w:pPr>
        <w:jc w:val="center"/>
        <w:rPr>
          <w:rFonts w:ascii="Times New Roman" w:hAnsi="Times New Roman" w:cs="Times New Roman"/>
          <w:sz w:val="22"/>
        </w:rPr>
      </w:pPr>
      <w:r w:rsidRPr="00062207">
        <w:rPr>
          <w:rFonts w:ascii="Times New Roman" w:hAnsi="Times New Roman" w:cs="Times New Roman"/>
          <w:sz w:val="22"/>
        </w:rPr>
        <w:t>Millones de quetzales y porcentajes</w:t>
      </w:r>
    </w:p>
    <w:tbl>
      <w:tblPr>
        <w:tblW w:w="7640" w:type="dxa"/>
        <w:jc w:val="center"/>
        <w:tblCellMar>
          <w:left w:w="70" w:type="dxa"/>
          <w:right w:w="70" w:type="dxa"/>
        </w:tblCellMar>
        <w:tblLook w:val="04A0" w:firstRow="1" w:lastRow="0" w:firstColumn="1" w:lastColumn="0" w:noHBand="0" w:noVBand="1"/>
      </w:tblPr>
      <w:tblGrid>
        <w:gridCol w:w="3000"/>
        <w:gridCol w:w="1160"/>
        <w:gridCol w:w="1160"/>
        <w:gridCol w:w="1160"/>
        <w:gridCol w:w="1160"/>
      </w:tblGrid>
      <w:tr w:rsidR="00062207" w:rsidRPr="00062207" w14:paraId="7B94AD62" w14:textId="77777777" w:rsidTr="00A80029">
        <w:trPr>
          <w:trHeight w:val="578"/>
          <w:jc w:val="center"/>
        </w:trPr>
        <w:tc>
          <w:tcPr>
            <w:tcW w:w="3000" w:type="dxa"/>
            <w:tcBorders>
              <w:top w:val="single" w:sz="8" w:space="0" w:color="auto"/>
              <w:left w:val="single" w:sz="8" w:space="0" w:color="auto"/>
              <w:bottom w:val="single" w:sz="8" w:space="0" w:color="000000"/>
              <w:right w:val="nil"/>
            </w:tcBorders>
            <w:shd w:val="clear" w:color="000000" w:fill="2F75B5"/>
            <w:vAlign w:val="center"/>
            <w:hideMark/>
          </w:tcPr>
          <w:p w14:paraId="750A2A7D" w14:textId="77777777" w:rsidR="00A80029" w:rsidRPr="00062207" w:rsidRDefault="00A80029" w:rsidP="00A80029">
            <w:pPr>
              <w:jc w:val="center"/>
              <w:rPr>
                <w:rFonts w:ascii="Times New Roman" w:eastAsia="Times New Roman" w:hAnsi="Times New Roman" w:cs="Times New Roman"/>
                <w:b/>
                <w:bCs/>
                <w:sz w:val="16"/>
                <w:szCs w:val="16"/>
                <w:lang w:val="es-GT" w:eastAsia="es-GT"/>
              </w:rPr>
            </w:pPr>
            <w:r w:rsidRPr="00062207">
              <w:rPr>
                <w:rFonts w:ascii="Times New Roman" w:eastAsia="Times New Roman" w:hAnsi="Times New Roman" w:cs="Times New Roman"/>
                <w:b/>
                <w:bCs/>
                <w:sz w:val="16"/>
                <w:szCs w:val="16"/>
                <w:lang w:val="es-GT" w:eastAsia="es-GT"/>
              </w:rPr>
              <w:t>Descripción</w:t>
            </w:r>
          </w:p>
        </w:tc>
        <w:tc>
          <w:tcPr>
            <w:tcW w:w="1160" w:type="dxa"/>
            <w:tcBorders>
              <w:top w:val="single" w:sz="8" w:space="0" w:color="auto"/>
              <w:left w:val="single" w:sz="8" w:space="0" w:color="auto"/>
              <w:bottom w:val="single" w:sz="8" w:space="0" w:color="000000"/>
              <w:right w:val="single" w:sz="8" w:space="0" w:color="auto"/>
            </w:tcBorders>
            <w:shd w:val="clear" w:color="000000" w:fill="2F75B5"/>
            <w:vAlign w:val="center"/>
            <w:hideMark/>
          </w:tcPr>
          <w:p w14:paraId="220CFDD7" w14:textId="77777777" w:rsidR="00A80029" w:rsidRPr="00062207" w:rsidRDefault="00A80029" w:rsidP="00A80029">
            <w:pPr>
              <w:jc w:val="center"/>
              <w:rPr>
                <w:rFonts w:ascii="Times New Roman" w:eastAsia="Times New Roman" w:hAnsi="Times New Roman" w:cs="Times New Roman"/>
                <w:b/>
                <w:bCs/>
                <w:sz w:val="16"/>
                <w:szCs w:val="16"/>
                <w:lang w:val="es-GT" w:eastAsia="es-GT"/>
              </w:rPr>
            </w:pPr>
            <w:r w:rsidRPr="00062207">
              <w:rPr>
                <w:rFonts w:ascii="Times New Roman" w:eastAsia="Times New Roman" w:hAnsi="Times New Roman" w:cs="Times New Roman"/>
                <w:b/>
                <w:bCs/>
                <w:sz w:val="16"/>
                <w:szCs w:val="16"/>
                <w:lang w:val="es-GT" w:eastAsia="es-GT"/>
              </w:rPr>
              <w:t>2020</w:t>
            </w:r>
          </w:p>
        </w:tc>
        <w:tc>
          <w:tcPr>
            <w:tcW w:w="1160" w:type="dxa"/>
            <w:tcBorders>
              <w:top w:val="single" w:sz="8" w:space="0" w:color="auto"/>
              <w:left w:val="nil"/>
              <w:bottom w:val="single" w:sz="8" w:space="0" w:color="000000"/>
              <w:right w:val="nil"/>
            </w:tcBorders>
            <w:shd w:val="clear" w:color="000000" w:fill="2F75B5"/>
            <w:vAlign w:val="center"/>
            <w:hideMark/>
          </w:tcPr>
          <w:p w14:paraId="6772E177" w14:textId="77777777" w:rsidR="00A80029" w:rsidRPr="00062207" w:rsidRDefault="00A80029" w:rsidP="00A80029">
            <w:pPr>
              <w:jc w:val="center"/>
              <w:rPr>
                <w:rFonts w:ascii="Times New Roman" w:eastAsia="Times New Roman" w:hAnsi="Times New Roman" w:cs="Times New Roman"/>
                <w:b/>
                <w:bCs/>
                <w:sz w:val="16"/>
                <w:szCs w:val="16"/>
                <w:lang w:val="es-GT" w:eastAsia="es-GT"/>
              </w:rPr>
            </w:pPr>
            <w:r w:rsidRPr="00062207">
              <w:rPr>
                <w:rFonts w:ascii="Times New Roman" w:eastAsia="Times New Roman" w:hAnsi="Times New Roman" w:cs="Times New Roman"/>
                <w:b/>
                <w:bCs/>
                <w:sz w:val="16"/>
                <w:szCs w:val="16"/>
                <w:lang w:val="es-GT" w:eastAsia="es-GT"/>
              </w:rPr>
              <w:t xml:space="preserve">Presupuesto Vigente </w:t>
            </w:r>
          </w:p>
        </w:tc>
        <w:tc>
          <w:tcPr>
            <w:tcW w:w="1160" w:type="dxa"/>
            <w:tcBorders>
              <w:top w:val="single" w:sz="8" w:space="0" w:color="auto"/>
              <w:left w:val="nil"/>
              <w:bottom w:val="single" w:sz="8" w:space="0" w:color="000000"/>
              <w:right w:val="nil"/>
            </w:tcBorders>
            <w:shd w:val="clear" w:color="000000" w:fill="2F75B5"/>
            <w:vAlign w:val="center"/>
            <w:hideMark/>
          </w:tcPr>
          <w:p w14:paraId="3D40938F" w14:textId="77777777" w:rsidR="00A80029" w:rsidRPr="00062207" w:rsidRDefault="00A80029" w:rsidP="00A80029">
            <w:pPr>
              <w:jc w:val="center"/>
              <w:rPr>
                <w:rFonts w:ascii="Times New Roman" w:eastAsia="Times New Roman" w:hAnsi="Times New Roman" w:cs="Times New Roman"/>
                <w:b/>
                <w:bCs/>
                <w:sz w:val="16"/>
                <w:szCs w:val="16"/>
                <w:lang w:val="es-GT" w:eastAsia="es-GT"/>
              </w:rPr>
            </w:pPr>
            <w:r w:rsidRPr="00062207">
              <w:rPr>
                <w:rFonts w:ascii="Times New Roman" w:eastAsia="Times New Roman" w:hAnsi="Times New Roman" w:cs="Times New Roman"/>
                <w:b/>
                <w:bCs/>
                <w:sz w:val="16"/>
                <w:szCs w:val="16"/>
                <w:lang w:val="es-GT" w:eastAsia="es-GT"/>
              </w:rPr>
              <w:t>31/12/2021</w:t>
            </w:r>
          </w:p>
        </w:tc>
        <w:tc>
          <w:tcPr>
            <w:tcW w:w="1160" w:type="dxa"/>
            <w:tcBorders>
              <w:top w:val="single" w:sz="8" w:space="0" w:color="auto"/>
              <w:left w:val="nil"/>
              <w:bottom w:val="single" w:sz="8" w:space="0" w:color="000000"/>
              <w:right w:val="single" w:sz="8" w:space="0" w:color="auto"/>
            </w:tcBorders>
            <w:shd w:val="clear" w:color="000000" w:fill="2F75B5"/>
            <w:vAlign w:val="center"/>
            <w:hideMark/>
          </w:tcPr>
          <w:p w14:paraId="71699C0E" w14:textId="77777777" w:rsidR="00A80029" w:rsidRPr="00062207" w:rsidRDefault="00A80029" w:rsidP="00A80029">
            <w:pPr>
              <w:jc w:val="center"/>
              <w:rPr>
                <w:rFonts w:ascii="Times New Roman" w:eastAsia="Times New Roman" w:hAnsi="Times New Roman" w:cs="Times New Roman"/>
                <w:b/>
                <w:bCs/>
                <w:sz w:val="16"/>
                <w:szCs w:val="16"/>
                <w:lang w:val="es-GT" w:eastAsia="es-GT"/>
              </w:rPr>
            </w:pPr>
            <w:r w:rsidRPr="00062207">
              <w:rPr>
                <w:rFonts w:ascii="Times New Roman" w:eastAsia="Times New Roman" w:hAnsi="Times New Roman" w:cs="Times New Roman"/>
                <w:b/>
                <w:bCs/>
                <w:sz w:val="16"/>
                <w:szCs w:val="16"/>
                <w:lang w:val="es-GT" w:eastAsia="es-GT"/>
              </w:rPr>
              <w:t>% del PIB</w:t>
            </w:r>
          </w:p>
        </w:tc>
      </w:tr>
      <w:tr w:rsidR="00062207" w:rsidRPr="00062207" w14:paraId="196D8639" w14:textId="77777777" w:rsidTr="00A80029">
        <w:trPr>
          <w:trHeight w:val="255"/>
          <w:jc w:val="center"/>
        </w:trPr>
        <w:tc>
          <w:tcPr>
            <w:tcW w:w="3000" w:type="dxa"/>
            <w:tcBorders>
              <w:top w:val="nil"/>
              <w:left w:val="single" w:sz="8" w:space="0" w:color="auto"/>
              <w:bottom w:val="nil"/>
              <w:right w:val="nil"/>
            </w:tcBorders>
            <w:shd w:val="clear" w:color="000000" w:fill="FFFFFF"/>
            <w:vAlign w:val="center"/>
            <w:hideMark/>
          </w:tcPr>
          <w:p w14:paraId="11CC82D0" w14:textId="77777777" w:rsidR="00A80029" w:rsidRPr="00062207" w:rsidRDefault="00A80029" w:rsidP="00A80029">
            <w:pPr>
              <w:rPr>
                <w:rFonts w:ascii="Times New Roman" w:eastAsia="Times New Roman" w:hAnsi="Times New Roman" w:cs="Times New Roman"/>
                <w:sz w:val="16"/>
                <w:szCs w:val="16"/>
                <w:lang w:val="es-GT" w:eastAsia="es-GT"/>
              </w:rPr>
            </w:pPr>
            <w:r w:rsidRPr="00062207">
              <w:rPr>
                <w:rFonts w:ascii="Times New Roman" w:eastAsia="Times New Roman" w:hAnsi="Times New Roman" w:cs="Times New Roman"/>
                <w:sz w:val="16"/>
                <w:szCs w:val="16"/>
                <w:lang w:val="es-GT" w:eastAsia="es-GT"/>
              </w:rPr>
              <w:t>Ingresos Totales</w:t>
            </w:r>
          </w:p>
        </w:tc>
        <w:tc>
          <w:tcPr>
            <w:tcW w:w="1160" w:type="dxa"/>
            <w:tcBorders>
              <w:top w:val="nil"/>
              <w:left w:val="single" w:sz="8" w:space="0" w:color="auto"/>
              <w:bottom w:val="nil"/>
              <w:right w:val="single" w:sz="8" w:space="0" w:color="auto"/>
            </w:tcBorders>
            <w:shd w:val="clear" w:color="000000" w:fill="FFFFFF"/>
            <w:vAlign w:val="center"/>
            <w:hideMark/>
          </w:tcPr>
          <w:p w14:paraId="6DC322ED" w14:textId="77777777" w:rsidR="00A80029" w:rsidRPr="00062207" w:rsidRDefault="00A80029" w:rsidP="00A80029">
            <w:pPr>
              <w:jc w:val="center"/>
              <w:rPr>
                <w:rFonts w:ascii="Times New Roman" w:eastAsia="Times New Roman" w:hAnsi="Times New Roman" w:cs="Times New Roman"/>
                <w:sz w:val="16"/>
                <w:szCs w:val="16"/>
                <w:lang w:val="es-GT" w:eastAsia="es-GT"/>
              </w:rPr>
            </w:pPr>
            <w:r w:rsidRPr="00062207">
              <w:rPr>
                <w:rFonts w:ascii="Times New Roman" w:eastAsia="Times New Roman" w:hAnsi="Times New Roman" w:cs="Times New Roman"/>
                <w:sz w:val="16"/>
                <w:szCs w:val="16"/>
                <w:lang w:val="es-GT" w:eastAsia="es-GT"/>
              </w:rPr>
              <w:t>64,065.6</w:t>
            </w:r>
          </w:p>
        </w:tc>
        <w:tc>
          <w:tcPr>
            <w:tcW w:w="1160" w:type="dxa"/>
            <w:tcBorders>
              <w:top w:val="nil"/>
              <w:left w:val="nil"/>
              <w:bottom w:val="nil"/>
              <w:right w:val="nil"/>
            </w:tcBorders>
            <w:shd w:val="clear" w:color="000000" w:fill="FFFFFF"/>
            <w:vAlign w:val="center"/>
            <w:hideMark/>
          </w:tcPr>
          <w:p w14:paraId="721FD53B" w14:textId="77777777" w:rsidR="00A80029" w:rsidRPr="00062207" w:rsidRDefault="00A80029" w:rsidP="00A80029">
            <w:pPr>
              <w:jc w:val="center"/>
              <w:rPr>
                <w:rFonts w:ascii="Times New Roman" w:eastAsia="Times New Roman" w:hAnsi="Times New Roman" w:cs="Times New Roman"/>
                <w:sz w:val="16"/>
                <w:szCs w:val="16"/>
                <w:lang w:val="es-GT" w:eastAsia="es-GT"/>
              </w:rPr>
            </w:pPr>
            <w:r w:rsidRPr="00062207">
              <w:rPr>
                <w:rFonts w:ascii="Times New Roman" w:eastAsia="Times New Roman" w:hAnsi="Times New Roman" w:cs="Times New Roman"/>
                <w:sz w:val="16"/>
                <w:szCs w:val="16"/>
                <w:lang w:val="es-GT" w:eastAsia="es-GT"/>
              </w:rPr>
              <w:t>68,547.4</w:t>
            </w:r>
          </w:p>
        </w:tc>
        <w:tc>
          <w:tcPr>
            <w:tcW w:w="1160" w:type="dxa"/>
            <w:tcBorders>
              <w:top w:val="nil"/>
              <w:left w:val="nil"/>
              <w:bottom w:val="nil"/>
              <w:right w:val="nil"/>
            </w:tcBorders>
            <w:shd w:val="clear" w:color="000000" w:fill="FFFFFF"/>
            <w:vAlign w:val="center"/>
            <w:hideMark/>
          </w:tcPr>
          <w:p w14:paraId="4A443171" w14:textId="490912A2" w:rsidR="00A80029" w:rsidRPr="00062207" w:rsidRDefault="001030D1" w:rsidP="00A80029">
            <w:pPr>
              <w:jc w:val="center"/>
              <w:rPr>
                <w:rFonts w:ascii="Times New Roman" w:eastAsia="Times New Roman" w:hAnsi="Times New Roman" w:cs="Times New Roman"/>
                <w:sz w:val="16"/>
                <w:szCs w:val="16"/>
                <w:lang w:val="es-GT" w:eastAsia="es-GT"/>
              </w:rPr>
            </w:pPr>
            <w:r w:rsidRPr="00062207">
              <w:rPr>
                <w:rFonts w:ascii="Times New Roman" w:eastAsia="Times New Roman" w:hAnsi="Times New Roman" w:cs="Times New Roman"/>
                <w:sz w:val="16"/>
                <w:szCs w:val="16"/>
                <w:lang w:val="es-GT" w:eastAsia="es-GT"/>
              </w:rPr>
              <w:t>82,257.3</w:t>
            </w:r>
          </w:p>
        </w:tc>
        <w:tc>
          <w:tcPr>
            <w:tcW w:w="1160" w:type="dxa"/>
            <w:tcBorders>
              <w:top w:val="nil"/>
              <w:left w:val="nil"/>
              <w:bottom w:val="nil"/>
              <w:right w:val="single" w:sz="8" w:space="0" w:color="auto"/>
            </w:tcBorders>
            <w:shd w:val="clear" w:color="000000" w:fill="FFFFFF"/>
            <w:vAlign w:val="center"/>
            <w:hideMark/>
          </w:tcPr>
          <w:p w14:paraId="3529A361" w14:textId="77777777" w:rsidR="00A80029" w:rsidRPr="00062207" w:rsidRDefault="00A80029" w:rsidP="00A80029">
            <w:pPr>
              <w:jc w:val="center"/>
              <w:rPr>
                <w:rFonts w:ascii="Times New Roman" w:eastAsia="Times New Roman" w:hAnsi="Times New Roman" w:cs="Times New Roman"/>
                <w:sz w:val="16"/>
                <w:szCs w:val="16"/>
                <w:lang w:val="es-GT" w:eastAsia="es-GT"/>
              </w:rPr>
            </w:pPr>
            <w:r w:rsidRPr="00062207">
              <w:rPr>
                <w:rFonts w:ascii="Times New Roman" w:eastAsia="Times New Roman" w:hAnsi="Times New Roman" w:cs="Times New Roman"/>
                <w:sz w:val="16"/>
                <w:szCs w:val="16"/>
                <w:lang w:val="es-GT" w:eastAsia="es-GT"/>
              </w:rPr>
              <w:t>12.4</w:t>
            </w:r>
          </w:p>
        </w:tc>
      </w:tr>
      <w:tr w:rsidR="00062207" w:rsidRPr="00062207" w14:paraId="48A62B02" w14:textId="77777777" w:rsidTr="00A80029">
        <w:trPr>
          <w:trHeight w:val="255"/>
          <w:jc w:val="center"/>
        </w:trPr>
        <w:tc>
          <w:tcPr>
            <w:tcW w:w="3000" w:type="dxa"/>
            <w:tcBorders>
              <w:top w:val="nil"/>
              <w:left w:val="single" w:sz="8" w:space="0" w:color="auto"/>
              <w:bottom w:val="nil"/>
              <w:right w:val="nil"/>
            </w:tcBorders>
            <w:shd w:val="clear" w:color="auto" w:fill="auto"/>
            <w:vAlign w:val="center"/>
            <w:hideMark/>
          </w:tcPr>
          <w:p w14:paraId="19C30536" w14:textId="2DC35968" w:rsidR="00A80029" w:rsidRPr="00062207" w:rsidRDefault="00751A2C" w:rsidP="00751A2C">
            <w:pPr>
              <w:rPr>
                <w:rFonts w:ascii="Times New Roman" w:eastAsia="Times New Roman" w:hAnsi="Times New Roman" w:cs="Times New Roman"/>
                <w:sz w:val="16"/>
                <w:szCs w:val="16"/>
                <w:lang w:val="es-GT" w:eastAsia="es-GT"/>
              </w:rPr>
            </w:pPr>
            <w:r w:rsidRPr="00062207">
              <w:rPr>
                <w:rFonts w:ascii="Times New Roman" w:eastAsia="Times New Roman" w:hAnsi="Times New Roman" w:cs="Times New Roman"/>
                <w:sz w:val="16"/>
                <w:szCs w:val="16"/>
                <w:lang w:val="es-GT" w:eastAsia="es-GT"/>
              </w:rPr>
              <w:t xml:space="preserve">    </w:t>
            </w:r>
            <w:r w:rsidR="00A80029" w:rsidRPr="00062207">
              <w:rPr>
                <w:rFonts w:ascii="Times New Roman" w:eastAsia="Times New Roman" w:hAnsi="Times New Roman" w:cs="Times New Roman"/>
                <w:sz w:val="16"/>
                <w:szCs w:val="16"/>
                <w:lang w:val="es-GT" w:eastAsia="es-GT"/>
              </w:rPr>
              <w:t xml:space="preserve">Ingresos Tributarios </w:t>
            </w:r>
          </w:p>
        </w:tc>
        <w:tc>
          <w:tcPr>
            <w:tcW w:w="1160" w:type="dxa"/>
            <w:tcBorders>
              <w:top w:val="nil"/>
              <w:left w:val="single" w:sz="8" w:space="0" w:color="auto"/>
              <w:bottom w:val="nil"/>
              <w:right w:val="single" w:sz="8" w:space="0" w:color="auto"/>
            </w:tcBorders>
            <w:shd w:val="clear" w:color="auto" w:fill="auto"/>
            <w:vAlign w:val="center"/>
            <w:hideMark/>
          </w:tcPr>
          <w:p w14:paraId="69ABAD8D" w14:textId="77777777" w:rsidR="00A80029" w:rsidRPr="00062207" w:rsidRDefault="00A80029" w:rsidP="00A80029">
            <w:pPr>
              <w:jc w:val="center"/>
              <w:rPr>
                <w:rFonts w:ascii="Times New Roman" w:eastAsia="Times New Roman" w:hAnsi="Times New Roman" w:cs="Times New Roman"/>
                <w:sz w:val="16"/>
                <w:szCs w:val="16"/>
                <w:lang w:val="es-GT" w:eastAsia="es-GT"/>
              </w:rPr>
            </w:pPr>
            <w:r w:rsidRPr="00062207">
              <w:rPr>
                <w:rFonts w:ascii="Times New Roman" w:eastAsia="Times New Roman" w:hAnsi="Times New Roman" w:cs="Times New Roman"/>
                <w:sz w:val="16"/>
                <w:szCs w:val="16"/>
                <w:lang w:val="es-GT" w:eastAsia="es-GT"/>
              </w:rPr>
              <w:t>60,279.4</w:t>
            </w:r>
          </w:p>
        </w:tc>
        <w:tc>
          <w:tcPr>
            <w:tcW w:w="1160" w:type="dxa"/>
            <w:tcBorders>
              <w:top w:val="nil"/>
              <w:left w:val="nil"/>
              <w:bottom w:val="nil"/>
              <w:right w:val="nil"/>
            </w:tcBorders>
            <w:shd w:val="clear" w:color="auto" w:fill="auto"/>
            <w:vAlign w:val="center"/>
            <w:hideMark/>
          </w:tcPr>
          <w:p w14:paraId="7A2DD841" w14:textId="77777777" w:rsidR="00A80029" w:rsidRPr="00062207" w:rsidRDefault="00A80029" w:rsidP="00A80029">
            <w:pPr>
              <w:jc w:val="center"/>
              <w:rPr>
                <w:rFonts w:ascii="Times New Roman" w:eastAsia="Times New Roman" w:hAnsi="Times New Roman" w:cs="Times New Roman"/>
                <w:sz w:val="16"/>
                <w:szCs w:val="16"/>
                <w:lang w:val="es-GT" w:eastAsia="es-GT"/>
              </w:rPr>
            </w:pPr>
            <w:r w:rsidRPr="00062207">
              <w:rPr>
                <w:rFonts w:ascii="Times New Roman" w:eastAsia="Times New Roman" w:hAnsi="Times New Roman" w:cs="Times New Roman"/>
                <w:sz w:val="16"/>
                <w:szCs w:val="16"/>
                <w:lang w:val="es-GT" w:eastAsia="es-GT"/>
              </w:rPr>
              <w:t>64,027.7</w:t>
            </w:r>
          </w:p>
        </w:tc>
        <w:tc>
          <w:tcPr>
            <w:tcW w:w="1160" w:type="dxa"/>
            <w:tcBorders>
              <w:top w:val="nil"/>
              <w:left w:val="nil"/>
              <w:bottom w:val="nil"/>
              <w:right w:val="nil"/>
            </w:tcBorders>
            <w:shd w:val="clear" w:color="auto" w:fill="auto"/>
            <w:vAlign w:val="center"/>
            <w:hideMark/>
          </w:tcPr>
          <w:p w14:paraId="4BCE343E" w14:textId="77777777" w:rsidR="00A80029" w:rsidRPr="00062207" w:rsidRDefault="00A80029" w:rsidP="00A80029">
            <w:pPr>
              <w:jc w:val="center"/>
              <w:rPr>
                <w:rFonts w:ascii="Times New Roman" w:eastAsia="Times New Roman" w:hAnsi="Times New Roman" w:cs="Times New Roman"/>
                <w:sz w:val="16"/>
                <w:szCs w:val="16"/>
                <w:lang w:val="es-GT" w:eastAsia="es-GT"/>
              </w:rPr>
            </w:pPr>
            <w:r w:rsidRPr="00062207">
              <w:rPr>
                <w:rFonts w:ascii="Times New Roman" w:eastAsia="Times New Roman" w:hAnsi="Times New Roman" w:cs="Times New Roman"/>
                <w:sz w:val="16"/>
                <w:szCs w:val="16"/>
                <w:lang w:val="es-GT" w:eastAsia="es-GT"/>
              </w:rPr>
              <w:t>78,019.1</w:t>
            </w:r>
          </w:p>
        </w:tc>
        <w:tc>
          <w:tcPr>
            <w:tcW w:w="1160" w:type="dxa"/>
            <w:tcBorders>
              <w:top w:val="nil"/>
              <w:left w:val="nil"/>
              <w:bottom w:val="nil"/>
              <w:right w:val="single" w:sz="8" w:space="0" w:color="auto"/>
            </w:tcBorders>
            <w:shd w:val="clear" w:color="auto" w:fill="auto"/>
            <w:vAlign w:val="center"/>
            <w:hideMark/>
          </w:tcPr>
          <w:p w14:paraId="40B70777" w14:textId="77777777" w:rsidR="00A80029" w:rsidRPr="00062207" w:rsidRDefault="00A80029" w:rsidP="00A80029">
            <w:pPr>
              <w:jc w:val="center"/>
              <w:rPr>
                <w:rFonts w:ascii="Times New Roman" w:eastAsia="Times New Roman" w:hAnsi="Times New Roman" w:cs="Times New Roman"/>
                <w:sz w:val="16"/>
                <w:szCs w:val="16"/>
                <w:lang w:val="es-GT" w:eastAsia="es-GT"/>
              </w:rPr>
            </w:pPr>
            <w:r w:rsidRPr="00062207">
              <w:rPr>
                <w:rFonts w:ascii="Times New Roman" w:eastAsia="Times New Roman" w:hAnsi="Times New Roman" w:cs="Times New Roman"/>
                <w:sz w:val="16"/>
                <w:szCs w:val="16"/>
                <w:lang w:val="es-GT" w:eastAsia="es-GT"/>
              </w:rPr>
              <w:t>11.7</w:t>
            </w:r>
          </w:p>
        </w:tc>
      </w:tr>
      <w:tr w:rsidR="00062207" w:rsidRPr="00062207" w14:paraId="334C74F5" w14:textId="77777777" w:rsidTr="00A80029">
        <w:trPr>
          <w:trHeight w:val="315"/>
          <w:jc w:val="center"/>
        </w:trPr>
        <w:tc>
          <w:tcPr>
            <w:tcW w:w="3000" w:type="dxa"/>
            <w:tcBorders>
              <w:top w:val="nil"/>
              <w:left w:val="single" w:sz="8" w:space="0" w:color="auto"/>
              <w:bottom w:val="nil"/>
              <w:right w:val="nil"/>
            </w:tcBorders>
            <w:shd w:val="clear" w:color="auto" w:fill="auto"/>
            <w:vAlign w:val="bottom"/>
            <w:hideMark/>
          </w:tcPr>
          <w:p w14:paraId="29CCD035" w14:textId="77777777" w:rsidR="00A80029" w:rsidRPr="00062207" w:rsidRDefault="00A80029" w:rsidP="00A80029">
            <w:pPr>
              <w:rPr>
                <w:rFonts w:ascii="Times New Roman" w:eastAsia="Times New Roman" w:hAnsi="Times New Roman" w:cs="Times New Roman"/>
                <w:sz w:val="16"/>
                <w:szCs w:val="16"/>
                <w:lang w:val="es-GT" w:eastAsia="es-GT"/>
              </w:rPr>
            </w:pPr>
            <w:r w:rsidRPr="00062207">
              <w:rPr>
                <w:rFonts w:ascii="Times New Roman" w:eastAsia="Times New Roman" w:hAnsi="Times New Roman" w:cs="Times New Roman"/>
                <w:sz w:val="16"/>
                <w:szCs w:val="16"/>
                <w:lang w:val="es-GT" w:eastAsia="es-GT"/>
              </w:rPr>
              <w:t>Gastos Totales</w:t>
            </w:r>
          </w:p>
        </w:tc>
        <w:tc>
          <w:tcPr>
            <w:tcW w:w="1160" w:type="dxa"/>
            <w:tcBorders>
              <w:top w:val="nil"/>
              <w:left w:val="single" w:sz="8" w:space="0" w:color="auto"/>
              <w:bottom w:val="nil"/>
              <w:right w:val="single" w:sz="8" w:space="0" w:color="auto"/>
            </w:tcBorders>
            <w:shd w:val="clear" w:color="auto" w:fill="auto"/>
            <w:vAlign w:val="bottom"/>
            <w:hideMark/>
          </w:tcPr>
          <w:p w14:paraId="315C4AFC" w14:textId="77777777" w:rsidR="00A80029" w:rsidRPr="00062207" w:rsidRDefault="00A80029" w:rsidP="00A80029">
            <w:pPr>
              <w:jc w:val="center"/>
              <w:rPr>
                <w:rFonts w:ascii="Times New Roman" w:eastAsia="Times New Roman" w:hAnsi="Times New Roman" w:cs="Times New Roman"/>
                <w:sz w:val="16"/>
                <w:szCs w:val="16"/>
                <w:lang w:val="es-GT" w:eastAsia="es-GT"/>
              </w:rPr>
            </w:pPr>
            <w:r w:rsidRPr="00062207">
              <w:rPr>
                <w:rFonts w:ascii="Times New Roman" w:eastAsia="Times New Roman" w:hAnsi="Times New Roman" w:cs="Times New Roman"/>
                <w:sz w:val="16"/>
                <w:szCs w:val="16"/>
                <w:lang w:val="es-GT" w:eastAsia="es-GT"/>
              </w:rPr>
              <w:t>93,529.0</w:t>
            </w:r>
          </w:p>
        </w:tc>
        <w:tc>
          <w:tcPr>
            <w:tcW w:w="1160" w:type="dxa"/>
            <w:tcBorders>
              <w:top w:val="nil"/>
              <w:left w:val="nil"/>
              <w:bottom w:val="nil"/>
              <w:right w:val="nil"/>
            </w:tcBorders>
            <w:shd w:val="clear" w:color="auto" w:fill="auto"/>
            <w:vAlign w:val="bottom"/>
            <w:hideMark/>
          </w:tcPr>
          <w:p w14:paraId="3CB57532" w14:textId="77777777" w:rsidR="00A80029" w:rsidRPr="00062207" w:rsidRDefault="00A80029" w:rsidP="00A80029">
            <w:pPr>
              <w:jc w:val="center"/>
              <w:rPr>
                <w:rFonts w:ascii="Times New Roman" w:eastAsia="Times New Roman" w:hAnsi="Times New Roman" w:cs="Times New Roman"/>
                <w:sz w:val="16"/>
                <w:szCs w:val="16"/>
                <w:lang w:val="es-GT" w:eastAsia="es-GT"/>
              </w:rPr>
            </w:pPr>
            <w:r w:rsidRPr="00062207">
              <w:rPr>
                <w:rFonts w:ascii="Times New Roman" w:eastAsia="Times New Roman" w:hAnsi="Times New Roman" w:cs="Times New Roman"/>
                <w:sz w:val="16"/>
                <w:szCs w:val="16"/>
                <w:lang w:val="es-GT" w:eastAsia="es-GT"/>
              </w:rPr>
              <w:t>104,573.8</w:t>
            </w:r>
          </w:p>
        </w:tc>
        <w:tc>
          <w:tcPr>
            <w:tcW w:w="1160" w:type="dxa"/>
            <w:tcBorders>
              <w:top w:val="nil"/>
              <w:left w:val="nil"/>
              <w:bottom w:val="nil"/>
              <w:right w:val="nil"/>
            </w:tcBorders>
            <w:shd w:val="clear" w:color="auto" w:fill="auto"/>
            <w:vAlign w:val="bottom"/>
            <w:hideMark/>
          </w:tcPr>
          <w:p w14:paraId="185DDC3A" w14:textId="77777777" w:rsidR="00A80029" w:rsidRPr="00062207" w:rsidRDefault="00A80029" w:rsidP="00A80029">
            <w:pPr>
              <w:jc w:val="center"/>
              <w:rPr>
                <w:rFonts w:ascii="Times New Roman" w:eastAsia="Times New Roman" w:hAnsi="Times New Roman" w:cs="Times New Roman"/>
                <w:sz w:val="16"/>
                <w:szCs w:val="16"/>
                <w:lang w:val="es-GT" w:eastAsia="es-GT"/>
              </w:rPr>
            </w:pPr>
            <w:r w:rsidRPr="00062207">
              <w:rPr>
                <w:rFonts w:ascii="Times New Roman" w:eastAsia="Times New Roman" w:hAnsi="Times New Roman" w:cs="Times New Roman"/>
                <w:sz w:val="16"/>
                <w:szCs w:val="16"/>
                <w:lang w:val="es-GT" w:eastAsia="es-GT"/>
              </w:rPr>
              <w:t>90,065.8</w:t>
            </w:r>
          </w:p>
        </w:tc>
        <w:tc>
          <w:tcPr>
            <w:tcW w:w="1160" w:type="dxa"/>
            <w:tcBorders>
              <w:top w:val="nil"/>
              <w:left w:val="nil"/>
              <w:bottom w:val="nil"/>
              <w:right w:val="single" w:sz="8" w:space="0" w:color="auto"/>
            </w:tcBorders>
            <w:shd w:val="clear" w:color="auto" w:fill="auto"/>
            <w:vAlign w:val="bottom"/>
            <w:hideMark/>
          </w:tcPr>
          <w:p w14:paraId="63D66779" w14:textId="77777777" w:rsidR="00A80029" w:rsidRPr="00062207" w:rsidRDefault="00A80029" w:rsidP="00A80029">
            <w:pPr>
              <w:jc w:val="center"/>
              <w:rPr>
                <w:rFonts w:ascii="Times New Roman" w:eastAsia="Times New Roman" w:hAnsi="Times New Roman" w:cs="Times New Roman"/>
                <w:sz w:val="16"/>
                <w:szCs w:val="16"/>
                <w:lang w:val="es-GT" w:eastAsia="es-GT"/>
              </w:rPr>
            </w:pPr>
            <w:r w:rsidRPr="00062207">
              <w:rPr>
                <w:rFonts w:ascii="Times New Roman" w:eastAsia="Times New Roman" w:hAnsi="Times New Roman" w:cs="Times New Roman"/>
                <w:sz w:val="16"/>
                <w:szCs w:val="16"/>
                <w:lang w:val="es-GT" w:eastAsia="es-GT"/>
              </w:rPr>
              <w:t>13.5</w:t>
            </w:r>
          </w:p>
        </w:tc>
      </w:tr>
      <w:tr w:rsidR="00062207" w:rsidRPr="00062207" w14:paraId="181CAF5D" w14:textId="77777777" w:rsidTr="00A80029">
        <w:trPr>
          <w:trHeight w:val="255"/>
          <w:jc w:val="center"/>
        </w:trPr>
        <w:tc>
          <w:tcPr>
            <w:tcW w:w="3000" w:type="dxa"/>
            <w:tcBorders>
              <w:top w:val="nil"/>
              <w:left w:val="single" w:sz="8" w:space="0" w:color="auto"/>
              <w:bottom w:val="nil"/>
              <w:right w:val="nil"/>
            </w:tcBorders>
            <w:shd w:val="clear" w:color="000000" w:fill="FFFFFF"/>
            <w:vAlign w:val="center"/>
            <w:hideMark/>
          </w:tcPr>
          <w:p w14:paraId="172FB957" w14:textId="77777777" w:rsidR="00A80029" w:rsidRPr="00062207" w:rsidRDefault="00A80029" w:rsidP="00A80029">
            <w:pPr>
              <w:ind w:firstLineChars="100" w:firstLine="160"/>
              <w:rPr>
                <w:rFonts w:ascii="Times New Roman" w:eastAsia="Times New Roman" w:hAnsi="Times New Roman" w:cs="Times New Roman"/>
                <w:sz w:val="16"/>
                <w:szCs w:val="16"/>
                <w:lang w:val="es-GT" w:eastAsia="es-GT"/>
              </w:rPr>
            </w:pPr>
            <w:r w:rsidRPr="00062207">
              <w:rPr>
                <w:rFonts w:ascii="Times New Roman" w:eastAsia="Times New Roman" w:hAnsi="Times New Roman" w:cs="Times New Roman"/>
                <w:sz w:val="16"/>
                <w:szCs w:val="16"/>
                <w:lang w:val="es-GT" w:eastAsia="es-GT"/>
              </w:rPr>
              <w:t>Gastos Corrientes</w:t>
            </w:r>
          </w:p>
        </w:tc>
        <w:tc>
          <w:tcPr>
            <w:tcW w:w="1160" w:type="dxa"/>
            <w:tcBorders>
              <w:top w:val="nil"/>
              <w:left w:val="single" w:sz="8" w:space="0" w:color="auto"/>
              <w:bottom w:val="nil"/>
              <w:right w:val="single" w:sz="8" w:space="0" w:color="auto"/>
            </w:tcBorders>
            <w:shd w:val="clear" w:color="000000" w:fill="FFFFFF"/>
            <w:vAlign w:val="center"/>
            <w:hideMark/>
          </w:tcPr>
          <w:p w14:paraId="1CE60C62" w14:textId="77777777" w:rsidR="00A80029" w:rsidRPr="00062207" w:rsidRDefault="00A80029" w:rsidP="00A80029">
            <w:pPr>
              <w:jc w:val="center"/>
              <w:rPr>
                <w:rFonts w:ascii="Times New Roman" w:eastAsia="Times New Roman" w:hAnsi="Times New Roman" w:cs="Times New Roman"/>
                <w:sz w:val="16"/>
                <w:szCs w:val="16"/>
                <w:lang w:val="es-GT" w:eastAsia="es-GT"/>
              </w:rPr>
            </w:pPr>
            <w:r w:rsidRPr="00062207">
              <w:rPr>
                <w:rFonts w:ascii="Times New Roman" w:eastAsia="Times New Roman" w:hAnsi="Times New Roman" w:cs="Times New Roman"/>
                <w:sz w:val="16"/>
                <w:szCs w:val="16"/>
                <w:lang w:val="es-GT" w:eastAsia="es-GT"/>
              </w:rPr>
              <w:t>75,569.0</w:t>
            </w:r>
          </w:p>
        </w:tc>
        <w:tc>
          <w:tcPr>
            <w:tcW w:w="1160" w:type="dxa"/>
            <w:tcBorders>
              <w:top w:val="nil"/>
              <w:left w:val="nil"/>
              <w:bottom w:val="nil"/>
              <w:right w:val="nil"/>
            </w:tcBorders>
            <w:shd w:val="clear" w:color="000000" w:fill="FFFFFF"/>
            <w:vAlign w:val="center"/>
            <w:hideMark/>
          </w:tcPr>
          <w:p w14:paraId="4075D3E8" w14:textId="77777777" w:rsidR="00A80029" w:rsidRPr="00062207" w:rsidRDefault="00A80029" w:rsidP="00A80029">
            <w:pPr>
              <w:jc w:val="center"/>
              <w:rPr>
                <w:rFonts w:ascii="Times New Roman" w:eastAsia="Times New Roman" w:hAnsi="Times New Roman" w:cs="Times New Roman"/>
                <w:sz w:val="16"/>
                <w:szCs w:val="16"/>
                <w:lang w:val="es-GT" w:eastAsia="es-GT"/>
              </w:rPr>
            </w:pPr>
            <w:r w:rsidRPr="00062207">
              <w:rPr>
                <w:rFonts w:ascii="Times New Roman" w:eastAsia="Times New Roman" w:hAnsi="Times New Roman" w:cs="Times New Roman"/>
                <w:sz w:val="16"/>
                <w:szCs w:val="16"/>
                <w:lang w:val="es-GT" w:eastAsia="es-GT"/>
              </w:rPr>
              <w:t>83,031.7</w:t>
            </w:r>
          </w:p>
        </w:tc>
        <w:tc>
          <w:tcPr>
            <w:tcW w:w="1160" w:type="dxa"/>
            <w:tcBorders>
              <w:top w:val="nil"/>
              <w:left w:val="nil"/>
              <w:bottom w:val="nil"/>
              <w:right w:val="nil"/>
            </w:tcBorders>
            <w:shd w:val="clear" w:color="000000" w:fill="FFFFFF"/>
            <w:vAlign w:val="center"/>
            <w:hideMark/>
          </w:tcPr>
          <w:p w14:paraId="034F4FFD" w14:textId="77777777" w:rsidR="00A80029" w:rsidRPr="00062207" w:rsidRDefault="00A80029" w:rsidP="00A80029">
            <w:pPr>
              <w:jc w:val="center"/>
              <w:rPr>
                <w:rFonts w:ascii="Times New Roman" w:eastAsia="Times New Roman" w:hAnsi="Times New Roman" w:cs="Times New Roman"/>
                <w:sz w:val="16"/>
                <w:szCs w:val="16"/>
                <w:lang w:val="es-GT" w:eastAsia="es-GT"/>
              </w:rPr>
            </w:pPr>
            <w:r w:rsidRPr="00062207">
              <w:rPr>
                <w:rFonts w:ascii="Times New Roman" w:eastAsia="Times New Roman" w:hAnsi="Times New Roman" w:cs="Times New Roman"/>
                <w:sz w:val="16"/>
                <w:szCs w:val="16"/>
                <w:lang w:val="es-GT" w:eastAsia="es-GT"/>
              </w:rPr>
              <w:t>74,258.4</w:t>
            </w:r>
          </w:p>
        </w:tc>
        <w:tc>
          <w:tcPr>
            <w:tcW w:w="1160" w:type="dxa"/>
            <w:tcBorders>
              <w:top w:val="nil"/>
              <w:left w:val="nil"/>
              <w:bottom w:val="nil"/>
              <w:right w:val="single" w:sz="8" w:space="0" w:color="auto"/>
            </w:tcBorders>
            <w:shd w:val="clear" w:color="000000" w:fill="FFFFFF"/>
            <w:vAlign w:val="center"/>
            <w:hideMark/>
          </w:tcPr>
          <w:p w14:paraId="14BC552F" w14:textId="77777777" w:rsidR="00A80029" w:rsidRPr="00062207" w:rsidRDefault="00A80029" w:rsidP="00A80029">
            <w:pPr>
              <w:jc w:val="center"/>
              <w:rPr>
                <w:rFonts w:ascii="Times New Roman" w:eastAsia="Times New Roman" w:hAnsi="Times New Roman" w:cs="Times New Roman"/>
                <w:sz w:val="16"/>
                <w:szCs w:val="16"/>
                <w:lang w:val="es-GT" w:eastAsia="es-GT"/>
              </w:rPr>
            </w:pPr>
            <w:r w:rsidRPr="00062207">
              <w:rPr>
                <w:rFonts w:ascii="Times New Roman" w:eastAsia="Times New Roman" w:hAnsi="Times New Roman" w:cs="Times New Roman"/>
                <w:sz w:val="16"/>
                <w:szCs w:val="16"/>
                <w:lang w:val="es-GT" w:eastAsia="es-GT"/>
              </w:rPr>
              <w:t>11.2</w:t>
            </w:r>
          </w:p>
        </w:tc>
      </w:tr>
      <w:tr w:rsidR="00062207" w:rsidRPr="00062207" w14:paraId="4D3EC9E2" w14:textId="77777777" w:rsidTr="00A80029">
        <w:trPr>
          <w:trHeight w:val="270"/>
          <w:jc w:val="center"/>
        </w:trPr>
        <w:tc>
          <w:tcPr>
            <w:tcW w:w="3000" w:type="dxa"/>
            <w:tcBorders>
              <w:top w:val="nil"/>
              <w:left w:val="single" w:sz="8" w:space="0" w:color="auto"/>
              <w:bottom w:val="nil"/>
              <w:right w:val="nil"/>
            </w:tcBorders>
            <w:shd w:val="clear" w:color="000000" w:fill="FFFFFF"/>
            <w:vAlign w:val="center"/>
            <w:hideMark/>
          </w:tcPr>
          <w:p w14:paraId="1F80519D" w14:textId="77777777" w:rsidR="00A80029" w:rsidRPr="00062207" w:rsidRDefault="00A80029" w:rsidP="00A80029">
            <w:pPr>
              <w:ind w:firstLineChars="100" w:firstLine="160"/>
              <w:rPr>
                <w:rFonts w:ascii="Times New Roman" w:eastAsia="Times New Roman" w:hAnsi="Times New Roman" w:cs="Times New Roman"/>
                <w:sz w:val="16"/>
                <w:szCs w:val="16"/>
                <w:lang w:val="es-GT" w:eastAsia="es-GT"/>
              </w:rPr>
            </w:pPr>
            <w:r w:rsidRPr="00062207">
              <w:rPr>
                <w:rFonts w:ascii="Times New Roman" w:eastAsia="Times New Roman" w:hAnsi="Times New Roman" w:cs="Times New Roman"/>
                <w:sz w:val="16"/>
                <w:szCs w:val="16"/>
                <w:lang w:val="es-GT" w:eastAsia="es-GT"/>
              </w:rPr>
              <w:t xml:space="preserve">Gastos de Capital </w:t>
            </w:r>
          </w:p>
        </w:tc>
        <w:tc>
          <w:tcPr>
            <w:tcW w:w="1160" w:type="dxa"/>
            <w:tcBorders>
              <w:top w:val="nil"/>
              <w:left w:val="single" w:sz="8" w:space="0" w:color="auto"/>
              <w:bottom w:val="nil"/>
              <w:right w:val="single" w:sz="8" w:space="0" w:color="auto"/>
            </w:tcBorders>
            <w:shd w:val="clear" w:color="000000" w:fill="FFFFFF"/>
            <w:vAlign w:val="center"/>
            <w:hideMark/>
          </w:tcPr>
          <w:p w14:paraId="18C7AACF" w14:textId="77777777" w:rsidR="00A80029" w:rsidRPr="00062207" w:rsidRDefault="00A80029" w:rsidP="00A80029">
            <w:pPr>
              <w:jc w:val="center"/>
              <w:rPr>
                <w:rFonts w:ascii="Times New Roman" w:eastAsia="Times New Roman" w:hAnsi="Times New Roman" w:cs="Times New Roman"/>
                <w:sz w:val="16"/>
                <w:szCs w:val="16"/>
                <w:lang w:val="es-GT" w:eastAsia="es-GT"/>
              </w:rPr>
            </w:pPr>
            <w:r w:rsidRPr="00062207">
              <w:rPr>
                <w:rFonts w:ascii="Times New Roman" w:eastAsia="Times New Roman" w:hAnsi="Times New Roman" w:cs="Times New Roman"/>
                <w:sz w:val="16"/>
                <w:szCs w:val="16"/>
                <w:lang w:val="es-GT" w:eastAsia="es-GT"/>
              </w:rPr>
              <w:t>17,960.1</w:t>
            </w:r>
          </w:p>
        </w:tc>
        <w:tc>
          <w:tcPr>
            <w:tcW w:w="1160" w:type="dxa"/>
            <w:tcBorders>
              <w:top w:val="nil"/>
              <w:left w:val="nil"/>
              <w:bottom w:val="nil"/>
              <w:right w:val="nil"/>
            </w:tcBorders>
            <w:shd w:val="clear" w:color="000000" w:fill="FFFFFF"/>
            <w:vAlign w:val="center"/>
            <w:hideMark/>
          </w:tcPr>
          <w:p w14:paraId="3EF09892" w14:textId="77777777" w:rsidR="00A80029" w:rsidRPr="00062207" w:rsidRDefault="00A80029" w:rsidP="00A80029">
            <w:pPr>
              <w:jc w:val="center"/>
              <w:rPr>
                <w:rFonts w:ascii="Times New Roman" w:eastAsia="Times New Roman" w:hAnsi="Times New Roman" w:cs="Times New Roman"/>
                <w:sz w:val="16"/>
                <w:szCs w:val="16"/>
                <w:lang w:val="es-GT" w:eastAsia="es-GT"/>
              </w:rPr>
            </w:pPr>
            <w:r w:rsidRPr="00062207">
              <w:rPr>
                <w:rFonts w:ascii="Times New Roman" w:eastAsia="Times New Roman" w:hAnsi="Times New Roman" w:cs="Times New Roman"/>
                <w:sz w:val="16"/>
                <w:szCs w:val="16"/>
                <w:lang w:val="es-GT" w:eastAsia="es-GT"/>
              </w:rPr>
              <w:t>21,542.1</w:t>
            </w:r>
          </w:p>
        </w:tc>
        <w:tc>
          <w:tcPr>
            <w:tcW w:w="1160" w:type="dxa"/>
            <w:tcBorders>
              <w:top w:val="nil"/>
              <w:left w:val="nil"/>
              <w:bottom w:val="nil"/>
              <w:right w:val="nil"/>
            </w:tcBorders>
            <w:shd w:val="clear" w:color="000000" w:fill="FFFFFF"/>
            <w:vAlign w:val="center"/>
            <w:hideMark/>
          </w:tcPr>
          <w:p w14:paraId="2F19FCEB" w14:textId="77777777" w:rsidR="00A80029" w:rsidRPr="00062207" w:rsidRDefault="00A80029" w:rsidP="00A80029">
            <w:pPr>
              <w:jc w:val="center"/>
              <w:rPr>
                <w:rFonts w:ascii="Times New Roman" w:eastAsia="Times New Roman" w:hAnsi="Times New Roman" w:cs="Times New Roman"/>
                <w:sz w:val="16"/>
                <w:szCs w:val="16"/>
                <w:lang w:val="es-GT" w:eastAsia="es-GT"/>
              </w:rPr>
            </w:pPr>
            <w:r w:rsidRPr="00062207">
              <w:rPr>
                <w:rFonts w:ascii="Times New Roman" w:eastAsia="Times New Roman" w:hAnsi="Times New Roman" w:cs="Times New Roman"/>
                <w:sz w:val="16"/>
                <w:szCs w:val="16"/>
                <w:lang w:val="es-GT" w:eastAsia="es-GT"/>
              </w:rPr>
              <w:t>15,807.4</w:t>
            </w:r>
          </w:p>
        </w:tc>
        <w:tc>
          <w:tcPr>
            <w:tcW w:w="1160" w:type="dxa"/>
            <w:tcBorders>
              <w:top w:val="nil"/>
              <w:left w:val="nil"/>
              <w:bottom w:val="nil"/>
              <w:right w:val="single" w:sz="8" w:space="0" w:color="auto"/>
            </w:tcBorders>
            <w:shd w:val="clear" w:color="000000" w:fill="FFFFFF"/>
            <w:vAlign w:val="center"/>
            <w:hideMark/>
          </w:tcPr>
          <w:p w14:paraId="1308A215" w14:textId="77777777" w:rsidR="00A80029" w:rsidRPr="00062207" w:rsidRDefault="00A80029" w:rsidP="00A80029">
            <w:pPr>
              <w:jc w:val="center"/>
              <w:rPr>
                <w:rFonts w:ascii="Times New Roman" w:eastAsia="Times New Roman" w:hAnsi="Times New Roman" w:cs="Times New Roman"/>
                <w:sz w:val="16"/>
                <w:szCs w:val="16"/>
                <w:lang w:val="es-GT" w:eastAsia="es-GT"/>
              </w:rPr>
            </w:pPr>
            <w:r w:rsidRPr="00062207">
              <w:rPr>
                <w:rFonts w:ascii="Times New Roman" w:eastAsia="Times New Roman" w:hAnsi="Times New Roman" w:cs="Times New Roman"/>
                <w:sz w:val="16"/>
                <w:szCs w:val="16"/>
                <w:lang w:val="es-GT" w:eastAsia="es-GT"/>
              </w:rPr>
              <w:t>2.4</w:t>
            </w:r>
          </w:p>
        </w:tc>
      </w:tr>
      <w:tr w:rsidR="00062207" w:rsidRPr="00062207" w14:paraId="656FF50A" w14:textId="77777777" w:rsidTr="00A80029">
        <w:trPr>
          <w:trHeight w:val="270"/>
          <w:jc w:val="center"/>
        </w:trPr>
        <w:tc>
          <w:tcPr>
            <w:tcW w:w="3000" w:type="dxa"/>
            <w:tcBorders>
              <w:top w:val="single" w:sz="8" w:space="0" w:color="auto"/>
              <w:left w:val="single" w:sz="8" w:space="0" w:color="auto"/>
              <w:bottom w:val="single" w:sz="8" w:space="0" w:color="auto"/>
              <w:right w:val="nil"/>
            </w:tcBorders>
            <w:shd w:val="clear" w:color="000000" w:fill="ACB9CA"/>
            <w:vAlign w:val="center"/>
            <w:hideMark/>
          </w:tcPr>
          <w:p w14:paraId="7CD3BD29" w14:textId="77777777" w:rsidR="00A80029" w:rsidRPr="00062207" w:rsidRDefault="00A80029" w:rsidP="00A80029">
            <w:pPr>
              <w:rPr>
                <w:rFonts w:ascii="Times New Roman" w:eastAsia="Times New Roman" w:hAnsi="Times New Roman" w:cs="Times New Roman"/>
                <w:b/>
                <w:bCs/>
                <w:sz w:val="16"/>
                <w:szCs w:val="16"/>
                <w:lang w:val="es-GT" w:eastAsia="es-GT"/>
              </w:rPr>
            </w:pPr>
            <w:r w:rsidRPr="00062207">
              <w:rPr>
                <w:rFonts w:ascii="Times New Roman" w:eastAsia="Times New Roman" w:hAnsi="Times New Roman" w:cs="Times New Roman"/>
                <w:b/>
                <w:bCs/>
                <w:sz w:val="16"/>
                <w:szCs w:val="16"/>
                <w:lang w:val="es-GT" w:eastAsia="es-GT"/>
              </w:rPr>
              <w:t>Balance  Presupuestal</w:t>
            </w:r>
          </w:p>
        </w:tc>
        <w:tc>
          <w:tcPr>
            <w:tcW w:w="1160" w:type="dxa"/>
            <w:tcBorders>
              <w:top w:val="single" w:sz="8" w:space="0" w:color="auto"/>
              <w:left w:val="single" w:sz="8" w:space="0" w:color="auto"/>
              <w:bottom w:val="single" w:sz="8" w:space="0" w:color="auto"/>
              <w:right w:val="single" w:sz="8" w:space="0" w:color="auto"/>
            </w:tcBorders>
            <w:shd w:val="clear" w:color="000000" w:fill="ACB9CA"/>
            <w:vAlign w:val="center"/>
            <w:hideMark/>
          </w:tcPr>
          <w:p w14:paraId="620CDAD5" w14:textId="77777777" w:rsidR="00A80029" w:rsidRPr="00062207" w:rsidRDefault="00A80029" w:rsidP="00A80029">
            <w:pPr>
              <w:jc w:val="center"/>
              <w:rPr>
                <w:rFonts w:ascii="Times New Roman" w:eastAsia="Times New Roman" w:hAnsi="Times New Roman" w:cs="Times New Roman"/>
                <w:b/>
                <w:bCs/>
                <w:sz w:val="16"/>
                <w:szCs w:val="16"/>
                <w:lang w:val="es-GT" w:eastAsia="es-GT"/>
              </w:rPr>
            </w:pPr>
            <w:r w:rsidRPr="00062207">
              <w:rPr>
                <w:rFonts w:ascii="Times New Roman" w:eastAsia="Times New Roman" w:hAnsi="Times New Roman" w:cs="Times New Roman"/>
                <w:b/>
                <w:bCs/>
                <w:sz w:val="16"/>
                <w:szCs w:val="16"/>
                <w:lang w:val="es-GT" w:eastAsia="es-GT"/>
              </w:rPr>
              <w:t>-29,463.4</w:t>
            </w:r>
          </w:p>
        </w:tc>
        <w:tc>
          <w:tcPr>
            <w:tcW w:w="1160" w:type="dxa"/>
            <w:tcBorders>
              <w:top w:val="single" w:sz="8" w:space="0" w:color="auto"/>
              <w:left w:val="nil"/>
              <w:bottom w:val="single" w:sz="8" w:space="0" w:color="auto"/>
              <w:right w:val="nil"/>
            </w:tcBorders>
            <w:shd w:val="clear" w:color="000000" w:fill="ACB9CA"/>
            <w:vAlign w:val="center"/>
            <w:hideMark/>
          </w:tcPr>
          <w:p w14:paraId="223410D8" w14:textId="77777777" w:rsidR="00A80029" w:rsidRPr="00062207" w:rsidRDefault="00A80029" w:rsidP="00A80029">
            <w:pPr>
              <w:jc w:val="center"/>
              <w:rPr>
                <w:rFonts w:ascii="Times New Roman" w:eastAsia="Times New Roman" w:hAnsi="Times New Roman" w:cs="Times New Roman"/>
                <w:b/>
                <w:bCs/>
                <w:sz w:val="16"/>
                <w:szCs w:val="16"/>
                <w:lang w:val="es-GT" w:eastAsia="es-GT"/>
              </w:rPr>
            </w:pPr>
            <w:r w:rsidRPr="00062207">
              <w:rPr>
                <w:rFonts w:ascii="Times New Roman" w:eastAsia="Times New Roman" w:hAnsi="Times New Roman" w:cs="Times New Roman"/>
                <w:b/>
                <w:bCs/>
                <w:sz w:val="16"/>
                <w:szCs w:val="16"/>
                <w:lang w:val="es-GT" w:eastAsia="es-GT"/>
              </w:rPr>
              <w:t>-36,026.4</w:t>
            </w:r>
          </w:p>
        </w:tc>
        <w:tc>
          <w:tcPr>
            <w:tcW w:w="1160" w:type="dxa"/>
            <w:tcBorders>
              <w:top w:val="single" w:sz="8" w:space="0" w:color="auto"/>
              <w:left w:val="nil"/>
              <w:bottom w:val="single" w:sz="8" w:space="0" w:color="auto"/>
              <w:right w:val="nil"/>
            </w:tcBorders>
            <w:shd w:val="clear" w:color="000000" w:fill="ACB9CA"/>
            <w:vAlign w:val="center"/>
            <w:hideMark/>
          </w:tcPr>
          <w:p w14:paraId="427704C9" w14:textId="230410FF" w:rsidR="00A80029" w:rsidRPr="00062207" w:rsidRDefault="001030D1" w:rsidP="00A80029">
            <w:pPr>
              <w:jc w:val="center"/>
              <w:rPr>
                <w:rFonts w:ascii="Times New Roman" w:eastAsia="Times New Roman" w:hAnsi="Times New Roman" w:cs="Times New Roman"/>
                <w:b/>
                <w:bCs/>
                <w:sz w:val="16"/>
                <w:szCs w:val="16"/>
                <w:lang w:val="es-GT" w:eastAsia="es-GT"/>
              </w:rPr>
            </w:pPr>
            <w:r w:rsidRPr="00062207">
              <w:rPr>
                <w:rFonts w:ascii="Times New Roman" w:eastAsia="Times New Roman" w:hAnsi="Times New Roman" w:cs="Times New Roman"/>
                <w:b/>
                <w:bCs/>
                <w:sz w:val="16"/>
                <w:szCs w:val="16"/>
                <w:lang w:val="es-GT" w:eastAsia="es-GT"/>
              </w:rPr>
              <w:t>-7,808.5</w:t>
            </w:r>
          </w:p>
        </w:tc>
        <w:tc>
          <w:tcPr>
            <w:tcW w:w="1160" w:type="dxa"/>
            <w:tcBorders>
              <w:top w:val="single" w:sz="8" w:space="0" w:color="auto"/>
              <w:left w:val="nil"/>
              <w:bottom w:val="single" w:sz="8" w:space="0" w:color="auto"/>
              <w:right w:val="single" w:sz="8" w:space="0" w:color="auto"/>
            </w:tcBorders>
            <w:shd w:val="clear" w:color="000000" w:fill="ACB9CA"/>
            <w:vAlign w:val="center"/>
            <w:hideMark/>
          </w:tcPr>
          <w:p w14:paraId="6AFF7672" w14:textId="77777777" w:rsidR="00A80029" w:rsidRPr="00062207" w:rsidRDefault="00A80029" w:rsidP="00A80029">
            <w:pPr>
              <w:jc w:val="center"/>
              <w:rPr>
                <w:rFonts w:ascii="Times New Roman" w:eastAsia="Times New Roman" w:hAnsi="Times New Roman" w:cs="Times New Roman"/>
                <w:b/>
                <w:bCs/>
                <w:sz w:val="16"/>
                <w:szCs w:val="16"/>
                <w:lang w:val="es-GT" w:eastAsia="es-GT"/>
              </w:rPr>
            </w:pPr>
            <w:r w:rsidRPr="00062207">
              <w:rPr>
                <w:rFonts w:ascii="Times New Roman" w:eastAsia="Times New Roman" w:hAnsi="Times New Roman" w:cs="Times New Roman"/>
                <w:b/>
                <w:bCs/>
                <w:sz w:val="16"/>
                <w:szCs w:val="16"/>
                <w:lang w:val="es-GT" w:eastAsia="es-GT"/>
              </w:rPr>
              <w:t>-1.2</w:t>
            </w:r>
          </w:p>
        </w:tc>
      </w:tr>
      <w:tr w:rsidR="00062207" w:rsidRPr="00062207" w14:paraId="361EFB6C" w14:textId="77777777" w:rsidTr="00A80029">
        <w:trPr>
          <w:trHeight w:val="120"/>
          <w:jc w:val="center"/>
        </w:trPr>
        <w:tc>
          <w:tcPr>
            <w:tcW w:w="3000" w:type="dxa"/>
            <w:tcBorders>
              <w:top w:val="nil"/>
              <w:left w:val="single" w:sz="8" w:space="0" w:color="auto"/>
              <w:bottom w:val="nil"/>
              <w:right w:val="nil"/>
            </w:tcBorders>
            <w:shd w:val="clear" w:color="000000" w:fill="FFFFFF"/>
            <w:hideMark/>
          </w:tcPr>
          <w:p w14:paraId="131863C4" w14:textId="77777777" w:rsidR="00A80029" w:rsidRPr="00062207" w:rsidRDefault="00A80029" w:rsidP="00A80029">
            <w:pPr>
              <w:rPr>
                <w:rFonts w:ascii="Times New Roman" w:eastAsia="Times New Roman" w:hAnsi="Times New Roman" w:cs="Times New Roman"/>
                <w:sz w:val="16"/>
                <w:szCs w:val="16"/>
                <w:lang w:val="es-GT" w:eastAsia="es-GT"/>
              </w:rPr>
            </w:pPr>
            <w:r w:rsidRPr="00062207">
              <w:rPr>
                <w:rFonts w:ascii="Times New Roman" w:eastAsia="Times New Roman" w:hAnsi="Times New Roman" w:cs="Times New Roman"/>
                <w:sz w:val="16"/>
                <w:szCs w:val="16"/>
                <w:lang w:val="es-GT" w:eastAsia="es-GT"/>
              </w:rPr>
              <w:t> </w:t>
            </w:r>
          </w:p>
        </w:tc>
        <w:tc>
          <w:tcPr>
            <w:tcW w:w="1160" w:type="dxa"/>
            <w:tcBorders>
              <w:top w:val="nil"/>
              <w:left w:val="single" w:sz="8" w:space="0" w:color="auto"/>
              <w:bottom w:val="nil"/>
              <w:right w:val="single" w:sz="8" w:space="0" w:color="auto"/>
            </w:tcBorders>
            <w:shd w:val="clear" w:color="000000" w:fill="FFFFFF"/>
            <w:vAlign w:val="center"/>
            <w:hideMark/>
          </w:tcPr>
          <w:p w14:paraId="29B81598" w14:textId="77777777" w:rsidR="00A80029" w:rsidRPr="00062207" w:rsidRDefault="00A80029" w:rsidP="00A80029">
            <w:pPr>
              <w:jc w:val="center"/>
              <w:rPr>
                <w:rFonts w:ascii="Times New Roman" w:eastAsia="Times New Roman" w:hAnsi="Times New Roman" w:cs="Times New Roman"/>
                <w:sz w:val="16"/>
                <w:szCs w:val="16"/>
                <w:lang w:val="es-GT" w:eastAsia="es-GT"/>
              </w:rPr>
            </w:pPr>
            <w:r w:rsidRPr="00062207">
              <w:rPr>
                <w:rFonts w:ascii="Times New Roman" w:eastAsia="Times New Roman" w:hAnsi="Times New Roman" w:cs="Times New Roman"/>
                <w:sz w:val="16"/>
                <w:szCs w:val="16"/>
                <w:lang w:val="es-GT" w:eastAsia="es-GT"/>
              </w:rPr>
              <w:t> </w:t>
            </w:r>
          </w:p>
        </w:tc>
        <w:tc>
          <w:tcPr>
            <w:tcW w:w="1160" w:type="dxa"/>
            <w:tcBorders>
              <w:top w:val="nil"/>
              <w:left w:val="nil"/>
              <w:bottom w:val="nil"/>
              <w:right w:val="nil"/>
            </w:tcBorders>
            <w:shd w:val="clear" w:color="000000" w:fill="FFFFFF"/>
            <w:vAlign w:val="center"/>
            <w:hideMark/>
          </w:tcPr>
          <w:p w14:paraId="16213553" w14:textId="77777777" w:rsidR="00A80029" w:rsidRPr="00062207" w:rsidRDefault="00A80029" w:rsidP="00A80029">
            <w:pPr>
              <w:jc w:val="center"/>
              <w:rPr>
                <w:rFonts w:ascii="Times New Roman" w:eastAsia="Times New Roman" w:hAnsi="Times New Roman" w:cs="Times New Roman"/>
                <w:sz w:val="16"/>
                <w:szCs w:val="16"/>
                <w:lang w:val="es-GT" w:eastAsia="es-GT"/>
              </w:rPr>
            </w:pPr>
            <w:r w:rsidRPr="00062207">
              <w:rPr>
                <w:rFonts w:ascii="Times New Roman" w:eastAsia="Times New Roman" w:hAnsi="Times New Roman" w:cs="Times New Roman"/>
                <w:sz w:val="16"/>
                <w:szCs w:val="16"/>
                <w:lang w:val="es-GT" w:eastAsia="es-GT"/>
              </w:rPr>
              <w:t> </w:t>
            </w:r>
          </w:p>
        </w:tc>
        <w:tc>
          <w:tcPr>
            <w:tcW w:w="1160" w:type="dxa"/>
            <w:tcBorders>
              <w:top w:val="nil"/>
              <w:left w:val="nil"/>
              <w:bottom w:val="nil"/>
              <w:right w:val="nil"/>
            </w:tcBorders>
            <w:shd w:val="clear" w:color="000000" w:fill="FFFFFF"/>
            <w:vAlign w:val="center"/>
            <w:hideMark/>
          </w:tcPr>
          <w:p w14:paraId="1307611C" w14:textId="77777777" w:rsidR="00A80029" w:rsidRPr="00062207" w:rsidRDefault="00A80029" w:rsidP="00A80029">
            <w:pPr>
              <w:jc w:val="center"/>
              <w:rPr>
                <w:rFonts w:ascii="Times New Roman" w:eastAsia="Times New Roman" w:hAnsi="Times New Roman" w:cs="Times New Roman"/>
                <w:sz w:val="16"/>
                <w:szCs w:val="16"/>
                <w:lang w:val="es-GT" w:eastAsia="es-GT"/>
              </w:rPr>
            </w:pPr>
            <w:r w:rsidRPr="00062207">
              <w:rPr>
                <w:rFonts w:ascii="Times New Roman" w:eastAsia="Times New Roman" w:hAnsi="Times New Roman" w:cs="Times New Roman"/>
                <w:sz w:val="16"/>
                <w:szCs w:val="16"/>
                <w:lang w:val="es-GT" w:eastAsia="es-GT"/>
              </w:rPr>
              <w:t> </w:t>
            </w:r>
          </w:p>
        </w:tc>
        <w:tc>
          <w:tcPr>
            <w:tcW w:w="1160" w:type="dxa"/>
            <w:tcBorders>
              <w:top w:val="nil"/>
              <w:left w:val="nil"/>
              <w:bottom w:val="nil"/>
              <w:right w:val="single" w:sz="8" w:space="0" w:color="auto"/>
            </w:tcBorders>
            <w:shd w:val="clear" w:color="000000" w:fill="FFFFFF"/>
            <w:vAlign w:val="center"/>
            <w:hideMark/>
          </w:tcPr>
          <w:p w14:paraId="1D252C3E" w14:textId="77777777" w:rsidR="00A80029" w:rsidRPr="00062207" w:rsidRDefault="00A80029" w:rsidP="00A80029">
            <w:pPr>
              <w:jc w:val="center"/>
              <w:rPr>
                <w:rFonts w:ascii="Times New Roman" w:eastAsia="Times New Roman" w:hAnsi="Times New Roman" w:cs="Times New Roman"/>
                <w:sz w:val="16"/>
                <w:szCs w:val="16"/>
                <w:lang w:val="es-GT" w:eastAsia="es-GT"/>
              </w:rPr>
            </w:pPr>
            <w:r w:rsidRPr="00062207">
              <w:rPr>
                <w:rFonts w:ascii="Times New Roman" w:eastAsia="Times New Roman" w:hAnsi="Times New Roman" w:cs="Times New Roman"/>
                <w:sz w:val="16"/>
                <w:szCs w:val="16"/>
                <w:lang w:val="es-GT" w:eastAsia="es-GT"/>
              </w:rPr>
              <w:t> </w:t>
            </w:r>
          </w:p>
        </w:tc>
      </w:tr>
      <w:tr w:rsidR="00062207" w:rsidRPr="00062207" w14:paraId="2483B52F" w14:textId="77777777" w:rsidTr="00751A2C">
        <w:trPr>
          <w:trHeight w:val="255"/>
          <w:jc w:val="center"/>
        </w:trPr>
        <w:tc>
          <w:tcPr>
            <w:tcW w:w="3000" w:type="dxa"/>
            <w:tcBorders>
              <w:top w:val="nil"/>
              <w:left w:val="single" w:sz="8" w:space="0" w:color="auto"/>
              <w:bottom w:val="nil"/>
              <w:right w:val="nil"/>
            </w:tcBorders>
            <w:shd w:val="clear" w:color="000000" w:fill="FFFFFF"/>
            <w:vAlign w:val="center"/>
            <w:hideMark/>
          </w:tcPr>
          <w:p w14:paraId="5DA04137" w14:textId="77777777" w:rsidR="00A80029" w:rsidRPr="00062207" w:rsidRDefault="00A80029" w:rsidP="00751A2C">
            <w:pPr>
              <w:rPr>
                <w:rFonts w:ascii="Times New Roman" w:eastAsia="Times New Roman" w:hAnsi="Times New Roman" w:cs="Times New Roman"/>
                <w:sz w:val="16"/>
                <w:szCs w:val="16"/>
                <w:lang w:val="es-GT" w:eastAsia="es-GT"/>
              </w:rPr>
            </w:pPr>
            <w:r w:rsidRPr="00062207">
              <w:rPr>
                <w:rFonts w:ascii="Times New Roman" w:eastAsia="Times New Roman" w:hAnsi="Times New Roman" w:cs="Times New Roman"/>
                <w:sz w:val="16"/>
                <w:szCs w:val="16"/>
                <w:lang w:val="es-GT" w:eastAsia="es-GT"/>
              </w:rPr>
              <w:t>Financiamiento Externo Neto</w:t>
            </w:r>
          </w:p>
        </w:tc>
        <w:tc>
          <w:tcPr>
            <w:tcW w:w="1160" w:type="dxa"/>
            <w:tcBorders>
              <w:top w:val="nil"/>
              <w:left w:val="single" w:sz="8" w:space="0" w:color="auto"/>
              <w:bottom w:val="nil"/>
              <w:right w:val="single" w:sz="8" w:space="0" w:color="auto"/>
            </w:tcBorders>
            <w:shd w:val="clear" w:color="000000" w:fill="FFFFFF"/>
            <w:vAlign w:val="center"/>
            <w:hideMark/>
          </w:tcPr>
          <w:p w14:paraId="67F2B2CB" w14:textId="77777777" w:rsidR="00A80029" w:rsidRPr="00062207" w:rsidRDefault="00A80029" w:rsidP="00751A2C">
            <w:pPr>
              <w:jc w:val="center"/>
              <w:rPr>
                <w:rFonts w:ascii="Times New Roman" w:eastAsia="Times New Roman" w:hAnsi="Times New Roman" w:cs="Times New Roman"/>
                <w:sz w:val="16"/>
                <w:szCs w:val="16"/>
                <w:lang w:val="es-GT" w:eastAsia="es-GT"/>
              </w:rPr>
            </w:pPr>
            <w:r w:rsidRPr="00062207">
              <w:rPr>
                <w:rFonts w:ascii="Times New Roman" w:eastAsia="Times New Roman" w:hAnsi="Times New Roman" w:cs="Times New Roman"/>
                <w:sz w:val="16"/>
                <w:szCs w:val="16"/>
                <w:lang w:val="es-GT" w:eastAsia="es-GT"/>
              </w:rPr>
              <w:t>10,337.3</w:t>
            </w:r>
          </w:p>
        </w:tc>
        <w:tc>
          <w:tcPr>
            <w:tcW w:w="1160" w:type="dxa"/>
            <w:tcBorders>
              <w:top w:val="nil"/>
              <w:left w:val="nil"/>
              <w:bottom w:val="nil"/>
              <w:right w:val="nil"/>
            </w:tcBorders>
            <w:shd w:val="clear" w:color="000000" w:fill="FFFFFF"/>
            <w:vAlign w:val="center"/>
            <w:hideMark/>
          </w:tcPr>
          <w:p w14:paraId="64C21173" w14:textId="77777777" w:rsidR="00A80029" w:rsidRPr="00062207" w:rsidRDefault="00A80029" w:rsidP="00751A2C">
            <w:pPr>
              <w:jc w:val="center"/>
              <w:rPr>
                <w:rFonts w:ascii="Times New Roman" w:eastAsia="Times New Roman" w:hAnsi="Times New Roman" w:cs="Times New Roman"/>
                <w:sz w:val="16"/>
                <w:szCs w:val="16"/>
                <w:lang w:val="es-GT" w:eastAsia="es-GT"/>
              </w:rPr>
            </w:pPr>
            <w:r w:rsidRPr="00062207">
              <w:rPr>
                <w:rFonts w:ascii="Times New Roman" w:eastAsia="Times New Roman" w:hAnsi="Times New Roman" w:cs="Times New Roman"/>
                <w:sz w:val="16"/>
                <w:szCs w:val="16"/>
                <w:lang w:val="es-GT" w:eastAsia="es-GT"/>
              </w:rPr>
              <w:t>2,613.1</w:t>
            </w:r>
          </w:p>
        </w:tc>
        <w:tc>
          <w:tcPr>
            <w:tcW w:w="1160" w:type="dxa"/>
            <w:tcBorders>
              <w:top w:val="nil"/>
              <w:left w:val="nil"/>
              <w:bottom w:val="nil"/>
              <w:right w:val="nil"/>
            </w:tcBorders>
            <w:shd w:val="clear" w:color="000000" w:fill="FFFFFF"/>
            <w:vAlign w:val="center"/>
            <w:hideMark/>
          </w:tcPr>
          <w:p w14:paraId="042464B6" w14:textId="77777777" w:rsidR="00A80029" w:rsidRPr="00062207" w:rsidRDefault="00A80029" w:rsidP="00751A2C">
            <w:pPr>
              <w:jc w:val="center"/>
              <w:rPr>
                <w:rFonts w:ascii="Times New Roman" w:eastAsia="Times New Roman" w:hAnsi="Times New Roman" w:cs="Times New Roman"/>
                <w:sz w:val="16"/>
                <w:szCs w:val="16"/>
                <w:lang w:val="es-GT" w:eastAsia="es-GT"/>
              </w:rPr>
            </w:pPr>
            <w:r w:rsidRPr="00062207">
              <w:rPr>
                <w:rFonts w:ascii="Times New Roman" w:eastAsia="Times New Roman" w:hAnsi="Times New Roman" w:cs="Times New Roman"/>
                <w:sz w:val="16"/>
                <w:szCs w:val="16"/>
                <w:lang w:val="es-GT" w:eastAsia="es-GT"/>
              </w:rPr>
              <w:t>5,235.9</w:t>
            </w:r>
          </w:p>
        </w:tc>
        <w:tc>
          <w:tcPr>
            <w:tcW w:w="1160" w:type="dxa"/>
            <w:tcBorders>
              <w:top w:val="nil"/>
              <w:left w:val="nil"/>
              <w:bottom w:val="nil"/>
              <w:right w:val="single" w:sz="8" w:space="0" w:color="auto"/>
            </w:tcBorders>
            <w:shd w:val="clear" w:color="000000" w:fill="FFFFFF"/>
            <w:vAlign w:val="center"/>
            <w:hideMark/>
          </w:tcPr>
          <w:p w14:paraId="03385E3B" w14:textId="77777777" w:rsidR="00A80029" w:rsidRPr="00062207" w:rsidRDefault="00A80029" w:rsidP="00751A2C">
            <w:pPr>
              <w:jc w:val="center"/>
              <w:rPr>
                <w:rFonts w:ascii="Times New Roman" w:eastAsia="Times New Roman" w:hAnsi="Times New Roman" w:cs="Times New Roman"/>
                <w:sz w:val="16"/>
                <w:szCs w:val="16"/>
                <w:lang w:val="es-GT" w:eastAsia="es-GT"/>
              </w:rPr>
            </w:pPr>
            <w:r w:rsidRPr="00062207">
              <w:rPr>
                <w:rFonts w:ascii="Times New Roman" w:eastAsia="Times New Roman" w:hAnsi="Times New Roman" w:cs="Times New Roman"/>
                <w:sz w:val="16"/>
                <w:szCs w:val="16"/>
                <w:lang w:val="es-GT" w:eastAsia="es-GT"/>
              </w:rPr>
              <w:t>0.8</w:t>
            </w:r>
          </w:p>
        </w:tc>
      </w:tr>
      <w:tr w:rsidR="00062207" w:rsidRPr="00062207" w14:paraId="2F46FE4A" w14:textId="77777777" w:rsidTr="00751A2C">
        <w:trPr>
          <w:trHeight w:val="255"/>
          <w:jc w:val="center"/>
        </w:trPr>
        <w:tc>
          <w:tcPr>
            <w:tcW w:w="3000" w:type="dxa"/>
            <w:tcBorders>
              <w:top w:val="nil"/>
              <w:left w:val="single" w:sz="8" w:space="0" w:color="auto"/>
              <w:bottom w:val="nil"/>
              <w:right w:val="nil"/>
            </w:tcBorders>
            <w:shd w:val="clear" w:color="000000" w:fill="FFFFFF"/>
            <w:vAlign w:val="center"/>
            <w:hideMark/>
          </w:tcPr>
          <w:p w14:paraId="6BCA84F2" w14:textId="77777777" w:rsidR="00A80029" w:rsidRPr="00062207" w:rsidRDefault="00A80029" w:rsidP="00751A2C">
            <w:pPr>
              <w:rPr>
                <w:rFonts w:ascii="Times New Roman" w:eastAsia="Times New Roman" w:hAnsi="Times New Roman" w:cs="Times New Roman"/>
                <w:sz w:val="16"/>
                <w:szCs w:val="16"/>
                <w:lang w:val="es-GT" w:eastAsia="es-GT"/>
              </w:rPr>
            </w:pPr>
            <w:r w:rsidRPr="00062207">
              <w:rPr>
                <w:rFonts w:ascii="Times New Roman" w:eastAsia="Times New Roman" w:hAnsi="Times New Roman" w:cs="Times New Roman"/>
                <w:sz w:val="16"/>
                <w:szCs w:val="16"/>
                <w:lang w:val="es-GT" w:eastAsia="es-GT"/>
              </w:rPr>
              <w:t>Negociación Neta de Bonos Internos</w:t>
            </w:r>
          </w:p>
        </w:tc>
        <w:tc>
          <w:tcPr>
            <w:tcW w:w="1160" w:type="dxa"/>
            <w:tcBorders>
              <w:top w:val="nil"/>
              <w:left w:val="single" w:sz="8" w:space="0" w:color="auto"/>
              <w:bottom w:val="nil"/>
              <w:right w:val="single" w:sz="8" w:space="0" w:color="auto"/>
            </w:tcBorders>
            <w:shd w:val="clear" w:color="000000" w:fill="FFFFFF"/>
            <w:vAlign w:val="center"/>
            <w:hideMark/>
          </w:tcPr>
          <w:p w14:paraId="535B2396" w14:textId="77777777" w:rsidR="00A80029" w:rsidRPr="00062207" w:rsidRDefault="00A80029" w:rsidP="00751A2C">
            <w:pPr>
              <w:jc w:val="center"/>
              <w:rPr>
                <w:rFonts w:ascii="Times New Roman" w:eastAsia="Times New Roman" w:hAnsi="Times New Roman" w:cs="Times New Roman"/>
                <w:sz w:val="16"/>
                <w:szCs w:val="16"/>
                <w:lang w:val="es-GT" w:eastAsia="es-GT"/>
              </w:rPr>
            </w:pPr>
            <w:r w:rsidRPr="00062207">
              <w:rPr>
                <w:rFonts w:ascii="Times New Roman" w:eastAsia="Times New Roman" w:hAnsi="Times New Roman" w:cs="Times New Roman"/>
                <w:sz w:val="16"/>
                <w:szCs w:val="16"/>
                <w:lang w:val="es-GT" w:eastAsia="es-GT"/>
              </w:rPr>
              <w:t>20,388.0</w:t>
            </w:r>
          </w:p>
        </w:tc>
        <w:tc>
          <w:tcPr>
            <w:tcW w:w="1160" w:type="dxa"/>
            <w:tcBorders>
              <w:top w:val="nil"/>
              <w:left w:val="nil"/>
              <w:bottom w:val="nil"/>
              <w:right w:val="nil"/>
            </w:tcBorders>
            <w:shd w:val="clear" w:color="000000" w:fill="FFFFFF"/>
            <w:vAlign w:val="center"/>
            <w:hideMark/>
          </w:tcPr>
          <w:p w14:paraId="6A710C14" w14:textId="77777777" w:rsidR="00A80029" w:rsidRPr="00062207" w:rsidRDefault="00A80029" w:rsidP="00751A2C">
            <w:pPr>
              <w:jc w:val="center"/>
              <w:rPr>
                <w:rFonts w:ascii="Times New Roman" w:eastAsia="Times New Roman" w:hAnsi="Times New Roman" w:cs="Times New Roman"/>
                <w:sz w:val="16"/>
                <w:szCs w:val="16"/>
                <w:lang w:val="es-GT" w:eastAsia="es-GT"/>
              </w:rPr>
            </w:pPr>
            <w:r w:rsidRPr="00062207">
              <w:rPr>
                <w:rFonts w:ascii="Times New Roman" w:eastAsia="Times New Roman" w:hAnsi="Times New Roman" w:cs="Times New Roman"/>
                <w:sz w:val="16"/>
                <w:szCs w:val="16"/>
                <w:lang w:val="es-GT" w:eastAsia="es-GT"/>
              </w:rPr>
              <w:t>30,047.9</w:t>
            </w:r>
          </w:p>
        </w:tc>
        <w:tc>
          <w:tcPr>
            <w:tcW w:w="1160" w:type="dxa"/>
            <w:tcBorders>
              <w:top w:val="nil"/>
              <w:left w:val="nil"/>
              <w:bottom w:val="nil"/>
              <w:right w:val="nil"/>
            </w:tcBorders>
            <w:shd w:val="clear" w:color="000000" w:fill="FFFFFF"/>
            <w:vAlign w:val="center"/>
            <w:hideMark/>
          </w:tcPr>
          <w:p w14:paraId="0DE94C43" w14:textId="77777777" w:rsidR="00A80029" w:rsidRPr="00062207" w:rsidRDefault="00A80029" w:rsidP="00751A2C">
            <w:pPr>
              <w:jc w:val="center"/>
              <w:rPr>
                <w:rFonts w:ascii="Times New Roman" w:eastAsia="Times New Roman" w:hAnsi="Times New Roman" w:cs="Times New Roman"/>
                <w:sz w:val="16"/>
                <w:szCs w:val="16"/>
                <w:lang w:val="es-GT" w:eastAsia="es-GT"/>
              </w:rPr>
            </w:pPr>
            <w:r w:rsidRPr="00062207">
              <w:rPr>
                <w:rFonts w:ascii="Times New Roman" w:eastAsia="Times New Roman" w:hAnsi="Times New Roman" w:cs="Times New Roman"/>
                <w:sz w:val="16"/>
                <w:szCs w:val="16"/>
                <w:lang w:val="es-GT" w:eastAsia="es-GT"/>
              </w:rPr>
              <w:t>11,315.8</w:t>
            </w:r>
          </w:p>
        </w:tc>
        <w:tc>
          <w:tcPr>
            <w:tcW w:w="1160" w:type="dxa"/>
            <w:tcBorders>
              <w:top w:val="nil"/>
              <w:left w:val="nil"/>
              <w:bottom w:val="nil"/>
              <w:right w:val="single" w:sz="8" w:space="0" w:color="auto"/>
            </w:tcBorders>
            <w:shd w:val="clear" w:color="000000" w:fill="FFFFFF"/>
            <w:vAlign w:val="center"/>
            <w:hideMark/>
          </w:tcPr>
          <w:p w14:paraId="4A1F5685" w14:textId="77777777" w:rsidR="00A80029" w:rsidRPr="00062207" w:rsidRDefault="00A80029" w:rsidP="00751A2C">
            <w:pPr>
              <w:jc w:val="center"/>
              <w:rPr>
                <w:rFonts w:ascii="Times New Roman" w:eastAsia="Times New Roman" w:hAnsi="Times New Roman" w:cs="Times New Roman"/>
                <w:sz w:val="16"/>
                <w:szCs w:val="16"/>
                <w:lang w:val="es-GT" w:eastAsia="es-GT"/>
              </w:rPr>
            </w:pPr>
            <w:r w:rsidRPr="00062207">
              <w:rPr>
                <w:rFonts w:ascii="Times New Roman" w:eastAsia="Times New Roman" w:hAnsi="Times New Roman" w:cs="Times New Roman"/>
                <w:sz w:val="16"/>
                <w:szCs w:val="16"/>
                <w:lang w:val="es-GT" w:eastAsia="es-GT"/>
              </w:rPr>
              <w:t>1.7</w:t>
            </w:r>
          </w:p>
        </w:tc>
      </w:tr>
      <w:tr w:rsidR="00062207" w:rsidRPr="00062207" w14:paraId="160851F0" w14:textId="77777777" w:rsidTr="00751A2C">
        <w:trPr>
          <w:trHeight w:val="270"/>
          <w:jc w:val="center"/>
        </w:trPr>
        <w:tc>
          <w:tcPr>
            <w:tcW w:w="3000" w:type="dxa"/>
            <w:tcBorders>
              <w:top w:val="nil"/>
              <w:left w:val="single" w:sz="8" w:space="0" w:color="auto"/>
              <w:bottom w:val="single" w:sz="8" w:space="0" w:color="auto"/>
              <w:right w:val="nil"/>
            </w:tcBorders>
            <w:shd w:val="clear" w:color="000000" w:fill="FFFFFF"/>
            <w:vAlign w:val="center"/>
            <w:hideMark/>
          </w:tcPr>
          <w:p w14:paraId="51962BC8" w14:textId="77777777" w:rsidR="00A80029" w:rsidRPr="00062207" w:rsidRDefault="00A80029" w:rsidP="00751A2C">
            <w:pPr>
              <w:ind w:firstLineChars="100" w:firstLine="160"/>
              <w:rPr>
                <w:rFonts w:ascii="Times New Roman" w:eastAsia="Times New Roman" w:hAnsi="Times New Roman" w:cs="Times New Roman"/>
                <w:b/>
                <w:bCs/>
                <w:sz w:val="16"/>
                <w:szCs w:val="16"/>
                <w:lang w:val="es-GT" w:eastAsia="es-GT"/>
              </w:rPr>
            </w:pPr>
            <w:r w:rsidRPr="00062207">
              <w:rPr>
                <w:rFonts w:ascii="Times New Roman" w:eastAsia="Times New Roman" w:hAnsi="Times New Roman" w:cs="Times New Roman"/>
                <w:b/>
                <w:bCs/>
                <w:sz w:val="16"/>
                <w:szCs w:val="16"/>
                <w:lang w:val="es-GT" w:eastAsia="es-GT"/>
              </w:rPr>
              <w:t>Variación de Caja</w:t>
            </w:r>
          </w:p>
        </w:tc>
        <w:tc>
          <w:tcPr>
            <w:tcW w:w="1160" w:type="dxa"/>
            <w:tcBorders>
              <w:top w:val="nil"/>
              <w:left w:val="single" w:sz="8" w:space="0" w:color="auto"/>
              <w:bottom w:val="single" w:sz="8" w:space="0" w:color="auto"/>
              <w:right w:val="single" w:sz="8" w:space="0" w:color="auto"/>
            </w:tcBorders>
            <w:shd w:val="clear" w:color="000000" w:fill="FFFFFF"/>
            <w:vAlign w:val="center"/>
            <w:hideMark/>
          </w:tcPr>
          <w:p w14:paraId="091A7BC4" w14:textId="77777777" w:rsidR="00A80029" w:rsidRPr="00062207" w:rsidRDefault="00A80029" w:rsidP="00751A2C">
            <w:pPr>
              <w:jc w:val="center"/>
              <w:rPr>
                <w:rFonts w:ascii="Times New Roman" w:eastAsia="Times New Roman" w:hAnsi="Times New Roman" w:cs="Times New Roman"/>
                <w:b/>
                <w:bCs/>
                <w:sz w:val="16"/>
                <w:szCs w:val="16"/>
                <w:lang w:val="es-GT" w:eastAsia="es-GT"/>
              </w:rPr>
            </w:pPr>
            <w:r w:rsidRPr="00062207">
              <w:rPr>
                <w:rFonts w:ascii="Times New Roman" w:eastAsia="Times New Roman" w:hAnsi="Times New Roman" w:cs="Times New Roman"/>
                <w:b/>
                <w:bCs/>
                <w:sz w:val="16"/>
                <w:szCs w:val="16"/>
                <w:lang w:val="es-GT" w:eastAsia="es-GT"/>
              </w:rPr>
              <w:t>-3,146.0</w:t>
            </w:r>
          </w:p>
        </w:tc>
        <w:tc>
          <w:tcPr>
            <w:tcW w:w="1160" w:type="dxa"/>
            <w:tcBorders>
              <w:top w:val="nil"/>
              <w:left w:val="nil"/>
              <w:bottom w:val="single" w:sz="8" w:space="0" w:color="auto"/>
              <w:right w:val="nil"/>
            </w:tcBorders>
            <w:shd w:val="clear" w:color="000000" w:fill="FFFFFF"/>
            <w:vAlign w:val="center"/>
            <w:hideMark/>
          </w:tcPr>
          <w:p w14:paraId="580AB517" w14:textId="77777777" w:rsidR="00A80029" w:rsidRPr="00062207" w:rsidRDefault="00A80029" w:rsidP="00751A2C">
            <w:pPr>
              <w:jc w:val="center"/>
              <w:rPr>
                <w:rFonts w:ascii="Times New Roman" w:eastAsia="Times New Roman" w:hAnsi="Times New Roman" w:cs="Times New Roman"/>
                <w:b/>
                <w:bCs/>
                <w:sz w:val="16"/>
                <w:szCs w:val="16"/>
                <w:lang w:val="es-GT" w:eastAsia="es-GT"/>
              </w:rPr>
            </w:pPr>
            <w:r w:rsidRPr="00062207">
              <w:rPr>
                <w:rFonts w:ascii="Times New Roman" w:eastAsia="Times New Roman" w:hAnsi="Times New Roman" w:cs="Times New Roman"/>
                <w:b/>
                <w:bCs/>
                <w:sz w:val="16"/>
                <w:szCs w:val="16"/>
                <w:lang w:val="es-GT" w:eastAsia="es-GT"/>
              </w:rPr>
              <w:t>3,367.4</w:t>
            </w:r>
          </w:p>
        </w:tc>
        <w:tc>
          <w:tcPr>
            <w:tcW w:w="1160" w:type="dxa"/>
            <w:tcBorders>
              <w:top w:val="nil"/>
              <w:left w:val="nil"/>
              <w:bottom w:val="single" w:sz="8" w:space="0" w:color="auto"/>
              <w:right w:val="nil"/>
            </w:tcBorders>
            <w:shd w:val="clear" w:color="000000" w:fill="FFFFFF"/>
            <w:vAlign w:val="center"/>
            <w:hideMark/>
          </w:tcPr>
          <w:p w14:paraId="2DD2179C" w14:textId="5B8B8343" w:rsidR="00A80029" w:rsidRPr="00062207" w:rsidRDefault="001030D1" w:rsidP="00751A2C">
            <w:pPr>
              <w:jc w:val="center"/>
              <w:rPr>
                <w:rFonts w:ascii="Times New Roman" w:eastAsia="Times New Roman" w:hAnsi="Times New Roman" w:cs="Times New Roman"/>
                <w:b/>
                <w:bCs/>
                <w:sz w:val="16"/>
                <w:szCs w:val="16"/>
                <w:lang w:val="es-GT" w:eastAsia="es-GT"/>
              </w:rPr>
            </w:pPr>
            <w:r w:rsidRPr="00062207">
              <w:rPr>
                <w:rFonts w:ascii="Times New Roman" w:eastAsia="Times New Roman" w:hAnsi="Times New Roman" w:cs="Times New Roman"/>
                <w:b/>
                <w:bCs/>
                <w:sz w:val="16"/>
                <w:szCs w:val="16"/>
                <w:lang w:val="es-GT" w:eastAsia="es-GT"/>
              </w:rPr>
              <w:t>-11,880.4</w:t>
            </w:r>
          </w:p>
        </w:tc>
        <w:tc>
          <w:tcPr>
            <w:tcW w:w="1160" w:type="dxa"/>
            <w:tcBorders>
              <w:top w:val="nil"/>
              <w:left w:val="nil"/>
              <w:bottom w:val="single" w:sz="8" w:space="0" w:color="auto"/>
              <w:right w:val="single" w:sz="8" w:space="0" w:color="auto"/>
            </w:tcBorders>
            <w:shd w:val="clear" w:color="000000" w:fill="FFFFFF"/>
            <w:vAlign w:val="center"/>
            <w:hideMark/>
          </w:tcPr>
          <w:p w14:paraId="6FE096DB" w14:textId="77777777" w:rsidR="00A80029" w:rsidRPr="00062207" w:rsidRDefault="00A80029" w:rsidP="00751A2C">
            <w:pPr>
              <w:jc w:val="center"/>
              <w:rPr>
                <w:rFonts w:ascii="Times New Roman" w:eastAsia="Times New Roman" w:hAnsi="Times New Roman" w:cs="Times New Roman"/>
                <w:b/>
                <w:bCs/>
                <w:sz w:val="16"/>
                <w:szCs w:val="16"/>
                <w:lang w:val="es-GT" w:eastAsia="es-GT"/>
              </w:rPr>
            </w:pPr>
            <w:r w:rsidRPr="00062207">
              <w:rPr>
                <w:rFonts w:ascii="Times New Roman" w:eastAsia="Times New Roman" w:hAnsi="Times New Roman" w:cs="Times New Roman"/>
                <w:b/>
                <w:bCs/>
                <w:sz w:val="16"/>
                <w:szCs w:val="16"/>
                <w:lang w:val="es-GT" w:eastAsia="es-GT"/>
              </w:rPr>
              <w:t>-1.8</w:t>
            </w:r>
          </w:p>
        </w:tc>
      </w:tr>
      <w:tr w:rsidR="00062207" w:rsidRPr="00062207" w14:paraId="591A06C4" w14:textId="77777777" w:rsidTr="00A80029">
        <w:trPr>
          <w:trHeight w:val="180"/>
          <w:jc w:val="center"/>
        </w:trPr>
        <w:tc>
          <w:tcPr>
            <w:tcW w:w="3000" w:type="dxa"/>
            <w:tcBorders>
              <w:top w:val="nil"/>
              <w:left w:val="nil"/>
              <w:bottom w:val="nil"/>
              <w:right w:val="nil"/>
            </w:tcBorders>
            <w:shd w:val="clear" w:color="auto" w:fill="auto"/>
            <w:hideMark/>
          </w:tcPr>
          <w:p w14:paraId="583C19C3" w14:textId="41870470" w:rsidR="00A80029" w:rsidRPr="00062207" w:rsidRDefault="00A80029" w:rsidP="00A80029">
            <w:pPr>
              <w:rPr>
                <w:rFonts w:ascii="Times New Roman" w:eastAsia="Times New Roman" w:hAnsi="Times New Roman" w:cs="Times New Roman"/>
                <w:b/>
                <w:bCs/>
                <w:sz w:val="14"/>
                <w:szCs w:val="14"/>
                <w:lang w:val="es-GT" w:eastAsia="es-GT"/>
              </w:rPr>
            </w:pPr>
            <w:r w:rsidRPr="00062207">
              <w:rPr>
                <w:rFonts w:ascii="Times New Roman" w:eastAsia="Times New Roman" w:hAnsi="Times New Roman" w:cs="Times New Roman"/>
                <w:b/>
                <w:bCs/>
                <w:sz w:val="14"/>
                <w:szCs w:val="14"/>
                <w:lang w:val="es-GT" w:eastAsia="es-GT"/>
              </w:rPr>
              <w:t xml:space="preserve">PIB </w:t>
            </w:r>
            <w:r w:rsidR="00751A2C" w:rsidRPr="00062207">
              <w:rPr>
                <w:rFonts w:ascii="Times New Roman" w:eastAsia="Times New Roman" w:hAnsi="Times New Roman" w:cs="Times New Roman"/>
                <w:b/>
                <w:bCs/>
                <w:sz w:val="14"/>
                <w:szCs w:val="14"/>
                <w:lang w:val="es-GT" w:eastAsia="es-GT"/>
              </w:rPr>
              <w:t>a precios corrientes (Millones</w:t>
            </w:r>
            <w:r w:rsidRPr="00062207">
              <w:rPr>
                <w:rFonts w:ascii="Times New Roman" w:eastAsia="Times New Roman" w:hAnsi="Times New Roman" w:cs="Times New Roman"/>
                <w:b/>
                <w:bCs/>
                <w:sz w:val="14"/>
                <w:szCs w:val="14"/>
                <w:lang w:val="es-GT" w:eastAsia="es-GT"/>
              </w:rPr>
              <w:t xml:space="preserve"> de Q.)</w:t>
            </w:r>
          </w:p>
        </w:tc>
        <w:tc>
          <w:tcPr>
            <w:tcW w:w="1160" w:type="dxa"/>
            <w:tcBorders>
              <w:top w:val="nil"/>
              <w:left w:val="nil"/>
              <w:bottom w:val="nil"/>
              <w:right w:val="nil"/>
            </w:tcBorders>
            <w:shd w:val="clear" w:color="auto" w:fill="auto"/>
            <w:noWrap/>
            <w:hideMark/>
          </w:tcPr>
          <w:p w14:paraId="14B522D0" w14:textId="77777777" w:rsidR="00A80029" w:rsidRPr="00062207" w:rsidRDefault="00A80029" w:rsidP="00A80029">
            <w:pPr>
              <w:rPr>
                <w:rFonts w:ascii="Times New Roman" w:eastAsia="Times New Roman" w:hAnsi="Times New Roman" w:cs="Times New Roman"/>
                <w:b/>
                <w:bCs/>
                <w:sz w:val="14"/>
                <w:szCs w:val="14"/>
                <w:lang w:val="es-GT" w:eastAsia="es-GT"/>
              </w:rPr>
            </w:pPr>
          </w:p>
        </w:tc>
        <w:tc>
          <w:tcPr>
            <w:tcW w:w="1160" w:type="dxa"/>
            <w:tcBorders>
              <w:top w:val="nil"/>
              <w:left w:val="nil"/>
              <w:bottom w:val="nil"/>
              <w:right w:val="nil"/>
            </w:tcBorders>
            <w:shd w:val="clear" w:color="auto" w:fill="auto"/>
            <w:noWrap/>
            <w:hideMark/>
          </w:tcPr>
          <w:p w14:paraId="0405384B" w14:textId="77777777" w:rsidR="00A80029" w:rsidRPr="00062207" w:rsidRDefault="00A80029" w:rsidP="00A80029">
            <w:pPr>
              <w:rPr>
                <w:rFonts w:ascii="Times New Roman" w:eastAsia="Times New Roman" w:hAnsi="Times New Roman" w:cs="Times New Roman"/>
                <w:sz w:val="20"/>
                <w:szCs w:val="20"/>
                <w:lang w:val="es-GT" w:eastAsia="es-GT"/>
              </w:rPr>
            </w:pPr>
          </w:p>
        </w:tc>
        <w:tc>
          <w:tcPr>
            <w:tcW w:w="1160" w:type="dxa"/>
            <w:tcBorders>
              <w:top w:val="nil"/>
              <w:left w:val="nil"/>
              <w:bottom w:val="nil"/>
              <w:right w:val="nil"/>
            </w:tcBorders>
            <w:shd w:val="clear" w:color="auto" w:fill="auto"/>
            <w:noWrap/>
            <w:hideMark/>
          </w:tcPr>
          <w:p w14:paraId="574D4799" w14:textId="77777777" w:rsidR="00A80029" w:rsidRPr="00062207" w:rsidRDefault="00A80029" w:rsidP="00A80029">
            <w:pPr>
              <w:rPr>
                <w:rFonts w:ascii="Times New Roman" w:eastAsia="Times New Roman" w:hAnsi="Times New Roman" w:cs="Times New Roman"/>
                <w:sz w:val="20"/>
                <w:szCs w:val="20"/>
                <w:lang w:val="es-GT" w:eastAsia="es-GT"/>
              </w:rPr>
            </w:pPr>
          </w:p>
        </w:tc>
        <w:tc>
          <w:tcPr>
            <w:tcW w:w="1160" w:type="dxa"/>
            <w:tcBorders>
              <w:top w:val="nil"/>
              <w:left w:val="nil"/>
              <w:bottom w:val="nil"/>
              <w:right w:val="nil"/>
            </w:tcBorders>
            <w:shd w:val="clear" w:color="auto" w:fill="auto"/>
            <w:hideMark/>
          </w:tcPr>
          <w:p w14:paraId="4AC094D2" w14:textId="77777777" w:rsidR="00A80029" w:rsidRPr="00062207" w:rsidRDefault="00A80029" w:rsidP="00A80029">
            <w:pPr>
              <w:rPr>
                <w:rFonts w:ascii="Times New Roman" w:eastAsia="Times New Roman" w:hAnsi="Times New Roman" w:cs="Times New Roman"/>
                <w:b/>
                <w:bCs/>
                <w:sz w:val="14"/>
                <w:szCs w:val="14"/>
                <w:lang w:val="es-GT" w:eastAsia="es-GT"/>
              </w:rPr>
            </w:pPr>
            <w:r w:rsidRPr="00062207">
              <w:rPr>
                <w:rFonts w:ascii="Times New Roman" w:eastAsia="Times New Roman" w:hAnsi="Times New Roman" w:cs="Times New Roman"/>
                <w:b/>
                <w:bCs/>
                <w:sz w:val="14"/>
                <w:szCs w:val="14"/>
                <w:lang w:val="es-GT" w:eastAsia="es-GT"/>
              </w:rPr>
              <w:t xml:space="preserve">       665,051.6 </w:t>
            </w:r>
          </w:p>
        </w:tc>
      </w:tr>
      <w:tr w:rsidR="00062207" w:rsidRPr="00062207" w14:paraId="4CE121E1" w14:textId="77777777" w:rsidTr="00A80029">
        <w:trPr>
          <w:trHeight w:val="210"/>
          <w:jc w:val="center"/>
        </w:trPr>
        <w:tc>
          <w:tcPr>
            <w:tcW w:w="3000" w:type="dxa"/>
            <w:tcBorders>
              <w:top w:val="nil"/>
              <w:left w:val="nil"/>
              <w:bottom w:val="nil"/>
              <w:right w:val="nil"/>
            </w:tcBorders>
            <w:shd w:val="clear" w:color="auto" w:fill="auto"/>
            <w:noWrap/>
            <w:hideMark/>
          </w:tcPr>
          <w:p w14:paraId="56827C2C" w14:textId="77777777" w:rsidR="00A80029" w:rsidRPr="00062207" w:rsidRDefault="00A80029" w:rsidP="00A80029">
            <w:pPr>
              <w:rPr>
                <w:rFonts w:ascii="Times New Roman" w:eastAsia="Times New Roman" w:hAnsi="Times New Roman" w:cs="Times New Roman"/>
                <w:b/>
                <w:bCs/>
                <w:sz w:val="14"/>
                <w:szCs w:val="14"/>
                <w:lang w:val="es-GT" w:eastAsia="es-GT"/>
              </w:rPr>
            </w:pPr>
            <w:r w:rsidRPr="00062207">
              <w:rPr>
                <w:rFonts w:ascii="Times New Roman" w:eastAsia="Times New Roman" w:hAnsi="Times New Roman" w:cs="Times New Roman"/>
                <w:b/>
                <w:bCs/>
                <w:sz w:val="14"/>
                <w:szCs w:val="14"/>
                <w:lang w:val="es-GT" w:eastAsia="es-GT"/>
              </w:rPr>
              <w:t>Egresos totales</w:t>
            </w:r>
          </w:p>
        </w:tc>
        <w:tc>
          <w:tcPr>
            <w:tcW w:w="1160" w:type="dxa"/>
            <w:tcBorders>
              <w:top w:val="nil"/>
              <w:left w:val="nil"/>
              <w:bottom w:val="nil"/>
              <w:right w:val="nil"/>
            </w:tcBorders>
            <w:shd w:val="clear" w:color="auto" w:fill="auto"/>
            <w:hideMark/>
          </w:tcPr>
          <w:p w14:paraId="66E27E32" w14:textId="77777777" w:rsidR="00A80029" w:rsidRPr="00062207" w:rsidRDefault="00A80029" w:rsidP="00A80029">
            <w:pPr>
              <w:jc w:val="center"/>
              <w:rPr>
                <w:rFonts w:ascii="Times New Roman" w:eastAsia="Times New Roman" w:hAnsi="Times New Roman" w:cs="Times New Roman"/>
                <w:b/>
                <w:bCs/>
                <w:sz w:val="14"/>
                <w:szCs w:val="14"/>
                <w:lang w:val="es-GT" w:eastAsia="es-GT"/>
              </w:rPr>
            </w:pPr>
            <w:r w:rsidRPr="00062207">
              <w:rPr>
                <w:rFonts w:ascii="Times New Roman" w:eastAsia="Times New Roman" w:hAnsi="Times New Roman" w:cs="Times New Roman"/>
                <w:b/>
                <w:bCs/>
                <w:sz w:val="14"/>
                <w:szCs w:val="14"/>
                <w:lang w:val="es-GT" w:eastAsia="es-GT"/>
              </w:rPr>
              <w:t>96,625.4</w:t>
            </w:r>
          </w:p>
        </w:tc>
        <w:tc>
          <w:tcPr>
            <w:tcW w:w="1160" w:type="dxa"/>
            <w:tcBorders>
              <w:top w:val="nil"/>
              <w:left w:val="nil"/>
              <w:bottom w:val="nil"/>
              <w:right w:val="nil"/>
            </w:tcBorders>
            <w:shd w:val="clear" w:color="auto" w:fill="auto"/>
            <w:hideMark/>
          </w:tcPr>
          <w:p w14:paraId="1A1038AE" w14:textId="77777777" w:rsidR="00A80029" w:rsidRPr="00062207" w:rsidRDefault="00A80029" w:rsidP="00A80029">
            <w:pPr>
              <w:jc w:val="center"/>
              <w:rPr>
                <w:rFonts w:ascii="Times New Roman" w:eastAsia="Times New Roman" w:hAnsi="Times New Roman" w:cs="Times New Roman"/>
                <w:b/>
                <w:bCs/>
                <w:sz w:val="14"/>
                <w:szCs w:val="14"/>
                <w:lang w:val="es-GT" w:eastAsia="es-GT"/>
              </w:rPr>
            </w:pPr>
            <w:r w:rsidRPr="00062207">
              <w:rPr>
                <w:rFonts w:ascii="Times New Roman" w:eastAsia="Times New Roman" w:hAnsi="Times New Roman" w:cs="Times New Roman"/>
                <w:b/>
                <w:bCs/>
                <w:sz w:val="14"/>
                <w:szCs w:val="14"/>
                <w:lang w:val="es-GT" w:eastAsia="es-GT"/>
              </w:rPr>
              <w:t>107,521.5</w:t>
            </w:r>
          </w:p>
        </w:tc>
        <w:tc>
          <w:tcPr>
            <w:tcW w:w="1160" w:type="dxa"/>
            <w:tcBorders>
              <w:top w:val="nil"/>
              <w:left w:val="nil"/>
              <w:bottom w:val="nil"/>
              <w:right w:val="nil"/>
            </w:tcBorders>
            <w:shd w:val="clear" w:color="auto" w:fill="auto"/>
            <w:hideMark/>
          </w:tcPr>
          <w:p w14:paraId="7B5B2FFE" w14:textId="77777777" w:rsidR="00A80029" w:rsidRPr="00062207" w:rsidRDefault="00A80029" w:rsidP="00A80029">
            <w:pPr>
              <w:jc w:val="center"/>
              <w:rPr>
                <w:rFonts w:ascii="Times New Roman" w:eastAsia="Times New Roman" w:hAnsi="Times New Roman" w:cs="Times New Roman"/>
                <w:b/>
                <w:bCs/>
                <w:sz w:val="14"/>
                <w:szCs w:val="14"/>
                <w:lang w:val="es-GT" w:eastAsia="es-GT"/>
              </w:rPr>
            </w:pPr>
            <w:r w:rsidRPr="00062207">
              <w:rPr>
                <w:rFonts w:ascii="Times New Roman" w:eastAsia="Times New Roman" w:hAnsi="Times New Roman" w:cs="Times New Roman"/>
                <w:b/>
                <w:bCs/>
                <w:sz w:val="14"/>
                <w:szCs w:val="14"/>
                <w:lang w:val="es-GT" w:eastAsia="es-GT"/>
              </w:rPr>
              <w:t>93,005.7</w:t>
            </w:r>
          </w:p>
        </w:tc>
        <w:tc>
          <w:tcPr>
            <w:tcW w:w="1160" w:type="dxa"/>
            <w:tcBorders>
              <w:top w:val="nil"/>
              <w:left w:val="nil"/>
              <w:bottom w:val="nil"/>
              <w:right w:val="nil"/>
            </w:tcBorders>
            <w:shd w:val="clear" w:color="auto" w:fill="auto"/>
            <w:noWrap/>
            <w:hideMark/>
          </w:tcPr>
          <w:p w14:paraId="744D19BB" w14:textId="4F6423B0" w:rsidR="00A80029" w:rsidRPr="00062207" w:rsidRDefault="00A80029" w:rsidP="00A80029">
            <w:pPr>
              <w:jc w:val="both"/>
              <w:rPr>
                <w:rFonts w:ascii="Times New Roman" w:eastAsia="Times New Roman" w:hAnsi="Times New Roman" w:cs="Times New Roman"/>
                <w:b/>
                <w:bCs/>
                <w:sz w:val="14"/>
                <w:szCs w:val="14"/>
                <w:lang w:val="es-GT" w:eastAsia="es-GT"/>
              </w:rPr>
            </w:pPr>
            <w:r w:rsidRPr="00062207">
              <w:rPr>
                <w:rFonts w:ascii="Times New Roman" w:eastAsia="Times New Roman" w:hAnsi="Times New Roman" w:cs="Times New Roman"/>
                <w:b/>
                <w:bCs/>
                <w:sz w:val="14"/>
                <w:szCs w:val="14"/>
                <w:lang w:val="es-GT" w:eastAsia="es-GT"/>
              </w:rPr>
              <w:t xml:space="preserve">            14.0 </w:t>
            </w:r>
          </w:p>
        </w:tc>
      </w:tr>
    </w:tbl>
    <w:p w14:paraId="73ECACB0" w14:textId="77777777" w:rsidR="00A80029" w:rsidRPr="00062207" w:rsidRDefault="002D48F3" w:rsidP="002D48F3">
      <w:pPr>
        <w:pStyle w:val="Textoindependiente"/>
        <w:spacing w:after="0"/>
        <w:rPr>
          <w:rFonts w:ascii="Times New Roman" w:hAnsi="Times New Roman"/>
          <w:sz w:val="16"/>
          <w:szCs w:val="24"/>
        </w:rPr>
      </w:pPr>
      <w:r w:rsidRPr="00062207">
        <w:rPr>
          <w:rFonts w:ascii="Times New Roman" w:hAnsi="Times New Roman"/>
          <w:sz w:val="16"/>
          <w:szCs w:val="24"/>
        </w:rPr>
        <w:t xml:space="preserve">                      </w:t>
      </w:r>
    </w:p>
    <w:p w14:paraId="3F2A1EF7" w14:textId="1A9B804D" w:rsidR="002D48F3" w:rsidRPr="00062207" w:rsidRDefault="000674D4" w:rsidP="002D48F3">
      <w:pPr>
        <w:pStyle w:val="Textoindependiente"/>
        <w:spacing w:after="0"/>
        <w:rPr>
          <w:rFonts w:ascii="Times New Roman" w:hAnsi="Times New Roman"/>
          <w:sz w:val="18"/>
          <w:szCs w:val="24"/>
        </w:rPr>
      </w:pPr>
      <w:r w:rsidRPr="00062207">
        <w:rPr>
          <w:rFonts w:ascii="Times New Roman" w:hAnsi="Times New Roman"/>
          <w:sz w:val="16"/>
          <w:szCs w:val="24"/>
        </w:rPr>
        <w:t xml:space="preserve">                       </w:t>
      </w:r>
      <w:r w:rsidR="002D48F3" w:rsidRPr="00062207">
        <w:rPr>
          <w:rFonts w:ascii="Times New Roman" w:hAnsi="Times New Roman"/>
          <w:sz w:val="18"/>
          <w:szCs w:val="24"/>
        </w:rPr>
        <w:t>Fuente: Dirección de Análisis y Política Fiscal</w:t>
      </w:r>
      <w:r w:rsidRPr="00062207">
        <w:rPr>
          <w:rFonts w:ascii="Times New Roman" w:hAnsi="Times New Roman"/>
          <w:sz w:val="18"/>
          <w:szCs w:val="24"/>
        </w:rPr>
        <w:t>.</w:t>
      </w:r>
    </w:p>
    <w:p w14:paraId="4DF2CCB6" w14:textId="77777777" w:rsidR="002D48F3" w:rsidRPr="00062207" w:rsidRDefault="002D48F3" w:rsidP="002D48F3">
      <w:pPr>
        <w:rPr>
          <w:rFonts w:ascii="Times New Roman" w:hAnsi="Times New Roman" w:cs="Times New Roman"/>
          <w:sz w:val="22"/>
          <w:szCs w:val="36"/>
          <w:lang w:val="es-GT"/>
        </w:rPr>
      </w:pPr>
    </w:p>
    <w:p w14:paraId="76A439EE" w14:textId="52962A37" w:rsidR="002D48F3" w:rsidRPr="00062207" w:rsidRDefault="002D48F3" w:rsidP="002D48F3">
      <w:pPr>
        <w:jc w:val="both"/>
        <w:rPr>
          <w:rFonts w:ascii="Times New Roman" w:hAnsi="Times New Roman" w:cs="Times New Roman"/>
          <w:sz w:val="22"/>
          <w:szCs w:val="22"/>
        </w:rPr>
      </w:pPr>
      <w:r w:rsidRPr="00062207">
        <w:rPr>
          <w:rFonts w:ascii="Times New Roman" w:hAnsi="Times New Roman" w:cs="Times New Roman"/>
          <w:sz w:val="22"/>
          <w:szCs w:val="22"/>
        </w:rPr>
        <w:t>El financiamiento del déficit fiscal recayó en la emisión y colocación de Bonos del Teso</w:t>
      </w:r>
      <w:r w:rsidR="00EA6D3C" w:rsidRPr="00062207">
        <w:rPr>
          <w:rFonts w:ascii="Times New Roman" w:hAnsi="Times New Roman" w:cs="Times New Roman"/>
          <w:sz w:val="22"/>
          <w:szCs w:val="22"/>
        </w:rPr>
        <w:t>ro para el ejercicio fiscal 2021</w:t>
      </w:r>
      <w:r w:rsidRPr="00062207">
        <w:rPr>
          <w:rFonts w:ascii="Times New Roman" w:hAnsi="Times New Roman" w:cs="Times New Roman"/>
          <w:sz w:val="22"/>
          <w:szCs w:val="22"/>
        </w:rPr>
        <w:t xml:space="preserve">, de la cual se realizó en un </w:t>
      </w:r>
      <w:r w:rsidR="00EA6D3C" w:rsidRPr="00062207">
        <w:rPr>
          <w:rFonts w:ascii="Times New Roman" w:hAnsi="Times New Roman" w:cs="Times New Roman"/>
          <w:sz w:val="22"/>
          <w:szCs w:val="22"/>
        </w:rPr>
        <w:t>6</w:t>
      </w:r>
      <w:r w:rsidRPr="00062207">
        <w:rPr>
          <w:rFonts w:ascii="Times New Roman" w:hAnsi="Times New Roman" w:cs="Times New Roman"/>
          <w:sz w:val="22"/>
          <w:szCs w:val="22"/>
        </w:rPr>
        <w:t>8</w:t>
      </w:r>
      <w:r w:rsidR="00EA6D3C" w:rsidRPr="00062207">
        <w:rPr>
          <w:rFonts w:ascii="Times New Roman" w:hAnsi="Times New Roman" w:cs="Times New Roman"/>
          <w:sz w:val="22"/>
          <w:szCs w:val="22"/>
        </w:rPr>
        <w:t>.4% en el mercado interno y el 31</w:t>
      </w:r>
      <w:r w:rsidRPr="00062207">
        <w:rPr>
          <w:rFonts w:ascii="Times New Roman" w:hAnsi="Times New Roman" w:cs="Times New Roman"/>
          <w:sz w:val="22"/>
          <w:szCs w:val="22"/>
        </w:rPr>
        <w:t>.</w:t>
      </w:r>
      <w:r w:rsidR="00EA6D3C" w:rsidRPr="00062207">
        <w:rPr>
          <w:rFonts w:ascii="Times New Roman" w:hAnsi="Times New Roman" w:cs="Times New Roman"/>
          <w:sz w:val="22"/>
          <w:szCs w:val="22"/>
        </w:rPr>
        <w:t>6</w:t>
      </w:r>
      <w:r w:rsidRPr="00062207">
        <w:rPr>
          <w:rFonts w:ascii="Times New Roman" w:hAnsi="Times New Roman" w:cs="Times New Roman"/>
          <w:sz w:val="22"/>
          <w:szCs w:val="22"/>
        </w:rPr>
        <w:t xml:space="preserve">% en el mercado internacional de capitales mediante la colocación de un Eurobono. </w:t>
      </w:r>
    </w:p>
    <w:p w14:paraId="65DE57B8" w14:textId="77777777" w:rsidR="00AF3235" w:rsidRPr="00062207" w:rsidRDefault="00AF3235" w:rsidP="002D48F3">
      <w:pPr>
        <w:jc w:val="both"/>
        <w:rPr>
          <w:rFonts w:ascii="Times New Roman" w:hAnsi="Times New Roman" w:cs="Times New Roman"/>
          <w:sz w:val="22"/>
          <w:szCs w:val="22"/>
        </w:rPr>
      </w:pPr>
    </w:p>
    <w:p w14:paraId="20695644" w14:textId="23377096" w:rsidR="002D48F3" w:rsidRPr="00062207" w:rsidRDefault="002D48F3" w:rsidP="002D48F3">
      <w:pPr>
        <w:jc w:val="both"/>
        <w:rPr>
          <w:rFonts w:ascii="Times New Roman" w:hAnsi="Times New Roman" w:cs="Times New Roman"/>
          <w:sz w:val="22"/>
          <w:szCs w:val="22"/>
        </w:rPr>
      </w:pPr>
      <w:r w:rsidRPr="00062207">
        <w:rPr>
          <w:rFonts w:ascii="Times New Roman" w:hAnsi="Times New Roman" w:cs="Times New Roman"/>
          <w:sz w:val="22"/>
          <w:szCs w:val="22"/>
        </w:rPr>
        <w:t>Respecto a las colocaciones internas, es importante indicar que el monto demandado por los inversionistas superó ampliamente las colocaciones, lo adjudicado fue de Q</w:t>
      </w:r>
      <w:r w:rsidR="003D2A2A" w:rsidRPr="00062207">
        <w:rPr>
          <w:rFonts w:ascii="Times New Roman" w:hAnsi="Times New Roman" w:cs="Times New Roman"/>
          <w:sz w:val="22"/>
          <w:szCs w:val="22"/>
        </w:rPr>
        <w:t>16</w:t>
      </w:r>
      <w:r w:rsidRPr="00062207">
        <w:rPr>
          <w:rFonts w:ascii="Times New Roman" w:hAnsi="Times New Roman" w:cs="Times New Roman"/>
          <w:sz w:val="22"/>
          <w:szCs w:val="22"/>
        </w:rPr>
        <w:t>,</w:t>
      </w:r>
      <w:r w:rsidR="003D2A2A" w:rsidRPr="00062207">
        <w:rPr>
          <w:rFonts w:ascii="Times New Roman" w:hAnsi="Times New Roman" w:cs="Times New Roman"/>
          <w:sz w:val="22"/>
          <w:szCs w:val="22"/>
        </w:rPr>
        <w:t>746.3</w:t>
      </w:r>
      <w:r w:rsidRPr="00062207">
        <w:rPr>
          <w:rFonts w:ascii="Times New Roman" w:hAnsi="Times New Roman" w:cs="Times New Roman"/>
          <w:sz w:val="22"/>
          <w:szCs w:val="22"/>
        </w:rPr>
        <w:t xml:space="preserve"> millones, sin incluir el eurobono por US$1,</w:t>
      </w:r>
      <w:r w:rsidR="003D2A2A" w:rsidRPr="00062207">
        <w:rPr>
          <w:rFonts w:ascii="Times New Roman" w:hAnsi="Times New Roman" w:cs="Times New Roman"/>
          <w:sz w:val="22"/>
          <w:szCs w:val="22"/>
        </w:rPr>
        <w:t>0</w:t>
      </w:r>
      <w:r w:rsidRPr="00062207">
        <w:rPr>
          <w:rFonts w:ascii="Times New Roman" w:hAnsi="Times New Roman" w:cs="Times New Roman"/>
          <w:sz w:val="22"/>
          <w:szCs w:val="22"/>
        </w:rPr>
        <w:t>00.0 millones (equivalente a Q</w:t>
      </w:r>
      <w:r w:rsidR="003D2A2A" w:rsidRPr="00062207">
        <w:rPr>
          <w:rFonts w:ascii="Times New Roman" w:hAnsi="Times New Roman" w:cs="Times New Roman"/>
          <w:sz w:val="22"/>
          <w:szCs w:val="22"/>
        </w:rPr>
        <w:t>7</w:t>
      </w:r>
      <w:r w:rsidRPr="00062207">
        <w:rPr>
          <w:rFonts w:ascii="Times New Roman" w:hAnsi="Times New Roman" w:cs="Times New Roman"/>
          <w:sz w:val="22"/>
          <w:szCs w:val="22"/>
        </w:rPr>
        <w:t>,</w:t>
      </w:r>
      <w:r w:rsidR="003D2A2A" w:rsidRPr="00062207">
        <w:rPr>
          <w:rFonts w:ascii="Times New Roman" w:hAnsi="Times New Roman" w:cs="Times New Roman"/>
          <w:sz w:val="22"/>
          <w:szCs w:val="22"/>
        </w:rPr>
        <w:t>732.2</w:t>
      </w:r>
      <w:r w:rsidRPr="00062207">
        <w:rPr>
          <w:rFonts w:ascii="Times New Roman" w:hAnsi="Times New Roman" w:cs="Times New Roman"/>
          <w:sz w:val="22"/>
          <w:szCs w:val="22"/>
        </w:rPr>
        <w:t xml:space="preserve"> millones).  </w:t>
      </w:r>
    </w:p>
    <w:p w14:paraId="041F39C9" w14:textId="77777777" w:rsidR="002D48F3" w:rsidRPr="00062207" w:rsidRDefault="002D48F3" w:rsidP="002D48F3">
      <w:pPr>
        <w:jc w:val="both"/>
        <w:rPr>
          <w:rFonts w:ascii="Times New Roman" w:hAnsi="Times New Roman" w:cs="Times New Roman"/>
          <w:sz w:val="22"/>
          <w:szCs w:val="22"/>
        </w:rPr>
      </w:pPr>
    </w:p>
    <w:p w14:paraId="3A06BBC4" w14:textId="575E70B5" w:rsidR="00C33BA3" w:rsidRPr="00062207" w:rsidRDefault="003D2A2A" w:rsidP="002D48F3">
      <w:pPr>
        <w:jc w:val="both"/>
        <w:rPr>
          <w:rFonts w:ascii="Times New Roman" w:hAnsi="Times New Roman" w:cs="Times New Roman"/>
          <w:sz w:val="22"/>
          <w:szCs w:val="22"/>
        </w:rPr>
      </w:pPr>
      <w:r w:rsidRPr="00062207">
        <w:rPr>
          <w:rFonts w:ascii="Times New Roman" w:hAnsi="Times New Roman" w:cs="Times New Roman"/>
          <w:sz w:val="22"/>
          <w:szCs w:val="22"/>
        </w:rPr>
        <w:lastRenderedPageBreak/>
        <w:t>La adjudicación en el mercado</w:t>
      </w:r>
      <w:r w:rsidR="002D48F3" w:rsidRPr="00062207">
        <w:rPr>
          <w:rFonts w:ascii="Times New Roman" w:hAnsi="Times New Roman" w:cs="Times New Roman"/>
          <w:sz w:val="22"/>
          <w:szCs w:val="22"/>
        </w:rPr>
        <w:t xml:space="preserve"> nacional </w:t>
      </w:r>
      <w:r w:rsidRPr="00062207">
        <w:rPr>
          <w:rFonts w:ascii="Times New Roman" w:hAnsi="Times New Roman" w:cs="Times New Roman"/>
          <w:sz w:val="22"/>
          <w:szCs w:val="22"/>
        </w:rPr>
        <w:t xml:space="preserve">tuvo </w:t>
      </w:r>
      <w:r w:rsidR="002D48F3" w:rsidRPr="00062207">
        <w:rPr>
          <w:rFonts w:ascii="Times New Roman" w:hAnsi="Times New Roman" w:cs="Times New Roman"/>
          <w:sz w:val="22"/>
          <w:szCs w:val="22"/>
        </w:rPr>
        <w:t>un rendimiento promedio ponderado de 5.1% y un plaz</w:t>
      </w:r>
      <w:r w:rsidRPr="00062207">
        <w:rPr>
          <w:rFonts w:ascii="Times New Roman" w:hAnsi="Times New Roman" w:cs="Times New Roman"/>
          <w:sz w:val="22"/>
          <w:szCs w:val="22"/>
        </w:rPr>
        <w:t>o promedio de colocación de 16.8</w:t>
      </w:r>
      <w:r w:rsidR="002D48F3" w:rsidRPr="00062207">
        <w:rPr>
          <w:rFonts w:ascii="Times New Roman" w:hAnsi="Times New Roman" w:cs="Times New Roman"/>
          <w:sz w:val="22"/>
          <w:szCs w:val="22"/>
        </w:rPr>
        <w:t xml:space="preserve"> años.</w:t>
      </w:r>
      <w:r w:rsidRPr="00062207">
        <w:rPr>
          <w:rFonts w:ascii="Times New Roman" w:hAnsi="Times New Roman" w:cs="Times New Roman"/>
          <w:sz w:val="22"/>
          <w:szCs w:val="22"/>
        </w:rPr>
        <w:t xml:space="preserve"> </w:t>
      </w:r>
      <w:r w:rsidR="002D48F3" w:rsidRPr="00062207">
        <w:rPr>
          <w:rFonts w:ascii="Times New Roman" w:hAnsi="Times New Roman" w:cs="Times New Roman"/>
          <w:sz w:val="22"/>
          <w:szCs w:val="22"/>
        </w:rPr>
        <w:t>Es decir, la preferencia de los inversionistas y del gobierno fue colocar a plazos largos</w:t>
      </w:r>
      <w:r w:rsidR="00AF3235" w:rsidRPr="00062207">
        <w:rPr>
          <w:rFonts w:ascii="Times New Roman" w:hAnsi="Times New Roman" w:cs="Times New Roman"/>
          <w:sz w:val="22"/>
          <w:szCs w:val="22"/>
        </w:rPr>
        <w:t>, mayormente a</w:t>
      </w:r>
      <w:r w:rsidR="002D48F3" w:rsidRPr="00062207">
        <w:rPr>
          <w:rFonts w:ascii="Times New Roman" w:hAnsi="Times New Roman" w:cs="Times New Roman"/>
          <w:sz w:val="22"/>
          <w:szCs w:val="22"/>
        </w:rPr>
        <w:t xml:space="preserve"> 20 años. </w:t>
      </w:r>
    </w:p>
    <w:p w14:paraId="204D865F" w14:textId="77777777" w:rsidR="002D48F3" w:rsidRPr="00062207" w:rsidRDefault="002D48F3" w:rsidP="002D48F3">
      <w:pPr>
        <w:jc w:val="both"/>
        <w:rPr>
          <w:rFonts w:ascii="Times New Roman" w:hAnsi="Times New Roman" w:cs="Times New Roman"/>
          <w:noProof/>
          <w:sz w:val="20"/>
          <w:szCs w:val="36"/>
          <w:lang w:eastAsia="es-GT"/>
        </w:rPr>
      </w:pPr>
    </w:p>
    <w:p w14:paraId="5928B97C" w14:textId="77777777" w:rsidR="002D48F3" w:rsidRPr="00062207" w:rsidRDefault="002D48F3" w:rsidP="002D48F3">
      <w:pPr>
        <w:jc w:val="center"/>
        <w:rPr>
          <w:rFonts w:ascii="Times New Roman" w:hAnsi="Times New Roman" w:cs="Times New Roman"/>
          <w:b/>
          <w:noProof/>
          <w:lang w:eastAsia="es-GT"/>
        </w:rPr>
      </w:pPr>
      <w:r w:rsidRPr="00062207">
        <w:rPr>
          <w:rFonts w:ascii="Times New Roman" w:hAnsi="Times New Roman" w:cs="Times New Roman"/>
          <w:b/>
          <w:noProof/>
          <w:lang w:eastAsia="es-GT"/>
        </w:rPr>
        <w:t>Colocación de Bonos del Tesoro</w:t>
      </w:r>
    </w:p>
    <w:p w14:paraId="0A60B51F" w14:textId="41956900" w:rsidR="002D48F3" w:rsidRPr="00062207" w:rsidRDefault="002D48F3" w:rsidP="002D48F3">
      <w:pPr>
        <w:jc w:val="center"/>
        <w:rPr>
          <w:rFonts w:ascii="Times New Roman" w:hAnsi="Times New Roman" w:cs="Times New Roman"/>
          <w:noProof/>
          <w:sz w:val="20"/>
          <w:szCs w:val="36"/>
          <w:lang w:eastAsia="es-GT"/>
        </w:rPr>
      </w:pPr>
      <w:r w:rsidRPr="00062207">
        <w:rPr>
          <w:rFonts w:ascii="Times New Roman" w:hAnsi="Times New Roman" w:cs="Times New Roman"/>
          <w:noProof/>
          <w:sz w:val="20"/>
          <w:szCs w:val="36"/>
          <w:lang w:eastAsia="es-GT"/>
        </w:rPr>
        <w:t>Millones de quetzales y porcentajes</w:t>
      </w:r>
    </w:p>
    <w:p w14:paraId="3B112F64" w14:textId="1BE9FDCB" w:rsidR="002D48F3" w:rsidRPr="00062207" w:rsidRDefault="003D2A2A" w:rsidP="002D48F3">
      <w:pPr>
        <w:jc w:val="both"/>
        <w:rPr>
          <w:rFonts w:ascii="Times New Roman" w:hAnsi="Times New Roman" w:cs="Times New Roman"/>
          <w:noProof/>
          <w:szCs w:val="36"/>
          <w:lang w:eastAsia="es-GT"/>
        </w:rPr>
      </w:pPr>
      <w:r w:rsidRPr="00062207">
        <w:rPr>
          <w:rFonts w:ascii="Times New Roman" w:hAnsi="Times New Roman" w:cs="Times New Roman"/>
          <w:noProof/>
          <w:sz w:val="18"/>
          <w:lang w:val="es-GT" w:eastAsia="es-GT"/>
        </w:rPr>
        <w:drawing>
          <wp:anchor distT="0" distB="0" distL="114300" distR="114300" simplePos="0" relativeHeight="251792384" behindDoc="0" locked="0" layoutInCell="1" allowOverlap="1" wp14:anchorId="41B8279D" wp14:editId="1046D5FE">
            <wp:simplePos x="0" y="0"/>
            <wp:positionH relativeFrom="column">
              <wp:posOffset>547370</wp:posOffset>
            </wp:positionH>
            <wp:positionV relativeFrom="paragraph">
              <wp:posOffset>39370</wp:posOffset>
            </wp:positionV>
            <wp:extent cx="4619625" cy="2419350"/>
            <wp:effectExtent l="0" t="0" r="0" b="0"/>
            <wp:wrapSquare wrapText="bothSides"/>
            <wp:docPr id="8"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page">
              <wp14:pctWidth>0</wp14:pctWidth>
            </wp14:sizeRelH>
            <wp14:sizeRelV relativeFrom="page">
              <wp14:pctHeight>0</wp14:pctHeight>
            </wp14:sizeRelV>
          </wp:anchor>
        </w:drawing>
      </w:r>
    </w:p>
    <w:p w14:paraId="1D53F3F6" w14:textId="77777777" w:rsidR="002D48F3" w:rsidRPr="00062207" w:rsidRDefault="002D48F3" w:rsidP="002D48F3">
      <w:pPr>
        <w:jc w:val="both"/>
        <w:rPr>
          <w:rFonts w:ascii="Times New Roman" w:hAnsi="Times New Roman" w:cs="Times New Roman"/>
          <w:noProof/>
          <w:szCs w:val="36"/>
          <w:lang w:eastAsia="es-GT"/>
        </w:rPr>
      </w:pPr>
    </w:p>
    <w:p w14:paraId="38C2D5AC" w14:textId="77777777" w:rsidR="002D48F3" w:rsidRPr="00062207" w:rsidRDefault="002D48F3" w:rsidP="002D48F3">
      <w:pPr>
        <w:jc w:val="both"/>
        <w:rPr>
          <w:rFonts w:ascii="Times New Roman" w:hAnsi="Times New Roman" w:cs="Times New Roman"/>
          <w:noProof/>
          <w:szCs w:val="36"/>
          <w:lang w:eastAsia="es-GT"/>
        </w:rPr>
      </w:pPr>
    </w:p>
    <w:p w14:paraId="258BEEE5" w14:textId="77777777" w:rsidR="002D48F3" w:rsidRPr="00062207" w:rsidRDefault="002D48F3" w:rsidP="002D48F3">
      <w:pPr>
        <w:jc w:val="both"/>
        <w:rPr>
          <w:rFonts w:ascii="Times New Roman" w:hAnsi="Times New Roman" w:cs="Times New Roman"/>
          <w:noProof/>
          <w:szCs w:val="36"/>
          <w:lang w:eastAsia="es-GT"/>
        </w:rPr>
      </w:pPr>
    </w:p>
    <w:p w14:paraId="04587EA4" w14:textId="77777777" w:rsidR="002D48F3" w:rsidRPr="00062207" w:rsidRDefault="002D48F3" w:rsidP="002D48F3">
      <w:pPr>
        <w:jc w:val="both"/>
        <w:rPr>
          <w:rFonts w:ascii="Times New Roman" w:hAnsi="Times New Roman" w:cs="Times New Roman"/>
          <w:szCs w:val="36"/>
        </w:rPr>
      </w:pPr>
    </w:p>
    <w:p w14:paraId="51FF1CF0" w14:textId="77777777" w:rsidR="002D48F3" w:rsidRPr="00062207" w:rsidRDefault="002D48F3" w:rsidP="002D48F3">
      <w:pPr>
        <w:jc w:val="both"/>
        <w:rPr>
          <w:rFonts w:ascii="Times New Roman" w:hAnsi="Times New Roman" w:cs="Times New Roman"/>
          <w:szCs w:val="36"/>
        </w:rPr>
      </w:pPr>
    </w:p>
    <w:p w14:paraId="43060857" w14:textId="59CEB3D1" w:rsidR="002D48F3" w:rsidRPr="00062207" w:rsidRDefault="002D48F3" w:rsidP="002D48F3">
      <w:pPr>
        <w:jc w:val="both"/>
        <w:rPr>
          <w:rFonts w:ascii="Times New Roman" w:hAnsi="Times New Roman" w:cs="Times New Roman"/>
          <w:szCs w:val="36"/>
        </w:rPr>
      </w:pPr>
    </w:p>
    <w:p w14:paraId="69D542B9" w14:textId="09E2BFDA" w:rsidR="003D2A2A" w:rsidRPr="00062207" w:rsidRDefault="003D2A2A" w:rsidP="002D48F3">
      <w:pPr>
        <w:jc w:val="both"/>
        <w:rPr>
          <w:rFonts w:ascii="Times New Roman" w:hAnsi="Times New Roman" w:cs="Times New Roman"/>
          <w:szCs w:val="36"/>
        </w:rPr>
      </w:pPr>
    </w:p>
    <w:p w14:paraId="5AE6BB87" w14:textId="77777777" w:rsidR="003D2A2A" w:rsidRPr="00062207" w:rsidRDefault="003D2A2A" w:rsidP="002D48F3">
      <w:pPr>
        <w:jc w:val="both"/>
        <w:rPr>
          <w:rFonts w:ascii="Times New Roman" w:hAnsi="Times New Roman" w:cs="Times New Roman"/>
          <w:szCs w:val="36"/>
        </w:rPr>
      </w:pPr>
    </w:p>
    <w:p w14:paraId="597AD3AF" w14:textId="77777777" w:rsidR="002D48F3" w:rsidRPr="00062207" w:rsidRDefault="002D48F3" w:rsidP="002D48F3">
      <w:pPr>
        <w:jc w:val="both"/>
        <w:rPr>
          <w:rFonts w:ascii="Times New Roman" w:hAnsi="Times New Roman" w:cs="Times New Roman"/>
          <w:szCs w:val="36"/>
        </w:rPr>
      </w:pPr>
    </w:p>
    <w:p w14:paraId="5817D7DC" w14:textId="77777777" w:rsidR="002D48F3" w:rsidRPr="00062207" w:rsidRDefault="002D48F3" w:rsidP="002D48F3">
      <w:pPr>
        <w:jc w:val="both"/>
        <w:rPr>
          <w:rFonts w:ascii="Times New Roman" w:hAnsi="Times New Roman" w:cs="Times New Roman"/>
          <w:szCs w:val="36"/>
        </w:rPr>
      </w:pPr>
    </w:p>
    <w:p w14:paraId="25C0F35B" w14:textId="37F9512E" w:rsidR="002D48F3" w:rsidRPr="00062207" w:rsidRDefault="002D48F3" w:rsidP="002D48F3">
      <w:pPr>
        <w:jc w:val="both"/>
        <w:rPr>
          <w:rFonts w:ascii="Times New Roman" w:hAnsi="Times New Roman" w:cs="Times New Roman"/>
          <w:szCs w:val="36"/>
        </w:rPr>
      </w:pPr>
    </w:p>
    <w:p w14:paraId="72AC1C57" w14:textId="63947BE1" w:rsidR="003D2A2A" w:rsidRPr="00062207" w:rsidRDefault="003D2A2A" w:rsidP="002D48F3">
      <w:pPr>
        <w:jc w:val="both"/>
        <w:rPr>
          <w:rFonts w:ascii="Times New Roman" w:hAnsi="Times New Roman" w:cs="Times New Roman"/>
          <w:szCs w:val="36"/>
        </w:rPr>
      </w:pPr>
    </w:p>
    <w:p w14:paraId="526165BE" w14:textId="56639FAB" w:rsidR="003D2A2A" w:rsidRPr="00062207" w:rsidRDefault="003D2A2A" w:rsidP="002D48F3">
      <w:pPr>
        <w:jc w:val="both"/>
        <w:rPr>
          <w:rFonts w:ascii="Times New Roman" w:hAnsi="Times New Roman" w:cs="Times New Roman"/>
          <w:szCs w:val="36"/>
        </w:rPr>
      </w:pPr>
    </w:p>
    <w:p w14:paraId="2BF0B282" w14:textId="77777777" w:rsidR="000674D4" w:rsidRPr="00062207" w:rsidRDefault="000674D4" w:rsidP="000674D4">
      <w:pPr>
        <w:pStyle w:val="Textoindependiente"/>
        <w:spacing w:after="0"/>
        <w:jc w:val="both"/>
        <w:rPr>
          <w:rFonts w:ascii="Times New Roman" w:hAnsi="Times New Roman"/>
          <w:sz w:val="16"/>
          <w:szCs w:val="24"/>
        </w:rPr>
      </w:pPr>
    </w:p>
    <w:p w14:paraId="36DEC554" w14:textId="156DAF74" w:rsidR="002D48F3" w:rsidRPr="00062207" w:rsidRDefault="002D48F3" w:rsidP="000674D4">
      <w:pPr>
        <w:pStyle w:val="Textoindependiente"/>
        <w:spacing w:after="0"/>
        <w:ind w:left="1416" w:firstLine="708"/>
        <w:jc w:val="both"/>
        <w:rPr>
          <w:rFonts w:ascii="Times New Roman" w:hAnsi="Times New Roman"/>
          <w:sz w:val="18"/>
          <w:szCs w:val="24"/>
        </w:rPr>
      </w:pPr>
      <w:r w:rsidRPr="00062207">
        <w:rPr>
          <w:rFonts w:ascii="Times New Roman" w:hAnsi="Times New Roman"/>
          <w:sz w:val="18"/>
          <w:szCs w:val="24"/>
        </w:rPr>
        <w:t>Fuente: Dirección de Análisis y Política Fiscal</w:t>
      </w:r>
    </w:p>
    <w:p w14:paraId="1B44F73E" w14:textId="77777777" w:rsidR="002D48F3" w:rsidRPr="00062207" w:rsidRDefault="002D48F3" w:rsidP="002D48F3">
      <w:pPr>
        <w:jc w:val="both"/>
        <w:rPr>
          <w:rFonts w:ascii="Times New Roman" w:hAnsi="Times New Roman" w:cs="Times New Roman"/>
          <w:sz w:val="22"/>
          <w:szCs w:val="22"/>
          <w:lang w:val="es-GT"/>
        </w:rPr>
      </w:pPr>
    </w:p>
    <w:p w14:paraId="0D3948D2" w14:textId="244C7AA0" w:rsidR="00C33BA3" w:rsidRPr="00062207" w:rsidRDefault="00C33BA3" w:rsidP="00C33BA3">
      <w:pPr>
        <w:jc w:val="both"/>
        <w:rPr>
          <w:rFonts w:ascii="Times New Roman" w:hAnsi="Times New Roman" w:cs="Times New Roman"/>
          <w:sz w:val="22"/>
          <w:szCs w:val="22"/>
        </w:rPr>
      </w:pPr>
      <w:r w:rsidRPr="00062207">
        <w:rPr>
          <w:rFonts w:ascii="Times New Roman" w:hAnsi="Times New Roman" w:cs="Times New Roman"/>
          <w:sz w:val="22"/>
          <w:szCs w:val="22"/>
        </w:rPr>
        <w:t>Respecto a los pequeños inversionistas, por primera vez se colocó la totalidad del cupo establecido para este grupo (Q100 millones), este es un mecanismo de financiamiento y diversificación de la deuda que se viene utilizando desde 2017. El haber completado la totalidad del cupo por primera vez demuestra el éxito de la estrategia de democratización de la deuda pública, fomentando el ahorro y la inversión, y a la vez dinamiza el mercado de valores, los montos de inversión van desde un mínimo de Q10,000 hasta un máximo de Q500,000.</w:t>
      </w:r>
    </w:p>
    <w:p w14:paraId="69AB5DCE" w14:textId="77777777" w:rsidR="00C33BA3" w:rsidRPr="00062207" w:rsidRDefault="00C33BA3" w:rsidP="00C33BA3">
      <w:pPr>
        <w:jc w:val="both"/>
        <w:rPr>
          <w:rFonts w:ascii="Times New Roman" w:hAnsi="Times New Roman" w:cs="Times New Roman"/>
          <w:sz w:val="22"/>
          <w:szCs w:val="22"/>
        </w:rPr>
      </w:pPr>
    </w:p>
    <w:p w14:paraId="5BD86158" w14:textId="5AB2AD05" w:rsidR="00C33BA3" w:rsidRPr="00062207" w:rsidRDefault="00C33BA3" w:rsidP="00C33BA3">
      <w:pPr>
        <w:jc w:val="both"/>
        <w:rPr>
          <w:rFonts w:ascii="Times New Roman" w:hAnsi="Times New Roman" w:cs="Times New Roman"/>
          <w:sz w:val="22"/>
          <w:szCs w:val="22"/>
        </w:rPr>
      </w:pPr>
      <w:r w:rsidRPr="00062207">
        <w:rPr>
          <w:rFonts w:ascii="Times New Roman" w:hAnsi="Times New Roman" w:cs="Times New Roman"/>
          <w:sz w:val="22"/>
          <w:szCs w:val="22"/>
        </w:rPr>
        <w:t>Adicionalmente, esto abrió la puerta a que, el Organismo Legislativo facultara al Ministerio de Finanzas Públicas a disponer para los pequeños inversionistas hasta Q500 millones,</w:t>
      </w:r>
      <w:r w:rsidR="00A06445" w:rsidRPr="00062207">
        <w:rPr>
          <w:rFonts w:ascii="Times New Roman" w:hAnsi="Times New Roman" w:cs="Times New Roman"/>
          <w:sz w:val="22"/>
          <w:szCs w:val="22"/>
        </w:rPr>
        <w:t xml:space="preserve"> </w:t>
      </w:r>
      <w:r w:rsidRPr="00062207">
        <w:rPr>
          <w:rFonts w:ascii="Times New Roman" w:hAnsi="Times New Roman" w:cs="Times New Roman"/>
          <w:sz w:val="22"/>
          <w:szCs w:val="22"/>
        </w:rPr>
        <w:t>aprobado dentro del Presupuesto para el ejercicio fi</w:t>
      </w:r>
      <w:r w:rsidR="00BC3210" w:rsidRPr="00062207">
        <w:rPr>
          <w:rFonts w:ascii="Times New Roman" w:hAnsi="Times New Roman" w:cs="Times New Roman"/>
          <w:sz w:val="22"/>
          <w:szCs w:val="22"/>
        </w:rPr>
        <w:t>scal 2022. E</w:t>
      </w:r>
      <w:r w:rsidRPr="00062207">
        <w:rPr>
          <w:rFonts w:ascii="Times New Roman" w:hAnsi="Times New Roman" w:cs="Times New Roman"/>
          <w:sz w:val="22"/>
          <w:szCs w:val="22"/>
        </w:rPr>
        <w:t>l cupo</w:t>
      </w:r>
      <w:r w:rsidR="00BC3210" w:rsidRPr="00062207">
        <w:rPr>
          <w:rFonts w:ascii="Times New Roman" w:hAnsi="Times New Roman" w:cs="Times New Roman"/>
          <w:sz w:val="22"/>
          <w:szCs w:val="22"/>
        </w:rPr>
        <w:t xml:space="preserve"> destinado a este fin</w:t>
      </w:r>
      <w:r w:rsidRPr="00062207">
        <w:rPr>
          <w:rFonts w:ascii="Times New Roman" w:hAnsi="Times New Roman" w:cs="Times New Roman"/>
          <w:sz w:val="22"/>
          <w:szCs w:val="22"/>
        </w:rPr>
        <w:t xml:space="preserve"> tuvo un incremento importante, pasando de Q100 a Q500 millones. Estas acciones son parte de </w:t>
      </w:r>
      <w:r w:rsidR="00A06445" w:rsidRPr="00062207">
        <w:rPr>
          <w:rFonts w:ascii="Times New Roman" w:hAnsi="Times New Roman" w:cs="Times New Roman"/>
          <w:sz w:val="22"/>
          <w:szCs w:val="22"/>
        </w:rPr>
        <w:t>l</w:t>
      </w:r>
      <w:r w:rsidRPr="00062207">
        <w:rPr>
          <w:rFonts w:ascii="Times New Roman" w:hAnsi="Times New Roman" w:cs="Times New Roman"/>
          <w:sz w:val="22"/>
          <w:szCs w:val="22"/>
        </w:rPr>
        <w:t>a estrategia de diversificación del financiamiento que tiene el Ministerio de Finanzas Públicas.</w:t>
      </w:r>
    </w:p>
    <w:p w14:paraId="370ADB1B" w14:textId="77777777" w:rsidR="00C33BA3" w:rsidRPr="00062207" w:rsidRDefault="00C33BA3" w:rsidP="002D48F3">
      <w:pPr>
        <w:jc w:val="both"/>
        <w:rPr>
          <w:rFonts w:ascii="Times New Roman" w:hAnsi="Times New Roman" w:cs="Times New Roman"/>
          <w:sz w:val="22"/>
          <w:szCs w:val="22"/>
        </w:rPr>
      </w:pPr>
    </w:p>
    <w:p w14:paraId="3FCDC331" w14:textId="4ED40684" w:rsidR="002D48F3" w:rsidRPr="00062207" w:rsidRDefault="002D48F3" w:rsidP="002D48F3">
      <w:pPr>
        <w:jc w:val="both"/>
        <w:rPr>
          <w:rFonts w:ascii="Times New Roman" w:hAnsi="Times New Roman" w:cs="Times New Roman"/>
          <w:sz w:val="22"/>
          <w:szCs w:val="22"/>
        </w:rPr>
      </w:pPr>
      <w:r w:rsidRPr="00062207">
        <w:rPr>
          <w:rFonts w:ascii="Times New Roman" w:hAnsi="Times New Roman" w:cs="Times New Roman"/>
          <w:sz w:val="22"/>
          <w:szCs w:val="22"/>
        </w:rPr>
        <w:t>Por otro lado, se adjudicaron US$1,</w:t>
      </w:r>
      <w:r w:rsidR="00C33BA3" w:rsidRPr="00062207">
        <w:rPr>
          <w:rFonts w:ascii="Times New Roman" w:hAnsi="Times New Roman" w:cs="Times New Roman"/>
          <w:sz w:val="22"/>
          <w:szCs w:val="22"/>
        </w:rPr>
        <w:t>0</w:t>
      </w:r>
      <w:r w:rsidRPr="00062207">
        <w:rPr>
          <w:rFonts w:ascii="Times New Roman" w:hAnsi="Times New Roman" w:cs="Times New Roman"/>
          <w:sz w:val="22"/>
          <w:szCs w:val="22"/>
        </w:rPr>
        <w:t xml:space="preserve">00 millones en el mercado internacional de capitales, en dos tramos: </w:t>
      </w:r>
    </w:p>
    <w:p w14:paraId="53C5F515" w14:textId="77777777" w:rsidR="002D48F3" w:rsidRPr="00062207" w:rsidRDefault="002D48F3" w:rsidP="002D48F3">
      <w:pPr>
        <w:jc w:val="both"/>
        <w:rPr>
          <w:rFonts w:ascii="Times New Roman" w:hAnsi="Times New Roman" w:cs="Times New Roman"/>
          <w:sz w:val="16"/>
          <w:szCs w:val="22"/>
        </w:rPr>
      </w:pPr>
    </w:p>
    <w:p w14:paraId="6C580F00" w14:textId="7BBC33B2" w:rsidR="002D48F3" w:rsidRPr="00062207" w:rsidRDefault="002D48F3" w:rsidP="0064104D">
      <w:pPr>
        <w:pStyle w:val="Prrafodelista"/>
        <w:numPr>
          <w:ilvl w:val="0"/>
          <w:numId w:val="4"/>
        </w:numPr>
        <w:spacing w:after="160"/>
        <w:jc w:val="both"/>
        <w:rPr>
          <w:rFonts w:ascii="Times New Roman" w:hAnsi="Times New Roman" w:cs="Times New Roman"/>
        </w:rPr>
      </w:pPr>
      <w:r w:rsidRPr="00062207">
        <w:rPr>
          <w:rFonts w:ascii="Times New Roman" w:hAnsi="Times New Roman" w:cs="Times New Roman"/>
        </w:rPr>
        <w:t xml:space="preserve">Primer Tramo: US$500 millones a 12 años plazo, con una tasa </w:t>
      </w:r>
      <w:r w:rsidR="00C33BA3" w:rsidRPr="00062207">
        <w:rPr>
          <w:rFonts w:ascii="Times New Roman" w:hAnsi="Times New Roman" w:cs="Times New Roman"/>
        </w:rPr>
        <w:t xml:space="preserve">de cupón </w:t>
      </w:r>
      <w:r w:rsidRPr="00062207">
        <w:rPr>
          <w:rFonts w:ascii="Times New Roman" w:hAnsi="Times New Roman" w:cs="Times New Roman"/>
        </w:rPr>
        <w:t xml:space="preserve">de </w:t>
      </w:r>
      <w:r w:rsidR="00C33BA3" w:rsidRPr="00062207">
        <w:rPr>
          <w:rFonts w:ascii="Times New Roman" w:hAnsi="Times New Roman" w:cs="Times New Roman"/>
        </w:rPr>
        <w:t>3</w:t>
      </w:r>
      <w:r w:rsidRPr="00062207">
        <w:rPr>
          <w:rFonts w:ascii="Times New Roman" w:hAnsi="Times New Roman" w:cs="Times New Roman"/>
        </w:rPr>
        <w:t>.7</w:t>
      </w:r>
      <w:r w:rsidR="00C33BA3" w:rsidRPr="00062207">
        <w:rPr>
          <w:rFonts w:ascii="Times New Roman" w:hAnsi="Times New Roman" w:cs="Times New Roman"/>
        </w:rPr>
        <w:t>0</w:t>
      </w:r>
      <w:r w:rsidRPr="00062207">
        <w:rPr>
          <w:rFonts w:ascii="Times New Roman" w:hAnsi="Times New Roman" w:cs="Times New Roman"/>
        </w:rPr>
        <w:t>%</w:t>
      </w:r>
    </w:p>
    <w:p w14:paraId="0944742E" w14:textId="3A6DB673" w:rsidR="002D48F3" w:rsidRPr="00062207" w:rsidRDefault="00C33BA3" w:rsidP="0064104D">
      <w:pPr>
        <w:pStyle w:val="Prrafodelista"/>
        <w:numPr>
          <w:ilvl w:val="0"/>
          <w:numId w:val="4"/>
        </w:numPr>
        <w:spacing w:after="160"/>
        <w:jc w:val="both"/>
        <w:rPr>
          <w:rFonts w:ascii="Times New Roman" w:hAnsi="Times New Roman" w:cs="Times New Roman"/>
        </w:rPr>
      </w:pPr>
      <w:r w:rsidRPr="00062207">
        <w:rPr>
          <w:rFonts w:ascii="Times New Roman" w:hAnsi="Times New Roman" w:cs="Times New Roman"/>
        </w:rPr>
        <w:t>Segundo Tramo: US$5</w:t>
      </w:r>
      <w:r w:rsidR="002D48F3" w:rsidRPr="00062207">
        <w:rPr>
          <w:rFonts w:ascii="Times New Roman" w:hAnsi="Times New Roman" w:cs="Times New Roman"/>
        </w:rPr>
        <w:t xml:space="preserve">00 millones a </w:t>
      </w:r>
      <w:r w:rsidRPr="00062207">
        <w:rPr>
          <w:rFonts w:ascii="Times New Roman" w:hAnsi="Times New Roman" w:cs="Times New Roman"/>
        </w:rPr>
        <w:t>2</w:t>
      </w:r>
      <w:r w:rsidR="002D48F3" w:rsidRPr="00062207">
        <w:rPr>
          <w:rFonts w:ascii="Times New Roman" w:hAnsi="Times New Roman" w:cs="Times New Roman"/>
        </w:rPr>
        <w:t xml:space="preserve">0 años plazo, con una tasa de </w:t>
      </w:r>
      <w:r w:rsidRPr="00062207">
        <w:rPr>
          <w:rFonts w:ascii="Times New Roman" w:hAnsi="Times New Roman" w:cs="Times New Roman"/>
        </w:rPr>
        <w:t>cupón</w:t>
      </w:r>
      <w:r w:rsidR="002D48F3" w:rsidRPr="00062207">
        <w:rPr>
          <w:rFonts w:ascii="Times New Roman" w:hAnsi="Times New Roman" w:cs="Times New Roman"/>
        </w:rPr>
        <w:t xml:space="preserve"> de </w:t>
      </w:r>
      <w:r w:rsidRPr="00062207">
        <w:rPr>
          <w:rFonts w:ascii="Times New Roman" w:hAnsi="Times New Roman" w:cs="Times New Roman"/>
        </w:rPr>
        <w:t>4</w:t>
      </w:r>
      <w:r w:rsidR="002D48F3" w:rsidRPr="00062207">
        <w:rPr>
          <w:rFonts w:ascii="Times New Roman" w:hAnsi="Times New Roman" w:cs="Times New Roman"/>
        </w:rPr>
        <w:t>.</w:t>
      </w:r>
      <w:r w:rsidRPr="00062207">
        <w:rPr>
          <w:rFonts w:ascii="Times New Roman" w:hAnsi="Times New Roman" w:cs="Times New Roman"/>
        </w:rPr>
        <w:t>65</w:t>
      </w:r>
      <w:r w:rsidR="002D48F3" w:rsidRPr="00062207">
        <w:rPr>
          <w:rFonts w:ascii="Times New Roman" w:hAnsi="Times New Roman" w:cs="Times New Roman"/>
        </w:rPr>
        <w:t>%</w:t>
      </w:r>
    </w:p>
    <w:p w14:paraId="723B37F2" w14:textId="110A0680" w:rsidR="002D48F3" w:rsidRPr="00062207" w:rsidRDefault="00C33BA3" w:rsidP="002D48F3">
      <w:pPr>
        <w:jc w:val="both"/>
        <w:rPr>
          <w:rFonts w:ascii="Times New Roman" w:hAnsi="Times New Roman" w:cs="Times New Roman"/>
          <w:sz w:val="22"/>
          <w:szCs w:val="22"/>
        </w:rPr>
      </w:pPr>
      <w:r w:rsidRPr="00062207">
        <w:rPr>
          <w:rFonts w:ascii="Times New Roman" w:hAnsi="Times New Roman" w:cs="Times New Roman"/>
          <w:sz w:val="22"/>
          <w:szCs w:val="22"/>
        </w:rPr>
        <w:t xml:space="preserve">Respecto a la colocación del eurobono, se posicionó en términos de tasa de interés como la más baja en la historia de colocaciones de deuda de Guatemala en el mercado internacional. El evento tuvo una demanda de US$6,417.2 millones, superando en 6.4 veces el monto adjudicado. Esto demuestra la confianza que tienen los inversionistas en los títulos de deuda que emite el Estado de Guatemala, siendo esta la </w:t>
      </w:r>
      <w:r w:rsidR="001E1053" w:rsidRPr="00062207">
        <w:rPr>
          <w:rFonts w:ascii="Times New Roman" w:hAnsi="Times New Roman" w:cs="Times New Roman"/>
          <w:sz w:val="22"/>
          <w:szCs w:val="22"/>
        </w:rPr>
        <w:t>décimo primera</w:t>
      </w:r>
      <w:r w:rsidRPr="00062207">
        <w:rPr>
          <w:rFonts w:ascii="Times New Roman" w:hAnsi="Times New Roman" w:cs="Times New Roman"/>
          <w:sz w:val="22"/>
          <w:szCs w:val="22"/>
        </w:rPr>
        <w:t xml:space="preserve"> emisión que se realiza en el mer</w:t>
      </w:r>
      <w:r w:rsidR="001E1053" w:rsidRPr="00062207">
        <w:rPr>
          <w:rFonts w:ascii="Times New Roman" w:hAnsi="Times New Roman" w:cs="Times New Roman"/>
          <w:sz w:val="22"/>
          <w:szCs w:val="22"/>
        </w:rPr>
        <w:t>cado internacional de capitales, desde 1997.</w:t>
      </w:r>
    </w:p>
    <w:p w14:paraId="685DF7EC" w14:textId="77777777" w:rsidR="00C33BA3" w:rsidRPr="00062207" w:rsidRDefault="00C33BA3" w:rsidP="002D48F3">
      <w:pPr>
        <w:jc w:val="both"/>
        <w:rPr>
          <w:rFonts w:ascii="Times New Roman" w:hAnsi="Times New Roman" w:cs="Times New Roman"/>
          <w:sz w:val="16"/>
          <w:szCs w:val="22"/>
        </w:rPr>
      </w:pPr>
    </w:p>
    <w:p w14:paraId="1F13DAEE" w14:textId="009CE3F0" w:rsidR="00BC3210" w:rsidRPr="00062207" w:rsidRDefault="002D48F3" w:rsidP="002D48F3">
      <w:pPr>
        <w:jc w:val="both"/>
        <w:rPr>
          <w:rFonts w:ascii="Times New Roman" w:hAnsi="Times New Roman" w:cs="Times New Roman"/>
          <w:sz w:val="22"/>
          <w:szCs w:val="22"/>
        </w:rPr>
      </w:pPr>
      <w:r w:rsidRPr="00062207">
        <w:rPr>
          <w:rFonts w:ascii="Times New Roman" w:hAnsi="Times New Roman" w:cs="Times New Roman"/>
          <w:sz w:val="22"/>
          <w:szCs w:val="22"/>
        </w:rPr>
        <w:t>Las condiciones favorables obtenidas en las co</w:t>
      </w:r>
      <w:r w:rsidR="00BC3210" w:rsidRPr="00062207">
        <w:rPr>
          <w:rFonts w:ascii="Times New Roman" w:hAnsi="Times New Roman" w:cs="Times New Roman"/>
          <w:sz w:val="22"/>
          <w:szCs w:val="22"/>
        </w:rPr>
        <w:t xml:space="preserve">locaciones externas e internas </w:t>
      </w:r>
      <w:r w:rsidRPr="00062207">
        <w:rPr>
          <w:rFonts w:ascii="Times New Roman" w:hAnsi="Times New Roman" w:cs="Times New Roman"/>
          <w:sz w:val="22"/>
          <w:szCs w:val="22"/>
        </w:rPr>
        <w:t>refleja</w:t>
      </w:r>
      <w:r w:rsidR="00BC3210" w:rsidRPr="00062207">
        <w:rPr>
          <w:rFonts w:ascii="Times New Roman" w:hAnsi="Times New Roman" w:cs="Times New Roman"/>
          <w:sz w:val="22"/>
          <w:szCs w:val="22"/>
        </w:rPr>
        <w:t>n la</w:t>
      </w:r>
      <w:r w:rsidRPr="00062207">
        <w:rPr>
          <w:rFonts w:ascii="Times New Roman" w:hAnsi="Times New Roman" w:cs="Times New Roman"/>
          <w:sz w:val="22"/>
          <w:szCs w:val="22"/>
        </w:rPr>
        <w:t xml:space="preserve"> alta credibilidad que goza Guatemala, al ser considerado un país que honra sus compromisos con los tenedores de títulos de </w:t>
      </w:r>
      <w:r w:rsidRPr="00062207">
        <w:rPr>
          <w:rFonts w:ascii="Times New Roman" w:hAnsi="Times New Roman" w:cs="Times New Roman"/>
          <w:sz w:val="22"/>
          <w:szCs w:val="22"/>
        </w:rPr>
        <w:lastRenderedPageBreak/>
        <w:t xml:space="preserve">deuda, </w:t>
      </w:r>
      <w:r w:rsidR="00BC3210" w:rsidRPr="00062207">
        <w:rPr>
          <w:rFonts w:ascii="Times New Roman" w:hAnsi="Times New Roman" w:cs="Times New Roman"/>
          <w:sz w:val="22"/>
          <w:szCs w:val="22"/>
        </w:rPr>
        <w:t>a pesar del escenario de incertidumbre que permeo durante 2021, por una recuperación mundial dispar e incierta por la aparición de nuevas cepas del COVID-19.</w:t>
      </w:r>
    </w:p>
    <w:p w14:paraId="21D93AA0" w14:textId="77777777" w:rsidR="00BC3210" w:rsidRPr="00062207" w:rsidRDefault="00BC3210" w:rsidP="002D48F3">
      <w:pPr>
        <w:jc w:val="both"/>
        <w:rPr>
          <w:rFonts w:ascii="Times New Roman" w:hAnsi="Times New Roman" w:cs="Times New Roman"/>
          <w:sz w:val="22"/>
          <w:szCs w:val="22"/>
        </w:rPr>
      </w:pPr>
    </w:p>
    <w:p w14:paraId="64DE31ED" w14:textId="46827ED1" w:rsidR="002D48F3" w:rsidRPr="00062207" w:rsidRDefault="00BC3210" w:rsidP="00674759">
      <w:pPr>
        <w:jc w:val="both"/>
        <w:rPr>
          <w:rFonts w:ascii="Times New Roman" w:hAnsi="Times New Roman" w:cs="Times New Roman"/>
          <w:sz w:val="22"/>
          <w:szCs w:val="22"/>
        </w:rPr>
      </w:pPr>
      <w:r w:rsidRPr="00062207">
        <w:rPr>
          <w:rFonts w:ascii="Times New Roman" w:hAnsi="Times New Roman" w:cs="Times New Roman"/>
          <w:sz w:val="22"/>
          <w:szCs w:val="22"/>
        </w:rPr>
        <w:t>P</w:t>
      </w:r>
      <w:r w:rsidR="002D48F3" w:rsidRPr="00062207">
        <w:rPr>
          <w:rFonts w:ascii="Times New Roman" w:hAnsi="Times New Roman" w:cs="Times New Roman"/>
          <w:sz w:val="22"/>
          <w:szCs w:val="22"/>
        </w:rPr>
        <w:t xml:space="preserve">or </w:t>
      </w:r>
      <w:r w:rsidRPr="00062207">
        <w:rPr>
          <w:rFonts w:ascii="Times New Roman" w:hAnsi="Times New Roman" w:cs="Times New Roman"/>
          <w:sz w:val="22"/>
          <w:szCs w:val="22"/>
        </w:rPr>
        <w:t>su parte</w:t>
      </w:r>
      <w:r w:rsidR="002D48F3" w:rsidRPr="00062207">
        <w:rPr>
          <w:rFonts w:ascii="Times New Roman" w:hAnsi="Times New Roman" w:cs="Times New Roman"/>
          <w:sz w:val="22"/>
          <w:szCs w:val="22"/>
        </w:rPr>
        <w:t>, los desembolsos de préstamos externos al cierre de 202</w:t>
      </w:r>
      <w:r w:rsidRPr="00062207">
        <w:rPr>
          <w:rFonts w:ascii="Times New Roman" w:hAnsi="Times New Roman" w:cs="Times New Roman"/>
          <w:sz w:val="22"/>
          <w:szCs w:val="22"/>
        </w:rPr>
        <w:t>1</w:t>
      </w:r>
      <w:r w:rsidR="002D48F3" w:rsidRPr="00062207">
        <w:rPr>
          <w:rFonts w:ascii="Times New Roman" w:hAnsi="Times New Roman" w:cs="Times New Roman"/>
          <w:sz w:val="22"/>
          <w:szCs w:val="22"/>
        </w:rPr>
        <w:t xml:space="preserve">, se mostraron </w:t>
      </w:r>
      <w:r w:rsidRPr="00062207">
        <w:rPr>
          <w:rFonts w:ascii="Times New Roman" w:hAnsi="Times New Roman" w:cs="Times New Roman"/>
          <w:sz w:val="22"/>
          <w:szCs w:val="22"/>
        </w:rPr>
        <w:t>escasos con un nivel de Q443.7</w:t>
      </w:r>
      <w:r w:rsidR="00E20277" w:rsidRPr="00062207">
        <w:rPr>
          <w:rFonts w:ascii="Times New Roman" w:hAnsi="Times New Roman" w:cs="Times New Roman"/>
          <w:sz w:val="22"/>
          <w:szCs w:val="22"/>
        </w:rPr>
        <w:t xml:space="preserve"> </w:t>
      </w:r>
      <w:r w:rsidR="002D48F3" w:rsidRPr="00062207">
        <w:rPr>
          <w:rFonts w:ascii="Times New Roman" w:hAnsi="Times New Roman" w:cs="Times New Roman"/>
          <w:sz w:val="22"/>
          <w:szCs w:val="22"/>
        </w:rPr>
        <w:t>millones, mostrando un</w:t>
      </w:r>
      <w:r w:rsidRPr="00062207">
        <w:rPr>
          <w:rFonts w:ascii="Times New Roman" w:hAnsi="Times New Roman" w:cs="Times New Roman"/>
          <w:sz w:val="22"/>
          <w:szCs w:val="22"/>
        </w:rPr>
        <w:t xml:space="preserve">a disminución </w:t>
      </w:r>
      <w:r w:rsidR="00A06445" w:rsidRPr="00062207">
        <w:rPr>
          <w:rFonts w:ascii="Times New Roman" w:hAnsi="Times New Roman" w:cs="Times New Roman"/>
          <w:sz w:val="22"/>
          <w:szCs w:val="22"/>
        </w:rPr>
        <w:t xml:space="preserve">significativa </w:t>
      </w:r>
      <w:r w:rsidRPr="00062207">
        <w:rPr>
          <w:rFonts w:ascii="Times New Roman" w:hAnsi="Times New Roman" w:cs="Times New Roman"/>
          <w:sz w:val="22"/>
          <w:szCs w:val="22"/>
        </w:rPr>
        <w:t>respecto a los</w:t>
      </w:r>
      <w:r w:rsidR="002D48F3" w:rsidRPr="00062207">
        <w:rPr>
          <w:rFonts w:ascii="Times New Roman" w:hAnsi="Times New Roman" w:cs="Times New Roman"/>
          <w:sz w:val="22"/>
          <w:szCs w:val="22"/>
        </w:rPr>
        <w:t xml:space="preserve"> desembolsos obtenidos</w:t>
      </w:r>
      <w:r w:rsidRPr="00062207">
        <w:rPr>
          <w:rFonts w:ascii="Times New Roman" w:hAnsi="Times New Roman" w:cs="Times New Roman"/>
          <w:sz w:val="22"/>
          <w:szCs w:val="22"/>
        </w:rPr>
        <w:t xml:space="preserve"> en 2020, siendo menores en Q3,735.5 millones.</w:t>
      </w:r>
      <w:r w:rsidR="002D48F3" w:rsidRPr="00062207">
        <w:rPr>
          <w:rFonts w:ascii="Times New Roman" w:hAnsi="Times New Roman" w:cs="Times New Roman"/>
          <w:sz w:val="22"/>
          <w:szCs w:val="22"/>
        </w:rPr>
        <w:t xml:space="preserve"> </w:t>
      </w:r>
    </w:p>
    <w:p w14:paraId="3B2E4A68" w14:textId="77777777" w:rsidR="002D48F3" w:rsidRPr="00062207" w:rsidRDefault="002D48F3" w:rsidP="002D48F3">
      <w:pPr>
        <w:jc w:val="both"/>
        <w:rPr>
          <w:rFonts w:ascii="Times New Roman" w:hAnsi="Times New Roman" w:cs="Times New Roman"/>
          <w:sz w:val="16"/>
          <w:szCs w:val="22"/>
        </w:rPr>
      </w:pPr>
    </w:p>
    <w:p w14:paraId="744758E4" w14:textId="0309B0A0" w:rsidR="005A2D59" w:rsidRPr="00062207" w:rsidRDefault="002D48F3" w:rsidP="00674759">
      <w:pPr>
        <w:jc w:val="both"/>
        <w:rPr>
          <w:rFonts w:ascii="Times New Roman" w:hAnsi="Times New Roman" w:cs="Times New Roman"/>
          <w:sz w:val="22"/>
          <w:szCs w:val="22"/>
        </w:rPr>
      </w:pPr>
      <w:r w:rsidRPr="00062207">
        <w:rPr>
          <w:rFonts w:ascii="Times New Roman" w:hAnsi="Times New Roman" w:cs="Times New Roman"/>
          <w:sz w:val="22"/>
          <w:szCs w:val="22"/>
        </w:rPr>
        <w:t xml:space="preserve">El préstamo con mayor desembolso fue el </w:t>
      </w:r>
      <w:r w:rsidR="005A2D59" w:rsidRPr="00062207">
        <w:rPr>
          <w:rFonts w:ascii="Times New Roman" w:hAnsi="Times New Roman" w:cs="Times New Roman"/>
          <w:sz w:val="22"/>
          <w:szCs w:val="22"/>
        </w:rPr>
        <w:t xml:space="preserve">del Banco Centroamericano de Integración Económica (BCIE) por Q215.9 millones correspondientes al programa de inversión y modernización para el sector justicia, </w:t>
      </w:r>
      <w:r w:rsidRPr="00062207">
        <w:rPr>
          <w:rFonts w:ascii="Times New Roman" w:hAnsi="Times New Roman" w:cs="Times New Roman"/>
          <w:sz w:val="22"/>
          <w:szCs w:val="22"/>
        </w:rPr>
        <w:t xml:space="preserve">seguidamente del </w:t>
      </w:r>
      <w:r w:rsidR="005A2D59" w:rsidRPr="00062207">
        <w:rPr>
          <w:rFonts w:ascii="Times New Roman" w:hAnsi="Times New Roman" w:cs="Times New Roman"/>
          <w:sz w:val="22"/>
          <w:szCs w:val="22"/>
        </w:rPr>
        <w:t>Programa de mejoramiento de carreteras en Zonapaz por Q103.0 millones con la Agencia Japonesa de Cooperación Internacional.</w:t>
      </w:r>
    </w:p>
    <w:p w14:paraId="28DF910A" w14:textId="64ECECB3" w:rsidR="005A2D59" w:rsidRPr="00062207" w:rsidRDefault="005A2D59" w:rsidP="00A963D6">
      <w:pPr>
        <w:pStyle w:val="Sinespaciado"/>
        <w:rPr>
          <w:rFonts w:ascii="Times New Roman" w:hAnsi="Times New Roman" w:cs="Times New Roman"/>
          <w:sz w:val="20"/>
        </w:rPr>
      </w:pPr>
    </w:p>
    <w:p w14:paraId="1A4E83E9" w14:textId="77777777" w:rsidR="005A2D59" w:rsidRPr="00062207" w:rsidRDefault="005A2D59" w:rsidP="002D48F3">
      <w:pPr>
        <w:pStyle w:val="Sinespaciado"/>
        <w:jc w:val="center"/>
        <w:rPr>
          <w:rFonts w:ascii="Times New Roman" w:hAnsi="Times New Roman" w:cs="Times New Roman"/>
          <w:b/>
          <w:sz w:val="24"/>
          <w:szCs w:val="24"/>
        </w:rPr>
      </w:pPr>
      <w:r w:rsidRPr="00062207">
        <w:rPr>
          <w:rFonts w:ascii="Times New Roman" w:hAnsi="Times New Roman" w:cs="Times New Roman"/>
          <w:b/>
          <w:sz w:val="24"/>
          <w:szCs w:val="24"/>
        </w:rPr>
        <w:t>Desembolsos de Préstamos por Organismo y Destino 2021</w:t>
      </w:r>
    </w:p>
    <w:p w14:paraId="0A95B7F6" w14:textId="3E350886" w:rsidR="005A2D59" w:rsidRPr="00062207" w:rsidRDefault="005A2D59" w:rsidP="002D48F3">
      <w:pPr>
        <w:pStyle w:val="Sinespaciado"/>
        <w:jc w:val="center"/>
        <w:rPr>
          <w:rFonts w:ascii="Times New Roman" w:hAnsi="Times New Roman" w:cs="Times New Roman"/>
        </w:rPr>
      </w:pPr>
      <w:r w:rsidRPr="00062207">
        <w:rPr>
          <w:rFonts w:ascii="Times New Roman" w:hAnsi="Times New Roman" w:cs="Times New Roman"/>
        </w:rPr>
        <w:t xml:space="preserve">Cifras en millones de quetzales </w:t>
      </w:r>
    </w:p>
    <w:p w14:paraId="1394D5EC" w14:textId="77777777" w:rsidR="005A2D59" w:rsidRPr="00062207" w:rsidRDefault="005A2D59" w:rsidP="002D48F3">
      <w:pPr>
        <w:pStyle w:val="Sinespaciado"/>
        <w:jc w:val="center"/>
        <w:rPr>
          <w:rFonts w:ascii="Times New Roman" w:hAnsi="Times New Roman" w:cs="Times New Roman"/>
          <w:sz w:val="12"/>
        </w:rPr>
      </w:pPr>
    </w:p>
    <w:tbl>
      <w:tblPr>
        <w:tblW w:w="8180" w:type="dxa"/>
        <w:jc w:val="center"/>
        <w:tblCellMar>
          <w:left w:w="70" w:type="dxa"/>
          <w:right w:w="70" w:type="dxa"/>
        </w:tblCellMar>
        <w:tblLook w:val="04A0" w:firstRow="1" w:lastRow="0" w:firstColumn="1" w:lastColumn="0" w:noHBand="0" w:noVBand="1"/>
      </w:tblPr>
      <w:tblGrid>
        <w:gridCol w:w="6040"/>
        <w:gridCol w:w="2140"/>
      </w:tblGrid>
      <w:tr w:rsidR="00062207" w:rsidRPr="00062207" w14:paraId="558B0F4F" w14:textId="77777777" w:rsidTr="005A2D59">
        <w:trPr>
          <w:trHeight w:val="585"/>
          <w:jc w:val="center"/>
        </w:trPr>
        <w:tc>
          <w:tcPr>
            <w:tcW w:w="6040" w:type="dxa"/>
            <w:tcBorders>
              <w:top w:val="single" w:sz="8" w:space="0" w:color="auto"/>
              <w:left w:val="single" w:sz="8" w:space="0" w:color="auto"/>
              <w:bottom w:val="single" w:sz="8" w:space="0" w:color="auto"/>
              <w:right w:val="single" w:sz="8" w:space="0" w:color="auto"/>
            </w:tcBorders>
            <w:shd w:val="clear" w:color="000000" w:fill="4F81BD"/>
            <w:noWrap/>
            <w:vAlign w:val="center"/>
            <w:hideMark/>
          </w:tcPr>
          <w:p w14:paraId="63AB2EF6" w14:textId="77777777" w:rsidR="005A2D59" w:rsidRPr="00062207" w:rsidRDefault="005A2D59" w:rsidP="005A2D59">
            <w:pPr>
              <w:jc w:val="center"/>
              <w:rPr>
                <w:rFonts w:ascii="Times New Roman" w:eastAsia="Times New Roman" w:hAnsi="Times New Roman" w:cs="Times New Roman"/>
                <w:b/>
                <w:bCs/>
                <w:sz w:val="20"/>
                <w:szCs w:val="22"/>
                <w:lang w:val="es-GT" w:eastAsia="es-GT"/>
              </w:rPr>
            </w:pPr>
            <w:r w:rsidRPr="00062207">
              <w:rPr>
                <w:rFonts w:ascii="Times New Roman" w:eastAsia="Times New Roman" w:hAnsi="Times New Roman" w:cs="Times New Roman"/>
                <w:b/>
                <w:bCs/>
                <w:sz w:val="20"/>
                <w:szCs w:val="22"/>
                <w:lang w:eastAsia="es-GT"/>
              </w:rPr>
              <w:t>Organismo y Destino</w:t>
            </w:r>
          </w:p>
        </w:tc>
        <w:tc>
          <w:tcPr>
            <w:tcW w:w="2140" w:type="dxa"/>
            <w:tcBorders>
              <w:top w:val="single" w:sz="8" w:space="0" w:color="auto"/>
              <w:left w:val="nil"/>
              <w:bottom w:val="single" w:sz="8" w:space="0" w:color="auto"/>
              <w:right w:val="single" w:sz="8" w:space="0" w:color="auto"/>
            </w:tcBorders>
            <w:shd w:val="clear" w:color="000000" w:fill="4F81BD"/>
            <w:vAlign w:val="center"/>
            <w:hideMark/>
          </w:tcPr>
          <w:p w14:paraId="3935870F" w14:textId="77777777" w:rsidR="005A2D59" w:rsidRPr="00062207" w:rsidRDefault="005A2D59" w:rsidP="005A2D59">
            <w:pPr>
              <w:jc w:val="center"/>
              <w:rPr>
                <w:rFonts w:ascii="Times New Roman" w:eastAsia="Times New Roman" w:hAnsi="Times New Roman" w:cs="Times New Roman"/>
                <w:b/>
                <w:bCs/>
                <w:sz w:val="20"/>
                <w:szCs w:val="22"/>
                <w:lang w:val="es-GT" w:eastAsia="es-GT"/>
              </w:rPr>
            </w:pPr>
            <w:r w:rsidRPr="00062207">
              <w:rPr>
                <w:rFonts w:ascii="Times New Roman" w:eastAsia="Times New Roman" w:hAnsi="Times New Roman" w:cs="Times New Roman"/>
                <w:b/>
                <w:bCs/>
                <w:sz w:val="20"/>
                <w:szCs w:val="22"/>
                <w:lang w:eastAsia="es-GT"/>
              </w:rPr>
              <w:t>Devengado en Millones</w:t>
            </w:r>
          </w:p>
        </w:tc>
      </w:tr>
      <w:tr w:rsidR="00062207" w:rsidRPr="00062207" w14:paraId="7BC50844" w14:textId="77777777" w:rsidTr="005A2D59">
        <w:trPr>
          <w:trHeight w:val="300"/>
          <w:jc w:val="center"/>
        </w:trPr>
        <w:tc>
          <w:tcPr>
            <w:tcW w:w="6040" w:type="dxa"/>
            <w:tcBorders>
              <w:top w:val="nil"/>
              <w:left w:val="single" w:sz="8" w:space="0" w:color="auto"/>
              <w:bottom w:val="dotted" w:sz="4" w:space="0" w:color="auto"/>
              <w:right w:val="single" w:sz="8" w:space="0" w:color="auto"/>
            </w:tcBorders>
            <w:shd w:val="clear" w:color="000000" w:fill="FFFFFF"/>
            <w:noWrap/>
            <w:vAlign w:val="center"/>
            <w:hideMark/>
          </w:tcPr>
          <w:p w14:paraId="52D720C4" w14:textId="77777777" w:rsidR="005A2D59" w:rsidRPr="00062207" w:rsidRDefault="005A2D59" w:rsidP="005A2D59">
            <w:pPr>
              <w:jc w:val="center"/>
              <w:rPr>
                <w:rFonts w:ascii="Times New Roman" w:eastAsia="Times New Roman" w:hAnsi="Times New Roman" w:cs="Times New Roman"/>
                <w:b/>
                <w:bCs/>
                <w:sz w:val="20"/>
                <w:szCs w:val="22"/>
                <w:lang w:val="es-GT" w:eastAsia="es-GT"/>
              </w:rPr>
            </w:pPr>
            <w:r w:rsidRPr="00062207">
              <w:rPr>
                <w:rFonts w:ascii="Times New Roman" w:eastAsia="Times New Roman" w:hAnsi="Times New Roman" w:cs="Times New Roman"/>
                <w:b/>
                <w:bCs/>
                <w:sz w:val="20"/>
                <w:szCs w:val="22"/>
                <w:lang w:eastAsia="es-GT"/>
              </w:rPr>
              <w:t>TOTAL</w:t>
            </w:r>
          </w:p>
        </w:tc>
        <w:tc>
          <w:tcPr>
            <w:tcW w:w="2140" w:type="dxa"/>
            <w:tcBorders>
              <w:top w:val="nil"/>
              <w:left w:val="nil"/>
              <w:bottom w:val="dotted" w:sz="4" w:space="0" w:color="auto"/>
              <w:right w:val="single" w:sz="8" w:space="0" w:color="auto"/>
            </w:tcBorders>
            <w:shd w:val="clear" w:color="000000" w:fill="FFFFFF"/>
            <w:noWrap/>
            <w:vAlign w:val="center"/>
            <w:hideMark/>
          </w:tcPr>
          <w:p w14:paraId="2210DB98" w14:textId="77777777" w:rsidR="005A2D59" w:rsidRPr="00062207" w:rsidRDefault="005A2D59" w:rsidP="005A2D59">
            <w:pPr>
              <w:jc w:val="center"/>
              <w:rPr>
                <w:rFonts w:ascii="Times New Roman" w:eastAsia="Times New Roman" w:hAnsi="Times New Roman" w:cs="Times New Roman"/>
                <w:b/>
                <w:bCs/>
                <w:sz w:val="20"/>
                <w:szCs w:val="22"/>
                <w:lang w:val="es-GT" w:eastAsia="es-GT"/>
              </w:rPr>
            </w:pPr>
            <w:r w:rsidRPr="00062207">
              <w:rPr>
                <w:rFonts w:ascii="Times New Roman" w:eastAsia="Times New Roman" w:hAnsi="Times New Roman" w:cs="Times New Roman"/>
                <w:b/>
                <w:bCs/>
                <w:sz w:val="20"/>
                <w:szCs w:val="22"/>
                <w:lang w:val="es-GT" w:eastAsia="es-GT"/>
              </w:rPr>
              <w:t>443.7</w:t>
            </w:r>
          </w:p>
        </w:tc>
      </w:tr>
      <w:tr w:rsidR="00062207" w:rsidRPr="00062207" w14:paraId="47A86818" w14:textId="77777777" w:rsidTr="005A2D59">
        <w:trPr>
          <w:trHeight w:val="300"/>
          <w:jc w:val="center"/>
        </w:trPr>
        <w:tc>
          <w:tcPr>
            <w:tcW w:w="6040" w:type="dxa"/>
            <w:tcBorders>
              <w:top w:val="nil"/>
              <w:left w:val="single" w:sz="8" w:space="0" w:color="auto"/>
              <w:bottom w:val="dotted" w:sz="4" w:space="0" w:color="auto"/>
              <w:right w:val="single" w:sz="8" w:space="0" w:color="auto"/>
            </w:tcBorders>
            <w:shd w:val="clear" w:color="000000" w:fill="B8CCE4"/>
            <w:noWrap/>
            <w:vAlign w:val="center"/>
            <w:hideMark/>
          </w:tcPr>
          <w:p w14:paraId="50DB25CB" w14:textId="175AD6D6" w:rsidR="005A2D59" w:rsidRPr="00062207" w:rsidRDefault="005A2D59" w:rsidP="005A2D59">
            <w:pPr>
              <w:rPr>
                <w:rFonts w:ascii="Times New Roman" w:eastAsia="Times New Roman" w:hAnsi="Times New Roman" w:cs="Times New Roman"/>
                <w:b/>
                <w:bCs/>
                <w:sz w:val="20"/>
                <w:szCs w:val="22"/>
                <w:lang w:val="es-GT" w:eastAsia="es-GT"/>
              </w:rPr>
            </w:pPr>
            <w:r w:rsidRPr="00062207">
              <w:rPr>
                <w:rFonts w:ascii="Times New Roman" w:eastAsia="Times New Roman" w:hAnsi="Times New Roman" w:cs="Times New Roman"/>
                <w:b/>
                <w:bCs/>
                <w:sz w:val="20"/>
                <w:szCs w:val="22"/>
                <w:lang w:val="es-GT" w:eastAsia="es-GT"/>
              </w:rPr>
              <w:t>Agencia Japonesa de Cooperación Internacional</w:t>
            </w:r>
          </w:p>
        </w:tc>
        <w:tc>
          <w:tcPr>
            <w:tcW w:w="2140" w:type="dxa"/>
            <w:tcBorders>
              <w:top w:val="nil"/>
              <w:left w:val="nil"/>
              <w:bottom w:val="dotted" w:sz="4" w:space="0" w:color="auto"/>
              <w:right w:val="single" w:sz="8" w:space="0" w:color="auto"/>
            </w:tcBorders>
            <w:shd w:val="clear" w:color="000000" w:fill="B8CCE4"/>
            <w:noWrap/>
            <w:vAlign w:val="center"/>
            <w:hideMark/>
          </w:tcPr>
          <w:p w14:paraId="0245B7CA" w14:textId="77777777" w:rsidR="005A2D59" w:rsidRPr="00062207" w:rsidRDefault="005A2D59" w:rsidP="005A2D59">
            <w:pPr>
              <w:jc w:val="center"/>
              <w:rPr>
                <w:rFonts w:ascii="Times New Roman" w:eastAsia="Times New Roman" w:hAnsi="Times New Roman" w:cs="Times New Roman"/>
                <w:b/>
                <w:bCs/>
                <w:sz w:val="20"/>
                <w:szCs w:val="22"/>
                <w:lang w:val="es-GT" w:eastAsia="es-GT"/>
              </w:rPr>
            </w:pPr>
            <w:r w:rsidRPr="00062207">
              <w:rPr>
                <w:rFonts w:ascii="Times New Roman" w:eastAsia="Times New Roman" w:hAnsi="Times New Roman" w:cs="Times New Roman"/>
                <w:b/>
                <w:bCs/>
                <w:sz w:val="20"/>
                <w:szCs w:val="22"/>
                <w:lang w:val="es-GT" w:eastAsia="es-GT"/>
              </w:rPr>
              <w:t>103.0</w:t>
            </w:r>
          </w:p>
        </w:tc>
      </w:tr>
      <w:tr w:rsidR="00062207" w:rsidRPr="00062207" w14:paraId="22F4A75D" w14:textId="77777777" w:rsidTr="005A2D59">
        <w:trPr>
          <w:trHeight w:val="424"/>
          <w:jc w:val="center"/>
        </w:trPr>
        <w:tc>
          <w:tcPr>
            <w:tcW w:w="6040" w:type="dxa"/>
            <w:tcBorders>
              <w:top w:val="nil"/>
              <w:left w:val="single" w:sz="8" w:space="0" w:color="auto"/>
              <w:bottom w:val="dotted" w:sz="4" w:space="0" w:color="auto"/>
              <w:right w:val="single" w:sz="8" w:space="0" w:color="auto"/>
            </w:tcBorders>
            <w:shd w:val="clear" w:color="000000" w:fill="FFFFFF"/>
            <w:vAlign w:val="center"/>
            <w:hideMark/>
          </w:tcPr>
          <w:p w14:paraId="22AE44E7" w14:textId="77777777" w:rsidR="005A2D59" w:rsidRPr="00062207" w:rsidRDefault="005A2D59" w:rsidP="005A2D59">
            <w:pPr>
              <w:ind w:firstLineChars="100" w:firstLine="200"/>
              <w:rPr>
                <w:rFonts w:ascii="Times New Roman" w:eastAsia="Times New Roman" w:hAnsi="Times New Roman" w:cs="Times New Roman"/>
                <w:sz w:val="20"/>
                <w:szCs w:val="22"/>
                <w:lang w:val="es-GT" w:eastAsia="es-GT"/>
              </w:rPr>
            </w:pPr>
            <w:r w:rsidRPr="00062207">
              <w:rPr>
                <w:rFonts w:ascii="Times New Roman" w:eastAsia="Times New Roman" w:hAnsi="Times New Roman" w:cs="Times New Roman"/>
                <w:sz w:val="20"/>
                <w:szCs w:val="22"/>
                <w:lang w:val="es-GT" w:eastAsia="es-GT"/>
              </w:rPr>
              <w:t>Programa de mejoramiento de carreteras en Zonapaz</w:t>
            </w:r>
          </w:p>
        </w:tc>
        <w:tc>
          <w:tcPr>
            <w:tcW w:w="2140" w:type="dxa"/>
            <w:tcBorders>
              <w:top w:val="nil"/>
              <w:left w:val="nil"/>
              <w:bottom w:val="dotted" w:sz="4" w:space="0" w:color="auto"/>
              <w:right w:val="single" w:sz="8" w:space="0" w:color="auto"/>
            </w:tcBorders>
            <w:shd w:val="clear" w:color="000000" w:fill="FFFFFF"/>
            <w:noWrap/>
            <w:vAlign w:val="center"/>
            <w:hideMark/>
          </w:tcPr>
          <w:p w14:paraId="129616C8" w14:textId="77777777" w:rsidR="005A2D59" w:rsidRPr="00062207" w:rsidRDefault="005A2D59" w:rsidP="005A2D59">
            <w:pPr>
              <w:jc w:val="center"/>
              <w:rPr>
                <w:rFonts w:ascii="Times New Roman" w:eastAsia="Times New Roman" w:hAnsi="Times New Roman" w:cs="Times New Roman"/>
                <w:sz w:val="20"/>
                <w:szCs w:val="22"/>
                <w:lang w:val="es-GT" w:eastAsia="es-GT"/>
              </w:rPr>
            </w:pPr>
            <w:r w:rsidRPr="00062207">
              <w:rPr>
                <w:rFonts w:ascii="Times New Roman" w:eastAsia="Times New Roman" w:hAnsi="Times New Roman" w:cs="Times New Roman"/>
                <w:sz w:val="20"/>
                <w:szCs w:val="22"/>
                <w:lang w:val="es-GT" w:eastAsia="es-GT"/>
              </w:rPr>
              <w:t>103.0</w:t>
            </w:r>
          </w:p>
        </w:tc>
      </w:tr>
      <w:tr w:rsidR="00062207" w:rsidRPr="00062207" w14:paraId="01DD86C4" w14:textId="77777777" w:rsidTr="005A2D59">
        <w:trPr>
          <w:trHeight w:val="300"/>
          <w:jc w:val="center"/>
        </w:trPr>
        <w:tc>
          <w:tcPr>
            <w:tcW w:w="6040" w:type="dxa"/>
            <w:tcBorders>
              <w:top w:val="nil"/>
              <w:left w:val="single" w:sz="8" w:space="0" w:color="auto"/>
              <w:bottom w:val="dotted" w:sz="4" w:space="0" w:color="auto"/>
              <w:right w:val="single" w:sz="8" w:space="0" w:color="auto"/>
            </w:tcBorders>
            <w:shd w:val="clear" w:color="000000" w:fill="B8CCE4"/>
            <w:noWrap/>
            <w:vAlign w:val="center"/>
            <w:hideMark/>
          </w:tcPr>
          <w:p w14:paraId="1EC550D0" w14:textId="031883E4" w:rsidR="005A2D59" w:rsidRPr="00062207" w:rsidRDefault="005A2D59" w:rsidP="005A2D59">
            <w:pPr>
              <w:rPr>
                <w:rFonts w:ascii="Times New Roman" w:eastAsia="Times New Roman" w:hAnsi="Times New Roman" w:cs="Times New Roman"/>
                <w:b/>
                <w:bCs/>
                <w:sz w:val="20"/>
                <w:szCs w:val="22"/>
                <w:lang w:val="es-GT" w:eastAsia="es-GT"/>
              </w:rPr>
            </w:pPr>
            <w:r w:rsidRPr="00062207">
              <w:rPr>
                <w:rFonts w:ascii="Times New Roman" w:eastAsia="Times New Roman" w:hAnsi="Times New Roman" w:cs="Times New Roman"/>
                <w:b/>
                <w:bCs/>
                <w:sz w:val="20"/>
                <w:szCs w:val="22"/>
                <w:lang w:val="es-GT" w:eastAsia="es-GT"/>
              </w:rPr>
              <w:t>Banco Centroamericano de Integración Económica (BCIE)</w:t>
            </w:r>
          </w:p>
        </w:tc>
        <w:tc>
          <w:tcPr>
            <w:tcW w:w="2140" w:type="dxa"/>
            <w:tcBorders>
              <w:top w:val="nil"/>
              <w:left w:val="nil"/>
              <w:bottom w:val="dotted" w:sz="4" w:space="0" w:color="auto"/>
              <w:right w:val="single" w:sz="8" w:space="0" w:color="auto"/>
            </w:tcBorders>
            <w:shd w:val="clear" w:color="000000" w:fill="B8CCE4"/>
            <w:noWrap/>
            <w:vAlign w:val="center"/>
            <w:hideMark/>
          </w:tcPr>
          <w:p w14:paraId="12B9ED9E" w14:textId="77777777" w:rsidR="005A2D59" w:rsidRPr="00062207" w:rsidRDefault="005A2D59" w:rsidP="005A2D59">
            <w:pPr>
              <w:jc w:val="center"/>
              <w:rPr>
                <w:rFonts w:ascii="Times New Roman" w:eastAsia="Times New Roman" w:hAnsi="Times New Roman" w:cs="Times New Roman"/>
                <w:b/>
                <w:bCs/>
                <w:sz w:val="20"/>
                <w:szCs w:val="22"/>
                <w:lang w:val="es-GT" w:eastAsia="es-GT"/>
              </w:rPr>
            </w:pPr>
            <w:r w:rsidRPr="00062207">
              <w:rPr>
                <w:rFonts w:ascii="Times New Roman" w:eastAsia="Times New Roman" w:hAnsi="Times New Roman" w:cs="Times New Roman"/>
                <w:b/>
                <w:bCs/>
                <w:sz w:val="20"/>
                <w:szCs w:val="22"/>
                <w:lang w:val="es-GT" w:eastAsia="es-GT"/>
              </w:rPr>
              <w:t>215.9</w:t>
            </w:r>
          </w:p>
        </w:tc>
      </w:tr>
      <w:tr w:rsidR="00062207" w:rsidRPr="00062207" w14:paraId="119D96DB" w14:textId="77777777" w:rsidTr="005A2D59">
        <w:trPr>
          <w:trHeight w:val="407"/>
          <w:jc w:val="center"/>
        </w:trPr>
        <w:tc>
          <w:tcPr>
            <w:tcW w:w="6040" w:type="dxa"/>
            <w:tcBorders>
              <w:top w:val="nil"/>
              <w:left w:val="single" w:sz="8" w:space="0" w:color="auto"/>
              <w:bottom w:val="dotted" w:sz="4" w:space="0" w:color="auto"/>
              <w:right w:val="single" w:sz="8" w:space="0" w:color="auto"/>
            </w:tcBorders>
            <w:shd w:val="clear" w:color="000000" w:fill="FFFFFF"/>
            <w:vAlign w:val="center"/>
            <w:hideMark/>
          </w:tcPr>
          <w:p w14:paraId="2A87C1CE" w14:textId="77777777" w:rsidR="005A2D59" w:rsidRPr="00062207" w:rsidRDefault="005A2D59" w:rsidP="005A2D59">
            <w:pPr>
              <w:ind w:firstLineChars="200" w:firstLine="400"/>
              <w:rPr>
                <w:rFonts w:ascii="Times New Roman" w:eastAsia="Times New Roman" w:hAnsi="Times New Roman" w:cs="Times New Roman"/>
                <w:sz w:val="20"/>
                <w:szCs w:val="22"/>
                <w:lang w:val="es-GT" w:eastAsia="es-GT"/>
              </w:rPr>
            </w:pPr>
            <w:r w:rsidRPr="00062207">
              <w:rPr>
                <w:rFonts w:ascii="Times New Roman" w:eastAsia="Times New Roman" w:hAnsi="Times New Roman" w:cs="Times New Roman"/>
                <w:sz w:val="20"/>
                <w:szCs w:val="22"/>
                <w:lang w:val="es-GT" w:eastAsia="es-GT"/>
              </w:rPr>
              <w:t>Programa de inversión y modernización para el sector justicia</w:t>
            </w:r>
          </w:p>
        </w:tc>
        <w:tc>
          <w:tcPr>
            <w:tcW w:w="2140" w:type="dxa"/>
            <w:tcBorders>
              <w:top w:val="nil"/>
              <w:left w:val="nil"/>
              <w:bottom w:val="dotted" w:sz="4" w:space="0" w:color="auto"/>
              <w:right w:val="single" w:sz="8" w:space="0" w:color="auto"/>
            </w:tcBorders>
            <w:shd w:val="clear" w:color="000000" w:fill="FFFFFF"/>
            <w:noWrap/>
            <w:vAlign w:val="center"/>
            <w:hideMark/>
          </w:tcPr>
          <w:p w14:paraId="3522C2F2" w14:textId="77777777" w:rsidR="005A2D59" w:rsidRPr="00062207" w:rsidRDefault="005A2D59" w:rsidP="005A2D59">
            <w:pPr>
              <w:jc w:val="center"/>
              <w:rPr>
                <w:rFonts w:ascii="Times New Roman" w:eastAsia="Times New Roman" w:hAnsi="Times New Roman" w:cs="Times New Roman"/>
                <w:sz w:val="20"/>
                <w:szCs w:val="22"/>
                <w:lang w:val="es-GT" w:eastAsia="es-GT"/>
              </w:rPr>
            </w:pPr>
            <w:r w:rsidRPr="00062207">
              <w:rPr>
                <w:rFonts w:ascii="Times New Roman" w:eastAsia="Times New Roman" w:hAnsi="Times New Roman" w:cs="Times New Roman"/>
                <w:sz w:val="20"/>
                <w:szCs w:val="22"/>
                <w:lang w:val="es-GT" w:eastAsia="es-GT"/>
              </w:rPr>
              <w:t>215.9</w:t>
            </w:r>
          </w:p>
        </w:tc>
      </w:tr>
      <w:tr w:rsidR="00062207" w:rsidRPr="00062207" w14:paraId="454F37F0" w14:textId="77777777" w:rsidTr="005A2D59">
        <w:trPr>
          <w:trHeight w:val="300"/>
          <w:jc w:val="center"/>
        </w:trPr>
        <w:tc>
          <w:tcPr>
            <w:tcW w:w="6040" w:type="dxa"/>
            <w:tcBorders>
              <w:top w:val="nil"/>
              <w:left w:val="single" w:sz="8" w:space="0" w:color="auto"/>
              <w:bottom w:val="dotted" w:sz="4" w:space="0" w:color="auto"/>
              <w:right w:val="single" w:sz="8" w:space="0" w:color="auto"/>
            </w:tcBorders>
            <w:shd w:val="clear" w:color="000000" w:fill="B8CCE4"/>
            <w:noWrap/>
            <w:vAlign w:val="center"/>
            <w:hideMark/>
          </w:tcPr>
          <w:p w14:paraId="65B11A56" w14:textId="77777777" w:rsidR="005A2D59" w:rsidRPr="00062207" w:rsidRDefault="005A2D59" w:rsidP="005A2D59">
            <w:pPr>
              <w:rPr>
                <w:rFonts w:ascii="Times New Roman" w:eastAsia="Times New Roman" w:hAnsi="Times New Roman" w:cs="Times New Roman"/>
                <w:b/>
                <w:bCs/>
                <w:sz w:val="20"/>
                <w:szCs w:val="22"/>
                <w:lang w:val="es-GT" w:eastAsia="es-GT"/>
              </w:rPr>
            </w:pPr>
            <w:r w:rsidRPr="00062207">
              <w:rPr>
                <w:rFonts w:ascii="Times New Roman" w:eastAsia="Times New Roman" w:hAnsi="Times New Roman" w:cs="Times New Roman"/>
                <w:b/>
                <w:bCs/>
                <w:sz w:val="20"/>
                <w:szCs w:val="22"/>
                <w:lang w:val="es-GT" w:eastAsia="es-GT"/>
              </w:rPr>
              <w:t>Banco Interamericano de Desarrollo (BID)</w:t>
            </w:r>
          </w:p>
        </w:tc>
        <w:tc>
          <w:tcPr>
            <w:tcW w:w="2140" w:type="dxa"/>
            <w:tcBorders>
              <w:top w:val="nil"/>
              <w:left w:val="nil"/>
              <w:bottom w:val="dotted" w:sz="4" w:space="0" w:color="auto"/>
              <w:right w:val="single" w:sz="8" w:space="0" w:color="auto"/>
            </w:tcBorders>
            <w:shd w:val="clear" w:color="000000" w:fill="B8CCE4"/>
            <w:noWrap/>
            <w:vAlign w:val="center"/>
            <w:hideMark/>
          </w:tcPr>
          <w:p w14:paraId="564C39B8" w14:textId="77777777" w:rsidR="005A2D59" w:rsidRPr="00062207" w:rsidRDefault="005A2D59" w:rsidP="005A2D59">
            <w:pPr>
              <w:jc w:val="center"/>
              <w:rPr>
                <w:rFonts w:ascii="Times New Roman" w:eastAsia="Times New Roman" w:hAnsi="Times New Roman" w:cs="Times New Roman"/>
                <w:b/>
                <w:bCs/>
                <w:sz w:val="20"/>
                <w:szCs w:val="22"/>
                <w:lang w:val="es-GT" w:eastAsia="es-GT"/>
              </w:rPr>
            </w:pPr>
            <w:r w:rsidRPr="00062207">
              <w:rPr>
                <w:rFonts w:ascii="Times New Roman" w:eastAsia="Times New Roman" w:hAnsi="Times New Roman" w:cs="Times New Roman"/>
                <w:b/>
                <w:bCs/>
                <w:sz w:val="20"/>
                <w:szCs w:val="22"/>
                <w:lang w:val="es-GT" w:eastAsia="es-GT"/>
              </w:rPr>
              <w:t>32.5</w:t>
            </w:r>
          </w:p>
        </w:tc>
      </w:tr>
      <w:tr w:rsidR="00062207" w:rsidRPr="00062207" w14:paraId="4DCFA83D" w14:textId="77777777" w:rsidTr="005A2D59">
        <w:trPr>
          <w:trHeight w:val="600"/>
          <w:jc w:val="center"/>
        </w:trPr>
        <w:tc>
          <w:tcPr>
            <w:tcW w:w="6040" w:type="dxa"/>
            <w:tcBorders>
              <w:top w:val="nil"/>
              <w:left w:val="single" w:sz="8" w:space="0" w:color="auto"/>
              <w:bottom w:val="dotted" w:sz="4" w:space="0" w:color="auto"/>
              <w:right w:val="single" w:sz="8" w:space="0" w:color="auto"/>
            </w:tcBorders>
            <w:shd w:val="clear" w:color="000000" w:fill="FFFFFF"/>
            <w:vAlign w:val="center"/>
            <w:hideMark/>
          </w:tcPr>
          <w:p w14:paraId="0B21C1D7" w14:textId="708D4F21" w:rsidR="005A2D59" w:rsidRPr="00062207" w:rsidRDefault="005A2D59" w:rsidP="005A2D59">
            <w:pPr>
              <w:ind w:firstLineChars="200" w:firstLine="400"/>
              <w:rPr>
                <w:rFonts w:ascii="Times New Roman" w:eastAsia="Times New Roman" w:hAnsi="Times New Roman" w:cs="Times New Roman"/>
                <w:sz w:val="20"/>
                <w:szCs w:val="22"/>
                <w:lang w:val="es-GT" w:eastAsia="es-GT"/>
              </w:rPr>
            </w:pPr>
            <w:r w:rsidRPr="00062207">
              <w:rPr>
                <w:rFonts w:ascii="Times New Roman" w:eastAsia="Times New Roman" w:hAnsi="Times New Roman" w:cs="Times New Roman"/>
                <w:sz w:val="20"/>
                <w:szCs w:val="22"/>
                <w:lang w:val="es-GT" w:eastAsia="es-GT"/>
              </w:rPr>
              <w:t>Programa de agua potable y saneamiento para el desarrollo humano ……(fase I)</w:t>
            </w:r>
          </w:p>
        </w:tc>
        <w:tc>
          <w:tcPr>
            <w:tcW w:w="2140" w:type="dxa"/>
            <w:tcBorders>
              <w:top w:val="nil"/>
              <w:left w:val="nil"/>
              <w:bottom w:val="dotted" w:sz="4" w:space="0" w:color="auto"/>
              <w:right w:val="single" w:sz="8" w:space="0" w:color="auto"/>
            </w:tcBorders>
            <w:shd w:val="clear" w:color="000000" w:fill="FFFFFF"/>
            <w:noWrap/>
            <w:vAlign w:val="center"/>
            <w:hideMark/>
          </w:tcPr>
          <w:p w14:paraId="29160BCE" w14:textId="77777777" w:rsidR="005A2D59" w:rsidRPr="00062207" w:rsidRDefault="005A2D59" w:rsidP="005A2D59">
            <w:pPr>
              <w:jc w:val="center"/>
              <w:rPr>
                <w:rFonts w:ascii="Times New Roman" w:eastAsia="Times New Roman" w:hAnsi="Times New Roman" w:cs="Times New Roman"/>
                <w:sz w:val="20"/>
                <w:szCs w:val="22"/>
                <w:lang w:val="es-GT" w:eastAsia="es-GT"/>
              </w:rPr>
            </w:pPr>
            <w:r w:rsidRPr="00062207">
              <w:rPr>
                <w:rFonts w:ascii="Times New Roman" w:eastAsia="Times New Roman" w:hAnsi="Times New Roman" w:cs="Times New Roman"/>
                <w:sz w:val="20"/>
                <w:szCs w:val="22"/>
                <w:lang w:val="es-GT" w:eastAsia="es-GT"/>
              </w:rPr>
              <w:t>32.5</w:t>
            </w:r>
          </w:p>
        </w:tc>
      </w:tr>
      <w:tr w:rsidR="00062207" w:rsidRPr="00062207" w14:paraId="7AE97035" w14:textId="77777777" w:rsidTr="005A2D59">
        <w:trPr>
          <w:trHeight w:val="300"/>
          <w:jc w:val="center"/>
        </w:trPr>
        <w:tc>
          <w:tcPr>
            <w:tcW w:w="6040" w:type="dxa"/>
            <w:tcBorders>
              <w:top w:val="nil"/>
              <w:left w:val="single" w:sz="8" w:space="0" w:color="auto"/>
              <w:bottom w:val="dotted" w:sz="4" w:space="0" w:color="auto"/>
              <w:right w:val="single" w:sz="8" w:space="0" w:color="auto"/>
            </w:tcBorders>
            <w:shd w:val="clear" w:color="000000" w:fill="B8CCE4"/>
            <w:noWrap/>
            <w:vAlign w:val="center"/>
            <w:hideMark/>
          </w:tcPr>
          <w:p w14:paraId="32761429" w14:textId="52B94DFF" w:rsidR="005A2D59" w:rsidRPr="00062207" w:rsidRDefault="005A2D59" w:rsidP="005A2D59">
            <w:pPr>
              <w:rPr>
                <w:rFonts w:ascii="Times New Roman" w:eastAsia="Times New Roman" w:hAnsi="Times New Roman" w:cs="Times New Roman"/>
                <w:b/>
                <w:bCs/>
                <w:sz w:val="20"/>
                <w:szCs w:val="22"/>
                <w:lang w:val="es-GT" w:eastAsia="es-GT"/>
              </w:rPr>
            </w:pPr>
            <w:r w:rsidRPr="00062207">
              <w:rPr>
                <w:rFonts w:ascii="Times New Roman" w:eastAsia="Times New Roman" w:hAnsi="Times New Roman" w:cs="Times New Roman"/>
                <w:b/>
                <w:bCs/>
                <w:sz w:val="20"/>
                <w:szCs w:val="22"/>
                <w:lang w:val="es-GT" w:eastAsia="es-GT"/>
              </w:rPr>
              <w:t>Banco Internacional de Reconstrucción y Fomento (BIRF)</w:t>
            </w:r>
          </w:p>
        </w:tc>
        <w:tc>
          <w:tcPr>
            <w:tcW w:w="2140" w:type="dxa"/>
            <w:tcBorders>
              <w:top w:val="nil"/>
              <w:left w:val="nil"/>
              <w:bottom w:val="dotted" w:sz="4" w:space="0" w:color="auto"/>
              <w:right w:val="single" w:sz="8" w:space="0" w:color="auto"/>
            </w:tcBorders>
            <w:shd w:val="clear" w:color="000000" w:fill="B8CCE4"/>
            <w:noWrap/>
            <w:vAlign w:val="center"/>
            <w:hideMark/>
          </w:tcPr>
          <w:p w14:paraId="76F0473A" w14:textId="77777777" w:rsidR="005A2D59" w:rsidRPr="00062207" w:rsidRDefault="005A2D59" w:rsidP="005A2D59">
            <w:pPr>
              <w:jc w:val="center"/>
              <w:rPr>
                <w:rFonts w:ascii="Times New Roman" w:eastAsia="Times New Roman" w:hAnsi="Times New Roman" w:cs="Times New Roman"/>
                <w:b/>
                <w:bCs/>
                <w:sz w:val="20"/>
                <w:szCs w:val="22"/>
                <w:lang w:val="es-GT" w:eastAsia="es-GT"/>
              </w:rPr>
            </w:pPr>
            <w:r w:rsidRPr="00062207">
              <w:rPr>
                <w:rFonts w:ascii="Times New Roman" w:eastAsia="Times New Roman" w:hAnsi="Times New Roman" w:cs="Times New Roman"/>
                <w:b/>
                <w:bCs/>
                <w:sz w:val="20"/>
                <w:szCs w:val="22"/>
                <w:lang w:val="es-GT" w:eastAsia="es-GT"/>
              </w:rPr>
              <w:t>87.3</w:t>
            </w:r>
          </w:p>
        </w:tc>
      </w:tr>
      <w:tr w:rsidR="00062207" w:rsidRPr="00062207" w14:paraId="25169BFA" w14:textId="77777777" w:rsidTr="005A2D59">
        <w:trPr>
          <w:trHeight w:val="445"/>
          <w:jc w:val="center"/>
        </w:trPr>
        <w:tc>
          <w:tcPr>
            <w:tcW w:w="6040" w:type="dxa"/>
            <w:tcBorders>
              <w:top w:val="nil"/>
              <w:left w:val="single" w:sz="8" w:space="0" w:color="auto"/>
              <w:bottom w:val="dotted" w:sz="4" w:space="0" w:color="auto"/>
              <w:right w:val="single" w:sz="8" w:space="0" w:color="auto"/>
            </w:tcBorders>
            <w:shd w:val="clear" w:color="000000" w:fill="FFFFFF"/>
            <w:vAlign w:val="center"/>
            <w:hideMark/>
          </w:tcPr>
          <w:p w14:paraId="68829012" w14:textId="77777777" w:rsidR="005A2D59" w:rsidRPr="00062207" w:rsidRDefault="005A2D59" w:rsidP="005A2D59">
            <w:pPr>
              <w:ind w:firstLineChars="200" w:firstLine="400"/>
              <w:rPr>
                <w:rFonts w:ascii="Times New Roman" w:eastAsia="Times New Roman" w:hAnsi="Times New Roman" w:cs="Times New Roman"/>
                <w:sz w:val="20"/>
                <w:szCs w:val="22"/>
                <w:lang w:val="es-GT" w:eastAsia="es-GT"/>
              </w:rPr>
            </w:pPr>
            <w:r w:rsidRPr="00062207">
              <w:rPr>
                <w:rFonts w:ascii="Times New Roman" w:eastAsia="Times New Roman" w:hAnsi="Times New Roman" w:cs="Times New Roman"/>
                <w:sz w:val="20"/>
                <w:szCs w:val="22"/>
                <w:lang w:eastAsia="es-GT"/>
              </w:rPr>
              <w:t>Crecer sano: Proyecto de Nutrición y Salud en Guatemala</w:t>
            </w:r>
          </w:p>
        </w:tc>
        <w:tc>
          <w:tcPr>
            <w:tcW w:w="2140" w:type="dxa"/>
            <w:tcBorders>
              <w:top w:val="nil"/>
              <w:left w:val="nil"/>
              <w:bottom w:val="dotted" w:sz="4" w:space="0" w:color="auto"/>
              <w:right w:val="single" w:sz="8" w:space="0" w:color="auto"/>
            </w:tcBorders>
            <w:shd w:val="clear" w:color="000000" w:fill="FFFFFF"/>
            <w:noWrap/>
            <w:vAlign w:val="center"/>
            <w:hideMark/>
          </w:tcPr>
          <w:p w14:paraId="73DDF540" w14:textId="77777777" w:rsidR="005A2D59" w:rsidRPr="00062207" w:rsidRDefault="005A2D59" w:rsidP="005A2D59">
            <w:pPr>
              <w:jc w:val="center"/>
              <w:rPr>
                <w:rFonts w:ascii="Times New Roman" w:eastAsia="Times New Roman" w:hAnsi="Times New Roman" w:cs="Times New Roman"/>
                <w:sz w:val="20"/>
                <w:szCs w:val="22"/>
                <w:lang w:val="es-GT" w:eastAsia="es-GT"/>
              </w:rPr>
            </w:pPr>
            <w:r w:rsidRPr="00062207">
              <w:rPr>
                <w:rFonts w:ascii="Times New Roman" w:eastAsia="Times New Roman" w:hAnsi="Times New Roman" w:cs="Times New Roman"/>
                <w:sz w:val="20"/>
                <w:szCs w:val="22"/>
                <w:lang w:val="es-GT" w:eastAsia="es-GT"/>
              </w:rPr>
              <w:t>87.3</w:t>
            </w:r>
          </w:p>
        </w:tc>
      </w:tr>
      <w:tr w:rsidR="00062207" w:rsidRPr="00062207" w14:paraId="45E46354" w14:textId="77777777" w:rsidTr="005A2D59">
        <w:trPr>
          <w:trHeight w:val="300"/>
          <w:jc w:val="center"/>
        </w:trPr>
        <w:tc>
          <w:tcPr>
            <w:tcW w:w="6040" w:type="dxa"/>
            <w:tcBorders>
              <w:top w:val="nil"/>
              <w:left w:val="single" w:sz="8" w:space="0" w:color="auto"/>
              <w:bottom w:val="dotted" w:sz="4" w:space="0" w:color="auto"/>
              <w:right w:val="single" w:sz="8" w:space="0" w:color="auto"/>
            </w:tcBorders>
            <w:shd w:val="clear" w:color="000000" w:fill="B8CCE4"/>
            <w:noWrap/>
            <w:vAlign w:val="center"/>
            <w:hideMark/>
          </w:tcPr>
          <w:p w14:paraId="6F6A85E2" w14:textId="77777777" w:rsidR="005A2D59" w:rsidRPr="00062207" w:rsidRDefault="005A2D59" w:rsidP="005A2D59">
            <w:pPr>
              <w:rPr>
                <w:rFonts w:ascii="Times New Roman" w:eastAsia="Times New Roman" w:hAnsi="Times New Roman" w:cs="Times New Roman"/>
                <w:b/>
                <w:bCs/>
                <w:sz w:val="20"/>
                <w:szCs w:val="22"/>
                <w:lang w:val="es-GT" w:eastAsia="es-GT"/>
              </w:rPr>
            </w:pPr>
            <w:r w:rsidRPr="00062207">
              <w:rPr>
                <w:rFonts w:ascii="Times New Roman" w:eastAsia="Times New Roman" w:hAnsi="Times New Roman" w:cs="Times New Roman"/>
                <w:b/>
                <w:bCs/>
                <w:sz w:val="20"/>
                <w:szCs w:val="22"/>
                <w:lang w:val="es-GT" w:eastAsia="es-GT"/>
              </w:rPr>
              <w:t>Kreditanstalt Fur Wiederaufbau</w:t>
            </w:r>
          </w:p>
        </w:tc>
        <w:tc>
          <w:tcPr>
            <w:tcW w:w="2140" w:type="dxa"/>
            <w:tcBorders>
              <w:top w:val="nil"/>
              <w:left w:val="nil"/>
              <w:bottom w:val="dotted" w:sz="4" w:space="0" w:color="auto"/>
              <w:right w:val="single" w:sz="8" w:space="0" w:color="auto"/>
            </w:tcBorders>
            <w:shd w:val="clear" w:color="000000" w:fill="B8CCE4"/>
            <w:noWrap/>
            <w:vAlign w:val="center"/>
            <w:hideMark/>
          </w:tcPr>
          <w:p w14:paraId="649F148D" w14:textId="77777777" w:rsidR="005A2D59" w:rsidRPr="00062207" w:rsidRDefault="005A2D59" w:rsidP="005A2D59">
            <w:pPr>
              <w:jc w:val="center"/>
              <w:rPr>
                <w:rFonts w:ascii="Times New Roman" w:eastAsia="Times New Roman" w:hAnsi="Times New Roman" w:cs="Times New Roman"/>
                <w:b/>
                <w:bCs/>
                <w:sz w:val="20"/>
                <w:szCs w:val="22"/>
                <w:lang w:val="es-GT" w:eastAsia="es-GT"/>
              </w:rPr>
            </w:pPr>
            <w:r w:rsidRPr="00062207">
              <w:rPr>
                <w:rFonts w:ascii="Times New Roman" w:eastAsia="Times New Roman" w:hAnsi="Times New Roman" w:cs="Times New Roman"/>
                <w:b/>
                <w:bCs/>
                <w:sz w:val="20"/>
                <w:szCs w:val="22"/>
                <w:lang w:val="es-GT" w:eastAsia="es-GT"/>
              </w:rPr>
              <w:t>5.0</w:t>
            </w:r>
          </w:p>
        </w:tc>
      </w:tr>
      <w:tr w:rsidR="00062207" w:rsidRPr="00062207" w14:paraId="7B5E990C" w14:textId="77777777" w:rsidTr="005A2D59">
        <w:trPr>
          <w:trHeight w:val="399"/>
          <w:jc w:val="center"/>
        </w:trPr>
        <w:tc>
          <w:tcPr>
            <w:tcW w:w="6040" w:type="dxa"/>
            <w:tcBorders>
              <w:top w:val="nil"/>
              <w:left w:val="single" w:sz="8" w:space="0" w:color="auto"/>
              <w:bottom w:val="single" w:sz="8" w:space="0" w:color="auto"/>
              <w:right w:val="single" w:sz="8" w:space="0" w:color="auto"/>
            </w:tcBorders>
            <w:shd w:val="clear" w:color="000000" w:fill="FFFFFF"/>
            <w:vAlign w:val="center"/>
            <w:hideMark/>
          </w:tcPr>
          <w:p w14:paraId="65C35BE3" w14:textId="77777777" w:rsidR="005A2D59" w:rsidRPr="00062207" w:rsidRDefault="005A2D59" w:rsidP="005A2D59">
            <w:pPr>
              <w:ind w:firstLineChars="200" w:firstLine="400"/>
              <w:rPr>
                <w:rFonts w:ascii="Times New Roman" w:eastAsia="Times New Roman" w:hAnsi="Times New Roman" w:cs="Times New Roman"/>
                <w:sz w:val="20"/>
                <w:szCs w:val="22"/>
                <w:lang w:val="es-GT" w:eastAsia="es-GT"/>
              </w:rPr>
            </w:pPr>
            <w:r w:rsidRPr="00062207">
              <w:rPr>
                <w:rFonts w:ascii="Times New Roman" w:eastAsia="Times New Roman" w:hAnsi="Times New Roman" w:cs="Times New Roman"/>
                <w:sz w:val="20"/>
                <w:szCs w:val="22"/>
                <w:lang w:eastAsia="es-GT"/>
              </w:rPr>
              <w:t>Proyecto de Educación Rural V (PROEDUC V)</w:t>
            </w:r>
          </w:p>
        </w:tc>
        <w:tc>
          <w:tcPr>
            <w:tcW w:w="2140" w:type="dxa"/>
            <w:tcBorders>
              <w:top w:val="nil"/>
              <w:left w:val="nil"/>
              <w:bottom w:val="single" w:sz="8" w:space="0" w:color="auto"/>
              <w:right w:val="single" w:sz="8" w:space="0" w:color="auto"/>
            </w:tcBorders>
            <w:shd w:val="clear" w:color="000000" w:fill="FFFFFF"/>
            <w:noWrap/>
            <w:vAlign w:val="center"/>
            <w:hideMark/>
          </w:tcPr>
          <w:p w14:paraId="12A91385" w14:textId="77777777" w:rsidR="005A2D59" w:rsidRPr="00062207" w:rsidRDefault="005A2D59" w:rsidP="005A2D59">
            <w:pPr>
              <w:jc w:val="center"/>
              <w:rPr>
                <w:rFonts w:ascii="Times New Roman" w:eastAsia="Times New Roman" w:hAnsi="Times New Roman" w:cs="Times New Roman"/>
                <w:sz w:val="20"/>
                <w:szCs w:val="22"/>
                <w:lang w:val="es-GT" w:eastAsia="es-GT"/>
              </w:rPr>
            </w:pPr>
            <w:r w:rsidRPr="00062207">
              <w:rPr>
                <w:rFonts w:ascii="Times New Roman" w:eastAsia="Times New Roman" w:hAnsi="Times New Roman" w:cs="Times New Roman"/>
                <w:sz w:val="20"/>
                <w:szCs w:val="22"/>
                <w:lang w:val="es-GT" w:eastAsia="es-GT"/>
              </w:rPr>
              <w:t>5.0</w:t>
            </w:r>
          </w:p>
        </w:tc>
      </w:tr>
    </w:tbl>
    <w:p w14:paraId="101CE9DE" w14:textId="77777777" w:rsidR="002D48F3" w:rsidRPr="00062207" w:rsidRDefault="002D48F3" w:rsidP="00A963D6">
      <w:pPr>
        <w:pStyle w:val="Textoindependiente"/>
        <w:spacing w:after="0"/>
        <w:ind w:firstLine="708"/>
        <w:rPr>
          <w:rFonts w:ascii="Times New Roman" w:hAnsi="Times New Roman"/>
          <w:sz w:val="18"/>
          <w:szCs w:val="24"/>
        </w:rPr>
      </w:pPr>
      <w:r w:rsidRPr="00062207">
        <w:rPr>
          <w:rFonts w:ascii="Times New Roman" w:hAnsi="Times New Roman"/>
          <w:sz w:val="18"/>
          <w:szCs w:val="24"/>
        </w:rPr>
        <w:t>Fuente: Dirección de Análisis y Política Fiscal</w:t>
      </w:r>
    </w:p>
    <w:p w14:paraId="4044B1F4" w14:textId="77777777" w:rsidR="002D48F3" w:rsidRPr="00062207" w:rsidRDefault="002D48F3" w:rsidP="002D48F3">
      <w:pPr>
        <w:jc w:val="both"/>
        <w:rPr>
          <w:rFonts w:ascii="Times New Roman" w:hAnsi="Times New Roman" w:cs="Times New Roman"/>
        </w:rPr>
      </w:pPr>
    </w:p>
    <w:p w14:paraId="266BC259" w14:textId="7A52D06C" w:rsidR="002D48F3" w:rsidRPr="00062207" w:rsidRDefault="002D48F3" w:rsidP="002D48F3">
      <w:pPr>
        <w:jc w:val="both"/>
        <w:rPr>
          <w:rFonts w:ascii="Times New Roman" w:hAnsi="Times New Roman" w:cs="Times New Roman"/>
          <w:sz w:val="22"/>
          <w:szCs w:val="22"/>
        </w:rPr>
      </w:pPr>
      <w:r w:rsidRPr="00062207">
        <w:rPr>
          <w:rFonts w:ascii="Times New Roman" w:hAnsi="Times New Roman" w:cs="Times New Roman"/>
          <w:sz w:val="22"/>
          <w:szCs w:val="22"/>
        </w:rPr>
        <w:t xml:space="preserve">El nivel de desembolsos de préstamos externos estuvo por </w:t>
      </w:r>
      <w:r w:rsidR="00E06FE0" w:rsidRPr="00062207">
        <w:rPr>
          <w:rFonts w:ascii="Times New Roman" w:hAnsi="Times New Roman" w:cs="Times New Roman"/>
          <w:sz w:val="22"/>
          <w:szCs w:val="22"/>
        </w:rPr>
        <w:t>abajo</w:t>
      </w:r>
      <w:r w:rsidRPr="00062207">
        <w:rPr>
          <w:rFonts w:ascii="Times New Roman" w:hAnsi="Times New Roman" w:cs="Times New Roman"/>
          <w:sz w:val="22"/>
          <w:szCs w:val="22"/>
        </w:rPr>
        <w:t xml:space="preserve"> de las amortizaciones,</w:t>
      </w:r>
      <w:r w:rsidR="00E06FE0" w:rsidRPr="00062207">
        <w:rPr>
          <w:rFonts w:ascii="Times New Roman" w:hAnsi="Times New Roman" w:cs="Times New Roman"/>
          <w:sz w:val="22"/>
          <w:szCs w:val="22"/>
        </w:rPr>
        <w:t xml:space="preserve"> las cuales alcanzaron un nivel de Q2,939.9 millones, por lo tanto, los préstamos netos fueron negativos en Q2,496.2 millones, pero dada la colocación del eurobono, </w:t>
      </w:r>
      <w:r w:rsidRPr="00062207">
        <w:rPr>
          <w:rFonts w:ascii="Times New Roman" w:hAnsi="Times New Roman" w:cs="Times New Roman"/>
          <w:sz w:val="22"/>
          <w:szCs w:val="22"/>
        </w:rPr>
        <w:t>e</w:t>
      </w:r>
      <w:r w:rsidR="00E06FE0" w:rsidRPr="00062207">
        <w:rPr>
          <w:rFonts w:ascii="Times New Roman" w:hAnsi="Times New Roman" w:cs="Times New Roman"/>
          <w:sz w:val="22"/>
          <w:szCs w:val="22"/>
        </w:rPr>
        <w:t>l financiamiento externo neto,</w:t>
      </w:r>
      <w:r w:rsidRPr="00062207">
        <w:rPr>
          <w:rFonts w:ascii="Times New Roman" w:hAnsi="Times New Roman" w:cs="Times New Roman"/>
          <w:sz w:val="22"/>
          <w:szCs w:val="22"/>
        </w:rPr>
        <w:t xml:space="preserve"> fue positiva en Q</w:t>
      </w:r>
      <w:r w:rsidR="00E06FE0" w:rsidRPr="00062207">
        <w:rPr>
          <w:rFonts w:ascii="Times New Roman" w:hAnsi="Times New Roman" w:cs="Times New Roman"/>
          <w:sz w:val="22"/>
          <w:szCs w:val="22"/>
        </w:rPr>
        <w:t xml:space="preserve"> 5</w:t>
      </w:r>
      <w:r w:rsidRPr="00062207">
        <w:rPr>
          <w:rFonts w:ascii="Times New Roman" w:hAnsi="Times New Roman" w:cs="Times New Roman"/>
          <w:sz w:val="22"/>
          <w:szCs w:val="22"/>
        </w:rPr>
        <w:t>,</w:t>
      </w:r>
      <w:r w:rsidR="00E06FE0" w:rsidRPr="00062207">
        <w:rPr>
          <w:rFonts w:ascii="Times New Roman" w:hAnsi="Times New Roman" w:cs="Times New Roman"/>
          <w:sz w:val="22"/>
          <w:szCs w:val="22"/>
        </w:rPr>
        <w:t>235</w:t>
      </w:r>
      <w:r w:rsidRPr="00062207">
        <w:rPr>
          <w:rFonts w:ascii="Times New Roman" w:hAnsi="Times New Roman" w:cs="Times New Roman"/>
          <w:sz w:val="22"/>
          <w:szCs w:val="22"/>
        </w:rPr>
        <w:t>.9 millones.</w:t>
      </w:r>
    </w:p>
    <w:p w14:paraId="0F0B889B" w14:textId="77777777" w:rsidR="002D48F3" w:rsidRPr="00062207" w:rsidRDefault="002D48F3" w:rsidP="002D48F3">
      <w:pPr>
        <w:jc w:val="both"/>
        <w:rPr>
          <w:rFonts w:ascii="Times New Roman" w:hAnsi="Times New Roman" w:cs="Times New Roman"/>
          <w:sz w:val="22"/>
          <w:szCs w:val="22"/>
        </w:rPr>
      </w:pPr>
      <w:r w:rsidRPr="00062207">
        <w:rPr>
          <w:rFonts w:ascii="Times New Roman" w:hAnsi="Times New Roman" w:cs="Times New Roman"/>
          <w:sz w:val="22"/>
          <w:szCs w:val="22"/>
        </w:rPr>
        <w:t xml:space="preserve"> </w:t>
      </w:r>
    </w:p>
    <w:p w14:paraId="761803C9" w14:textId="77777777" w:rsidR="001030D1" w:rsidRPr="00062207" w:rsidRDefault="001030D1" w:rsidP="001030D1">
      <w:pPr>
        <w:pStyle w:val="Sinespaciado"/>
        <w:jc w:val="both"/>
        <w:rPr>
          <w:rFonts w:ascii="Times New Roman" w:hAnsi="Times New Roman" w:cs="Times New Roman"/>
        </w:rPr>
      </w:pPr>
      <w:bookmarkStart w:id="232" w:name="_Toc62724296"/>
      <w:r w:rsidRPr="00062207">
        <w:rPr>
          <w:rFonts w:ascii="Times New Roman" w:hAnsi="Times New Roman" w:cs="Times New Roman"/>
        </w:rPr>
        <w:t>Dado que el financiamiento mediante endeudamiento fue suficiente para cubrir el déficit resultante en 2021 y por la buena dinámica de los ingresos tributarios, la variación estimada de caja se sitúo en Q11,880.4 millones, dichos recursos servirán para financiar las presiones de gasto durante 2022, como se estableció en el presupuesto aprobado para dicho año.</w:t>
      </w:r>
    </w:p>
    <w:p w14:paraId="2E6EF98A" w14:textId="1011C2C4" w:rsidR="003D2A2A" w:rsidRPr="00062207" w:rsidRDefault="003D2A2A" w:rsidP="00A963D6">
      <w:pPr>
        <w:rPr>
          <w:rFonts w:ascii="Times New Roman" w:hAnsi="Times New Roman" w:cs="Times New Roman"/>
          <w:b/>
          <w:bCs/>
          <w:sz w:val="22"/>
          <w:lang w:val="es-GT"/>
        </w:rPr>
      </w:pPr>
    </w:p>
    <w:p w14:paraId="14698F74" w14:textId="354A26E3" w:rsidR="00D16D34" w:rsidRPr="00062207" w:rsidRDefault="00351803" w:rsidP="00A963D6">
      <w:pPr>
        <w:pStyle w:val="Ttulo2"/>
        <w:spacing w:before="0"/>
        <w:ind w:left="567" w:hanging="283"/>
        <w:rPr>
          <w:rFonts w:ascii="Times New Roman" w:hAnsi="Times New Roman" w:cs="Times New Roman"/>
          <w:b w:val="0"/>
          <w:color w:val="auto"/>
          <w:sz w:val="24"/>
          <w:lang w:val="es-MX"/>
        </w:rPr>
      </w:pPr>
      <w:bookmarkStart w:id="233" w:name="_Toc94259647"/>
      <w:r w:rsidRPr="00062207">
        <w:rPr>
          <w:rFonts w:ascii="Times New Roman" w:hAnsi="Times New Roman" w:cs="Times New Roman"/>
          <w:color w:val="auto"/>
          <w:sz w:val="24"/>
          <w:lang w:val="es-MX"/>
        </w:rPr>
        <w:t xml:space="preserve">3.2 </w:t>
      </w:r>
      <w:r w:rsidR="00D16D34" w:rsidRPr="00062207">
        <w:rPr>
          <w:rFonts w:ascii="Times New Roman" w:hAnsi="Times New Roman" w:cs="Times New Roman"/>
          <w:color w:val="auto"/>
          <w:sz w:val="24"/>
          <w:lang w:val="es-MX"/>
        </w:rPr>
        <w:t>Disminución de la deuda pública en 2021</w:t>
      </w:r>
      <w:bookmarkEnd w:id="233"/>
    </w:p>
    <w:p w14:paraId="5A9E622C" w14:textId="06E094AA" w:rsidR="00D16D34" w:rsidRPr="00062207" w:rsidRDefault="00D16D34" w:rsidP="00A963D6">
      <w:pPr>
        <w:rPr>
          <w:lang w:val="es-GT"/>
        </w:rPr>
      </w:pPr>
    </w:p>
    <w:p w14:paraId="4282CB4F" w14:textId="62386536" w:rsidR="006D42BB" w:rsidRPr="00062207" w:rsidRDefault="006D42BB" w:rsidP="00D16D34">
      <w:pPr>
        <w:jc w:val="both"/>
        <w:rPr>
          <w:rFonts w:ascii="Times New Roman" w:hAnsi="Times New Roman" w:cs="Times New Roman"/>
          <w:sz w:val="22"/>
          <w:szCs w:val="22"/>
        </w:rPr>
      </w:pPr>
      <w:r w:rsidRPr="00062207">
        <w:rPr>
          <w:rFonts w:ascii="Times New Roman" w:hAnsi="Times New Roman" w:cs="Times New Roman"/>
          <w:sz w:val="22"/>
          <w:szCs w:val="22"/>
          <w:lang w:val="es-GT"/>
        </w:rPr>
        <w:t xml:space="preserve">De acuerdo a </w:t>
      </w:r>
      <w:r w:rsidR="00D16D34" w:rsidRPr="00062207">
        <w:rPr>
          <w:rFonts w:ascii="Times New Roman" w:hAnsi="Times New Roman" w:cs="Times New Roman"/>
          <w:sz w:val="22"/>
          <w:szCs w:val="22"/>
        </w:rPr>
        <w:t xml:space="preserve">los flujos de endeudamiento que se </w:t>
      </w:r>
      <w:r w:rsidRPr="00062207">
        <w:rPr>
          <w:rFonts w:ascii="Times New Roman" w:hAnsi="Times New Roman" w:cs="Times New Roman"/>
          <w:sz w:val="22"/>
          <w:szCs w:val="22"/>
        </w:rPr>
        <w:t xml:space="preserve">dieron </w:t>
      </w:r>
      <w:r w:rsidR="00D16D34" w:rsidRPr="00062207">
        <w:rPr>
          <w:rFonts w:ascii="Times New Roman" w:hAnsi="Times New Roman" w:cs="Times New Roman"/>
          <w:sz w:val="22"/>
          <w:szCs w:val="22"/>
        </w:rPr>
        <w:t>en 202</w:t>
      </w:r>
      <w:r w:rsidRPr="00062207">
        <w:rPr>
          <w:rFonts w:ascii="Times New Roman" w:hAnsi="Times New Roman" w:cs="Times New Roman"/>
          <w:sz w:val="22"/>
          <w:szCs w:val="22"/>
        </w:rPr>
        <w:t>1</w:t>
      </w:r>
      <w:r w:rsidR="00D16D34" w:rsidRPr="00062207">
        <w:rPr>
          <w:rFonts w:ascii="Times New Roman" w:hAnsi="Times New Roman" w:cs="Times New Roman"/>
          <w:sz w:val="22"/>
          <w:szCs w:val="22"/>
        </w:rPr>
        <w:t>, se generaron cambios en el nivel del saldo de la deuda pública,</w:t>
      </w:r>
      <w:r w:rsidRPr="00062207">
        <w:rPr>
          <w:rFonts w:ascii="Times New Roman" w:hAnsi="Times New Roman" w:cs="Times New Roman"/>
          <w:sz w:val="22"/>
          <w:szCs w:val="22"/>
        </w:rPr>
        <w:t xml:space="preserve"> situándose en 30.8% del PIB</w:t>
      </w:r>
      <w:r w:rsidR="00D16D34" w:rsidRPr="00062207">
        <w:rPr>
          <w:rFonts w:ascii="Times New Roman" w:hAnsi="Times New Roman" w:cs="Times New Roman"/>
          <w:sz w:val="22"/>
          <w:szCs w:val="22"/>
        </w:rPr>
        <w:t xml:space="preserve">, </w:t>
      </w:r>
      <w:r w:rsidRPr="00062207">
        <w:rPr>
          <w:rFonts w:ascii="Times New Roman" w:hAnsi="Times New Roman" w:cs="Times New Roman"/>
          <w:sz w:val="22"/>
          <w:szCs w:val="22"/>
        </w:rPr>
        <w:t xml:space="preserve">mostrando una contracción de 0.8% del PIB respecto a lo observado en 2020 (31.6%), esto se considera positivo, dado que en 2021 se incurrió en un menor uso de fuentes de financiamiento que generan deuda para hacer frente a las obligaciones de gasto, luego que en </w:t>
      </w:r>
      <w:r w:rsidRPr="00062207">
        <w:rPr>
          <w:rFonts w:ascii="Times New Roman" w:hAnsi="Times New Roman" w:cs="Times New Roman"/>
          <w:sz w:val="22"/>
          <w:szCs w:val="22"/>
        </w:rPr>
        <w:lastRenderedPageBreak/>
        <w:t xml:space="preserve">2020 la </w:t>
      </w:r>
      <w:r w:rsidR="00D16D34" w:rsidRPr="00062207">
        <w:rPr>
          <w:rFonts w:ascii="Times New Roman" w:hAnsi="Times New Roman" w:cs="Times New Roman"/>
          <w:sz w:val="22"/>
          <w:szCs w:val="22"/>
        </w:rPr>
        <w:t>necesidad de atender la crisis ocasionada por el COVID-19</w:t>
      </w:r>
      <w:r w:rsidR="00F35856" w:rsidRPr="00062207">
        <w:rPr>
          <w:rFonts w:ascii="Times New Roman" w:hAnsi="Times New Roman" w:cs="Times New Roman"/>
          <w:sz w:val="22"/>
          <w:szCs w:val="22"/>
        </w:rPr>
        <w:t xml:space="preserve"> increment</w:t>
      </w:r>
      <w:r w:rsidR="00FD31D6" w:rsidRPr="00062207">
        <w:rPr>
          <w:rFonts w:ascii="Times New Roman" w:hAnsi="Times New Roman" w:cs="Times New Roman"/>
          <w:sz w:val="22"/>
          <w:szCs w:val="22"/>
        </w:rPr>
        <w:t>ó</w:t>
      </w:r>
      <w:r w:rsidR="00F35856" w:rsidRPr="00062207">
        <w:rPr>
          <w:rFonts w:ascii="Times New Roman" w:hAnsi="Times New Roman" w:cs="Times New Roman"/>
          <w:sz w:val="22"/>
          <w:szCs w:val="22"/>
        </w:rPr>
        <w:t xml:space="preserve"> el nivel de deuda en 5.1% del PIB.</w:t>
      </w:r>
    </w:p>
    <w:p w14:paraId="620F661C" w14:textId="77777777" w:rsidR="00F35856" w:rsidRPr="00062207" w:rsidRDefault="00F35856" w:rsidP="00D16D34">
      <w:pPr>
        <w:jc w:val="both"/>
        <w:rPr>
          <w:rFonts w:ascii="Times New Roman" w:hAnsi="Times New Roman" w:cs="Times New Roman"/>
          <w:sz w:val="22"/>
          <w:szCs w:val="22"/>
        </w:rPr>
      </w:pPr>
    </w:p>
    <w:p w14:paraId="5892410D" w14:textId="12C7F46D" w:rsidR="00D16D34" w:rsidRPr="00062207" w:rsidRDefault="00F35856" w:rsidP="00F35856">
      <w:pPr>
        <w:jc w:val="both"/>
        <w:rPr>
          <w:rFonts w:ascii="Times New Roman" w:hAnsi="Times New Roman" w:cs="Times New Roman"/>
          <w:sz w:val="22"/>
          <w:szCs w:val="22"/>
        </w:rPr>
      </w:pPr>
      <w:r w:rsidRPr="00062207">
        <w:rPr>
          <w:rFonts w:ascii="Times New Roman" w:hAnsi="Times New Roman" w:cs="Times New Roman"/>
          <w:sz w:val="22"/>
          <w:szCs w:val="22"/>
        </w:rPr>
        <w:t xml:space="preserve">La </w:t>
      </w:r>
      <w:r w:rsidR="00D16D34" w:rsidRPr="00062207">
        <w:rPr>
          <w:rFonts w:ascii="Times New Roman" w:hAnsi="Times New Roman" w:cs="Times New Roman"/>
          <w:sz w:val="22"/>
          <w:szCs w:val="22"/>
        </w:rPr>
        <w:t>posición fiscal</w:t>
      </w:r>
      <w:r w:rsidRPr="00062207">
        <w:rPr>
          <w:rFonts w:ascii="Times New Roman" w:hAnsi="Times New Roman" w:cs="Times New Roman"/>
          <w:sz w:val="22"/>
          <w:szCs w:val="22"/>
        </w:rPr>
        <w:t xml:space="preserve"> de Guatemala se encuentra lejos de encontrarse en una situación riesgosa, la deuda </w:t>
      </w:r>
      <w:r w:rsidR="001E4E19" w:rsidRPr="00062207">
        <w:rPr>
          <w:rFonts w:ascii="Times New Roman" w:hAnsi="Times New Roman" w:cs="Times New Roman"/>
          <w:sz w:val="22"/>
          <w:szCs w:val="22"/>
        </w:rPr>
        <w:t>es</w:t>
      </w:r>
      <w:r w:rsidRPr="00062207">
        <w:rPr>
          <w:rFonts w:ascii="Times New Roman" w:hAnsi="Times New Roman" w:cs="Times New Roman"/>
          <w:sz w:val="22"/>
          <w:szCs w:val="22"/>
        </w:rPr>
        <w:t xml:space="preserve"> sostenible gracias al manejo prudente que </w:t>
      </w:r>
      <w:r w:rsidR="001E4E19" w:rsidRPr="00062207">
        <w:rPr>
          <w:rFonts w:ascii="Times New Roman" w:hAnsi="Times New Roman" w:cs="Times New Roman"/>
          <w:sz w:val="22"/>
          <w:szCs w:val="22"/>
        </w:rPr>
        <w:t xml:space="preserve">se </w:t>
      </w:r>
      <w:r w:rsidRPr="00062207">
        <w:rPr>
          <w:rFonts w:ascii="Times New Roman" w:hAnsi="Times New Roman" w:cs="Times New Roman"/>
          <w:sz w:val="22"/>
          <w:szCs w:val="22"/>
        </w:rPr>
        <w:t xml:space="preserve">ha tenido </w:t>
      </w:r>
      <w:r w:rsidR="001E4E19" w:rsidRPr="00062207">
        <w:rPr>
          <w:rFonts w:ascii="Times New Roman" w:hAnsi="Times New Roman" w:cs="Times New Roman"/>
          <w:sz w:val="22"/>
          <w:szCs w:val="22"/>
        </w:rPr>
        <w:t xml:space="preserve">en </w:t>
      </w:r>
      <w:r w:rsidRPr="00062207">
        <w:rPr>
          <w:rFonts w:ascii="Times New Roman" w:hAnsi="Times New Roman" w:cs="Times New Roman"/>
          <w:sz w:val="22"/>
          <w:szCs w:val="22"/>
        </w:rPr>
        <w:t>la política fiscal. Según los organismos internacionales, para los países de ingreso medio alto con acceso al mercado de capitales como Guatemala, el máximo recomendado es de 50%-60%</w:t>
      </w:r>
      <w:r w:rsidR="00B73E2A" w:rsidRPr="00062207">
        <w:rPr>
          <w:rFonts w:ascii="Times New Roman" w:hAnsi="Times New Roman" w:cs="Times New Roman"/>
          <w:sz w:val="22"/>
          <w:szCs w:val="22"/>
        </w:rPr>
        <w:t xml:space="preserve"> del PIB</w:t>
      </w:r>
      <w:r w:rsidRPr="00062207">
        <w:rPr>
          <w:rFonts w:ascii="Times New Roman" w:hAnsi="Times New Roman" w:cs="Times New Roman"/>
          <w:sz w:val="22"/>
          <w:szCs w:val="22"/>
        </w:rPr>
        <w:t>, lo que aún le da bastante margen de maniobra y espacio</w:t>
      </w:r>
      <w:r w:rsidR="00194B84" w:rsidRPr="00062207">
        <w:rPr>
          <w:rFonts w:ascii="Times New Roman" w:hAnsi="Times New Roman" w:cs="Times New Roman"/>
          <w:sz w:val="22"/>
          <w:szCs w:val="22"/>
        </w:rPr>
        <w:t xml:space="preserve"> de endeudamiento</w:t>
      </w:r>
      <w:r w:rsidRPr="00062207">
        <w:rPr>
          <w:rFonts w:ascii="Times New Roman" w:hAnsi="Times New Roman" w:cs="Times New Roman"/>
          <w:sz w:val="22"/>
          <w:szCs w:val="22"/>
        </w:rPr>
        <w:t xml:space="preserve"> a Guatemala.</w:t>
      </w:r>
    </w:p>
    <w:p w14:paraId="7DD685E2" w14:textId="4C152CC9" w:rsidR="00CE7FEB" w:rsidRPr="00062207" w:rsidRDefault="00CE7FEB" w:rsidP="00D16D34">
      <w:pPr>
        <w:jc w:val="both"/>
        <w:rPr>
          <w:rFonts w:ascii="Times New Roman" w:hAnsi="Times New Roman" w:cs="Times New Roman"/>
          <w:sz w:val="22"/>
          <w:szCs w:val="22"/>
        </w:rPr>
      </w:pPr>
    </w:p>
    <w:p w14:paraId="7940F23E" w14:textId="78A7EE38" w:rsidR="00D16D34" w:rsidRPr="00062207" w:rsidRDefault="00F35856" w:rsidP="00D16D34">
      <w:pPr>
        <w:jc w:val="both"/>
        <w:rPr>
          <w:rFonts w:ascii="Times New Roman" w:hAnsi="Times New Roman" w:cs="Times New Roman"/>
          <w:sz w:val="22"/>
          <w:szCs w:val="22"/>
        </w:rPr>
      </w:pPr>
      <w:r w:rsidRPr="00062207">
        <w:rPr>
          <w:rFonts w:ascii="Times New Roman" w:hAnsi="Times New Roman" w:cs="Times New Roman"/>
          <w:sz w:val="22"/>
          <w:szCs w:val="22"/>
        </w:rPr>
        <w:t>E</w:t>
      </w:r>
      <w:r w:rsidR="00D16D34" w:rsidRPr="00062207">
        <w:rPr>
          <w:rFonts w:ascii="Times New Roman" w:hAnsi="Times New Roman" w:cs="Times New Roman"/>
          <w:sz w:val="22"/>
          <w:szCs w:val="22"/>
        </w:rPr>
        <w:t xml:space="preserve">l aumento en la colocación de Bonos del Tesoro en el mercado doméstico </w:t>
      </w:r>
      <w:r w:rsidRPr="00062207">
        <w:rPr>
          <w:rFonts w:ascii="Times New Roman" w:hAnsi="Times New Roman" w:cs="Times New Roman"/>
          <w:sz w:val="22"/>
          <w:szCs w:val="22"/>
        </w:rPr>
        <w:t>ha mantenido la participación de la deuda interna alta y aumentando</w:t>
      </w:r>
      <w:r w:rsidR="00D16D34" w:rsidRPr="00062207">
        <w:rPr>
          <w:rFonts w:ascii="Times New Roman" w:hAnsi="Times New Roman" w:cs="Times New Roman"/>
          <w:sz w:val="22"/>
          <w:szCs w:val="22"/>
        </w:rPr>
        <w:t xml:space="preserve"> gradualmente, situándola al cierre de 202</w:t>
      </w:r>
      <w:r w:rsidRPr="00062207">
        <w:rPr>
          <w:rFonts w:ascii="Times New Roman" w:hAnsi="Times New Roman" w:cs="Times New Roman"/>
          <w:sz w:val="22"/>
          <w:szCs w:val="22"/>
        </w:rPr>
        <w:t>1</w:t>
      </w:r>
      <w:r w:rsidR="00D16D34" w:rsidRPr="00062207">
        <w:rPr>
          <w:rFonts w:ascii="Times New Roman" w:hAnsi="Times New Roman" w:cs="Times New Roman"/>
          <w:sz w:val="22"/>
          <w:szCs w:val="22"/>
        </w:rPr>
        <w:t xml:space="preserve"> en 57.</w:t>
      </w:r>
      <w:r w:rsidRPr="00062207">
        <w:rPr>
          <w:rFonts w:ascii="Times New Roman" w:hAnsi="Times New Roman" w:cs="Times New Roman"/>
          <w:sz w:val="22"/>
          <w:szCs w:val="22"/>
        </w:rPr>
        <w:t>7</w:t>
      </w:r>
      <w:r w:rsidR="00D16D34" w:rsidRPr="00062207">
        <w:rPr>
          <w:rFonts w:ascii="Times New Roman" w:hAnsi="Times New Roman" w:cs="Times New Roman"/>
          <w:sz w:val="22"/>
          <w:szCs w:val="22"/>
        </w:rPr>
        <w:t>% del total de la deuda, mientras que la deuda externa se situó en 4</w:t>
      </w:r>
      <w:r w:rsidRPr="00062207">
        <w:rPr>
          <w:rFonts w:ascii="Times New Roman" w:hAnsi="Times New Roman" w:cs="Times New Roman"/>
          <w:sz w:val="22"/>
          <w:szCs w:val="22"/>
        </w:rPr>
        <w:t>2.3</w:t>
      </w:r>
      <w:r w:rsidR="00D16D34" w:rsidRPr="00062207">
        <w:rPr>
          <w:rFonts w:ascii="Times New Roman" w:hAnsi="Times New Roman" w:cs="Times New Roman"/>
          <w:sz w:val="22"/>
          <w:szCs w:val="22"/>
        </w:rPr>
        <w:t>%; relación que es positiva considerando que se reduce la exposición al riesgo</w:t>
      </w:r>
      <w:r w:rsidRPr="00062207">
        <w:rPr>
          <w:rFonts w:ascii="Times New Roman" w:hAnsi="Times New Roman" w:cs="Times New Roman"/>
          <w:sz w:val="22"/>
          <w:szCs w:val="22"/>
        </w:rPr>
        <w:t xml:space="preserve"> cambiario de la deuda pública, apoyando </w:t>
      </w:r>
      <w:r w:rsidR="00D16D34" w:rsidRPr="00062207">
        <w:rPr>
          <w:rFonts w:ascii="Times New Roman" w:hAnsi="Times New Roman" w:cs="Times New Roman"/>
          <w:sz w:val="22"/>
          <w:szCs w:val="22"/>
        </w:rPr>
        <w:t>la sostenibilidad de la misma en el corto y mediano plazo.</w:t>
      </w:r>
    </w:p>
    <w:p w14:paraId="4B9A3420" w14:textId="77777777" w:rsidR="00D16D34" w:rsidRPr="00062207" w:rsidRDefault="00D16D34" w:rsidP="00D16D34">
      <w:pPr>
        <w:jc w:val="both"/>
        <w:rPr>
          <w:rFonts w:ascii="Times New Roman" w:hAnsi="Times New Roman" w:cs="Times New Roman"/>
          <w:sz w:val="22"/>
          <w:szCs w:val="22"/>
        </w:rPr>
      </w:pPr>
    </w:p>
    <w:p w14:paraId="75CE9659" w14:textId="1B20233C" w:rsidR="00D16D34" w:rsidRPr="00062207" w:rsidRDefault="00194B84" w:rsidP="00D16D34">
      <w:pPr>
        <w:jc w:val="both"/>
        <w:rPr>
          <w:rFonts w:ascii="Times New Roman" w:hAnsi="Times New Roman" w:cs="Times New Roman"/>
          <w:sz w:val="22"/>
          <w:szCs w:val="22"/>
        </w:rPr>
      </w:pPr>
      <w:r w:rsidRPr="00062207">
        <w:rPr>
          <w:rFonts w:ascii="Times New Roman" w:hAnsi="Times New Roman" w:cs="Times New Roman"/>
          <w:sz w:val="22"/>
          <w:szCs w:val="22"/>
        </w:rPr>
        <w:t>Por último</w:t>
      </w:r>
      <w:r w:rsidR="00D16D34" w:rsidRPr="00062207">
        <w:rPr>
          <w:rFonts w:ascii="Times New Roman" w:hAnsi="Times New Roman" w:cs="Times New Roman"/>
          <w:sz w:val="22"/>
          <w:szCs w:val="22"/>
        </w:rPr>
        <w:t xml:space="preserve">, </w:t>
      </w:r>
      <w:r w:rsidRPr="00062207">
        <w:rPr>
          <w:rFonts w:ascii="Times New Roman" w:hAnsi="Times New Roman" w:cs="Times New Roman"/>
          <w:sz w:val="22"/>
          <w:szCs w:val="22"/>
        </w:rPr>
        <w:t>se ha mantenido en los últimos años una reducción del costo financiero de la deuda bonificada, pasando de tasas de rendimiento promedio ponderado de 9.1% en 2013 a 5.1% en 2021, mientras que en el mismo período ha crecido el plazo promedio de colocación pasando de 14.1 a 16.8 años, reduciendo</w:t>
      </w:r>
      <w:r w:rsidR="00D16D34" w:rsidRPr="00062207">
        <w:rPr>
          <w:rFonts w:ascii="Times New Roman" w:hAnsi="Times New Roman" w:cs="Times New Roman"/>
          <w:sz w:val="22"/>
          <w:szCs w:val="22"/>
        </w:rPr>
        <w:t xml:space="preserve"> el riesgo de mercado y de refinanciamiento.</w:t>
      </w:r>
    </w:p>
    <w:p w14:paraId="0A1A69F5" w14:textId="083E9F22" w:rsidR="00CE7FEB" w:rsidRPr="00062207" w:rsidRDefault="00CE7FEB" w:rsidP="00D16D34">
      <w:pPr>
        <w:jc w:val="both"/>
        <w:rPr>
          <w:rFonts w:ascii="Times New Roman" w:hAnsi="Times New Roman" w:cs="Times New Roman"/>
          <w:sz w:val="22"/>
          <w:szCs w:val="22"/>
        </w:rPr>
      </w:pPr>
    </w:p>
    <w:p w14:paraId="4A937BA7" w14:textId="77777777" w:rsidR="00D16D34" w:rsidRPr="00062207" w:rsidRDefault="00D16D34" w:rsidP="00D16D34">
      <w:pPr>
        <w:pStyle w:val="Sinespaciado"/>
        <w:jc w:val="center"/>
        <w:rPr>
          <w:rFonts w:ascii="Times New Roman" w:hAnsi="Times New Roman" w:cs="Times New Roman"/>
          <w:b/>
          <w:sz w:val="24"/>
        </w:rPr>
      </w:pPr>
      <w:r w:rsidRPr="00062207">
        <w:rPr>
          <w:rFonts w:ascii="Times New Roman" w:hAnsi="Times New Roman" w:cs="Times New Roman"/>
          <w:b/>
          <w:sz w:val="24"/>
        </w:rPr>
        <w:t>Relación Deuda/ PIB y estructura de la deuda interna y externa</w:t>
      </w:r>
    </w:p>
    <w:p w14:paraId="16FB858B" w14:textId="7788BB0E" w:rsidR="00D16D34" w:rsidRPr="00062207" w:rsidRDefault="00CE7FEB" w:rsidP="00D16D34">
      <w:pPr>
        <w:pStyle w:val="Sinespaciado"/>
        <w:jc w:val="center"/>
        <w:rPr>
          <w:rFonts w:ascii="Times New Roman" w:hAnsi="Times New Roman" w:cs="Times New Roman"/>
          <w:b/>
          <w:sz w:val="24"/>
        </w:rPr>
      </w:pPr>
      <w:r w:rsidRPr="00062207">
        <w:rPr>
          <w:rFonts w:ascii="Times New Roman" w:hAnsi="Times New Roman" w:cs="Times New Roman"/>
          <w:b/>
          <w:sz w:val="24"/>
        </w:rPr>
        <w:t>2015 - 2021</w:t>
      </w:r>
    </w:p>
    <w:p w14:paraId="4A3EF119" w14:textId="77777777" w:rsidR="00D16D34" w:rsidRPr="00062207" w:rsidRDefault="00D16D34" w:rsidP="00D16D34">
      <w:pPr>
        <w:jc w:val="center"/>
        <w:rPr>
          <w:rFonts w:ascii="Times New Roman" w:hAnsi="Times New Roman" w:cs="Times New Roman"/>
        </w:rPr>
      </w:pPr>
      <w:r w:rsidRPr="00062207">
        <w:rPr>
          <w:rFonts w:ascii="Times New Roman" w:hAnsi="Times New Roman" w:cs="Times New Roman"/>
          <w:noProof/>
          <w:lang w:val="es-GT" w:eastAsia="es-GT"/>
        </w:rPr>
        <w:drawing>
          <wp:inline distT="0" distB="0" distL="0" distR="0" wp14:anchorId="50E165BF" wp14:editId="7143F03E">
            <wp:extent cx="4857750" cy="2011680"/>
            <wp:effectExtent l="0" t="0" r="0" b="7620"/>
            <wp:docPr id="244"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6BB4307C" w14:textId="1678E6D4" w:rsidR="00D16D34" w:rsidRPr="00062207" w:rsidRDefault="00850CFF" w:rsidP="00D16D34">
      <w:pPr>
        <w:pStyle w:val="Sinespaciado"/>
        <w:ind w:firstLine="360"/>
        <w:jc w:val="both"/>
        <w:rPr>
          <w:rFonts w:ascii="Times New Roman" w:hAnsi="Times New Roman" w:cs="Times New Roman"/>
          <w:sz w:val="18"/>
        </w:rPr>
      </w:pPr>
      <w:r w:rsidRPr="00062207">
        <w:rPr>
          <w:rFonts w:ascii="Times New Roman" w:hAnsi="Times New Roman" w:cs="Times New Roman"/>
          <w:sz w:val="18"/>
        </w:rPr>
        <w:t xml:space="preserve">                  </w:t>
      </w:r>
      <w:r w:rsidR="00D16D34" w:rsidRPr="00062207">
        <w:rPr>
          <w:rFonts w:ascii="Times New Roman" w:hAnsi="Times New Roman" w:cs="Times New Roman"/>
          <w:sz w:val="18"/>
        </w:rPr>
        <w:t>Fuente: Dirección de Análisis y Política Fiscal.</w:t>
      </w:r>
    </w:p>
    <w:p w14:paraId="70B3F0DB" w14:textId="70B37EB4" w:rsidR="00D16D34" w:rsidRPr="00062207" w:rsidRDefault="00D16D34" w:rsidP="00D16D34">
      <w:pPr>
        <w:rPr>
          <w:lang w:val="es-GT"/>
        </w:rPr>
      </w:pPr>
    </w:p>
    <w:p w14:paraId="575CC2B8" w14:textId="521C1BDC" w:rsidR="00FD31D6" w:rsidRPr="00062207" w:rsidRDefault="008A6320" w:rsidP="008A6320">
      <w:pPr>
        <w:jc w:val="both"/>
        <w:rPr>
          <w:rFonts w:ascii="Times New Roman" w:hAnsi="Times New Roman" w:cs="Times New Roman"/>
          <w:sz w:val="22"/>
          <w:szCs w:val="22"/>
        </w:rPr>
      </w:pPr>
      <w:r w:rsidRPr="00062207">
        <w:rPr>
          <w:rFonts w:ascii="Times New Roman" w:hAnsi="Times New Roman" w:cs="Times New Roman"/>
          <w:sz w:val="22"/>
          <w:szCs w:val="22"/>
          <w:lang w:val="es-GT"/>
        </w:rPr>
        <w:t>E</w:t>
      </w:r>
      <w:r w:rsidRPr="00062207">
        <w:rPr>
          <w:rFonts w:ascii="Times New Roman" w:hAnsi="Times New Roman" w:cs="Times New Roman"/>
          <w:sz w:val="22"/>
          <w:szCs w:val="22"/>
        </w:rPr>
        <w:t xml:space="preserve">s importante considerar que la deuda pública respecto a los ingresos fiscales se ubica en 249.4%, reportando una contracción importante respecto a 2020. </w:t>
      </w:r>
    </w:p>
    <w:p w14:paraId="1B65B8F7" w14:textId="77777777" w:rsidR="000674D4" w:rsidRPr="00062207" w:rsidRDefault="000674D4" w:rsidP="008A6320">
      <w:pPr>
        <w:jc w:val="both"/>
        <w:rPr>
          <w:rFonts w:ascii="Times New Roman" w:hAnsi="Times New Roman" w:cs="Times New Roman"/>
          <w:sz w:val="22"/>
          <w:szCs w:val="22"/>
        </w:rPr>
      </w:pPr>
    </w:p>
    <w:p w14:paraId="4B11939F" w14:textId="463210E8" w:rsidR="00EA34D1" w:rsidRPr="00062207" w:rsidRDefault="007E5F5C" w:rsidP="0074529E">
      <w:pPr>
        <w:pStyle w:val="Ttulo2"/>
        <w:spacing w:before="0"/>
        <w:ind w:left="567" w:hanging="283"/>
        <w:rPr>
          <w:rFonts w:ascii="Times New Roman" w:hAnsi="Times New Roman" w:cs="Times New Roman"/>
          <w:color w:val="auto"/>
          <w:sz w:val="24"/>
          <w:lang w:val="es-MX"/>
        </w:rPr>
      </w:pPr>
      <w:bookmarkStart w:id="234" w:name="_Toc94259648"/>
      <w:r w:rsidRPr="00062207">
        <w:rPr>
          <w:rFonts w:ascii="Times New Roman" w:hAnsi="Times New Roman" w:cs="Times New Roman"/>
          <w:color w:val="auto"/>
          <w:sz w:val="24"/>
          <w:lang w:val="es-MX"/>
        </w:rPr>
        <w:t xml:space="preserve">3.3 </w:t>
      </w:r>
      <w:r w:rsidR="00A06445" w:rsidRPr="00062207">
        <w:rPr>
          <w:rFonts w:ascii="Times New Roman" w:hAnsi="Times New Roman" w:cs="Times New Roman"/>
          <w:color w:val="auto"/>
          <w:sz w:val="24"/>
          <w:lang w:val="es-MX"/>
        </w:rPr>
        <w:t>Ori</w:t>
      </w:r>
      <w:r w:rsidR="00006D41" w:rsidRPr="00062207">
        <w:rPr>
          <w:rFonts w:ascii="Times New Roman" w:hAnsi="Times New Roman" w:cs="Times New Roman"/>
          <w:color w:val="auto"/>
          <w:sz w:val="24"/>
          <w:lang w:val="es-MX"/>
        </w:rPr>
        <w:t xml:space="preserve">entación de la política fiscal </w:t>
      </w:r>
      <w:bookmarkEnd w:id="232"/>
      <w:r w:rsidR="00F53CDB" w:rsidRPr="00062207">
        <w:rPr>
          <w:rFonts w:ascii="Times New Roman" w:hAnsi="Times New Roman" w:cs="Times New Roman"/>
          <w:color w:val="auto"/>
          <w:sz w:val="24"/>
          <w:lang w:val="es-MX"/>
        </w:rPr>
        <w:t>en 2021</w:t>
      </w:r>
      <w:bookmarkEnd w:id="234"/>
    </w:p>
    <w:p w14:paraId="2870F4BF" w14:textId="78DC7D06" w:rsidR="00006D41" w:rsidRPr="00062207" w:rsidRDefault="00006D41" w:rsidP="00006D41">
      <w:pPr>
        <w:rPr>
          <w:sz w:val="22"/>
        </w:rPr>
      </w:pPr>
    </w:p>
    <w:p w14:paraId="56B12964" w14:textId="4F044284" w:rsidR="008B6764" w:rsidRPr="00062207" w:rsidRDefault="00006D41" w:rsidP="00355FC2">
      <w:pPr>
        <w:jc w:val="both"/>
        <w:rPr>
          <w:rFonts w:ascii="Times New Roman" w:hAnsi="Times New Roman" w:cs="Times New Roman"/>
          <w:sz w:val="22"/>
          <w:szCs w:val="22"/>
        </w:rPr>
      </w:pPr>
      <w:r w:rsidRPr="00062207">
        <w:rPr>
          <w:rFonts w:ascii="Times New Roman" w:hAnsi="Times New Roman" w:cs="Times New Roman"/>
          <w:sz w:val="22"/>
          <w:szCs w:val="22"/>
        </w:rPr>
        <w:t xml:space="preserve">En 2020 se dio un fuerte estímulo fiscal, el cual permitió sostener el gasto público a pesar de la contracción económica y la menor disponibilidad de recursos tributarios </w:t>
      </w:r>
      <w:r w:rsidR="0078057B" w:rsidRPr="00062207">
        <w:rPr>
          <w:rFonts w:ascii="Times New Roman" w:hAnsi="Times New Roman" w:cs="Times New Roman"/>
          <w:sz w:val="22"/>
          <w:szCs w:val="22"/>
        </w:rPr>
        <w:t xml:space="preserve">por la crisis del COVID-19, </w:t>
      </w:r>
      <w:r w:rsidR="00355FC2" w:rsidRPr="00062207">
        <w:rPr>
          <w:rFonts w:ascii="Times New Roman" w:hAnsi="Times New Roman" w:cs="Times New Roman"/>
          <w:sz w:val="22"/>
          <w:szCs w:val="22"/>
        </w:rPr>
        <w:t xml:space="preserve">el gobierno no tomó medidas para contener el ajuste automático (a la baja) que se reportaba en la recaudación tributaria, con un efecto </w:t>
      </w:r>
      <w:r w:rsidR="0078057B" w:rsidRPr="00062207">
        <w:rPr>
          <w:rFonts w:ascii="Times New Roman" w:hAnsi="Times New Roman" w:cs="Times New Roman"/>
          <w:sz w:val="22"/>
          <w:szCs w:val="22"/>
        </w:rPr>
        <w:t xml:space="preserve">expansivo en la política fiscal, mediante un aumento importante en el gasto público financiado principalmente con la generación de deuda pública. </w:t>
      </w:r>
      <w:r w:rsidRPr="00062207">
        <w:rPr>
          <w:rFonts w:ascii="Times New Roman" w:hAnsi="Times New Roman" w:cs="Times New Roman"/>
          <w:sz w:val="22"/>
          <w:szCs w:val="22"/>
        </w:rPr>
        <w:t xml:space="preserve"> </w:t>
      </w:r>
    </w:p>
    <w:p w14:paraId="6834C326" w14:textId="77777777" w:rsidR="008B6764" w:rsidRPr="00062207" w:rsidRDefault="008B6764" w:rsidP="00006D41">
      <w:pPr>
        <w:jc w:val="both"/>
        <w:rPr>
          <w:rFonts w:ascii="Times New Roman" w:hAnsi="Times New Roman" w:cs="Times New Roman"/>
          <w:sz w:val="22"/>
          <w:szCs w:val="22"/>
        </w:rPr>
      </w:pPr>
    </w:p>
    <w:p w14:paraId="0C23077D" w14:textId="7DCE3140" w:rsidR="00006D41" w:rsidRPr="00062207" w:rsidRDefault="00006D41" w:rsidP="00006D41">
      <w:pPr>
        <w:jc w:val="both"/>
        <w:rPr>
          <w:rFonts w:ascii="Times New Roman" w:hAnsi="Times New Roman" w:cs="Times New Roman"/>
          <w:sz w:val="22"/>
          <w:szCs w:val="22"/>
        </w:rPr>
      </w:pPr>
      <w:r w:rsidRPr="00062207">
        <w:rPr>
          <w:rFonts w:ascii="Times New Roman" w:hAnsi="Times New Roman" w:cs="Times New Roman"/>
          <w:sz w:val="22"/>
          <w:szCs w:val="22"/>
        </w:rPr>
        <w:t>Por el contrario, en 2021 se observó una fuerte recuperación económica en forma de V, la cual se produce luego de un parón brusco del crecimiento de la economía, pero una vuelta</w:t>
      </w:r>
      <w:r w:rsidR="00181C9E" w:rsidRPr="00062207">
        <w:rPr>
          <w:rFonts w:ascii="Times New Roman" w:hAnsi="Times New Roman" w:cs="Times New Roman"/>
          <w:sz w:val="22"/>
          <w:szCs w:val="22"/>
        </w:rPr>
        <w:t xml:space="preserve"> a la “normalidad” que también fue</w:t>
      </w:r>
      <w:r w:rsidRPr="00062207">
        <w:rPr>
          <w:rFonts w:ascii="Times New Roman" w:hAnsi="Times New Roman" w:cs="Times New Roman"/>
          <w:sz w:val="22"/>
          <w:szCs w:val="22"/>
        </w:rPr>
        <w:t xml:space="preserve"> bastante rápida. Este es el escenario de recuperación que los expertos consideran como el más din</w:t>
      </w:r>
      <w:r w:rsidR="008B6764" w:rsidRPr="00062207">
        <w:rPr>
          <w:rFonts w:ascii="Times New Roman" w:hAnsi="Times New Roman" w:cs="Times New Roman"/>
          <w:sz w:val="22"/>
          <w:szCs w:val="22"/>
        </w:rPr>
        <w:t xml:space="preserve">ámico, </w:t>
      </w:r>
      <w:r w:rsidR="008B6764" w:rsidRPr="00062207">
        <w:rPr>
          <w:rFonts w:ascii="Times New Roman" w:hAnsi="Times New Roman" w:cs="Times New Roman"/>
          <w:sz w:val="22"/>
          <w:szCs w:val="22"/>
        </w:rPr>
        <w:lastRenderedPageBreak/>
        <w:t xml:space="preserve">derivado de esta recuperación, los ingresos tributarios crecieron a tasas no vistas en años anteriores, y el gasto público fue moderado, revelando que la postura del gobierno en este año fue contractiva y contra-cíclica, la cual se identifica por: </w:t>
      </w:r>
    </w:p>
    <w:p w14:paraId="56A092AD" w14:textId="77777777" w:rsidR="008B6764" w:rsidRPr="00062207" w:rsidRDefault="008B6764" w:rsidP="00006D41">
      <w:pPr>
        <w:jc w:val="both"/>
        <w:rPr>
          <w:rFonts w:ascii="Times New Roman" w:hAnsi="Times New Roman" w:cs="Times New Roman"/>
          <w:sz w:val="22"/>
          <w:szCs w:val="22"/>
        </w:rPr>
      </w:pPr>
    </w:p>
    <w:p w14:paraId="43C78FA2" w14:textId="19550E51" w:rsidR="008B6764" w:rsidRPr="00062207" w:rsidRDefault="0078057B" w:rsidP="0064104D">
      <w:pPr>
        <w:pStyle w:val="Prrafodelista"/>
        <w:numPr>
          <w:ilvl w:val="0"/>
          <w:numId w:val="8"/>
        </w:numPr>
        <w:jc w:val="both"/>
        <w:rPr>
          <w:rFonts w:ascii="Times New Roman" w:hAnsi="Times New Roman" w:cs="Times New Roman"/>
        </w:rPr>
      </w:pPr>
      <w:r w:rsidRPr="00062207">
        <w:rPr>
          <w:rFonts w:ascii="Times New Roman" w:hAnsi="Times New Roman" w:cs="Times New Roman"/>
          <w:lang w:val="es-ES_tradnl"/>
        </w:rPr>
        <w:t>U</w:t>
      </w:r>
      <w:r w:rsidR="008B6764" w:rsidRPr="00062207">
        <w:rPr>
          <w:rFonts w:ascii="Times New Roman" w:hAnsi="Times New Roman" w:cs="Times New Roman"/>
        </w:rPr>
        <w:t>n período de alta disponibilid</w:t>
      </w:r>
      <w:r w:rsidRPr="00062207">
        <w:rPr>
          <w:rFonts w:ascii="Times New Roman" w:hAnsi="Times New Roman" w:cs="Times New Roman"/>
        </w:rPr>
        <w:t>ad de ingresos, el gobierno optó</w:t>
      </w:r>
      <w:r w:rsidR="008B6764" w:rsidRPr="00062207">
        <w:rPr>
          <w:rFonts w:ascii="Times New Roman" w:hAnsi="Times New Roman" w:cs="Times New Roman"/>
        </w:rPr>
        <w:t xml:space="preserve"> por una postura moderada en cuanto al gasto público</w:t>
      </w:r>
      <w:r w:rsidRPr="00062207">
        <w:rPr>
          <w:rFonts w:ascii="Times New Roman" w:hAnsi="Times New Roman" w:cs="Times New Roman"/>
        </w:rPr>
        <w:t>, ya que recortó el estímulo otorgado a la economía en 2020 y únicamente atendió el gasto necesario en salud pública para contener la enfermedad e inmunizar a la población.</w:t>
      </w:r>
    </w:p>
    <w:p w14:paraId="11607303" w14:textId="71E6127C" w:rsidR="008B6764" w:rsidRPr="00062207" w:rsidRDefault="005B5816" w:rsidP="0064104D">
      <w:pPr>
        <w:pStyle w:val="Prrafodelista"/>
        <w:numPr>
          <w:ilvl w:val="0"/>
          <w:numId w:val="8"/>
        </w:numPr>
        <w:jc w:val="both"/>
        <w:rPr>
          <w:rFonts w:ascii="Times New Roman" w:hAnsi="Times New Roman" w:cs="Times New Roman"/>
        </w:rPr>
      </w:pPr>
      <w:r w:rsidRPr="00062207">
        <w:rPr>
          <w:rFonts w:ascii="Times New Roman" w:hAnsi="Times New Roman" w:cs="Times New Roman"/>
        </w:rPr>
        <w:t>El presupuesto no fue aprobado para el ejercicio 2021 y e</w:t>
      </w:r>
      <w:r w:rsidR="008B6764" w:rsidRPr="00062207">
        <w:rPr>
          <w:rFonts w:ascii="Times New Roman" w:hAnsi="Times New Roman" w:cs="Times New Roman"/>
        </w:rPr>
        <w:t>l gasto público respecto al PIB fue menor en 2.1% del PIB</w:t>
      </w:r>
      <w:r w:rsidR="00F53CDB" w:rsidRPr="00062207">
        <w:rPr>
          <w:rFonts w:ascii="Times New Roman" w:hAnsi="Times New Roman" w:cs="Times New Roman"/>
        </w:rPr>
        <w:t xml:space="preserve"> respecto al 2020</w:t>
      </w:r>
    </w:p>
    <w:p w14:paraId="291B0963" w14:textId="77777777" w:rsidR="00006D41" w:rsidRPr="00062207" w:rsidRDefault="00006D41" w:rsidP="00006D41">
      <w:pPr>
        <w:jc w:val="both"/>
        <w:rPr>
          <w:rFonts w:ascii="Times New Roman" w:hAnsi="Times New Roman" w:cs="Times New Roman"/>
          <w:sz w:val="22"/>
          <w:szCs w:val="22"/>
          <w:lang w:val="es-GT"/>
        </w:rPr>
      </w:pPr>
    </w:p>
    <w:p w14:paraId="34720E5E" w14:textId="203A507D" w:rsidR="00F53CDB" w:rsidRPr="00062207" w:rsidRDefault="008B6764" w:rsidP="008B6764">
      <w:pPr>
        <w:jc w:val="both"/>
        <w:rPr>
          <w:rFonts w:ascii="Times New Roman" w:hAnsi="Times New Roman" w:cs="Times New Roman"/>
          <w:sz w:val="22"/>
          <w:szCs w:val="22"/>
        </w:rPr>
      </w:pPr>
      <w:r w:rsidRPr="00062207">
        <w:rPr>
          <w:rFonts w:ascii="Times New Roman" w:hAnsi="Times New Roman" w:cs="Times New Roman"/>
          <w:sz w:val="22"/>
          <w:szCs w:val="22"/>
          <w:lang w:val="es-GT"/>
        </w:rPr>
        <w:t>Se</w:t>
      </w:r>
      <w:r w:rsidRPr="00062207">
        <w:rPr>
          <w:rFonts w:ascii="Times New Roman" w:hAnsi="Times New Roman" w:cs="Times New Roman"/>
          <w:sz w:val="22"/>
          <w:szCs w:val="22"/>
        </w:rPr>
        <w:t xml:space="preserve"> optó por una política fiscal de menor intervención, derivado que la actividad económica </w:t>
      </w:r>
      <w:r w:rsidR="00F53CDB" w:rsidRPr="00062207">
        <w:rPr>
          <w:rFonts w:ascii="Times New Roman" w:hAnsi="Times New Roman" w:cs="Times New Roman"/>
          <w:sz w:val="22"/>
          <w:szCs w:val="22"/>
        </w:rPr>
        <w:t xml:space="preserve">desde el primer trimestre mostró signos de recuperación y tomando en consideración que </w:t>
      </w:r>
      <w:r w:rsidRPr="00062207">
        <w:rPr>
          <w:rFonts w:ascii="Times New Roman" w:hAnsi="Times New Roman" w:cs="Times New Roman"/>
          <w:sz w:val="22"/>
          <w:szCs w:val="22"/>
        </w:rPr>
        <w:t>la evolución del gasto público afecta de forma directa a la actividad económica</w:t>
      </w:r>
      <w:r w:rsidR="00F53CDB" w:rsidRPr="00062207">
        <w:rPr>
          <w:rFonts w:ascii="Times New Roman" w:hAnsi="Times New Roman" w:cs="Times New Roman"/>
          <w:sz w:val="22"/>
          <w:szCs w:val="22"/>
        </w:rPr>
        <w:t>, se reflexionó sobre un gasto público más moderado, siendo la mejor estrategia a seguir en 2021. Derivado de la política fiscal adoptada, la trayectoria en el comportamiento de variables fiscales como el déficit fiscal y la deuda pública mostraron una mejor posición respecto a lo observado en 2020.</w:t>
      </w:r>
    </w:p>
    <w:p w14:paraId="782EA1A6" w14:textId="77777777" w:rsidR="000674D4" w:rsidRPr="00062207" w:rsidRDefault="000674D4" w:rsidP="008B6764">
      <w:pPr>
        <w:jc w:val="both"/>
        <w:rPr>
          <w:rFonts w:ascii="Times New Roman" w:hAnsi="Times New Roman" w:cs="Times New Roman"/>
          <w:sz w:val="22"/>
          <w:szCs w:val="22"/>
        </w:rPr>
      </w:pPr>
    </w:p>
    <w:p w14:paraId="5B08B6FD" w14:textId="1E18F1FA" w:rsidR="008B6764" w:rsidRPr="00062207" w:rsidRDefault="000674D4" w:rsidP="000674D4">
      <w:pPr>
        <w:jc w:val="center"/>
        <w:rPr>
          <w:rFonts w:ascii="Times New Roman" w:hAnsi="Times New Roman" w:cs="Times New Roman"/>
          <w:b/>
          <w:szCs w:val="22"/>
        </w:rPr>
      </w:pPr>
      <w:r w:rsidRPr="00062207">
        <w:rPr>
          <w:rFonts w:ascii="Times New Roman" w:hAnsi="Times New Roman" w:cs="Times New Roman"/>
          <w:b/>
          <w:szCs w:val="22"/>
        </w:rPr>
        <w:t>Impulso Fiscal</w:t>
      </w:r>
    </w:p>
    <w:p w14:paraId="6499E180" w14:textId="61146E24" w:rsidR="00181C9E" w:rsidRPr="00062207" w:rsidRDefault="00006D41" w:rsidP="00A82674">
      <w:pPr>
        <w:jc w:val="center"/>
      </w:pPr>
      <w:r w:rsidRPr="00062207">
        <w:rPr>
          <w:noProof/>
          <w:lang w:val="es-GT" w:eastAsia="es-GT"/>
        </w:rPr>
        <w:drawing>
          <wp:inline distT="0" distB="0" distL="0" distR="0" wp14:anchorId="2CBDA47A" wp14:editId="6EF40181">
            <wp:extent cx="4448175" cy="2457450"/>
            <wp:effectExtent l="0" t="0" r="0" b="0"/>
            <wp:docPr id="14" name="Chart 14">
              <a:extLst xmlns:a="http://schemas.openxmlformats.org/drawingml/2006/main">
                <a:ext uri="{FF2B5EF4-FFF2-40B4-BE49-F238E27FC236}">
                  <a16:creationId xmlns:a16="http://schemas.microsoft.com/office/drawing/2014/main" id="{00000000-0008-0000-06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2FAFED08" w14:textId="69E9F207" w:rsidR="00AD3678" w:rsidRPr="00062207" w:rsidRDefault="00AD3678" w:rsidP="00AD3678">
      <w:pPr>
        <w:pStyle w:val="Sinespaciado"/>
        <w:ind w:firstLine="360"/>
        <w:jc w:val="both"/>
        <w:rPr>
          <w:rFonts w:ascii="Times New Roman" w:hAnsi="Times New Roman" w:cs="Times New Roman"/>
          <w:sz w:val="18"/>
        </w:rPr>
      </w:pPr>
      <w:r w:rsidRPr="00062207">
        <w:rPr>
          <w:rFonts w:ascii="Times New Roman" w:hAnsi="Times New Roman" w:cs="Times New Roman"/>
          <w:sz w:val="18"/>
        </w:rPr>
        <w:t xml:space="preserve">                        Fuente: Dirección de Análisis y Política Fiscal.</w:t>
      </w:r>
    </w:p>
    <w:p w14:paraId="67D23D15" w14:textId="56465FE0" w:rsidR="00181C9E" w:rsidRPr="00062207" w:rsidRDefault="00181C9E" w:rsidP="00181C9E">
      <w:pPr>
        <w:rPr>
          <w:lang w:val="es-GT"/>
        </w:rPr>
      </w:pPr>
    </w:p>
    <w:p w14:paraId="0DFFA462" w14:textId="3E9BA597" w:rsidR="00006D41" w:rsidRPr="00062207" w:rsidRDefault="00AD3678" w:rsidP="00CE2E48">
      <w:pPr>
        <w:jc w:val="center"/>
        <w:rPr>
          <w:rFonts w:ascii="Times New Roman" w:hAnsi="Times New Roman" w:cs="Times New Roman"/>
          <w:b/>
          <w:bCs/>
        </w:rPr>
      </w:pPr>
      <w:r w:rsidRPr="00062207">
        <w:rPr>
          <w:noProof/>
          <w:lang w:val="es-GT" w:eastAsia="es-GT"/>
        </w:rPr>
        <w:drawing>
          <wp:anchor distT="0" distB="0" distL="114300" distR="114300" simplePos="0" relativeHeight="251813888" behindDoc="0" locked="0" layoutInCell="1" allowOverlap="1" wp14:anchorId="04EF6E88" wp14:editId="66494CFE">
            <wp:simplePos x="0" y="0"/>
            <wp:positionH relativeFrom="margin">
              <wp:posOffset>652145</wp:posOffset>
            </wp:positionH>
            <wp:positionV relativeFrom="paragraph">
              <wp:posOffset>179070</wp:posOffset>
            </wp:positionV>
            <wp:extent cx="4371975" cy="2047875"/>
            <wp:effectExtent l="0" t="0" r="0" b="9525"/>
            <wp:wrapSquare wrapText="bothSides"/>
            <wp:docPr id="16" name="Chart 16">
              <a:extLst xmlns:a="http://schemas.openxmlformats.org/drawingml/2006/main">
                <a:ext uri="{FF2B5EF4-FFF2-40B4-BE49-F238E27FC236}">
                  <a16:creationId xmlns:a16="http://schemas.microsoft.com/office/drawing/2014/main" id="{DC611354-F713-420C-BF52-DB7348CF95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page">
              <wp14:pctWidth>0</wp14:pctWidth>
            </wp14:sizeRelH>
            <wp14:sizeRelV relativeFrom="page">
              <wp14:pctHeight>0</wp14:pctHeight>
            </wp14:sizeRelV>
          </wp:anchor>
        </w:drawing>
      </w:r>
      <w:r w:rsidR="00CE2E48" w:rsidRPr="00062207">
        <w:rPr>
          <w:rFonts w:ascii="Times New Roman" w:hAnsi="Times New Roman" w:cs="Times New Roman"/>
          <w:b/>
          <w:bCs/>
        </w:rPr>
        <w:t>Prociclicidad de la Política Fiscal</w:t>
      </w:r>
    </w:p>
    <w:p w14:paraId="755E0C90" w14:textId="31EF2643" w:rsidR="00006D41" w:rsidRPr="00062207" w:rsidRDefault="00006D41" w:rsidP="00006D41"/>
    <w:p w14:paraId="49B470B9" w14:textId="486C71E9" w:rsidR="00006D41" w:rsidRPr="00062207" w:rsidRDefault="00006D41" w:rsidP="00006D41"/>
    <w:p w14:paraId="42D78768" w14:textId="4255AB55" w:rsidR="00006D41" w:rsidRPr="00062207" w:rsidRDefault="00006D41" w:rsidP="00006D41"/>
    <w:p w14:paraId="1CC49A03" w14:textId="74E973E9" w:rsidR="00006D41" w:rsidRPr="00062207" w:rsidRDefault="00006D41" w:rsidP="00006D41"/>
    <w:p w14:paraId="5EC43BC6" w14:textId="5F0A5810" w:rsidR="00006D41" w:rsidRPr="00062207" w:rsidRDefault="00006D41" w:rsidP="00006D41"/>
    <w:p w14:paraId="2EE38A91" w14:textId="77777777" w:rsidR="00006D41" w:rsidRPr="00062207" w:rsidRDefault="00006D41" w:rsidP="00006D41"/>
    <w:p w14:paraId="7C590B4E" w14:textId="77777777" w:rsidR="00C84436" w:rsidRPr="00062207" w:rsidRDefault="00C84436" w:rsidP="00EE52DF">
      <w:pPr>
        <w:jc w:val="both"/>
        <w:rPr>
          <w:rFonts w:ascii="Times New Roman" w:hAnsi="Times New Roman" w:cs="Times New Roman"/>
          <w:sz w:val="22"/>
        </w:rPr>
      </w:pPr>
    </w:p>
    <w:p w14:paraId="016C27DC" w14:textId="77777777" w:rsidR="008B619B" w:rsidRPr="00062207" w:rsidRDefault="008B619B" w:rsidP="0009761F">
      <w:pPr>
        <w:jc w:val="both"/>
        <w:rPr>
          <w:rFonts w:ascii="Times New Roman" w:hAnsi="Times New Roman" w:cs="Times New Roman"/>
          <w:sz w:val="22"/>
          <w:szCs w:val="22"/>
        </w:rPr>
        <w:sectPr w:rsidR="008B619B" w:rsidRPr="00062207" w:rsidSect="006223D4">
          <w:headerReference w:type="default" r:id="rId57"/>
          <w:footerReference w:type="default" r:id="rId58"/>
          <w:footerReference w:type="first" r:id="rId59"/>
          <w:pgSz w:w="12240" w:h="15840" w:code="1"/>
          <w:pgMar w:top="1418" w:right="1418" w:bottom="1418" w:left="1418" w:header="709" w:footer="709" w:gutter="0"/>
          <w:cols w:space="708"/>
          <w:titlePg/>
          <w:docGrid w:linePitch="360"/>
        </w:sectPr>
      </w:pPr>
    </w:p>
    <w:p w14:paraId="2D41E1DD" w14:textId="77777777" w:rsidR="008B619B" w:rsidRPr="00062207" w:rsidRDefault="008B619B" w:rsidP="0009761F">
      <w:pPr>
        <w:jc w:val="both"/>
        <w:rPr>
          <w:rFonts w:ascii="Times New Roman" w:hAnsi="Times New Roman" w:cs="Times New Roman"/>
          <w:sz w:val="22"/>
          <w:szCs w:val="22"/>
        </w:rPr>
      </w:pPr>
    </w:p>
    <w:p w14:paraId="6A77FCEA" w14:textId="77777777" w:rsidR="0009761F" w:rsidRPr="00062207" w:rsidRDefault="0009761F" w:rsidP="0009761F">
      <w:pPr>
        <w:jc w:val="both"/>
        <w:rPr>
          <w:rFonts w:ascii="Times New Roman" w:hAnsi="Times New Roman" w:cs="Times New Roman"/>
          <w:sz w:val="22"/>
          <w:szCs w:val="22"/>
        </w:rPr>
      </w:pPr>
    </w:p>
    <w:p w14:paraId="384D8288" w14:textId="77777777" w:rsidR="00F53CDB" w:rsidRPr="00062207" w:rsidRDefault="00F53CDB" w:rsidP="0009761F">
      <w:pPr>
        <w:jc w:val="both"/>
        <w:rPr>
          <w:rFonts w:ascii="Times New Roman" w:hAnsi="Times New Roman" w:cs="Times New Roman"/>
          <w:sz w:val="22"/>
          <w:szCs w:val="22"/>
        </w:rPr>
      </w:pPr>
    </w:p>
    <w:p w14:paraId="247A4283" w14:textId="21C99B09" w:rsidR="00F53CDB" w:rsidRPr="00062207" w:rsidRDefault="00F53CDB" w:rsidP="0009761F">
      <w:pPr>
        <w:jc w:val="both"/>
        <w:rPr>
          <w:rFonts w:ascii="Times New Roman" w:hAnsi="Times New Roman" w:cs="Times New Roman"/>
          <w:sz w:val="22"/>
          <w:szCs w:val="22"/>
        </w:rPr>
      </w:pPr>
    </w:p>
    <w:p w14:paraId="0A49CE74" w14:textId="3993CA75" w:rsidR="00F53CDB" w:rsidRPr="00062207" w:rsidRDefault="00F53CDB" w:rsidP="0009761F">
      <w:pPr>
        <w:jc w:val="both"/>
        <w:rPr>
          <w:rFonts w:ascii="Times New Roman" w:hAnsi="Times New Roman" w:cs="Times New Roman"/>
          <w:sz w:val="22"/>
          <w:szCs w:val="22"/>
        </w:rPr>
      </w:pPr>
    </w:p>
    <w:p w14:paraId="13207702" w14:textId="637D2D96" w:rsidR="00F53CDB" w:rsidRPr="00062207" w:rsidRDefault="00AD3678" w:rsidP="00AD3678">
      <w:pPr>
        <w:pStyle w:val="Sinespaciado"/>
        <w:ind w:firstLine="360"/>
        <w:jc w:val="both"/>
        <w:rPr>
          <w:rFonts w:ascii="Times New Roman" w:hAnsi="Times New Roman" w:cs="Times New Roman"/>
          <w:sz w:val="18"/>
        </w:rPr>
      </w:pPr>
      <w:r w:rsidRPr="00062207">
        <w:rPr>
          <w:rFonts w:ascii="Times New Roman" w:hAnsi="Times New Roman" w:cs="Times New Roman"/>
          <w:sz w:val="18"/>
        </w:rPr>
        <w:t xml:space="preserve">                    Fuente: Dirección de Análisis y Política Fiscal.</w:t>
      </w:r>
    </w:p>
    <w:p w14:paraId="3B18BCF2" w14:textId="10BC8128" w:rsidR="00283EA8" w:rsidRPr="00062207" w:rsidRDefault="004751C3" w:rsidP="004751C3">
      <w:pPr>
        <w:jc w:val="both"/>
        <w:outlineLvl w:val="0"/>
        <w:rPr>
          <w:rFonts w:ascii="Times New Roman" w:eastAsiaTheme="majorEastAsia" w:hAnsi="Times New Roman" w:cs="Times New Roman"/>
          <w:b/>
          <w:bCs/>
          <w:szCs w:val="26"/>
        </w:rPr>
      </w:pPr>
      <w:bookmarkStart w:id="235" w:name="_Toc64025454"/>
      <w:bookmarkStart w:id="236" w:name="_Toc94259649"/>
      <w:bookmarkStart w:id="237" w:name="_Toc64025457"/>
      <w:r w:rsidRPr="00062207">
        <w:rPr>
          <w:rFonts w:ascii="Times New Roman" w:hAnsi="Times New Roman" w:cs="Times New Roman"/>
          <w:b/>
          <w:sz w:val="26"/>
          <w:szCs w:val="26"/>
          <w:lang w:val="es-MX"/>
        </w:rPr>
        <w:lastRenderedPageBreak/>
        <w:t xml:space="preserve">IV.  </w:t>
      </w:r>
      <w:r w:rsidR="00283EA8" w:rsidRPr="00062207">
        <w:rPr>
          <w:rFonts w:ascii="Times New Roman" w:hAnsi="Times New Roman" w:cs="Times New Roman"/>
          <w:b/>
          <w:sz w:val="26"/>
          <w:szCs w:val="26"/>
          <w:lang w:val="es-MX"/>
        </w:rPr>
        <w:t xml:space="preserve">Previsiones económicas y fiscales para </w:t>
      </w:r>
      <w:bookmarkEnd w:id="235"/>
      <w:r w:rsidR="00283EA8" w:rsidRPr="00062207">
        <w:rPr>
          <w:rFonts w:ascii="Times New Roman" w:hAnsi="Times New Roman" w:cs="Times New Roman"/>
          <w:b/>
          <w:sz w:val="26"/>
          <w:szCs w:val="26"/>
          <w:lang w:val="es-MX"/>
        </w:rPr>
        <w:t>2022</w:t>
      </w:r>
      <w:bookmarkEnd w:id="236"/>
    </w:p>
    <w:p w14:paraId="24DA961D" w14:textId="77777777" w:rsidR="00A82674" w:rsidRPr="00062207" w:rsidRDefault="00A82674" w:rsidP="006A1EAE">
      <w:pPr>
        <w:rPr>
          <w:rFonts w:ascii="Times New Roman" w:eastAsiaTheme="majorEastAsia" w:hAnsi="Times New Roman" w:cs="Times New Roman"/>
          <w:b/>
          <w:bCs/>
          <w:szCs w:val="26"/>
        </w:rPr>
      </w:pPr>
    </w:p>
    <w:p w14:paraId="4F9D0402" w14:textId="77777777" w:rsidR="004751C3" w:rsidRPr="00062207" w:rsidRDefault="004751C3" w:rsidP="004751C3">
      <w:pPr>
        <w:pStyle w:val="Prrafodelista"/>
        <w:keepNext/>
        <w:keepLines/>
        <w:numPr>
          <w:ilvl w:val="0"/>
          <w:numId w:val="1"/>
        </w:numPr>
        <w:contextualSpacing w:val="0"/>
        <w:outlineLvl w:val="1"/>
        <w:rPr>
          <w:rFonts w:ascii="Times New Roman" w:eastAsiaTheme="majorEastAsia" w:hAnsi="Times New Roman" w:cs="Times New Roman"/>
          <w:b/>
          <w:vanish/>
          <w:sz w:val="24"/>
          <w:szCs w:val="24"/>
          <w:lang w:val="es-ES_tradnl" w:eastAsia="es-ES"/>
        </w:rPr>
      </w:pPr>
      <w:bookmarkStart w:id="238" w:name="_Toc94250364"/>
      <w:bookmarkStart w:id="239" w:name="_Toc94250432"/>
      <w:bookmarkStart w:id="240" w:name="_Toc94251072"/>
      <w:bookmarkStart w:id="241" w:name="_Toc94257734"/>
      <w:bookmarkStart w:id="242" w:name="_Toc94259650"/>
      <w:bookmarkStart w:id="243" w:name="_Toc93398027"/>
      <w:bookmarkEnd w:id="238"/>
      <w:bookmarkEnd w:id="239"/>
      <w:bookmarkEnd w:id="240"/>
      <w:bookmarkEnd w:id="241"/>
      <w:bookmarkEnd w:id="242"/>
    </w:p>
    <w:p w14:paraId="380803A3" w14:textId="160EC4B5" w:rsidR="006A1EAE" w:rsidRPr="00062207" w:rsidRDefault="006A1EAE" w:rsidP="004751C3">
      <w:pPr>
        <w:pStyle w:val="Ttulo2"/>
        <w:numPr>
          <w:ilvl w:val="1"/>
          <w:numId w:val="1"/>
        </w:numPr>
        <w:spacing w:before="0"/>
        <w:ind w:left="644"/>
        <w:rPr>
          <w:rFonts w:ascii="Times New Roman" w:hAnsi="Times New Roman" w:cs="Times New Roman"/>
          <w:bCs w:val="0"/>
          <w:color w:val="auto"/>
          <w:sz w:val="24"/>
          <w:szCs w:val="24"/>
        </w:rPr>
      </w:pPr>
      <w:bookmarkStart w:id="244" w:name="_Toc94259651"/>
      <w:r w:rsidRPr="00062207">
        <w:rPr>
          <w:rFonts w:ascii="Times New Roman" w:hAnsi="Times New Roman" w:cs="Times New Roman"/>
          <w:bCs w:val="0"/>
          <w:color w:val="auto"/>
          <w:sz w:val="24"/>
          <w:szCs w:val="24"/>
        </w:rPr>
        <w:t>Perspectivas de la economía mundial</w:t>
      </w:r>
      <w:bookmarkEnd w:id="243"/>
      <w:bookmarkEnd w:id="244"/>
    </w:p>
    <w:p w14:paraId="268048B4" w14:textId="77777777" w:rsidR="006A1EAE" w:rsidRPr="00062207" w:rsidRDefault="006A1EAE" w:rsidP="006A1EAE">
      <w:pPr>
        <w:rPr>
          <w:sz w:val="18"/>
        </w:rPr>
      </w:pPr>
    </w:p>
    <w:p w14:paraId="2271D59E" w14:textId="77777777" w:rsidR="006A1EAE" w:rsidRPr="00062207" w:rsidRDefault="006A1EAE" w:rsidP="006A1EAE">
      <w:pPr>
        <w:jc w:val="both"/>
        <w:rPr>
          <w:rFonts w:ascii="Times New Roman" w:hAnsi="Times New Roman" w:cs="Times New Roman"/>
          <w:sz w:val="22"/>
          <w:szCs w:val="22"/>
          <w:lang w:val="es-GT"/>
        </w:rPr>
      </w:pPr>
      <w:r w:rsidRPr="00062207">
        <w:rPr>
          <w:rFonts w:ascii="Times New Roman" w:hAnsi="Times New Roman" w:cs="Times New Roman"/>
          <w:sz w:val="22"/>
          <w:szCs w:val="22"/>
          <w:lang w:val="es-GT"/>
        </w:rPr>
        <w:t>Las perspectivas económicas para el 2022 muestran continuidad en su recuperación, pero a menor ritmo que en el 2021, la mayoría de organismos como el Fondo Monetario Internacional (FMI), Banco Mundial (BM) y de la Organización para la Cooperación y el Desarrollo Económicos (OCDE), mantuvieron su postura sobre la continuidad de la recuperación de la economía global en 2022, coincidiendo en que solamente perderá impulso, al ritmo que afronte la aparición de nuevos brotes pandémicos por variantes del virus, atrasos en el despliegue de las vacunas, especialmente en los países en desarrollo y de bajos ingresos, y el impacto que la subida de tipos de interés en Estados Unidos puede tener sobre los países altamente endeudados en dólares.  También, hacen especial énfasis en la persistente inflación y los riesgos de que se mantenga más elevada de lo previsto y sus repercusiones sobre los elevados niveles de endeudamiento, así como los cuellos de botella en las cadenas de suministros y la escasez de mano de obra.</w:t>
      </w:r>
    </w:p>
    <w:p w14:paraId="041CD908" w14:textId="77777777" w:rsidR="006A1EAE" w:rsidRPr="00062207" w:rsidRDefault="006A1EAE" w:rsidP="006A1EAE">
      <w:pPr>
        <w:jc w:val="both"/>
        <w:rPr>
          <w:rFonts w:ascii="Times New Roman" w:hAnsi="Times New Roman" w:cs="Times New Roman"/>
          <w:sz w:val="22"/>
          <w:szCs w:val="22"/>
        </w:rPr>
      </w:pPr>
    </w:p>
    <w:p w14:paraId="61BEB815" w14:textId="77777777" w:rsidR="006A1EAE" w:rsidRPr="00062207" w:rsidRDefault="006A1EAE" w:rsidP="006A1EAE">
      <w:pPr>
        <w:jc w:val="both"/>
        <w:rPr>
          <w:rFonts w:ascii="Times New Roman" w:hAnsi="Times New Roman" w:cs="Times New Roman"/>
          <w:sz w:val="22"/>
          <w:szCs w:val="22"/>
        </w:rPr>
      </w:pPr>
      <w:r w:rsidRPr="00062207">
        <w:rPr>
          <w:rFonts w:ascii="Times New Roman" w:hAnsi="Times New Roman" w:cs="Times New Roman"/>
          <w:sz w:val="22"/>
          <w:szCs w:val="22"/>
        </w:rPr>
        <w:t xml:space="preserve">Para el 2022, el Fondo Monetario Internacional (FMI), espera un repunte del crecimiento económico mundial de 4.4% principalmente debido a rebajas del desempeño de Estados Unidos y China., esta estimación refleja una recuperación todavía en función al acceso, distribución y efectividad de las vacunas, y a la resistencia de la vacunación. La inflación también figura como un factor de riesgo, de hecho, uno de los que más temen los expertos para 2022 y dada la incierta situación actual, las presiones continuarán y no se puede descartar que las previsiones de inflación sufran correcciones al alza en función de cómo se desarrollen los acontecimientos debido a las disfunciones en las cadenas de aprovisionamiento globales y el aumento en el precio de los combustibles.  </w:t>
      </w:r>
    </w:p>
    <w:p w14:paraId="6CA8F5F6" w14:textId="77777777" w:rsidR="006A1EAE" w:rsidRPr="00062207" w:rsidRDefault="006A1EAE" w:rsidP="006A1EAE">
      <w:pPr>
        <w:jc w:val="both"/>
        <w:rPr>
          <w:rFonts w:ascii="Times New Roman" w:hAnsi="Times New Roman" w:cs="Times New Roman"/>
          <w:sz w:val="22"/>
          <w:szCs w:val="22"/>
        </w:rPr>
      </w:pPr>
    </w:p>
    <w:p w14:paraId="28F0D3A2" w14:textId="77777777" w:rsidR="006A1EAE" w:rsidRPr="00062207" w:rsidRDefault="006A1EAE" w:rsidP="006A1EAE">
      <w:pPr>
        <w:jc w:val="both"/>
        <w:rPr>
          <w:rFonts w:ascii="Times New Roman" w:hAnsi="Times New Roman" w:cs="Times New Roman"/>
          <w:sz w:val="22"/>
          <w:szCs w:val="22"/>
        </w:rPr>
      </w:pPr>
      <w:r w:rsidRPr="00062207">
        <w:rPr>
          <w:rFonts w:ascii="Times New Roman" w:eastAsiaTheme="majorEastAsia" w:hAnsi="Times New Roman" w:cs="Times New Roman"/>
          <w:bCs/>
          <w:sz w:val="22"/>
          <w:szCs w:val="22"/>
        </w:rPr>
        <w:t xml:space="preserve">El FMI estima que el crecimiento será del 3.9% en las economías avanzadas y del 3.9% y en los mercados emergentes y los países en desarrollo de Asia </w:t>
      </w:r>
      <w:r w:rsidRPr="00062207">
        <w:rPr>
          <w:rFonts w:ascii="Times New Roman" w:hAnsi="Times New Roman" w:cs="Times New Roman"/>
          <w:sz w:val="22"/>
          <w:szCs w:val="22"/>
        </w:rPr>
        <w:t>liderado por un crecimiento de la India del 9.0%</w:t>
      </w:r>
      <w:r w:rsidRPr="00062207">
        <w:rPr>
          <w:rFonts w:ascii="Times New Roman" w:eastAsiaTheme="majorEastAsia" w:hAnsi="Times New Roman" w:cs="Times New Roman"/>
          <w:bCs/>
          <w:sz w:val="22"/>
          <w:szCs w:val="22"/>
        </w:rPr>
        <w:t xml:space="preserve">. </w:t>
      </w:r>
      <w:r w:rsidRPr="00062207">
        <w:rPr>
          <w:rFonts w:ascii="Times New Roman" w:hAnsi="Times New Roman" w:cs="Times New Roman"/>
          <w:sz w:val="22"/>
          <w:szCs w:val="22"/>
        </w:rPr>
        <w:t xml:space="preserve">Para Estados Unidos de América proyecta se ubique en 4.0% en el 2022, </w:t>
      </w:r>
      <w:r w:rsidRPr="00062207">
        <w:rPr>
          <w:rFonts w:ascii="Times New Roman" w:eastAsiaTheme="majorEastAsia" w:hAnsi="Times New Roman" w:cs="Times New Roman"/>
          <w:bCs/>
          <w:sz w:val="22"/>
          <w:szCs w:val="22"/>
        </w:rPr>
        <w:t xml:space="preserve">siempre que la pandemia vaya aliviándose, las cadenas de suministro retomen su nivel habitual, la demanda equilibrándose y los bancos centrales endurezcan su política monetaria para controlar los precios. </w:t>
      </w:r>
      <w:r w:rsidRPr="00062207">
        <w:rPr>
          <w:rFonts w:ascii="Times New Roman" w:hAnsi="Times New Roman" w:cs="Times New Roman"/>
          <w:sz w:val="22"/>
          <w:szCs w:val="22"/>
        </w:rPr>
        <w:t>En la Zona del Euro se prevé un crecimiento del 3.9% en la economía, esto respaldado principalmente por una política fiscal expansiva.  En el caso de China, se espera un crecimiento de 4.8%, mucho menor que lo mostrado el año anterior, la razón radica en la contracción ininterrumpida del sector inmobiliario y el hecho de que la recuperación del consumo privado no ha suplido las expectativas.</w:t>
      </w:r>
    </w:p>
    <w:p w14:paraId="39F3ABAB" w14:textId="77777777" w:rsidR="006A1EAE" w:rsidRPr="00062207" w:rsidRDefault="006A1EAE" w:rsidP="006A1EAE">
      <w:pPr>
        <w:jc w:val="both"/>
        <w:outlineLvl w:val="0"/>
        <w:rPr>
          <w:rFonts w:ascii="Times New Roman" w:eastAsiaTheme="majorEastAsia" w:hAnsi="Times New Roman" w:cs="Times New Roman"/>
          <w:b/>
          <w:bCs/>
          <w:szCs w:val="26"/>
        </w:rPr>
      </w:pPr>
    </w:p>
    <w:p w14:paraId="540D9357" w14:textId="77777777" w:rsidR="006A1EAE" w:rsidRPr="00062207" w:rsidRDefault="006A1EAE" w:rsidP="006A1EAE">
      <w:pPr>
        <w:jc w:val="both"/>
        <w:rPr>
          <w:rFonts w:ascii="Times New Roman" w:hAnsi="Times New Roman" w:cs="Times New Roman"/>
          <w:sz w:val="22"/>
        </w:rPr>
      </w:pPr>
      <w:r w:rsidRPr="00062207">
        <w:rPr>
          <w:rFonts w:ascii="Times New Roman" w:hAnsi="Times New Roman" w:cs="Times New Roman"/>
          <w:sz w:val="22"/>
        </w:rPr>
        <w:t>En Latinoamérica y el Caribe, el FMI proyecta un crecimiento del 2.4% en el 2022, en un contexto de importantes asimetrías entre los países desarrollados, emergentes y en desarrollo sobre la capacidad de implementar políticas fiscales, sociales, monetarias, de salud y vacunación para una recuperación sostenible derivada de la crisis desatada por la pandemia.  La CEPAL por su parte, espera un crecimiento promedio de 2.1% caracterizado por una alta heterogeneidad entre países y subregiones: El Caribe crecerá 6.1% (excluyendo Guyana), América Central crecerá 4.5%, mientras que América del Sur lo hará en 1.4%.   En materia de empleo, la CEPAL espera para 2022 una tasa de desocupación de 11.5% para mujeres y 8.0% para hombres. Las presiones inflacionarias se mantendrán por encima del rango meta establecido, aunque tenderán a converger a estos hacia finales de 2022, o comienzos de 2023. Nuevamente el precio de la energía y de los alimentos en los mercados internacionales, así como la evolución del tipo de cambio, serán fundamentales para explicar la dinámica futura de los precios.</w:t>
      </w:r>
    </w:p>
    <w:p w14:paraId="61887EA2" w14:textId="329AE4B5" w:rsidR="006A1EAE" w:rsidRPr="00062207" w:rsidRDefault="006A1EAE" w:rsidP="006A1EAE">
      <w:pPr>
        <w:jc w:val="both"/>
        <w:rPr>
          <w:rFonts w:ascii="Times New Roman" w:hAnsi="Times New Roman" w:cs="Times New Roman"/>
          <w:sz w:val="22"/>
        </w:rPr>
      </w:pPr>
    </w:p>
    <w:p w14:paraId="7B44BFF4" w14:textId="2566C20E" w:rsidR="00AD3678" w:rsidRPr="00062207" w:rsidRDefault="00AD3678" w:rsidP="006A1EAE">
      <w:pPr>
        <w:jc w:val="both"/>
        <w:rPr>
          <w:rFonts w:ascii="Times New Roman" w:hAnsi="Times New Roman" w:cs="Times New Roman"/>
          <w:sz w:val="22"/>
        </w:rPr>
      </w:pPr>
    </w:p>
    <w:p w14:paraId="722F55FF" w14:textId="2054CBAB" w:rsidR="00AD3678" w:rsidRPr="00062207" w:rsidRDefault="00AD3678" w:rsidP="006A1EAE">
      <w:pPr>
        <w:jc w:val="both"/>
        <w:rPr>
          <w:rFonts w:ascii="Times New Roman" w:hAnsi="Times New Roman" w:cs="Times New Roman"/>
          <w:sz w:val="22"/>
        </w:rPr>
      </w:pPr>
    </w:p>
    <w:p w14:paraId="701619CA" w14:textId="06E55479" w:rsidR="00AD3678" w:rsidRPr="00062207" w:rsidRDefault="00AD3678" w:rsidP="006A1EAE">
      <w:pPr>
        <w:jc w:val="both"/>
        <w:rPr>
          <w:rFonts w:ascii="Times New Roman" w:hAnsi="Times New Roman" w:cs="Times New Roman"/>
          <w:sz w:val="22"/>
        </w:rPr>
      </w:pPr>
    </w:p>
    <w:p w14:paraId="48BB902A" w14:textId="0E172362" w:rsidR="00AD3678" w:rsidRPr="00062207" w:rsidRDefault="00AD3678" w:rsidP="006A1EAE">
      <w:pPr>
        <w:jc w:val="both"/>
        <w:rPr>
          <w:rFonts w:ascii="Times New Roman" w:hAnsi="Times New Roman" w:cs="Times New Roman"/>
          <w:sz w:val="22"/>
        </w:rPr>
      </w:pPr>
    </w:p>
    <w:p w14:paraId="4C6EF693" w14:textId="77777777" w:rsidR="006A1EAE" w:rsidRPr="00062207" w:rsidRDefault="006A1EAE" w:rsidP="006A1EAE">
      <w:pPr>
        <w:jc w:val="center"/>
        <w:rPr>
          <w:rFonts w:ascii="Times New Roman" w:hAnsi="Times New Roman" w:cs="Times New Roman"/>
          <w:b/>
          <w:sz w:val="22"/>
        </w:rPr>
      </w:pPr>
      <w:r w:rsidRPr="00062207">
        <w:rPr>
          <w:rFonts w:ascii="Times New Roman" w:hAnsi="Times New Roman" w:cs="Times New Roman"/>
          <w:b/>
          <w:sz w:val="22"/>
        </w:rPr>
        <w:lastRenderedPageBreak/>
        <w:t>Proyección del crecimiento económico para el 2022</w:t>
      </w:r>
    </w:p>
    <w:p w14:paraId="57F64A8E" w14:textId="77777777" w:rsidR="006A1EAE" w:rsidRPr="00062207" w:rsidRDefault="006A1EAE" w:rsidP="006A1EAE">
      <w:pPr>
        <w:jc w:val="center"/>
        <w:rPr>
          <w:rFonts w:ascii="Times New Roman" w:hAnsi="Times New Roman" w:cs="Times New Roman"/>
          <w:sz w:val="22"/>
        </w:rPr>
      </w:pPr>
      <w:r w:rsidRPr="00062207">
        <w:rPr>
          <w:noProof/>
          <w:lang w:val="es-GT" w:eastAsia="es-GT"/>
        </w:rPr>
        <w:drawing>
          <wp:anchor distT="0" distB="0" distL="114300" distR="114300" simplePos="0" relativeHeight="251815936" behindDoc="0" locked="0" layoutInCell="1" allowOverlap="1" wp14:anchorId="6407C21C" wp14:editId="18AEA350">
            <wp:simplePos x="0" y="0"/>
            <wp:positionH relativeFrom="column">
              <wp:posOffset>-3810</wp:posOffset>
            </wp:positionH>
            <wp:positionV relativeFrom="paragraph">
              <wp:posOffset>159385</wp:posOffset>
            </wp:positionV>
            <wp:extent cx="5715000" cy="2743200"/>
            <wp:effectExtent l="0" t="0" r="0" b="0"/>
            <wp:wrapNone/>
            <wp:docPr id="225" name="Gráfico 225"/>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margin">
              <wp14:pctWidth>0</wp14:pctWidth>
            </wp14:sizeRelH>
            <wp14:sizeRelV relativeFrom="margin">
              <wp14:pctHeight>0</wp14:pctHeight>
            </wp14:sizeRelV>
          </wp:anchor>
        </w:drawing>
      </w:r>
      <w:r w:rsidRPr="00062207">
        <w:rPr>
          <w:rFonts w:ascii="Times New Roman" w:hAnsi="Times New Roman" w:cs="Times New Roman"/>
          <w:sz w:val="22"/>
        </w:rPr>
        <w:t>En porcentaje</w:t>
      </w:r>
    </w:p>
    <w:p w14:paraId="1E970BAB" w14:textId="77777777" w:rsidR="006A1EAE" w:rsidRPr="00062207" w:rsidRDefault="006A1EAE" w:rsidP="006A1EAE">
      <w:pPr>
        <w:jc w:val="center"/>
        <w:rPr>
          <w:rFonts w:ascii="Times New Roman" w:hAnsi="Times New Roman" w:cs="Times New Roman"/>
          <w:sz w:val="22"/>
        </w:rPr>
      </w:pPr>
    </w:p>
    <w:p w14:paraId="23A7700C" w14:textId="77777777" w:rsidR="006A1EAE" w:rsidRPr="00062207" w:rsidRDefault="006A1EAE" w:rsidP="006A1EAE">
      <w:pPr>
        <w:jc w:val="center"/>
        <w:rPr>
          <w:rFonts w:ascii="Times New Roman" w:hAnsi="Times New Roman" w:cs="Times New Roman"/>
          <w:sz w:val="22"/>
        </w:rPr>
      </w:pPr>
    </w:p>
    <w:p w14:paraId="6982366D" w14:textId="77777777" w:rsidR="006A1EAE" w:rsidRPr="00062207" w:rsidRDefault="006A1EAE" w:rsidP="006A1EAE">
      <w:pPr>
        <w:jc w:val="center"/>
        <w:rPr>
          <w:rFonts w:ascii="Times New Roman" w:hAnsi="Times New Roman" w:cs="Times New Roman"/>
          <w:sz w:val="22"/>
        </w:rPr>
      </w:pPr>
    </w:p>
    <w:p w14:paraId="436EEB09" w14:textId="77777777" w:rsidR="006A1EAE" w:rsidRPr="00062207" w:rsidRDefault="006A1EAE" w:rsidP="006A1EAE">
      <w:pPr>
        <w:jc w:val="center"/>
        <w:rPr>
          <w:rFonts w:ascii="Times New Roman" w:hAnsi="Times New Roman" w:cs="Times New Roman"/>
          <w:sz w:val="22"/>
        </w:rPr>
      </w:pPr>
    </w:p>
    <w:p w14:paraId="113B8047" w14:textId="77777777" w:rsidR="006A1EAE" w:rsidRPr="00062207" w:rsidRDefault="006A1EAE" w:rsidP="006A1EAE">
      <w:pPr>
        <w:jc w:val="center"/>
        <w:rPr>
          <w:rFonts w:ascii="Times New Roman" w:hAnsi="Times New Roman" w:cs="Times New Roman"/>
          <w:sz w:val="22"/>
        </w:rPr>
      </w:pPr>
    </w:p>
    <w:p w14:paraId="32B4ECA0" w14:textId="77777777" w:rsidR="006A1EAE" w:rsidRPr="00062207" w:rsidRDefault="006A1EAE" w:rsidP="006A1EAE">
      <w:pPr>
        <w:jc w:val="center"/>
        <w:rPr>
          <w:rFonts w:ascii="Times New Roman" w:hAnsi="Times New Roman" w:cs="Times New Roman"/>
          <w:sz w:val="22"/>
        </w:rPr>
      </w:pPr>
    </w:p>
    <w:p w14:paraId="61E67EE1" w14:textId="77777777" w:rsidR="006A1EAE" w:rsidRPr="00062207" w:rsidRDefault="006A1EAE" w:rsidP="006A1EAE">
      <w:pPr>
        <w:jc w:val="center"/>
        <w:rPr>
          <w:rFonts w:ascii="Times New Roman" w:hAnsi="Times New Roman" w:cs="Times New Roman"/>
        </w:rPr>
      </w:pPr>
    </w:p>
    <w:p w14:paraId="629E65E3" w14:textId="77777777" w:rsidR="006A1EAE" w:rsidRPr="00062207" w:rsidRDefault="006A1EAE" w:rsidP="006A1EAE">
      <w:pPr>
        <w:jc w:val="both"/>
        <w:rPr>
          <w:rFonts w:ascii="Times New Roman" w:hAnsi="Times New Roman" w:cs="Times New Roman"/>
          <w:sz w:val="16"/>
          <w:szCs w:val="16"/>
          <w:lang w:val="es-GT"/>
        </w:rPr>
      </w:pPr>
    </w:p>
    <w:p w14:paraId="71B7A1BC" w14:textId="77777777" w:rsidR="006A1EAE" w:rsidRPr="00062207" w:rsidRDefault="006A1EAE" w:rsidP="006A1EAE">
      <w:pPr>
        <w:jc w:val="both"/>
        <w:rPr>
          <w:rFonts w:ascii="Times New Roman" w:hAnsi="Times New Roman" w:cs="Times New Roman"/>
          <w:sz w:val="16"/>
          <w:szCs w:val="16"/>
          <w:lang w:val="es-GT"/>
        </w:rPr>
      </w:pPr>
    </w:p>
    <w:p w14:paraId="2CC49532" w14:textId="77777777" w:rsidR="006A1EAE" w:rsidRPr="00062207" w:rsidRDefault="006A1EAE" w:rsidP="006A1EAE">
      <w:pPr>
        <w:jc w:val="both"/>
        <w:rPr>
          <w:rFonts w:ascii="Times New Roman" w:hAnsi="Times New Roman" w:cs="Times New Roman"/>
          <w:sz w:val="16"/>
          <w:szCs w:val="16"/>
          <w:lang w:val="es-GT"/>
        </w:rPr>
      </w:pPr>
    </w:p>
    <w:p w14:paraId="0C9C6839" w14:textId="77777777" w:rsidR="006A1EAE" w:rsidRPr="00062207" w:rsidRDefault="006A1EAE" w:rsidP="006A1EAE">
      <w:pPr>
        <w:jc w:val="both"/>
        <w:rPr>
          <w:rFonts w:ascii="Times New Roman" w:hAnsi="Times New Roman" w:cs="Times New Roman"/>
          <w:sz w:val="16"/>
          <w:szCs w:val="16"/>
          <w:lang w:val="es-GT"/>
        </w:rPr>
      </w:pPr>
    </w:p>
    <w:p w14:paraId="67570A01" w14:textId="77777777" w:rsidR="006A1EAE" w:rsidRPr="00062207" w:rsidRDefault="006A1EAE" w:rsidP="006A1EAE">
      <w:pPr>
        <w:jc w:val="both"/>
        <w:rPr>
          <w:rFonts w:ascii="Times New Roman" w:hAnsi="Times New Roman" w:cs="Times New Roman"/>
          <w:sz w:val="16"/>
          <w:szCs w:val="16"/>
          <w:lang w:val="es-GT"/>
        </w:rPr>
      </w:pPr>
    </w:p>
    <w:p w14:paraId="1127A427" w14:textId="77777777" w:rsidR="006A1EAE" w:rsidRPr="00062207" w:rsidRDefault="006A1EAE" w:rsidP="006A1EAE">
      <w:pPr>
        <w:jc w:val="both"/>
        <w:rPr>
          <w:rFonts w:ascii="Times New Roman" w:hAnsi="Times New Roman" w:cs="Times New Roman"/>
          <w:sz w:val="16"/>
          <w:szCs w:val="16"/>
          <w:lang w:val="es-GT"/>
        </w:rPr>
      </w:pPr>
    </w:p>
    <w:p w14:paraId="38D13333" w14:textId="77777777" w:rsidR="006A1EAE" w:rsidRPr="00062207" w:rsidRDefault="006A1EAE" w:rsidP="006A1EAE">
      <w:pPr>
        <w:jc w:val="both"/>
        <w:rPr>
          <w:rFonts w:ascii="Times New Roman" w:hAnsi="Times New Roman" w:cs="Times New Roman"/>
          <w:sz w:val="16"/>
          <w:szCs w:val="16"/>
          <w:lang w:val="es-GT"/>
        </w:rPr>
      </w:pPr>
    </w:p>
    <w:p w14:paraId="4CA60CDC" w14:textId="77777777" w:rsidR="006A1EAE" w:rsidRPr="00062207" w:rsidRDefault="006A1EAE" w:rsidP="006A1EAE">
      <w:pPr>
        <w:jc w:val="both"/>
        <w:rPr>
          <w:rFonts w:ascii="Times New Roman" w:hAnsi="Times New Roman" w:cs="Times New Roman"/>
          <w:sz w:val="16"/>
          <w:szCs w:val="16"/>
          <w:lang w:val="es-GT"/>
        </w:rPr>
      </w:pPr>
    </w:p>
    <w:p w14:paraId="19482BE4" w14:textId="77777777" w:rsidR="006A1EAE" w:rsidRPr="00062207" w:rsidRDefault="006A1EAE" w:rsidP="006A1EAE">
      <w:pPr>
        <w:jc w:val="both"/>
        <w:rPr>
          <w:rFonts w:ascii="Times New Roman" w:hAnsi="Times New Roman" w:cs="Times New Roman"/>
          <w:sz w:val="16"/>
          <w:szCs w:val="16"/>
          <w:lang w:val="es-GT"/>
        </w:rPr>
      </w:pPr>
    </w:p>
    <w:p w14:paraId="00C886C0" w14:textId="77777777" w:rsidR="006A1EAE" w:rsidRPr="00062207" w:rsidRDefault="006A1EAE" w:rsidP="006A1EAE">
      <w:pPr>
        <w:jc w:val="both"/>
        <w:rPr>
          <w:rFonts w:ascii="Times New Roman" w:hAnsi="Times New Roman" w:cs="Times New Roman"/>
          <w:sz w:val="16"/>
          <w:szCs w:val="16"/>
          <w:lang w:val="es-GT"/>
        </w:rPr>
      </w:pPr>
    </w:p>
    <w:p w14:paraId="27E61AB7" w14:textId="77777777" w:rsidR="006A1EAE" w:rsidRPr="00062207" w:rsidRDefault="006A1EAE" w:rsidP="006A1EAE">
      <w:pPr>
        <w:jc w:val="both"/>
        <w:rPr>
          <w:rFonts w:ascii="Times New Roman" w:hAnsi="Times New Roman" w:cs="Times New Roman"/>
          <w:sz w:val="16"/>
          <w:szCs w:val="16"/>
          <w:lang w:val="es-GT"/>
        </w:rPr>
      </w:pPr>
    </w:p>
    <w:p w14:paraId="419BA357" w14:textId="77777777" w:rsidR="006A1EAE" w:rsidRPr="00062207" w:rsidRDefault="006A1EAE" w:rsidP="006A1EAE">
      <w:pPr>
        <w:jc w:val="both"/>
        <w:rPr>
          <w:rFonts w:ascii="Times New Roman" w:hAnsi="Times New Roman" w:cs="Times New Roman"/>
          <w:sz w:val="16"/>
          <w:szCs w:val="16"/>
          <w:lang w:val="es-GT"/>
        </w:rPr>
      </w:pPr>
    </w:p>
    <w:p w14:paraId="0AD6232D" w14:textId="77777777" w:rsidR="006A1EAE" w:rsidRPr="00062207" w:rsidRDefault="006A1EAE" w:rsidP="006A1EAE">
      <w:pPr>
        <w:jc w:val="both"/>
        <w:rPr>
          <w:rFonts w:ascii="Times New Roman" w:hAnsi="Times New Roman" w:cs="Times New Roman"/>
          <w:sz w:val="16"/>
          <w:szCs w:val="16"/>
          <w:lang w:val="es-GT"/>
        </w:rPr>
      </w:pPr>
    </w:p>
    <w:p w14:paraId="541039FB" w14:textId="77777777" w:rsidR="006A1EAE" w:rsidRPr="00062207" w:rsidRDefault="006A1EAE" w:rsidP="006A1EAE">
      <w:pPr>
        <w:jc w:val="both"/>
        <w:rPr>
          <w:rFonts w:ascii="Times New Roman" w:hAnsi="Times New Roman" w:cs="Times New Roman"/>
          <w:sz w:val="16"/>
          <w:szCs w:val="16"/>
          <w:lang w:val="es-GT"/>
        </w:rPr>
      </w:pPr>
    </w:p>
    <w:p w14:paraId="0D8D3AB6" w14:textId="77777777" w:rsidR="006A1EAE" w:rsidRPr="00062207" w:rsidRDefault="006A1EAE" w:rsidP="006A1EAE">
      <w:pPr>
        <w:jc w:val="both"/>
        <w:rPr>
          <w:rFonts w:ascii="Times New Roman" w:hAnsi="Times New Roman" w:cs="Times New Roman"/>
          <w:sz w:val="16"/>
          <w:szCs w:val="16"/>
          <w:lang w:val="es-GT"/>
        </w:rPr>
      </w:pPr>
      <w:r w:rsidRPr="00062207">
        <w:rPr>
          <w:rFonts w:ascii="Times New Roman" w:hAnsi="Times New Roman" w:cs="Times New Roman"/>
          <w:sz w:val="16"/>
          <w:szCs w:val="16"/>
          <w:lang w:val="es-GT"/>
        </w:rPr>
        <w:t>Fuente: Dirección de Análisis y Política Fiscal con base información del Fondo Monetario Internacional.</w:t>
      </w:r>
    </w:p>
    <w:p w14:paraId="7E121A80" w14:textId="77777777" w:rsidR="006A1EAE" w:rsidRPr="00062207" w:rsidRDefault="006A1EAE" w:rsidP="006A1EAE">
      <w:pPr>
        <w:jc w:val="both"/>
        <w:rPr>
          <w:rFonts w:ascii="Times New Roman" w:hAnsi="Times New Roman" w:cs="Times New Roman"/>
          <w:sz w:val="22"/>
          <w:szCs w:val="22"/>
        </w:rPr>
      </w:pPr>
    </w:p>
    <w:p w14:paraId="178F9E28" w14:textId="77777777" w:rsidR="006A1EAE" w:rsidRPr="00062207" w:rsidRDefault="006A1EAE" w:rsidP="006A1EAE">
      <w:pPr>
        <w:jc w:val="both"/>
        <w:rPr>
          <w:rFonts w:ascii="Times New Roman" w:hAnsi="Times New Roman" w:cs="Times New Roman"/>
          <w:sz w:val="22"/>
          <w:szCs w:val="22"/>
        </w:rPr>
      </w:pPr>
      <w:r w:rsidRPr="00062207">
        <w:rPr>
          <w:rFonts w:ascii="Times New Roman" w:hAnsi="Times New Roman" w:cs="Times New Roman"/>
          <w:sz w:val="22"/>
          <w:szCs w:val="22"/>
        </w:rPr>
        <w:t xml:space="preserve">Para el comercio mundial de mercancías se espera un crecimiento de 4.7% para 2022, pero a ritmos distintos tanto por zonas como por sectores. Algunos de los sectores que más han estado creciendo y continuarán haciéndolo son el textil, el hierro y el acero, los muebles y la automoción. La recuperación del sector servicios en el ámbito internacional será más lenta pero también se dará a lo largo del próximo año, según la Organización Mundial de Comercio (OMC).  Respecto a las regiones, Asia será la que continúe experimentando un mayor crecimiento, seguida de Europa y Estados Unidos, mientras que Sudamérica y África quedarán más rezagadas. La tendencia en cuanto al crecimiento por regiones también es desigual.  Uno de los factores que más influirán en esta recuperación es el proceso de inmunización ante el Covid-19. La desigualdad en el proceso de recuperación viene en parte motivada por la desigualdad en el proceso de vacunación y por los diversos efectos de la pandemia en las economías y sociedades. </w:t>
      </w:r>
    </w:p>
    <w:p w14:paraId="7BB32F88" w14:textId="77777777" w:rsidR="006A1EAE" w:rsidRPr="00062207" w:rsidRDefault="006A1EAE" w:rsidP="006A1EAE">
      <w:pPr>
        <w:jc w:val="both"/>
        <w:rPr>
          <w:rFonts w:ascii="Times New Roman" w:hAnsi="Times New Roman" w:cs="Times New Roman"/>
          <w:sz w:val="22"/>
          <w:szCs w:val="22"/>
        </w:rPr>
      </w:pPr>
    </w:p>
    <w:p w14:paraId="24336DCB" w14:textId="77777777" w:rsidR="006A1EAE" w:rsidRPr="00062207" w:rsidRDefault="006A1EAE" w:rsidP="006A1EAE">
      <w:pPr>
        <w:jc w:val="both"/>
        <w:rPr>
          <w:rFonts w:ascii="Times New Roman" w:hAnsi="Times New Roman" w:cs="Times New Roman"/>
          <w:sz w:val="22"/>
          <w:szCs w:val="22"/>
        </w:rPr>
      </w:pPr>
      <w:r w:rsidRPr="00062207">
        <w:rPr>
          <w:rFonts w:ascii="Times New Roman" w:hAnsi="Times New Roman" w:cs="Times New Roman"/>
          <w:sz w:val="22"/>
          <w:szCs w:val="22"/>
        </w:rPr>
        <w:t>Con respecto a la demanda mundial de crudo para 2022,</w:t>
      </w:r>
      <w:r w:rsidRPr="00062207">
        <w:t xml:space="preserve"> </w:t>
      </w:r>
      <w:r w:rsidRPr="00062207">
        <w:rPr>
          <w:rFonts w:ascii="Times New Roman" w:hAnsi="Times New Roman" w:cs="Times New Roman"/>
          <w:sz w:val="22"/>
          <w:szCs w:val="22"/>
        </w:rPr>
        <w:t xml:space="preserve">la Organización de Países Exportadores de Petróleo (OPEP) espera que aumente en 4.15 millones de barriles por día (bpd), pese al avance de la variante Ómicron del coronavirus y eventuales alzas de las tasas de interés.  </w:t>
      </w:r>
    </w:p>
    <w:p w14:paraId="3F155E37" w14:textId="1A12A892" w:rsidR="00283EA8" w:rsidRPr="00062207" w:rsidRDefault="00283EA8" w:rsidP="006A1EAE">
      <w:pPr>
        <w:jc w:val="both"/>
        <w:rPr>
          <w:rFonts w:ascii="Times New Roman" w:eastAsiaTheme="majorEastAsia" w:hAnsi="Times New Roman" w:cs="Times New Roman"/>
          <w:b/>
          <w:bCs/>
          <w:szCs w:val="26"/>
        </w:rPr>
      </w:pPr>
    </w:p>
    <w:bookmarkEnd w:id="237"/>
    <w:p w14:paraId="31CC36B4" w14:textId="2BF7C441" w:rsidR="00283EA8" w:rsidRPr="00062207" w:rsidRDefault="006A1EAE" w:rsidP="004751C3">
      <w:pPr>
        <w:pStyle w:val="Ttulo2"/>
        <w:numPr>
          <w:ilvl w:val="1"/>
          <w:numId w:val="1"/>
        </w:numPr>
        <w:spacing w:before="0"/>
        <w:ind w:left="644"/>
        <w:rPr>
          <w:rFonts w:ascii="Times New Roman" w:hAnsi="Times New Roman" w:cs="Times New Roman"/>
          <w:bCs w:val="0"/>
          <w:color w:val="auto"/>
          <w:sz w:val="24"/>
          <w:szCs w:val="24"/>
        </w:rPr>
      </w:pPr>
      <w:r w:rsidRPr="00062207">
        <w:rPr>
          <w:rFonts w:ascii="Times New Roman" w:hAnsi="Times New Roman" w:cs="Times New Roman"/>
          <w:bCs w:val="0"/>
          <w:color w:val="auto"/>
          <w:sz w:val="24"/>
          <w:szCs w:val="24"/>
        </w:rPr>
        <w:t xml:space="preserve">  </w:t>
      </w:r>
      <w:bookmarkStart w:id="245" w:name="_Toc94259652"/>
      <w:r w:rsidR="00283EA8" w:rsidRPr="00062207">
        <w:rPr>
          <w:rFonts w:ascii="Times New Roman" w:hAnsi="Times New Roman" w:cs="Times New Roman"/>
          <w:bCs w:val="0"/>
          <w:color w:val="auto"/>
          <w:sz w:val="24"/>
          <w:szCs w:val="24"/>
        </w:rPr>
        <w:t>Perspectivas para la economía interna</w:t>
      </w:r>
      <w:bookmarkEnd w:id="245"/>
    </w:p>
    <w:p w14:paraId="025B5F40" w14:textId="77777777" w:rsidR="00283EA8" w:rsidRPr="00062207" w:rsidRDefault="00283EA8" w:rsidP="006A1EAE">
      <w:pPr>
        <w:jc w:val="both"/>
        <w:rPr>
          <w:rFonts w:ascii="Times New Roman" w:hAnsi="Times New Roman" w:cs="Times New Roman"/>
          <w:sz w:val="22"/>
        </w:rPr>
      </w:pPr>
    </w:p>
    <w:p w14:paraId="0661D526" w14:textId="77777777" w:rsidR="00283EA8" w:rsidRPr="00062207" w:rsidRDefault="00283EA8" w:rsidP="006A1EAE">
      <w:pPr>
        <w:jc w:val="both"/>
        <w:rPr>
          <w:rFonts w:ascii="Times New Roman" w:hAnsi="Times New Roman" w:cs="Times New Roman"/>
          <w:sz w:val="22"/>
        </w:rPr>
      </w:pPr>
      <w:r w:rsidRPr="00062207">
        <w:rPr>
          <w:rFonts w:ascii="Times New Roman" w:hAnsi="Times New Roman" w:cs="Times New Roman"/>
          <w:sz w:val="22"/>
        </w:rPr>
        <w:t xml:space="preserve">En 2020, como consecuencia de las medidas sanitarias acusadas al COVID-19 y al deterioro económico mundial, conllevo a que la economía nacional mostrará una contracción en dicho año. Esta contracción mostró una recuperación a partir del segundo semestre 2020 y alcanzó la recuperación plena en 2021, en gran medida gracias al desempeño de la economía mundial (principalmente la de EEUU) que estimulo de manera extraordinaria el crecimiento de la remesas familiares que a su vez impulsó la demanda interna y el dinamismo en el consumo privado, además las exportaciones aumentaron de manera significativa  Como consecuencia, las cifras preliminares de 2021 del Banco de Guatemala, muestran un crecimiento del PIB real por el orden del 7.5%, cuyo  registro es el más alto en los últimos 40 años. </w:t>
      </w:r>
    </w:p>
    <w:p w14:paraId="723ABD70" w14:textId="77777777" w:rsidR="00283EA8" w:rsidRPr="00062207" w:rsidRDefault="00283EA8" w:rsidP="006A1EAE">
      <w:pPr>
        <w:jc w:val="both"/>
        <w:rPr>
          <w:rFonts w:ascii="Times New Roman" w:hAnsi="Times New Roman" w:cs="Times New Roman"/>
          <w:sz w:val="22"/>
        </w:rPr>
      </w:pPr>
      <w:r w:rsidRPr="00062207">
        <w:rPr>
          <w:rFonts w:ascii="Times New Roman" w:hAnsi="Times New Roman" w:cs="Times New Roman"/>
          <w:sz w:val="22"/>
        </w:rPr>
        <w:t xml:space="preserve"> </w:t>
      </w:r>
    </w:p>
    <w:p w14:paraId="52827015" w14:textId="77777777" w:rsidR="00283EA8" w:rsidRPr="00062207" w:rsidRDefault="00283EA8" w:rsidP="006A1EAE">
      <w:pPr>
        <w:jc w:val="both"/>
        <w:rPr>
          <w:rFonts w:ascii="Times New Roman" w:hAnsi="Times New Roman" w:cs="Times New Roman"/>
          <w:sz w:val="22"/>
        </w:rPr>
      </w:pPr>
      <w:r w:rsidRPr="00062207">
        <w:rPr>
          <w:rFonts w:ascii="Times New Roman" w:hAnsi="Times New Roman" w:cs="Times New Roman"/>
          <w:sz w:val="22"/>
        </w:rPr>
        <w:t xml:space="preserve">Bajo este contexto se espera que para el año 2022 se mantenga el impulso económico, debido a las políticas económicas de apoyo y a un mejor control de la pandemia. Dichas políticas podrían propiciar un crecimiento </w:t>
      </w:r>
      <w:r w:rsidRPr="00062207">
        <w:rPr>
          <w:rFonts w:ascii="Times New Roman" w:hAnsi="Times New Roman" w:cs="Times New Roman"/>
          <w:sz w:val="22"/>
        </w:rPr>
        <w:lastRenderedPageBreak/>
        <w:t xml:space="preserve">entre 3.5% y 5.5% con un valor central de 4.5% en el PIB, siempre sujeta a los riesgos implícitos por pandemia y sus variantes. </w:t>
      </w:r>
    </w:p>
    <w:p w14:paraId="650C0003" w14:textId="3C45B899" w:rsidR="006A1EAE" w:rsidRPr="00062207" w:rsidRDefault="006A1EAE" w:rsidP="006A1EAE">
      <w:pPr>
        <w:jc w:val="both"/>
        <w:rPr>
          <w:rFonts w:ascii="Times New Roman" w:hAnsi="Times New Roman" w:cs="Times New Roman"/>
          <w:sz w:val="18"/>
        </w:rPr>
      </w:pPr>
    </w:p>
    <w:p w14:paraId="59C79B26" w14:textId="61576349" w:rsidR="00AD3678" w:rsidRPr="00062207" w:rsidRDefault="00AD3678" w:rsidP="00AD3678">
      <w:pPr>
        <w:jc w:val="center"/>
        <w:rPr>
          <w:rFonts w:ascii="Times New Roman" w:hAnsi="Times New Roman" w:cs="Times New Roman"/>
          <w:b/>
        </w:rPr>
      </w:pPr>
      <w:r w:rsidRPr="00062207">
        <w:rPr>
          <w:rFonts w:ascii="Times New Roman" w:hAnsi="Times New Roman" w:cs="Times New Roman"/>
          <w:b/>
        </w:rPr>
        <w:t>Crecimiento económico 2017-2022</w:t>
      </w:r>
    </w:p>
    <w:p w14:paraId="7088D523" w14:textId="62E92429" w:rsidR="00AD3678" w:rsidRPr="00062207" w:rsidRDefault="00AD3678" w:rsidP="00AD3678">
      <w:pPr>
        <w:jc w:val="center"/>
        <w:rPr>
          <w:rFonts w:ascii="Times New Roman" w:hAnsi="Times New Roman" w:cs="Times New Roman"/>
          <w:sz w:val="22"/>
        </w:rPr>
      </w:pPr>
      <w:r w:rsidRPr="00062207">
        <w:rPr>
          <w:rFonts w:ascii="Times New Roman" w:hAnsi="Times New Roman" w:cs="Times New Roman"/>
          <w:sz w:val="22"/>
        </w:rPr>
        <w:t>Porcentaje</w:t>
      </w:r>
    </w:p>
    <w:p w14:paraId="75105E32" w14:textId="42C85246" w:rsidR="00283EA8" w:rsidRPr="00062207" w:rsidRDefault="00283EA8" w:rsidP="00283EA8">
      <w:pPr>
        <w:jc w:val="center"/>
      </w:pPr>
      <w:r w:rsidRPr="00062207">
        <w:rPr>
          <w:noProof/>
          <w:lang w:val="es-GT" w:eastAsia="es-GT"/>
        </w:rPr>
        <w:drawing>
          <wp:inline distT="0" distB="0" distL="0" distR="0" wp14:anchorId="308866D2" wp14:editId="38997331">
            <wp:extent cx="4622800" cy="1895475"/>
            <wp:effectExtent l="0" t="0" r="6350" b="0"/>
            <wp:docPr id="50" name="Gráfico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7CD24D88" w14:textId="77777777" w:rsidR="00AD3678" w:rsidRPr="00062207" w:rsidRDefault="00AD3678" w:rsidP="00AD3678">
      <w:pPr>
        <w:pStyle w:val="NormalWeb"/>
        <w:spacing w:before="0" w:beforeAutospacing="0" w:after="0" w:afterAutospacing="0"/>
        <w:ind w:left="708" w:firstLine="708"/>
        <w:rPr>
          <w:sz w:val="28"/>
        </w:rPr>
      </w:pPr>
      <w:r w:rsidRPr="00062207">
        <w:rPr>
          <w:sz w:val="18"/>
          <w:szCs w:val="16"/>
          <w:lang w:val="es-ES_tradnl"/>
        </w:rPr>
        <w:t>Fuente</w:t>
      </w:r>
      <w:r w:rsidRPr="00062207">
        <w:rPr>
          <w:b/>
          <w:bCs/>
          <w:sz w:val="18"/>
          <w:szCs w:val="16"/>
          <w:lang w:val="es-ES_tradnl"/>
        </w:rPr>
        <w:t>:</w:t>
      </w:r>
      <w:r w:rsidRPr="00062207">
        <w:rPr>
          <w:sz w:val="18"/>
          <w:szCs w:val="16"/>
          <w:lang w:val="es-ES_tradnl"/>
        </w:rPr>
        <w:t xml:space="preserve"> Dirección de Análisis y Política Fiscal con información del Banco de Guatemala.</w:t>
      </w:r>
    </w:p>
    <w:p w14:paraId="19532C02" w14:textId="0061C95D" w:rsidR="00283EA8" w:rsidRPr="00062207" w:rsidRDefault="00AD3678" w:rsidP="00283EA8">
      <w:pPr>
        <w:jc w:val="both"/>
      </w:pPr>
      <w:r w:rsidRPr="00062207">
        <w:tab/>
      </w:r>
      <w:r w:rsidRPr="00062207">
        <w:tab/>
      </w:r>
    </w:p>
    <w:p w14:paraId="26CC0139" w14:textId="77777777" w:rsidR="00283EA8" w:rsidRPr="00062207" w:rsidRDefault="00283EA8" w:rsidP="00283EA8">
      <w:pPr>
        <w:jc w:val="both"/>
        <w:rPr>
          <w:rFonts w:ascii="Times New Roman" w:hAnsi="Times New Roman" w:cs="Times New Roman"/>
          <w:sz w:val="22"/>
        </w:rPr>
      </w:pPr>
      <w:r w:rsidRPr="00062207">
        <w:rPr>
          <w:rFonts w:ascii="Times New Roman" w:hAnsi="Times New Roman" w:cs="Times New Roman"/>
          <w:sz w:val="22"/>
        </w:rPr>
        <w:t>Se espera que la superación de expectativas de la economía mundial para el año 2022 permitan que las exportaciones de bienes y servicios aumente en términos reales un 5.5%. En cuanto a las importaciones se espera que crezca en términos reales un 4.7%, como consecuencia en el aumento de los requerimientos de consumo final, consumo intermedio e inversión.</w:t>
      </w:r>
    </w:p>
    <w:p w14:paraId="7B57BFE5" w14:textId="77777777" w:rsidR="00283EA8" w:rsidRPr="00062207" w:rsidRDefault="00283EA8" w:rsidP="00283EA8">
      <w:pPr>
        <w:jc w:val="both"/>
        <w:rPr>
          <w:rFonts w:ascii="Times New Roman" w:hAnsi="Times New Roman" w:cs="Times New Roman"/>
          <w:sz w:val="22"/>
        </w:rPr>
      </w:pPr>
    </w:p>
    <w:p w14:paraId="7069AC60" w14:textId="77777777" w:rsidR="00283EA8" w:rsidRPr="00062207" w:rsidRDefault="00283EA8" w:rsidP="00283EA8">
      <w:pPr>
        <w:jc w:val="both"/>
        <w:rPr>
          <w:rFonts w:ascii="Times New Roman" w:hAnsi="Times New Roman" w:cs="Times New Roman"/>
          <w:sz w:val="22"/>
        </w:rPr>
      </w:pPr>
      <w:r w:rsidRPr="00062207">
        <w:rPr>
          <w:rFonts w:ascii="Times New Roman" w:hAnsi="Times New Roman" w:cs="Times New Roman"/>
          <w:sz w:val="22"/>
        </w:rPr>
        <w:t>Se estima que para el 2022 la comercialización por mayor y menor, mantenimiento y recuperación de vehículos automotores y motocicletas con un peso relativo de 19.6% registre un crecimiento del 5.1% asociado al mejoramiento de las condiciones de comercialización y al aumento en la producción de actividades agrícolas e industriales. Se espera un crecimiento en la demanda intermedia de materiales de construcción, mantenimiento y fabricación de maquinaria y equipo, industria del plástico, industria del papel y agroindustria (principalmente grasas, azúcar, bebidas no espirituosas, vestido y productos farmacéuticos), con lo que se estima un crecimiento del 4.2% para la industria manufacturera que posee un peso relativo del 14.0% del PIB.</w:t>
      </w:r>
    </w:p>
    <w:p w14:paraId="2106C634" w14:textId="13B35E21" w:rsidR="00283EA8" w:rsidRPr="00062207" w:rsidRDefault="00283EA8" w:rsidP="00283EA8">
      <w:pPr>
        <w:jc w:val="both"/>
        <w:rPr>
          <w:rFonts w:ascii="Times New Roman" w:hAnsi="Times New Roman" w:cs="Times New Roman"/>
          <w:sz w:val="16"/>
        </w:rPr>
      </w:pPr>
    </w:p>
    <w:p w14:paraId="632ED6A0" w14:textId="57481DB3" w:rsidR="00AD3678" w:rsidRPr="00062207" w:rsidRDefault="00AD3678" w:rsidP="00AD3678">
      <w:pPr>
        <w:jc w:val="center"/>
        <w:rPr>
          <w:rFonts w:ascii="Times New Roman" w:hAnsi="Times New Roman" w:cs="Times New Roman"/>
          <w:b/>
        </w:rPr>
      </w:pPr>
      <w:r w:rsidRPr="00062207">
        <w:rPr>
          <w:rFonts w:ascii="Times New Roman" w:hAnsi="Times New Roman" w:cs="Times New Roman"/>
          <w:b/>
        </w:rPr>
        <w:t>Producto Interno Bruto por el lado del Gasto</w:t>
      </w:r>
    </w:p>
    <w:p w14:paraId="04A851AB" w14:textId="66F5A3CF" w:rsidR="00AD3678" w:rsidRPr="00062207" w:rsidRDefault="00AD3678" w:rsidP="00AD3678">
      <w:pPr>
        <w:jc w:val="center"/>
        <w:rPr>
          <w:rFonts w:ascii="Times New Roman" w:hAnsi="Times New Roman" w:cs="Times New Roman"/>
          <w:sz w:val="22"/>
        </w:rPr>
      </w:pPr>
      <w:r w:rsidRPr="00062207">
        <w:rPr>
          <w:rFonts w:ascii="Times New Roman" w:hAnsi="Times New Roman" w:cs="Times New Roman"/>
          <w:sz w:val="22"/>
        </w:rPr>
        <w:t>Porcentaje</w:t>
      </w:r>
    </w:p>
    <w:p w14:paraId="1BEE7EF3" w14:textId="30AD2C36" w:rsidR="00283EA8" w:rsidRPr="00062207" w:rsidRDefault="00283EA8" w:rsidP="00283EA8">
      <w:pPr>
        <w:jc w:val="center"/>
      </w:pPr>
      <w:r w:rsidRPr="00062207">
        <w:rPr>
          <w:noProof/>
          <w:lang w:val="es-GT" w:eastAsia="es-GT"/>
        </w:rPr>
        <w:drawing>
          <wp:inline distT="0" distB="0" distL="0" distR="0" wp14:anchorId="00B2F58A" wp14:editId="02C9B70F">
            <wp:extent cx="5505450" cy="2343150"/>
            <wp:effectExtent l="0" t="0" r="0" b="0"/>
            <wp:docPr id="51" name="Gráfico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278903C0" w14:textId="0028FEB2" w:rsidR="00283EA8" w:rsidRPr="00062207" w:rsidRDefault="00AD3678" w:rsidP="00283EA8">
      <w:pPr>
        <w:jc w:val="both"/>
        <w:rPr>
          <w:rFonts w:ascii="Times New Roman" w:hAnsi="Times New Roman" w:cs="Times New Roman"/>
          <w:sz w:val="18"/>
          <w:szCs w:val="16"/>
          <w:lang w:eastAsia="es-GT"/>
        </w:rPr>
      </w:pPr>
      <w:r w:rsidRPr="00062207">
        <w:rPr>
          <w:rFonts w:ascii="Times New Roman" w:hAnsi="Times New Roman" w:cs="Times New Roman"/>
          <w:sz w:val="18"/>
          <w:szCs w:val="16"/>
          <w:lang w:eastAsia="es-GT"/>
        </w:rPr>
        <w:t>(p) cifras preliminares, (es) estimación de cierre, (py) cifras proyectadas</w:t>
      </w:r>
    </w:p>
    <w:p w14:paraId="67108CB8" w14:textId="77777777" w:rsidR="00AD3678" w:rsidRPr="00062207" w:rsidRDefault="00AD3678" w:rsidP="00AD3678">
      <w:pPr>
        <w:pStyle w:val="NormalWeb"/>
        <w:spacing w:before="0" w:beforeAutospacing="0" w:after="0" w:afterAutospacing="0"/>
        <w:rPr>
          <w:sz w:val="28"/>
        </w:rPr>
      </w:pPr>
      <w:r w:rsidRPr="00062207">
        <w:rPr>
          <w:sz w:val="18"/>
          <w:szCs w:val="16"/>
          <w:lang w:val="es-ES_tradnl"/>
        </w:rPr>
        <w:t>Fuente</w:t>
      </w:r>
      <w:r w:rsidRPr="00062207">
        <w:rPr>
          <w:b/>
          <w:bCs/>
          <w:sz w:val="18"/>
          <w:szCs w:val="16"/>
          <w:lang w:val="es-ES_tradnl"/>
        </w:rPr>
        <w:t>:</w:t>
      </w:r>
      <w:r w:rsidRPr="00062207">
        <w:rPr>
          <w:sz w:val="18"/>
          <w:szCs w:val="16"/>
          <w:lang w:val="es-ES_tradnl"/>
        </w:rPr>
        <w:t xml:space="preserve"> Dirección de Análisis y Política Fiscal con información del Banco de Guatemala.</w:t>
      </w:r>
    </w:p>
    <w:p w14:paraId="79A020D2" w14:textId="4BA1B5D1" w:rsidR="00283EA8" w:rsidRPr="00062207" w:rsidRDefault="00283EA8" w:rsidP="00283EA8">
      <w:pPr>
        <w:jc w:val="both"/>
      </w:pPr>
      <w:r w:rsidRPr="00062207">
        <w:lastRenderedPageBreak/>
        <w:t xml:space="preserve"> </w:t>
      </w:r>
      <w:r w:rsidRPr="00062207">
        <w:rPr>
          <w:rFonts w:ascii="Times New Roman" w:hAnsi="Times New Roman" w:cs="Times New Roman"/>
          <w:sz w:val="22"/>
        </w:rPr>
        <w:t xml:space="preserve">Por su parte, las actividades inmobiliarias (8.0% del PIB), se espera que registre un aumento del 4.2%, debido al crecimiento previsto en los alquileres residenciales como resultado del incremento estimado en el número de viviendas construidas. Además, se espera un crecimiento económico del 11.6 % para las actividades de alojamiento y de servicio de comidas (2.9% del PIB), asociado a perspectivas favorables sobre mejora en la calidad del servicio y al aumento del turismo nacional e internacional. </w:t>
      </w:r>
    </w:p>
    <w:p w14:paraId="0F1823BC" w14:textId="77777777" w:rsidR="00283EA8" w:rsidRPr="00062207" w:rsidRDefault="00283EA8" w:rsidP="00283EA8">
      <w:pPr>
        <w:jc w:val="both"/>
        <w:rPr>
          <w:rFonts w:ascii="Times New Roman" w:hAnsi="Times New Roman" w:cs="Times New Roman"/>
          <w:sz w:val="22"/>
        </w:rPr>
      </w:pPr>
    </w:p>
    <w:p w14:paraId="2C1F981F" w14:textId="4E7BB51B" w:rsidR="00283EA8" w:rsidRPr="00062207" w:rsidRDefault="00283EA8" w:rsidP="00283EA8">
      <w:pPr>
        <w:jc w:val="both"/>
        <w:rPr>
          <w:rFonts w:ascii="Times New Roman" w:hAnsi="Times New Roman" w:cs="Times New Roman"/>
          <w:sz w:val="22"/>
        </w:rPr>
      </w:pPr>
      <w:r w:rsidRPr="00062207">
        <w:rPr>
          <w:rFonts w:ascii="Times New Roman" w:hAnsi="Times New Roman" w:cs="Times New Roman"/>
          <w:sz w:val="22"/>
        </w:rPr>
        <w:t xml:space="preserve">Con un peso relativo de 9.8% del PIB, las actividades de agricultura, ganadería, silvicultura y pesca se espera que registre un crecimiento de 2.8%, debido al aumento en la demanda de frutas, hortalizas y palma africana. Se estima un crecimiento del 4.8 % en actividades de construcción (5.4% del PIB) gracias al aumento en la construcción de edificios privados de uso residencial y no residencial, así como en el aumento de la construcción de obras de ingeniería civil asociadas a proyectos de Alianzas Público-Privadas.  Para otras actividades de servicios (3.8% del PIB), se estima que registren un incremento de 5.9%, como resultado del aumento esperado en la demanda final de servicios personales y de servicios artísticos, domésticos y recreativos. Se espera un crecimiento del 5.2% en actividades financieras y de seguros (3.7%), debido al incremento previsto en el crédito al sector privado. </w:t>
      </w:r>
    </w:p>
    <w:p w14:paraId="7ADFA0F3" w14:textId="5ED50A45" w:rsidR="00AD3678" w:rsidRPr="00062207" w:rsidRDefault="00AD3678" w:rsidP="00283EA8">
      <w:pPr>
        <w:jc w:val="both"/>
        <w:rPr>
          <w:rFonts w:ascii="Times New Roman" w:hAnsi="Times New Roman" w:cs="Times New Roman"/>
          <w:sz w:val="22"/>
        </w:rPr>
      </w:pPr>
    </w:p>
    <w:p w14:paraId="2DF7E231" w14:textId="3D9E66CB" w:rsidR="00AD3678" w:rsidRPr="00062207" w:rsidRDefault="00AD3678" w:rsidP="00AD3678">
      <w:pPr>
        <w:jc w:val="center"/>
        <w:rPr>
          <w:rFonts w:ascii="Times New Roman" w:hAnsi="Times New Roman" w:cs="Times New Roman"/>
          <w:b/>
        </w:rPr>
      </w:pPr>
      <w:r w:rsidRPr="00062207">
        <w:rPr>
          <w:rFonts w:ascii="Times New Roman" w:hAnsi="Times New Roman" w:cs="Times New Roman"/>
          <w:b/>
        </w:rPr>
        <w:t>Producto Interno Bruto por ramas de Actividad Económica</w:t>
      </w:r>
    </w:p>
    <w:p w14:paraId="00DA474D" w14:textId="4249A117" w:rsidR="00AD3678" w:rsidRPr="00062207" w:rsidRDefault="00AD3678" w:rsidP="00AD3678">
      <w:pPr>
        <w:jc w:val="center"/>
        <w:rPr>
          <w:rFonts w:ascii="Times New Roman" w:hAnsi="Times New Roman" w:cs="Times New Roman"/>
          <w:sz w:val="22"/>
        </w:rPr>
      </w:pPr>
      <w:r w:rsidRPr="00062207">
        <w:rPr>
          <w:rFonts w:ascii="Times New Roman" w:hAnsi="Times New Roman" w:cs="Times New Roman"/>
          <w:sz w:val="22"/>
        </w:rPr>
        <w:t>Tasa de variación interanual en porcentaje</w:t>
      </w:r>
    </w:p>
    <w:p w14:paraId="4118A6A0" w14:textId="4C66CE6E" w:rsidR="00283EA8" w:rsidRPr="00062207" w:rsidRDefault="00283EA8" w:rsidP="00502DF2">
      <w:pPr>
        <w:jc w:val="center"/>
      </w:pPr>
      <w:r w:rsidRPr="00062207">
        <w:rPr>
          <w:noProof/>
          <w:lang w:val="es-GT" w:eastAsia="es-GT"/>
        </w:rPr>
        <w:drawing>
          <wp:inline distT="0" distB="0" distL="0" distR="0" wp14:anchorId="6178278F" wp14:editId="6DCE5843">
            <wp:extent cx="5612130" cy="4848225"/>
            <wp:effectExtent l="0" t="0" r="7620" b="0"/>
            <wp:docPr id="52" name="Gráfico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r w:rsidRPr="00062207">
        <w:rPr>
          <w:noProof/>
          <w:lang w:val="es-GT" w:eastAsia="es-GT"/>
        </w:rPr>
        <mc:AlternateContent>
          <mc:Choice Requires="wps">
            <w:drawing>
              <wp:anchor distT="0" distB="0" distL="114300" distR="114300" simplePos="0" relativeHeight="251800576" behindDoc="1" locked="0" layoutInCell="1" allowOverlap="1" wp14:anchorId="641C2C1A" wp14:editId="27D4D1C4">
                <wp:simplePos x="0" y="0"/>
                <wp:positionH relativeFrom="column">
                  <wp:posOffset>-64135</wp:posOffset>
                </wp:positionH>
                <wp:positionV relativeFrom="paragraph">
                  <wp:posOffset>6090920</wp:posOffset>
                </wp:positionV>
                <wp:extent cx="4991100" cy="736600"/>
                <wp:effectExtent l="0" t="0" r="0" b="0"/>
                <wp:wrapNone/>
                <wp:docPr id="44" name="Cuadro de texto 1"/>
                <wp:cNvGraphicFramePr/>
                <a:graphic xmlns:a="http://schemas.openxmlformats.org/drawingml/2006/main">
                  <a:graphicData uri="http://schemas.microsoft.com/office/word/2010/wordprocessingShape">
                    <wps:wsp>
                      <wps:cNvSpPr txBox="1"/>
                      <wps:spPr>
                        <a:xfrm>
                          <a:off x="0" y="0"/>
                          <a:ext cx="4991100" cy="736600"/>
                        </a:xfrm>
                        <a:prstGeom prst="rect">
                          <a:avLst/>
                        </a:prstGeom>
                      </wps:spPr>
                      <wps:txbx>
                        <w:txbxContent>
                          <w:p w14:paraId="13FB2AE0" w14:textId="77777777" w:rsidR="00062207" w:rsidRDefault="00062207" w:rsidP="00283EA8">
                            <w:pPr>
                              <w:pStyle w:val="NormalWeb"/>
                              <w:spacing w:before="0" w:beforeAutospacing="0" w:after="0" w:afterAutospacing="0"/>
                            </w:pPr>
                            <w:r>
                              <w:rPr>
                                <w:rFonts w:eastAsia="Times New Roman" w:cstheme="minorBidi"/>
                                <w:sz w:val="16"/>
                                <w:szCs w:val="16"/>
                                <w:lang w:val="es-ES_tradnl"/>
                              </w:rPr>
                              <w:t>(p) cifras preliminares</w:t>
                            </w:r>
                          </w:p>
                          <w:p w14:paraId="25A88CEC" w14:textId="77777777" w:rsidR="00062207" w:rsidRDefault="00062207" w:rsidP="00283EA8">
                            <w:pPr>
                              <w:pStyle w:val="NormalWeb"/>
                              <w:spacing w:before="0" w:beforeAutospacing="0" w:after="0" w:afterAutospacing="0"/>
                            </w:pPr>
                            <w:r>
                              <w:rPr>
                                <w:rFonts w:eastAsia="Times New Roman" w:cstheme="minorBidi"/>
                                <w:sz w:val="16"/>
                                <w:szCs w:val="16"/>
                                <w:lang w:val="es-ES_tradnl"/>
                              </w:rPr>
                              <w:t>(es) estimación de cierre</w:t>
                            </w:r>
                          </w:p>
                          <w:p w14:paraId="4E330064" w14:textId="77777777" w:rsidR="00062207" w:rsidRDefault="00062207" w:rsidP="00283EA8">
                            <w:pPr>
                              <w:pStyle w:val="NormalWeb"/>
                              <w:spacing w:before="0" w:beforeAutospacing="0" w:after="0" w:afterAutospacing="0"/>
                            </w:pPr>
                            <w:r>
                              <w:rPr>
                                <w:rFonts w:eastAsia="Times New Roman" w:cstheme="minorBidi"/>
                                <w:sz w:val="16"/>
                                <w:szCs w:val="16"/>
                                <w:lang w:val="es-ES_tradnl"/>
                              </w:rPr>
                              <w:t xml:space="preserve">(py) cifras proyectadas </w:t>
                            </w:r>
                          </w:p>
                          <w:p w14:paraId="15A2E12F" w14:textId="77777777" w:rsidR="00062207" w:rsidRDefault="00062207" w:rsidP="00283EA8">
                            <w:pPr>
                              <w:pStyle w:val="NormalWeb"/>
                              <w:spacing w:before="0" w:beforeAutospacing="0" w:after="0" w:afterAutospacing="0"/>
                            </w:pPr>
                            <w:r>
                              <w:rPr>
                                <w:rFonts w:eastAsia="Times New Roman" w:cstheme="minorBidi"/>
                                <w:sz w:val="16"/>
                                <w:szCs w:val="16"/>
                                <w:lang w:val="es-ES_tradnl"/>
                              </w:rPr>
                              <w:t>Fuente</w:t>
                            </w:r>
                            <w:r>
                              <w:rPr>
                                <w:rFonts w:eastAsia="Times New Roman" w:cstheme="minorBidi"/>
                                <w:b/>
                                <w:bCs/>
                                <w:sz w:val="16"/>
                                <w:szCs w:val="16"/>
                                <w:lang w:val="es-ES_tradnl"/>
                              </w:rPr>
                              <w:t>:</w:t>
                            </w:r>
                            <w:r>
                              <w:rPr>
                                <w:rFonts w:eastAsia="Times New Roman" w:cstheme="minorBidi"/>
                                <w:sz w:val="16"/>
                                <w:szCs w:val="16"/>
                                <w:lang w:val="es-ES_tradnl"/>
                              </w:rPr>
                              <w:t xml:space="preserve"> Dirección de Análisis y Política Fiscal con información del Banco de Guatemala.</w:t>
                            </w:r>
                          </w:p>
                          <w:p w14:paraId="24A58E49" w14:textId="77777777" w:rsidR="00062207" w:rsidRDefault="00062207" w:rsidP="00283EA8">
                            <w:pPr>
                              <w:pStyle w:val="NormalWeb"/>
                              <w:spacing w:before="0" w:beforeAutospacing="0" w:after="0" w:afterAutospacing="0"/>
                            </w:pPr>
                            <w:r>
                              <w:rPr>
                                <w:rFonts w:eastAsia="Times New Roman" w:cstheme="minorBidi"/>
                              </w:rPr>
                              <w:t>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41C2C1A" id="Cuadro de texto 1" o:spid="_x0000_s1073" type="#_x0000_t202" style="position:absolute;left:0;text-align:left;margin-left:-5.05pt;margin-top:479.6pt;width:393pt;height:58pt;z-index:-2515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" filled="f" stroked="f">
                <v:textbox>
                  <w:txbxContent>
                    <w:p w14:paraId="13FB2AE0" w14:textId="77777777" w:rsidR="00062207" w:rsidRDefault="00062207" w:rsidP="00283EA8">
                      <w:pPr>
                        <w:pStyle w:val="NormalWeb"/>
                        <w:spacing w:before="0" w:beforeAutospacing="0" w:after="0" w:afterAutospacing="0"/>
                      </w:pPr>
                      <w:r>
                        <w:rPr>
                          <w:rFonts w:eastAsia="Times New Roman" w:cstheme="minorBidi"/>
                          <w:sz w:val="16"/>
                          <w:szCs w:val="16"/>
                          <w:lang w:val="es-ES_tradnl"/>
                        </w:rPr>
                        <w:t>(p) cifras preliminares</w:t>
                      </w:r>
                    </w:p>
                    <w:p w14:paraId="25A88CEC" w14:textId="77777777" w:rsidR="00062207" w:rsidRDefault="00062207" w:rsidP="00283EA8">
                      <w:pPr>
                        <w:pStyle w:val="NormalWeb"/>
                        <w:spacing w:before="0" w:beforeAutospacing="0" w:after="0" w:afterAutospacing="0"/>
                      </w:pPr>
                      <w:r>
                        <w:rPr>
                          <w:rFonts w:eastAsia="Times New Roman" w:cstheme="minorBidi"/>
                          <w:sz w:val="16"/>
                          <w:szCs w:val="16"/>
                          <w:lang w:val="es-ES_tradnl"/>
                        </w:rPr>
                        <w:t>(es) estimación de cierre</w:t>
                      </w:r>
                    </w:p>
                    <w:p w14:paraId="4E330064" w14:textId="77777777" w:rsidR="00062207" w:rsidRDefault="00062207" w:rsidP="00283EA8">
                      <w:pPr>
                        <w:pStyle w:val="NormalWeb"/>
                        <w:spacing w:before="0" w:beforeAutospacing="0" w:after="0" w:afterAutospacing="0"/>
                      </w:pPr>
                      <w:r>
                        <w:rPr>
                          <w:rFonts w:eastAsia="Times New Roman" w:cstheme="minorBidi"/>
                          <w:sz w:val="16"/>
                          <w:szCs w:val="16"/>
                          <w:lang w:val="es-ES_tradnl"/>
                        </w:rPr>
                        <w:t xml:space="preserve">(py) cifras proyectadas </w:t>
                      </w:r>
                    </w:p>
                    <w:p w14:paraId="15A2E12F" w14:textId="77777777" w:rsidR="00062207" w:rsidRDefault="00062207" w:rsidP="00283EA8">
                      <w:pPr>
                        <w:pStyle w:val="NormalWeb"/>
                        <w:spacing w:before="0" w:beforeAutospacing="0" w:after="0" w:afterAutospacing="0"/>
                      </w:pPr>
                      <w:r>
                        <w:rPr>
                          <w:rFonts w:eastAsia="Times New Roman" w:cstheme="minorBidi"/>
                          <w:sz w:val="16"/>
                          <w:szCs w:val="16"/>
                          <w:lang w:val="es-ES_tradnl"/>
                        </w:rPr>
                        <w:t>Fuente</w:t>
                      </w:r>
                      <w:r>
                        <w:rPr>
                          <w:rFonts w:eastAsia="Times New Roman" w:cstheme="minorBidi"/>
                          <w:b/>
                          <w:bCs/>
                          <w:sz w:val="16"/>
                          <w:szCs w:val="16"/>
                          <w:lang w:val="es-ES_tradnl"/>
                        </w:rPr>
                        <w:t>:</w:t>
                      </w:r>
                      <w:r>
                        <w:rPr>
                          <w:rFonts w:eastAsia="Times New Roman" w:cstheme="minorBidi"/>
                          <w:sz w:val="16"/>
                          <w:szCs w:val="16"/>
                          <w:lang w:val="es-ES_tradnl"/>
                        </w:rPr>
                        <w:t xml:space="preserve"> Dirección de Análisis y Política Fiscal con información del Banco de Guatemala.</w:t>
                      </w:r>
                    </w:p>
                    <w:p w14:paraId="24A58E49" w14:textId="77777777" w:rsidR="00062207" w:rsidRDefault="00062207" w:rsidP="00283EA8">
                      <w:pPr>
                        <w:pStyle w:val="NormalWeb"/>
                        <w:spacing w:before="0" w:beforeAutospacing="0" w:after="0" w:afterAutospacing="0"/>
                      </w:pPr>
                      <w:r>
                        <w:rPr>
                          <w:rFonts w:eastAsia="Times New Roman" w:cstheme="minorBidi"/>
                        </w:rPr>
                        <w:t> </w:t>
                      </w:r>
                    </w:p>
                  </w:txbxContent>
                </v:textbox>
              </v:shape>
            </w:pict>
          </mc:Fallback>
        </mc:AlternateContent>
      </w:r>
    </w:p>
    <w:p w14:paraId="65FFA2F2" w14:textId="77777777" w:rsidR="00502DF2" w:rsidRPr="00062207" w:rsidRDefault="00502DF2" w:rsidP="00502DF2">
      <w:pPr>
        <w:jc w:val="both"/>
        <w:rPr>
          <w:rFonts w:ascii="Times New Roman" w:hAnsi="Times New Roman" w:cs="Times New Roman"/>
          <w:sz w:val="18"/>
          <w:szCs w:val="16"/>
          <w:lang w:eastAsia="es-GT"/>
        </w:rPr>
      </w:pPr>
      <w:r w:rsidRPr="00062207">
        <w:rPr>
          <w:rFonts w:ascii="Times New Roman" w:hAnsi="Times New Roman" w:cs="Times New Roman"/>
          <w:sz w:val="18"/>
          <w:szCs w:val="16"/>
          <w:lang w:eastAsia="es-GT"/>
        </w:rPr>
        <w:t>(p) cifras preliminares, (es) estimación de cierre, (py) cifras proyectadas</w:t>
      </w:r>
    </w:p>
    <w:p w14:paraId="1B1B1846" w14:textId="77777777" w:rsidR="00502DF2" w:rsidRPr="00062207" w:rsidRDefault="00502DF2" w:rsidP="00502DF2">
      <w:pPr>
        <w:pStyle w:val="NormalWeb"/>
        <w:spacing w:before="0" w:beforeAutospacing="0" w:after="0" w:afterAutospacing="0"/>
        <w:rPr>
          <w:sz w:val="28"/>
        </w:rPr>
      </w:pPr>
      <w:r w:rsidRPr="00062207">
        <w:rPr>
          <w:sz w:val="18"/>
          <w:szCs w:val="16"/>
          <w:lang w:val="es-ES_tradnl"/>
        </w:rPr>
        <w:t>Fuente</w:t>
      </w:r>
      <w:r w:rsidRPr="00062207">
        <w:rPr>
          <w:b/>
          <w:bCs/>
          <w:sz w:val="18"/>
          <w:szCs w:val="16"/>
          <w:lang w:val="es-ES_tradnl"/>
        </w:rPr>
        <w:t>:</w:t>
      </w:r>
      <w:r w:rsidRPr="00062207">
        <w:rPr>
          <w:sz w:val="18"/>
          <w:szCs w:val="16"/>
          <w:lang w:val="es-ES_tradnl"/>
        </w:rPr>
        <w:t xml:space="preserve"> Dirección de Análisis y Política Fiscal con información del Banco de Guatemala.</w:t>
      </w:r>
    </w:p>
    <w:p w14:paraId="707DCF4E" w14:textId="1CEBB329" w:rsidR="00283EA8" w:rsidRPr="00062207" w:rsidRDefault="00283EA8" w:rsidP="00283EA8">
      <w:pPr>
        <w:jc w:val="both"/>
        <w:rPr>
          <w:rFonts w:ascii="Times New Roman" w:hAnsi="Times New Roman" w:cs="Times New Roman"/>
          <w:sz w:val="22"/>
          <w:szCs w:val="22"/>
        </w:rPr>
      </w:pPr>
      <w:r w:rsidRPr="00062207">
        <w:rPr>
          <w:rFonts w:ascii="Times New Roman" w:hAnsi="Times New Roman" w:cs="Times New Roman"/>
          <w:sz w:val="22"/>
          <w:szCs w:val="22"/>
        </w:rPr>
        <w:lastRenderedPageBreak/>
        <w:t>En el sector monetario, se proyecta que para el 2022 el crecimiento de la emisión monetaria se encuentre entre 9.0% y 12.0% debido a la normalización de su principal componente que es el numerario en circulación debido a una menor preferencia de liquidez de los agentes económicos. Por parte de los medios de pago esto se ubicarán entre 8.5% y 10.5% debido al proceso menos dinámico experimentado desde el año 2021 por la recuperación de la actividad económica. Asimismo, se espera que el crédito al sector bancario se encuentre entre 8.0% y 11.0% debido a la evolución esperada de la economía y por lo tanto un mayor dinamismo en los créditos otorgados al consumo y al sector empresarial mayor.</w:t>
      </w:r>
    </w:p>
    <w:p w14:paraId="2586E3EA" w14:textId="77777777" w:rsidR="00283EA8" w:rsidRPr="00062207" w:rsidRDefault="00283EA8" w:rsidP="00283EA8">
      <w:pPr>
        <w:jc w:val="both"/>
        <w:rPr>
          <w:rFonts w:ascii="Times New Roman" w:hAnsi="Times New Roman" w:cs="Times New Roman"/>
          <w:sz w:val="22"/>
          <w:szCs w:val="22"/>
        </w:rPr>
      </w:pPr>
    </w:p>
    <w:p w14:paraId="42E25628" w14:textId="77777777" w:rsidR="00283EA8" w:rsidRPr="00062207" w:rsidRDefault="00283EA8" w:rsidP="00283EA8">
      <w:pPr>
        <w:jc w:val="both"/>
        <w:rPr>
          <w:rFonts w:ascii="Times New Roman" w:hAnsi="Times New Roman" w:cs="Times New Roman"/>
          <w:sz w:val="22"/>
          <w:szCs w:val="22"/>
        </w:rPr>
      </w:pPr>
      <w:r w:rsidRPr="00062207">
        <w:rPr>
          <w:rFonts w:ascii="Times New Roman" w:hAnsi="Times New Roman" w:cs="Times New Roman"/>
          <w:sz w:val="22"/>
          <w:szCs w:val="22"/>
        </w:rPr>
        <w:t>En el sector externo se espera que la cuenta corriente de la balanza de pagos siga registrando un superávit de 2.7% como proporción del PIB para el año 2022. Esto explicado principalmente por el superávit del ingreso secundario que compensa los déficits de la balanza comercial y del ingreso primario. El superávit de los ingresos secundario se debe por el constante aumento de las remesas familiares en los años anteriores y a la tasa de crecimiento prevista de 11.0% para el 2022 que es congruente con el crecimiento del empleo y de la economía de Estados Unidos.</w:t>
      </w:r>
    </w:p>
    <w:p w14:paraId="001027AF" w14:textId="77777777" w:rsidR="00283EA8" w:rsidRPr="00062207" w:rsidRDefault="00283EA8" w:rsidP="00283EA8">
      <w:pPr>
        <w:jc w:val="both"/>
        <w:rPr>
          <w:rFonts w:ascii="Times New Roman" w:hAnsi="Times New Roman" w:cs="Times New Roman"/>
          <w:sz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062207" w:rsidRPr="00062207" w14:paraId="46214FF3" w14:textId="77777777" w:rsidTr="00A963D6">
        <w:tc>
          <w:tcPr>
            <w:tcW w:w="9350" w:type="dxa"/>
          </w:tcPr>
          <w:p w14:paraId="06CF0E50" w14:textId="77777777" w:rsidR="00283EA8" w:rsidRPr="00062207" w:rsidRDefault="00283EA8" w:rsidP="00A963D6">
            <w:pPr>
              <w:jc w:val="center"/>
              <w:rPr>
                <w:rFonts w:ascii="Times New Roman" w:hAnsi="Times New Roman" w:cs="Times New Roman"/>
                <w:b/>
                <w:bCs/>
                <w:sz w:val="22"/>
              </w:rPr>
            </w:pPr>
            <w:r w:rsidRPr="00062207">
              <w:rPr>
                <w:rFonts w:ascii="Times New Roman" w:hAnsi="Times New Roman" w:cs="Times New Roman"/>
                <w:b/>
                <w:bCs/>
                <w:sz w:val="22"/>
              </w:rPr>
              <w:t>Saldo de cuenta corriente de la balanza de pagos como proporción del PIB</w:t>
            </w:r>
          </w:p>
          <w:p w14:paraId="5064CD35" w14:textId="77777777" w:rsidR="00283EA8" w:rsidRPr="00062207" w:rsidRDefault="00283EA8" w:rsidP="00A963D6">
            <w:pPr>
              <w:jc w:val="center"/>
              <w:rPr>
                <w:rFonts w:ascii="Times New Roman" w:hAnsi="Times New Roman" w:cs="Times New Roman"/>
                <w:b/>
                <w:bCs/>
                <w:sz w:val="22"/>
              </w:rPr>
            </w:pPr>
            <w:r w:rsidRPr="00062207">
              <w:rPr>
                <w:rFonts w:ascii="Times New Roman" w:hAnsi="Times New Roman" w:cs="Times New Roman"/>
                <w:b/>
                <w:bCs/>
                <w:sz w:val="22"/>
              </w:rPr>
              <w:t>Porcentajes</w:t>
            </w:r>
          </w:p>
        </w:tc>
      </w:tr>
      <w:tr w:rsidR="00062207" w:rsidRPr="00062207" w14:paraId="6626F8F2" w14:textId="77777777" w:rsidTr="00A963D6">
        <w:tc>
          <w:tcPr>
            <w:tcW w:w="9350" w:type="dxa"/>
          </w:tcPr>
          <w:p w14:paraId="070501E9" w14:textId="77777777" w:rsidR="00283EA8" w:rsidRPr="00062207" w:rsidRDefault="00283EA8" w:rsidP="00A963D6">
            <w:pPr>
              <w:jc w:val="both"/>
              <w:rPr>
                <w:rFonts w:ascii="Times New Roman" w:hAnsi="Times New Roman" w:cs="Times New Roman"/>
                <w:sz w:val="22"/>
              </w:rPr>
            </w:pPr>
            <w:r w:rsidRPr="00062207">
              <w:rPr>
                <w:rFonts w:ascii="Times New Roman" w:hAnsi="Times New Roman" w:cs="Times New Roman"/>
                <w:noProof/>
                <w:sz w:val="22"/>
                <w:lang w:val="es-GT" w:eastAsia="es-GT"/>
              </w:rPr>
              <w:drawing>
                <wp:inline distT="0" distB="0" distL="0" distR="0" wp14:anchorId="763EE8DA" wp14:editId="20C51EB3">
                  <wp:extent cx="5743575" cy="2305050"/>
                  <wp:effectExtent l="0" t="0" r="0" b="0"/>
                  <wp:docPr id="55" name="Gráfico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tc>
      </w:tr>
      <w:tr w:rsidR="00283EA8" w:rsidRPr="00062207" w14:paraId="4AFC9C62" w14:textId="77777777" w:rsidTr="00A963D6">
        <w:tc>
          <w:tcPr>
            <w:tcW w:w="9350" w:type="dxa"/>
          </w:tcPr>
          <w:p w14:paraId="51A9868D" w14:textId="471D09B4" w:rsidR="00502DF2" w:rsidRPr="00062207" w:rsidRDefault="00502DF2" w:rsidP="00502DF2">
            <w:pPr>
              <w:jc w:val="both"/>
              <w:rPr>
                <w:rFonts w:ascii="Times New Roman" w:hAnsi="Times New Roman" w:cs="Times New Roman"/>
                <w:sz w:val="18"/>
                <w:szCs w:val="16"/>
                <w:lang w:eastAsia="es-GT"/>
              </w:rPr>
            </w:pPr>
            <w:r w:rsidRPr="00062207">
              <w:rPr>
                <w:rFonts w:ascii="Times New Roman" w:hAnsi="Times New Roman" w:cs="Times New Roman"/>
                <w:sz w:val="18"/>
                <w:szCs w:val="16"/>
                <w:lang w:eastAsia="es-GT"/>
              </w:rPr>
              <w:t>p/ cifras preliminares, py/ cifras proyectadas</w:t>
            </w:r>
          </w:p>
          <w:p w14:paraId="002949B0" w14:textId="1F378B09" w:rsidR="00283EA8" w:rsidRPr="00062207" w:rsidRDefault="00283EA8" w:rsidP="00A963D6">
            <w:pPr>
              <w:jc w:val="both"/>
              <w:rPr>
                <w:rFonts w:ascii="Times New Roman" w:hAnsi="Times New Roman" w:cs="Times New Roman"/>
                <w:sz w:val="20"/>
                <w:szCs w:val="22"/>
              </w:rPr>
            </w:pPr>
            <w:r w:rsidRPr="00062207">
              <w:rPr>
                <w:rFonts w:ascii="Times New Roman" w:hAnsi="Times New Roman" w:cs="Times New Roman"/>
                <w:sz w:val="18"/>
                <w:szCs w:val="22"/>
              </w:rPr>
              <w:t>Fuente: Banco de Guatemala</w:t>
            </w:r>
          </w:p>
        </w:tc>
      </w:tr>
    </w:tbl>
    <w:p w14:paraId="58084553" w14:textId="77777777" w:rsidR="00283EA8" w:rsidRPr="00062207" w:rsidRDefault="00283EA8" w:rsidP="00283EA8">
      <w:pPr>
        <w:jc w:val="both"/>
        <w:rPr>
          <w:rFonts w:ascii="Times New Roman" w:hAnsi="Times New Roman" w:cs="Times New Roman"/>
          <w:sz w:val="22"/>
        </w:rPr>
      </w:pPr>
    </w:p>
    <w:p w14:paraId="505874B1" w14:textId="61B2D078" w:rsidR="00283EA8" w:rsidRPr="00062207" w:rsidRDefault="00283EA8" w:rsidP="00283EA8">
      <w:pPr>
        <w:jc w:val="both"/>
        <w:rPr>
          <w:rFonts w:ascii="Times New Roman" w:hAnsi="Times New Roman" w:cs="Times New Roman"/>
          <w:sz w:val="22"/>
        </w:rPr>
      </w:pPr>
      <w:r w:rsidRPr="00062207">
        <w:rPr>
          <w:rFonts w:ascii="Times New Roman" w:hAnsi="Times New Roman" w:cs="Times New Roman"/>
          <w:sz w:val="22"/>
        </w:rPr>
        <w:t xml:space="preserve">Asimismo, para el 2022 se espera que el comercio exterior siga en recuperación a medida que el comportamiento de la economía mundial siga la evolución detallada en la sección anterior. De tal manera que se espera que las exportaciones FOB se situé en un valor de USD$13,286.8 con una tasa de crecimiento de 7.5% y para las importaciones FOB un valor de USD$25,076.3 y la tasa de crecimiento de 7.5%. Por otro lado, para los servicios se espera que el saldo sea deficitario en USD808.3 millones generando un valor estimado de la balanza de comercio comercial de USD$11,789.5 millones </w:t>
      </w:r>
      <w:r w:rsidR="00502DF2" w:rsidRPr="00062207">
        <w:rPr>
          <w:rFonts w:ascii="Times New Roman" w:hAnsi="Times New Roman" w:cs="Times New Roman"/>
          <w:sz w:val="22"/>
        </w:rPr>
        <w:t>con una tasa</w:t>
      </w:r>
      <w:r w:rsidRPr="00062207">
        <w:rPr>
          <w:rFonts w:ascii="Times New Roman" w:hAnsi="Times New Roman" w:cs="Times New Roman"/>
          <w:sz w:val="22"/>
        </w:rPr>
        <w:t xml:space="preserve"> de variación interanual negativa de 7.4%.</w:t>
      </w:r>
    </w:p>
    <w:p w14:paraId="6C818796" w14:textId="15256EA8" w:rsidR="00283EA8" w:rsidRPr="00062207" w:rsidRDefault="00283EA8" w:rsidP="00283EA8">
      <w:pPr>
        <w:jc w:val="both"/>
        <w:rPr>
          <w:rFonts w:ascii="Times New Roman" w:hAnsi="Times New Roman" w:cs="Times New Roman"/>
          <w:sz w:val="22"/>
        </w:rPr>
      </w:pPr>
    </w:p>
    <w:p w14:paraId="5812ED95" w14:textId="4DF1ECE2" w:rsidR="0080424E" w:rsidRPr="00062207" w:rsidRDefault="0080424E" w:rsidP="00283EA8">
      <w:pPr>
        <w:jc w:val="both"/>
        <w:rPr>
          <w:rFonts w:ascii="Times New Roman" w:hAnsi="Times New Roman" w:cs="Times New Roman"/>
          <w:sz w:val="22"/>
        </w:rPr>
      </w:pPr>
    </w:p>
    <w:p w14:paraId="551982A0" w14:textId="2F51CA40" w:rsidR="0080424E" w:rsidRPr="00062207" w:rsidRDefault="0080424E" w:rsidP="00283EA8">
      <w:pPr>
        <w:jc w:val="both"/>
        <w:rPr>
          <w:rFonts w:ascii="Times New Roman" w:hAnsi="Times New Roman" w:cs="Times New Roman"/>
          <w:sz w:val="22"/>
        </w:rPr>
      </w:pPr>
    </w:p>
    <w:p w14:paraId="6FC8CF91" w14:textId="0355A8B0" w:rsidR="0080424E" w:rsidRPr="00062207" w:rsidRDefault="0080424E" w:rsidP="00283EA8">
      <w:pPr>
        <w:jc w:val="both"/>
        <w:rPr>
          <w:rFonts w:ascii="Times New Roman" w:hAnsi="Times New Roman" w:cs="Times New Roman"/>
          <w:sz w:val="22"/>
        </w:rPr>
      </w:pPr>
    </w:p>
    <w:p w14:paraId="08350A4C" w14:textId="6B1759CE" w:rsidR="0080424E" w:rsidRPr="00062207" w:rsidRDefault="0080424E" w:rsidP="00283EA8">
      <w:pPr>
        <w:jc w:val="both"/>
        <w:rPr>
          <w:rFonts w:ascii="Times New Roman" w:hAnsi="Times New Roman" w:cs="Times New Roman"/>
          <w:sz w:val="22"/>
        </w:rPr>
      </w:pPr>
    </w:p>
    <w:p w14:paraId="79DD274C" w14:textId="6E296505" w:rsidR="0080424E" w:rsidRPr="00062207" w:rsidRDefault="0080424E" w:rsidP="00283EA8">
      <w:pPr>
        <w:jc w:val="both"/>
        <w:rPr>
          <w:rFonts w:ascii="Times New Roman" w:hAnsi="Times New Roman" w:cs="Times New Roman"/>
          <w:sz w:val="22"/>
        </w:rPr>
      </w:pPr>
    </w:p>
    <w:p w14:paraId="4515572B" w14:textId="7556940F" w:rsidR="0080424E" w:rsidRPr="00062207" w:rsidRDefault="0080424E" w:rsidP="00283EA8">
      <w:pPr>
        <w:jc w:val="both"/>
        <w:rPr>
          <w:rFonts w:ascii="Times New Roman" w:hAnsi="Times New Roman" w:cs="Times New Roman"/>
          <w:sz w:val="22"/>
        </w:rPr>
      </w:pPr>
    </w:p>
    <w:p w14:paraId="157AEA67" w14:textId="77777777" w:rsidR="0080424E" w:rsidRPr="00062207" w:rsidRDefault="0080424E" w:rsidP="00283EA8">
      <w:pPr>
        <w:jc w:val="both"/>
        <w:rPr>
          <w:rFonts w:ascii="Times New Roman" w:hAnsi="Times New Roman" w:cs="Times New Roman"/>
          <w:sz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2"/>
        <w:gridCol w:w="4702"/>
      </w:tblGrid>
      <w:tr w:rsidR="00062207" w:rsidRPr="00062207" w14:paraId="555359A1" w14:textId="77777777" w:rsidTr="00A963D6">
        <w:tc>
          <w:tcPr>
            <w:tcW w:w="4680" w:type="dxa"/>
          </w:tcPr>
          <w:p w14:paraId="403B64CD" w14:textId="77777777" w:rsidR="00283EA8" w:rsidRPr="00062207" w:rsidRDefault="00283EA8" w:rsidP="0080424E">
            <w:pPr>
              <w:jc w:val="center"/>
              <w:rPr>
                <w:rFonts w:ascii="Times New Roman" w:hAnsi="Times New Roman" w:cs="Times New Roman"/>
                <w:b/>
              </w:rPr>
            </w:pPr>
            <w:r w:rsidRPr="00062207">
              <w:rPr>
                <w:rFonts w:ascii="Times New Roman" w:hAnsi="Times New Roman" w:cs="Times New Roman"/>
                <w:b/>
                <w:sz w:val="22"/>
              </w:rPr>
              <w:lastRenderedPageBreak/>
              <w:t>Proyección del crecimiento de las exportaciones FOB en 2022 (en porcentaje)</w:t>
            </w:r>
          </w:p>
        </w:tc>
        <w:tc>
          <w:tcPr>
            <w:tcW w:w="4680" w:type="dxa"/>
          </w:tcPr>
          <w:p w14:paraId="4196E81C" w14:textId="77777777" w:rsidR="00283EA8" w:rsidRPr="00062207" w:rsidRDefault="00283EA8" w:rsidP="0080424E">
            <w:pPr>
              <w:jc w:val="center"/>
              <w:rPr>
                <w:rFonts w:ascii="Times New Roman" w:hAnsi="Times New Roman" w:cs="Times New Roman"/>
                <w:b/>
              </w:rPr>
            </w:pPr>
            <w:r w:rsidRPr="00062207">
              <w:rPr>
                <w:rFonts w:ascii="Times New Roman" w:hAnsi="Times New Roman" w:cs="Times New Roman"/>
                <w:b/>
                <w:sz w:val="22"/>
              </w:rPr>
              <w:t>Proyección del crecimiento de las importaciones FOB en 2022 (en porcentaje)</w:t>
            </w:r>
          </w:p>
        </w:tc>
      </w:tr>
      <w:tr w:rsidR="00062207" w:rsidRPr="00062207" w14:paraId="7444B6DD" w14:textId="77777777" w:rsidTr="00A963D6">
        <w:tc>
          <w:tcPr>
            <w:tcW w:w="4680" w:type="dxa"/>
          </w:tcPr>
          <w:p w14:paraId="79A25F0F" w14:textId="77777777" w:rsidR="00283EA8" w:rsidRPr="00062207" w:rsidRDefault="00283EA8" w:rsidP="0080424E">
            <w:pPr>
              <w:rPr>
                <w:rFonts w:ascii="Times New Roman" w:hAnsi="Times New Roman" w:cs="Times New Roman"/>
              </w:rPr>
            </w:pPr>
            <w:r w:rsidRPr="00062207">
              <w:rPr>
                <w:rFonts w:ascii="Times New Roman" w:hAnsi="Times New Roman" w:cs="Times New Roman"/>
                <w:noProof/>
                <w:lang w:val="es-GT" w:eastAsia="es-GT"/>
              </w:rPr>
              <w:drawing>
                <wp:inline distT="0" distB="0" distL="0" distR="0" wp14:anchorId="234B5B99" wp14:editId="16390DD6">
                  <wp:extent cx="2906395" cy="2066925"/>
                  <wp:effectExtent l="0" t="0" r="8255" b="0"/>
                  <wp:docPr id="59" name="Gráfico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tc>
        <w:tc>
          <w:tcPr>
            <w:tcW w:w="4680" w:type="dxa"/>
          </w:tcPr>
          <w:p w14:paraId="6525C007" w14:textId="77777777" w:rsidR="00283EA8" w:rsidRPr="00062207" w:rsidRDefault="00283EA8" w:rsidP="0080424E">
            <w:pPr>
              <w:rPr>
                <w:rFonts w:ascii="Times New Roman" w:hAnsi="Times New Roman" w:cs="Times New Roman"/>
              </w:rPr>
            </w:pPr>
            <w:r w:rsidRPr="00062207">
              <w:rPr>
                <w:rFonts w:ascii="Times New Roman" w:hAnsi="Times New Roman" w:cs="Times New Roman"/>
                <w:noProof/>
                <w:lang w:val="es-GT" w:eastAsia="es-GT"/>
              </w:rPr>
              <w:drawing>
                <wp:inline distT="0" distB="0" distL="0" distR="0" wp14:anchorId="7E542036" wp14:editId="6A384167">
                  <wp:extent cx="2906395" cy="2066925"/>
                  <wp:effectExtent l="0" t="0" r="8255" b="0"/>
                  <wp:docPr id="60" name="Gráfico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tc>
      </w:tr>
      <w:tr w:rsidR="00283EA8" w:rsidRPr="00062207" w14:paraId="4DE1B7DD" w14:textId="77777777" w:rsidTr="00A963D6">
        <w:tc>
          <w:tcPr>
            <w:tcW w:w="4680" w:type="dxa"/>
          </w:tcPr>
          <w:p w14:paraId="0B2832D3" w14:textId="77777777" w:rsidR="00283EA8" w:rsidRPr="00062207" w:rsidRDefault="00283EA8" w:rsidP="0080424E">
            <w:pPr>
              <w:rPr>
                <w:rFonts w:ascii="Times New Roman" w:hAnsi="Times New Roman" w:cs="Times New Roman"/>
                <w:b/>
                <w:bCs/>
                <w:sz w:val="20"/>
                <w:szCs w:val="22"/>
              </w:rPr>
            </w:pPr>
            <w:r w:rsidRPr="00062207">
              <w:rPr>
                <w:rFonts w:ascii="Times New Roman" w:hAnsi="Times New Roman" w:cs="Times New Roman"/>
                <w:b/>
                <w:bCs/>
                <w:sz w:val="18"/>
                <w:szCs w:val="22"/>
              </w:rPr>
              <w:t>Fuente: Banco de Guatemala</w:t>
            </w:r>
          </w:p>
        </w:tc>
        <w:tc>
          <w:tcPr>
            <w:tcW w:w="4680" w:type="dxa"/>
          </w:tcPr>
          <w:p w14:paraId="203289EB" w14:textId="77777777" w:rsidR="00283EA8" w:rsidRPr="00062207" w:rsidRDefault="00283EA8" w:rsidP="0080424E">
            <w:pPr>
              <w:rPr>
                <w:rFonts w:ascii="Times New Roman" w:hAnsi="Times New Roman" w:cs="Times New Roman"/>
                <w:sz w:val="18"/>
                <w:szCs w:val="18"/>
              </w:rPr>
            </w:pPr>
            <w:r w:rsidRPr="00062207">
              <w:rPr>
                <w:rFonts w:ascii="Times New Roman" w:hAnsi="Times New Roman" w:cs="Times New Roman"/>
                <w:b/>
                <w:bCs/>
                <w:sz w:val="18"/>
                <w:szCs w:val="18"/>
              </w:rPr>
              <w:t>Fuente: Banco de Guatemala</w:t>
            </w:r>
          </w:p>
        </w:tc>
      </w:tr>
    </w:tbl>
    <w:p w14:paraId="67577BAA" w14:textId="77777777" w:rsidR="00283EA8" w:rsidRPr="00062207" w:rsidRDefault="00283EA8" w:rsidP="00283EA8">
      <w:pPr>
        <w:jc w:val="both"/>
        <w:rPr>
          <w:rFonts w:ascii="Times New Roman" w:hAnsi="Times New Roman" w:cs="Times New Roman"/>
          <w:sz w:val="22"/>
        </w:rPr>
      </w:pPr>
    </w:p>
    <w:p w14:paraId="2230158E" w14:textId="77777777" w:rsidR="00283EA8" w:rsidRPr="00062207" w:rsidRDefault="00283EA8" w:rsidP="00283EA8">
      <w:pPr>
        <w:jc w:val="both"/>
        <w:rPr>
          <w:rFonts w:ascii="Times New Roman" w:hAnsi="Times New Roman" w:cs="Times New Roman"/>
          <w:sz w:val="22"/>
        </w:rPr>
      </w:pPr>
      <w:r w:rsidRPr="00062207">
        <w:rPr>
          <w:rFonts w:ascii="Times New Roman" w:hAnsi="Times New Roman" w:cs="Times New Roman"/>
          <w:sz w:val="22"/>
        </w:rPr>
        <w:t>Por parte del saldo de la cuenta primaria, se espera que el déficit de 2022 se encuentre en USD$2,017.8 millones, mayor en USD$430.3 millones con respecto el 2021, debido a que se espera un incremento en la remuneración de los factores de la producción de los no residentes. Además, se proyecta que el aumento del saldo de la cuenta del ingreso secundario tenga un valor de USD$17,115.3 millones.</w:t>
      </w:r>
    </w:p>
    <w:p w14:paraId="29B7B889" w14:textId="77777777" w:rsidR="00283EA8" w:rsidRPr="00062207" w:rsidRDefault="00283EA8" w:rsidP="00283EA8">
      <w:pPr>
        <w:jc w:val="both"/>
        <w:rPr>
          <w:rFonts w:ascii="Times New Roman" w:hAnsi="Times New Roman" w:cs="Times New Roman"/>
          <w:sz w:val="22"/>
        </w:rPr>
      </w:pPr>
    </w:p>
    <w:p w14:paraId="082F3258" w14:textId="77777777" w:rsidR="00283EA8" w:rsidRPr="00062207" w:rsidRDefault="00283EA8" w:rsidP="00283EA8">
      <w:pPr>
        <w:jc w:val="both"/>
        <w:rPr>
          <w:rFonts w:ascii="Times New Roman" w:hAnsi="Times New Roman" w:cs="Times New Roman"/>
          <w:sz w:val="22"/>
        </w:rPr>
      </w:pPr>
      <w:r w:rsidRPr="00062207">
        <w:rPr>
          <w:rFonts w:ascii="Times New Roman" w:hAnsi="Times New Roman" w:cs="Times New Roman"/>
          <w:sz w:val="22"/>
        </w:rPr>
        <w:t xml:space="preserve">El resultado de la cuenta corriente más los flujos de inversión extranjera directa permitirían disminuir los pasivos de los residentes. En lo que respecta a las Reservas Internacionales Netas, el Banco de Guatemala espera que estas aumenten en el 2022 en cerca de USD$1,500 millones. </w:t>
      </w:r>
    </w:p>
    <w:p w14:paraId="15AB13E4" w14:textId="77777777" w:rsidR="00283EA8" w:rsidRPr="00062207" w:rsidRDefault="00283EA8" w:rsidP="00283EA8">
      <w:pPr>
        <w:jc w:val="both"/>
        <w:rPr>
          <w:rFonts w:ascii="Times New Roman" w:hAnsi="Times New Roman" w:cs="Times New Roman"/>
          <w:sz w:val="22"/>
        </w:rPr>
      </w:pPr>
    </w:p>
    <w:p w14:paraId="5F26D4F6" w14:textId="77777777" w:rsidR="00283EA8" w:rsidRPr="00062207" w:rsidRDefault="00283EA8" w:rsidP="00283EA8">
      <w:pPr>
        <w:jc w:val="both"/>
        <w:rPr>
          <w:rFonts w:ascii="Times New Roman" w:hAnsi="Times New Roman" w:cs="Times New Roman"/>
          <w:sz w:val="22"/>
        </w:rPr>
      </w:pPr>
      <w:r w:rsidRPr="00062207">
        <w:rPr>
          <w:rFonts w:ascii="Times New Roman" w:hAnsi="Times New Roman" w:cs="Times New Roman"/>
          <w:sz w:val="22"/>
        </w:rPr>
        <w:t>Asimismo, por el déficit esperado en la balanza comercial, dado que el crecimiento en el mediano plazo de las importaciones ha sido mayor que el de exportaciones, y a la normalización del crecimiento del ingreso de divisas por remesas familiares se espera que el tipo de cambio se mantenga estable, aunque probablemente muestre una leve depreciación en 2022.</w:t>
      </w:r>
    </w:p>
    <w:p w14:paraId="6FC4D7FA" w14:textId="77777777" w:rsidR="00283EA8" w:rsidRPr="00062207" w:rsidRDefault="00283EA8" w:rsidP="00283EA8">
      <w:pPr>
        <w:jc w:val="both"/>
        <w:rPr>
          <w:rFonts w:ascii="Times New Roman" w:hAnsi="Times New Roman" w:cs="Times New Roman"/>
          <w:sz w:val="22"/>
        </w:rPr>
      </w:pPr>
    </w:p>
    <w:p w14:paraId="6D9E8043" w14:textId="77777777" w:rsidR="00283EA8" w:rsidRPr="00062207" w:rsidRDefault="00283EA8" w:rsidP="00283EA8">
      <w:pPr>
        <w:jc w:val="both"/>
        <w:rPr>
          <w:rFonts w:ascii="Times New Roman" w:hAnsi="Times New Roman" w:cs="Times New Roman"/>
          <w:sz w:val="22"/>
        </w:rPr>
      </w:pPr>
      <w:r w:rsidRPr="00062207">
        <w:rPr>
          <w:rFonts w:ascii="Times New Roman" w:hAnsi="Times New Roman" w:cs="Times New Roman"/>
          <w:sz w:val="22"/>
        </w:rPr>
        <w:t>Por último, las perspectivas económicas de Guatemala están determinadas por los riesgos del sector externo, los cuales pueden ser positivos o negativos.  Además, el comportamiento económico podría ser vulnerable a cambios en las decisiones del gobierno en cuanto al nivel de gasto en inversión, el cual de ser menor genera un riesgo a la baja en la perspectivas de crecimiento económico, así como el agudizamiento en los contagios derivados de las nuevas variantes de COVID-19 que podrían llevar a nuevos confinamientos que afectaría negativamente la actividad económica; sin embargo, los avances en la vacunación elevarán la esperanza y confianza de las familias y las empresas alentando con ello el crecimiento.</w:t>
      </w:r>
    </w:p>
    <w:p w14:paraId="2885E54D" w14:textId="7753B207" w:rsidR="00FE4D86" w:rsidRPr="00062207" w:rsidRDefault="00FE4D86" w:rsidP="00283EA8">
      <w:pPr>
        <w:jc w:val="both"/>
        <w:rPr>
          <w:rFonts w:ascii="Times New Roman" w:hAnsi="Times New Roman" w:cs="Times New Roman"/>
          <w:sz w:val="22"/>
        </w:rPr>
      </w:pPr>
    </w:p>
    <w:p w14:paraId="5C58C482" w14:textId="77777777" w:rsidR="00FE4D86" w:rsidRPr="00062207" w:rsidRDefault="00FE4D86" w:rsidP="004751C3">
      <w:pPr>
        <w:pStyle w:val="Ttulo2"/>
        <w:numPr>
          <w:ilvl w:val="1"/>
          <w:numId w:val="1"/>
        </w:numPr>
        <w:spacing w:before="0"/>
        <w:ind w:left="644"/>
        <w:rPr>
          <w:rFonts w:ascii="Times New Roman" w:hAnsi="Times New Roman" w:cs="Times New Roman"/>
          <w:bCs w:val="0"/>
          <w:color w:val="auto"/>
          <w:sz w:val="24"/>
          <w:szCs w:val="24"/>
        </w:rPr>
      </w:pPr>
      <w:bookmarkStart w:id="246" w:name="_Toc94259653"/>
      <w:r w:rsidRPr="00062207">
        <w:rPr>
          <w:rFonts w:ascii="Times New Roman" w:hAnsi="Times New Roman" w:cs="Times New Roman"/>
          <w:bCs w:val="0"/>
          <w:color w:val="auto"/>
          <w:sz w:val="24"/>
          <w:szCs w:val="24"/>
        </w:rPr>
        <w:t>Perspectivas fiscales para 2022</w:t>
      </w:r>
      <w:bookmarkEnd w:id="246"/>
    </w:p>
    <w:p w14:paraId="3619C84A" w14:textId="77777777" w:rsidR="00607C6C" w:rsidRPr="00062207" w:rsidRDefault="00607C6C" w:rsidP="00607C6C">
      <w:pPr>
        <w:rPr>
          <w:rFonts w:ascii="Times New Roman" w:eastAsiaTheme="majorEastAsia" w:hAnsi="Times New Roman" w:cs="Times New Roman"/>
          <w:b/>
          <w:bCs/>
          <w:sz w:val="20"/>
          <w:szCs w:val="26"/>
        </w:rPr>
      </w:pPr>
    </w:p>
    <w:p w14:paraId="16259F18" w14:textId="4430A246" w:rsidR="00607C6C" w:rsidRPr="00062207" w:rsidRDefault="00607C6C" w:rsidP="00607C6C">
      <w:pPr>
        <w:jc w:val="both"/>
        <w:rPr>
          <w:rFonts w:ascii="Times New Roman" w:hAnsi="Times New Roman" w:cs="Times New Roman"/>
          <w:sz w:val="22"/>
          <w:szCs w:val="22"/>
        </w:rPr>
      </w:pPr>
      <w:r w:rsidRPr="00062207">
        <w:rPr>
          <w:rFonts w:ascii="Times New Roman" w:hAnsi="Times New Roman" w:cs="Times New Roman"/>
          <w:sz w:val="22"/>
          <w:szCs w:val="22"/>
        </w:rPr>
        <w:t>El 2022 arranca con la particularidad de contar con un Presupuesto General de Ingresos y Egresos del Estado para el Ejercicio Fiscal aprobado por el Congreso de la República, luego de dos años de no contar con un presupuesto propio. Esta medida es favorable para el manejo de la política fiscal y de la política pública en general, dado que el presupuesto es consistente y congruente con la planificación de las entidades y los objetivos estratégicos que han sido definidos con antelación en beneficio de las necesidades de la población guatemalteca.</w:t>
      </w:r>
    </w:p>
    <w:p w14:paraId="3C5517E3" w14:textId="5AE67EA8" w:rsidR="00607C6C" w:rsidRPr="00062207" w:rsidRDefault="00607C6C" w:rsidP="00607C6C">
      <w:pPr>
        <w:jc w:val="both"/>
        <w:rPr>
          <w:rFonts w:ascii="Times New Roman" w:hAnsi="Times New Roman" w:cs="Times New Roman"/>
          <w:sz w:val="22"/>
          <w:szCs w:val="22"/>
        </w:rPr>
      </w:pPr>
    </w:p>
    <w:p w14:paraId="5795CFF1" w14:textId="77777777" w:rsidR="008C3540" w:rsidRPr="00062207" w:rsidRDefault="008C3540" w:rsidP="00607C6C">
      <w:pPr>
        <w:jc w:val="both"/>
        <w:rPr>
          <w:rFonts w:ascii="Times New Roman" w:hAnsi="Times New Roman" w:cs="Times New Roman"/>
          <w:sz w:val="22"/>
          <w:szCs w:val="22"/>
        </w:rPr>
      </w:pPr>
    </w:p>
    <w:p w14:paraId="481C7EE1" w14:textId="6F091848" w:rsidR="00502DF2" w:rsidRPr="00062207" w:rsidRDefault="00502DF2" w:rsidP="00607C6C">
      <w:pPr>
        <w:jc w:val="both"/>
        <w:rPr>
          <w:rFonts w:ascii="Times New Roman" w:hAnsi="Times New Roman" w:cs="Times New Roman"/>
          <w:sz w:val="22"/>
          <w:szCs w:val="22"/>
        </w:rPr>
      </w:pPr>
    </w:p>
    <w:p w14:paraId="4AF56789" w14:textId="51D1C60A" w:rsidR="00502DF2" w:rsidRPr="00062207" w:rsidRDefault="00502DF2" w:rsidP="00607C6C">
      <w:pPr>
        <w:jc w:val="both"/>
        <w:rPr>
          <w:rFonts w:ascii="Times New Roman" w:hAnsi="Times New Roman" w:cs="Times New Roman"/>
          <w:sz w:val="22"/>
          <w:szCs w:val="22"/>
        </w:rPr>
      </w:pPr>
    </w:p>
    <w:p w14:paraId="77A751A9" w14:textId="74E058B7" w:rsidR="00502DF2" w:rsidRPr="00062207" w:rsidRDefault="00502DF2" w:rsidP="00502DF2">
      <w:pPr>
        <w:jc w:val="center"/>
        <w:rPr>
          <w:rFonts w:ascii="Times New Roman" w:hAnsi="Times New Roman" w:cs="Times New Roman"/>
          <w:b/>
        </w:rPr>
      </w:pPr>
      <w:r w:rsidRPr="00062207">
        <w:rPr>
          <w:rFonts w:ascii="Times New Roman" w:hAnsi="Times New Roman" w:cs="Times New Roman"/>
          <w:b/>
        </w:rPr>
        <w:lastRenderedPageBreak/>
        <w:t>Proyectos de presupuesto 2004-2022</w:t>
      </w:r>
    </w:p>
    <w:p w14:paraId="6F3452A3" w14:textId="77777777" w:rsidR="00502DF2" w:rsidRPr="00062207" w:rsidRDefault="00502DF2" w:rsidP="00607C6C">
      <w:pPr>
        <w:jc w:val="both"/>
        <w:rPr>
          <w:rFonts w:ascii="Times New Roman" w:hAnsi="Times New Roman" w:cs="Times New Roman"/>
          <w:sz w:val="22"/>
          <w:szCs w:val="22"/>
        </w:rPr>
      </w:pPr>
    </w:p>
    <w:tbl>
      <w:tblPr>
        <w:tblW w:w="9204" w:type="dxa"/>
        <w:jc w:val="center"/>
        <w:tblCellMar>
          <w:left w:w="70" w:type="dxa"/>
          <w:right w:w="70" w:type="dxa"/>
        </w:tblCellMar>
        <w:tblLook w:val="04A0" w:firstRow="1" w:lastRow="0" w:firstColumn="1" w:lastColumn="0" w:noHBand="0" w:noVBand="1"/>
      </w:tblPr>
      <w:tblGrid>
        <w:gridCol w:w="960"/>
        <w:gridCol w:w="2291"/>
        <w:gridCol w:w="3827"/>
        <w:gridCol w:w="2126"/>
      </w:tblGrid>
      <w:tr w:rsidR="00062207" w:rsidRPr="00062207" w14:paraId="03960F72" w14:textId="77777777" w:rsidTr="00A963D6">
        <w:trPr>
          <w:trHeight w:val="315"/>
          <w:jc w:val="center"/>
        </w:trPr>
        <w:tc>
          <w:tcPr>
            <w:tcW w:w="960" w:type="dxa"/>
            <w:tcBorders>
              <w:top w:val="single" w:sz="8" w:space="0" w:color="auto"/>
              <w:left w:val="single" w:sz="8" w:space="0" w:color="auto"/>
              <w:bottom w:val="single" w:sz="8" w:space="0" w:color="auto"/>
              <w:right w:val="single" w:sz="4" w:space="0" w:color="auto"/>
            </w:tcBorders>
            <w:shd w:val="clear" w:color="000000" w:fill="203764"/>
            <w:noWrap/>
            <w:vAlign w:val="center"/>
            <w:hideMark/>
          </w:tcPr>
          <w:p w14:paraId="278233D6" w14:textId="77777777" w:rsidR="00607C6C" w:rsidRPr="00062207" w:rsidRDefault="00607C6C" w:rsidP="00A963D6">
            <w:pPr>
              <w:jc w:val="center"/>
              <w:rPr>
                <w:rFonts w:ascii="Times New Roman" w:eastAsia="Times New Roman" w:hAnsi="Times New Roman" w:cs="Times New Roman"/>
                <w:b/>
                <w:bCs/>
                <w:sz w:val="22"/>
                <w:szCs w:val="22"/>
                <w:lang w:val="es-GT" w:eastAsia="es-GT"/>
              </w:rPr>
            </w:pPr>
            <w:r w:rsidRPr="00062207">
              <w:rPr>
                <w:rFonts w:ascii="Times New Roman" w:eastAsia="Times New Roman" w:hAnsi="Times New Roman" w:cs="Times New Roman"/>
                <w:b/>
                <w:bCs/>
                <w:sz w:val="22"/>
                <w:szCs w:val="22"/>
                <w:lang w:val="es-GT" w:eastAsia="es-GT"/>
              </w:rPr>
              <w:t>Año</w:t>
            </w:r>
          </w:p>
        </w:tc>
        <w:tc>
          <w:tcPr>
            <w:tcW w:w="2291" w:type="dxa"/>
            <w:tcBorders>
              <w:top w:val="single" w:sz="8" w:space="0" w:color="auto"/>
              <w:left w:val="nil"/>
              <w:bottom w:val="single" w:sz="8" w:space="0" w:color="auto"/>
              <w:right w:val="nil"/>
            </w:tcBorders>
            <w:shd w:val="clear" w:color="000000" w:fill="203764"/>
            <w:noWrap/>
            <w:vAlign w:val="center"/>
            <w:hideMark/>
          </w:tcPr>
          <w:p w14:paraId="490B6073" w14:textId="77777777" w:rsidR="00607C6C" w:rsidRPr="00062207" w:rsidRDefault="00607C6C" w:rsidP="00A963D6">
            <w:pPr>
              <w:jc w:val="center"/>
              <w:rPr>
                <w:rFonts w:ascii="Times New Roman" w:eastAsia="Times New Roman" w:hAnsi="Times New Roman" w:cs="Times New Roman"/>
                <w:b/>
                <w:bCs/>
                <w:sz w:val="22"/>
                <w:szCs w:val="22"/>
                <w:lang w:val="es-GT" w:eastAsia="es-GT"/>
              </w:rPr>
            </w:pPr>
            <w:r w:rsidRPr="00062207">
              <w:rPr>
                <w:rFonts w:ascii="Times New Roman" w:eastAsia="Times New Roman" w:hAnsi="Times New Roman" w:cs="Times New Roman"/>
                <w:b/>
                <w:bCs/>
                <w:sz w:val="22"/>
                <w:szCs w:val="22"/>
                <w:lang w:val="es-GT" w:eastAsia="es-GT"/>
              </w:rPr>
              <w:t>Proyecto de presupuesto</w:t>
            </w:r>
          </w:p>
        </w:tc>
        <w:tc>
          <w:tcPr>
            <w:tcW w:w="3827" w:type="dxa"/>
            <w:tcBorders>
              <w:top w:val="single" w:sz="8" w:space="0" w:color="auto"/>
              <w:left w:val="single" w:sz="4" w:space="0" w:color="auto"/>
              <w:bottom w:val="single" w:sz="8" w:space="0" w:color="auto"/>
              <w:right w:val="single" w:sz="4" w:space="0" w:color="auto"/>
            </w:tcBorders>
            <w:shd w:val="clear" w:color="000000" w:fill="203764"/>
            <w:noWrap/>
            <w:vAlign w:val="center"/>
            <w:hideMark/>
          </w:tcPr>
          <w:p w14:paraId="547FEF19" w14:textId="77777777" w:rsidR="00607C6C" w:rsidRPr="00062207" w:rsidRDefault="00607C6C" w:rsidP="00A963D6">
            <w:pPr>
              <w:jc w:val="center"/>
              <w:rPr>
                <w:rFonts w:ascii="Times New Roman" w:eastAsia="Times New Roman" w:hAnsi="Times New Roman" w:cs="Times New Roman"/>
                <w:b/>
                <w:bCs/>
                <w:sz w:val="22"/>
                <w:szCs w:val="22"/>
                <w:lang w:val="es-GT" w:eastAsia="es-GT"/>
              </w:rPr>
            </w:pPr>
            <w:r w:rsidRPr="00062207">
              <w:rPr>
                <w:rFonts w:ascii="Times New Roman" w:eastAsia="Times New Roman" w:hAnsi="Times New Roman" w:cs="Times New Roman"/>
                <w:b/>
                <w:bCs/>
                <w:sz w:val="22"/>
                <w:szCs w:val="22"/>
                <w:lang w:val="es-GT" w:eastAsia="es-GT"/>
              </w:rPr>
              <w:t>Administración</w:t>
            </w:r>
          </w:p>
        </w:tc>
        <w:tc>
          <w:tcPr>
            <w:tcW w:w="2126" w:type="dxa"/>
            <w:tcBorders>
              <w:top w:val="single" w:sz="8" w:space="0" w:color="auto"/>
              <w:left w:val="nil"/>
              <w:bottom w:val="nil"/>
              <w:right w:val="single" w:sz="8" w:space="0" w:color="auto"/>
            </w:tcBorders>
            <w:shd w:val="clear" w:color="000000" w:fill="203764"/>
            <w:noWrap/>
            <w:vAlign w:val="center"/>
            <w:hideMark/>
          </w:tcPr>
          <w:p w14:paraId="4B046B52" w14:textId="77777777" w:rsidR="00607C6C" w:rsidRPr="00062207" w:rsidRDefault="00607C6C" w:rsidP="00A963D6">
            <w:pPr>
              <w:jc w:val="center"/>
              <w:rPr>
                <w:rFonts w:ascii="Times New Roman" w:eastAsia="Times New Roman" w:hAnsi="Times New Roman" w:cs="Times New Roman"/>
                <w:b/>
                <w:bCs/>
                <w:sz w:val="22"/>
                <w:szCs w:val="22"/>
                <w:lang w:val="es-GT" w:eastAsia="es-GT"/>
              </w:rPr>
            </w:pPr>
            <w:r w:rsidRPr="00062207">
              <w:rPr>
                <w:rFonts w:ascii="Times New Roman" w:eastAsia="Times New Roman" w:hAnsi="Times New Roman" w:cs="Times New Roman"/>
                <w:b/>
                <w:bCs/>
                <w:sz w:val="22"/>
                <w:szCs w:val="22"/>
                <w:lang w:val="es-GT" w:eastAsia="es-GT"/>
              </w:rPr>
              <w:t>Presupuesto Asignado</w:t>
            </w:r>
          </w:p>
        </w:tc>
      </w:tr>
      <w:tr w:rsidR="00062207" w:rsidRPr="00062207" w14:paraId="5FE7510E" w14:textId="77777777" w:rsidTr="00A963D6">
        <w:trPr>
          <w:trHeight w:val="300"/>
          <w:jc w:val="center"/>
        </w:trPr>
        <w:tc>
          <w:tcPr>
            <w:tcW w:w="960" w:type="dxa"/>
            <w:tcBorders>
              <w:top w:val="nil"/>
              <w:left w:val="single" w:sz="8" w:space="0" w:color="auto"/>
              <w:bottom w:val="nil"/>
              <w:right w:val="single" w:sz="4" w:space="0" w:color="auto"/>
            </w:tcBorders>
            <w:shd w:val="clear" w:color="auto" w:fill="auto"/>
            <w:noWrap/>
            <w:vAlign w:val="center"/>
            <w:hideMark/>
          </w:tcPr>
          <w:p w14:paraId="2EDB360C"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2004</w:t>
            </w:r>
          </w:p>
        </w:tc>
        <w:tc>
          <w:tcPr>
            <w:tcW w:w="2291" w:type="dxa"/>
            <w:tcBorders>
              <w:top w:val="nil"/>
              <w:left w:val="nil"/>
              <w:bottom w:val="nil"/>
              <w:right w:val="single" w:sz="4" w:space="0" w:color="auto"/>
            </w:tcBorders>
            <w:shd w:val="clear" w:color="auto" w:fill="auto"/>
            <w:noWrap/>
            <w:vAlign w:val="center"/>
            <w:hideMark/>
          </w:tcPr>
          <w:p w14:paraId="2AB53597"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NO APROBADO</w:t>
            </w:r>
          </w:p>
        </w:tc>
        <w:tc>
          <w:tcPr>
            <w:tcW w:w="3827" w:type="dxa"/>
            <w:tcBorders>
              <w:top w:val="nil"/>
              <w:left w:val="nil"/>
              <w:bottom w:val="nil"/>
              <w:right w:val="single" w:sz="4" w:space="0" w:color="auto"/>
            </w:tcBorders>
            <w:shd w:val="clear" w:color="auto" w:fill="auto"/>
            <w:noWrap/>
            <w:vAlign w:val="center"/>
            <w:hideMark/>
          </w:tcPr>
          <w:p w14:paraId="04D5A36C"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Gran Alianza Nacional (GANA)</w:t>
            </w:r>
          </w:p>
        </w:tc>
        <w:tc>
          <w:tcPr>
            <w:tcW w:w="2126" w:type="dxa"/>
            <w:tcBorders>
              <w:top w:val="nil"/>
              <w:left w:val="nil"/>
              <w:bottom w:val="nil"/>
              <w:right w:val="single" w:sz="8" w:space="0" w:color="auto"/>
            </w:tcBorders>
            <w:shd w:val="clear" w:color="auto" w:fill="auto"/>
            <w:noWrap/>
            <w:vAlign w:val="center"/>
            <w:hideMark/>
          </w:tcPr>
          <w:p w14:paraId="12EB173E"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30,809.28</w:t>
            </w:r>
          </w:p>
        </w:tc>
      </w:tr>
      <w:tr w:rsidR="00062207" w:rsidRPr="00062207" w14:paraId="0F8DA600" w14:textId="77777777" w:rsidTr="00A963D6">
        <w:trPr>
          <w:trHeight w:val="300"/>
          <w:jc w:val="center"/>
        </w:trPr>
        <w:tc>
          <w:tcPr>
            <w:tcW w:w="960" w:type="dxa"/>
            <w:tcBorders>
              <w:top w:val="nil"/>
              <w:left w:val="single" w:sz="8" w:space="0" w:color="auto"/>
              <w:bottom w:val="nil"/>
              <w:right w:val="single" w:sz="4" w:space="0" w:color="auto"/>
            </w:tcBorders>
            <w:shd w:val="clear" w:color="auto" w:fill="auto"/>
            <w:noWrap/>
            <w:vAlign w:val="center"/>
            <w:hideMark/>
          </w:tcPr>
          <w:p w14:paraId="481D7461"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2005</w:t>
            </w:r>
          </w:p>
        </w:tc>
        <w:tc>
          <w:tcPr>
            <w:tcW w:w="2291" w:type="dxa"/>
            <w:tcBorders>
              <w:top w:val="nil"/>
              <w:left w:val="nil"/>
              <w:bottom w:val="nil"/>
              <w:right w:val="single" w:sz="4" w:space="0" w:color="auto"/>
            </w:tcBorders>
            <w:shd w:val="clear" w:color="auto" w:fill="auto"/>
            <w:noWrap/>
            <w:vAlign w:val="center"/>
            <w:hideMark/>
          </w:tcPr>
          <w:p w14:paraId="2D069577"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APROBADO</w:t>
            </w:r>
          </w:p>
        </w:tc>
        <w:tc>
          <w:tcPr>
            <w:tcW w:w="3827" w:type="dxa"/>
            <w:tcBorders>
              <w:top w:val="nil"/>
              <w:left w:val="nil"/>
              <w:bottom w:val="nil"/>
              <w:right w:val="single" w:sz="4" w:space="0" w:color="auto"/>
            </w:tcBorders>
            <w:shd w:val="clear" w:color="auto" w:fill="auto"/>
            <w:noWrap/>
            <w:vAlign w:val="center"/>
            <w:hideMark/>
          </w:tcPr>
          <w:p w14:paraId="70A0C31B"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Gran Alianza Nacional (GANA)</w:t>
            </w:r>
          </w:p>
        </w:tc>
        <w:tc>
          <w:tcPr>
            <w:tcW w:w="2126" w:type="dxa"/>
            <w:tcBorders>
              <w:top w:val="nil"/>
              <w:left w:val="nil"/>
              <w:bottom w:val="nil"/>
              <w:right w:val="single" w:sz="8" w:space="0" w:color="auto"/>
            </w:tcBorders>
            <w:shd w:val="clear" w:color="auto" w:fill="auto"/>
            <w:noWrap/>
            <w:vAlign w:val="center"/>
            <w:hideMark/>
          </w:tcPr>
          <w:p w14:paraId="6269CA95"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32,385.16</w:t>
            </w:r>
          </w:p>
        </w:tc>
      </w:tr>
      <w:tr w:rsidR="00062207" w:rsidRPr="00062207" w14:paraId="312AF3D6" w14:textId="77777777" w:rsidTr="00A963D6">
        <w:trPr>
          <w:trHeight w:val="300"/>
          <w:jc w:val="center"/>
        </w:trPr>
        <w:tc>
          <w:tcPr>
            <w:tcW w:w="960" w:type="dxa"/>
            <w:tcBorders>
              <w:top w:val="nil"/>
              <w:left w:val="single" w:sz="8" w:space="0" w:color="auto"/>
              <w:bottom w:val="nil"/>
              <w:right w:val="single" w:sz="4" w:space="0" w:color="auto"/>
            </w:tcBorders>
            <w:shd w:val="clear" w:color="auto" w:fill="auto"/>
            <w:noWrap/>
            <w:vAlign w:val="center"/>
            <w:hideMark/>
          </w:tcPr>
          <w:p w14:paraId="482608BE"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2006</w:t>
            </w:r>
          </w:p>
        </w:tc>
        <w:tc>
          <w:tcPr>
            <w:tcW w:w="2291" w:type="dxa"/>
            <w:tcBorders>
              <w:top w:val="nil"/>
              <w:left w:val="nil"/>
              <w:bottom w:val="nil"/>
              <w:right w:val="single" w:sz="4" w:space="0" w:color="auto"/>
            </w:tcBorders>
            <w:shd w:val="clear" w:color="auto" w:fill="auto"/>
            <w:noWrap/>
            <w:vAlign w:val="center"/>
            <w:hideMark/>
          </w:tcPr>
          <w:p w14:paraId="762A4A72"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APROBADO</w:t>
            </w:r>
          </w:p>
        </w:tc>
        <w:tc>
          <w:tcPr>
            <w:tcW w:w="3827" w:type="dxa"/>
            <w:tcBorders>
              <w:top w:val="nil"/>
              <w:left w:val="nil"/>
              <w:bottom w:val="nil"/>
              <w:right w:val="single" w:sz="4" w:space="0" w:color="auto"/>
            </w:tcBorders>
            <w:shd w:val="clear" w:color="auto" w:fill="auto"/>
            <w:noWrap/>
            <w:vAlign w:val="center"/>
            <w:hideMark/>
          </w:tcPr>
          <w:p w14:paraId="4F76E70E"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Gran Alianza Nacional (GANA)</w:t>
            </w:r>
          </w:p>
        </w:tc>
        <w:tc>
          <w:tcPr>
            <w:tcW w:w="2126" w:type="dxa"/>
            <w:tcBorders>
              <w:top w:val="nil"/>
              <w:left w:val="nil"/>
              <w:bottom w:val="nil"/>
              <w:right w:val="single" w:sz="8" w:space="0" w:color="auto"/>
            </w:tcBorders>
            <w:shd w:val="clear" w:color="auto" w:fill="auto"/>
            <w:noWrap/>
            <w:vAlign w:val="center"/>
            <w:hideMark/>
          </w:tcPr>
          <w:p w14:paraId="1F8AF6CE"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37,703.95</w:t>
            </w:r>
          </w:p>
        </w:tc>
      </w:tr>
      <w:tr w:rsidR="00062207" w:rsidRPr="00062207" w14:paraId="5BBD77AB" w14:textId="77777777" w:rsidTr="00A963D6">
        <w:trPr>
          <w:trHeight w:val="300"/>
          <w:jc w:val="center"/>
        </w:trPr>
        <w:tc>
          <w:tcPr>
            <w:tcW w:w="960" w:type="dxa"/>
            <w:tcBorders>
              <w:top w:val="nil"/>
              <w:left w:val="single" w:sz="8" w:space="0" w:color="auto"/>
              <w:bottom w:val="nil"/>
              <w:right w:val="single" w:sz="4" w:space="0" w:color="auto"/>
            </w:tcBorders>
            <w:shd w:val="clear" w:color="auto" w:fill="auto"/>
            <w:noWrap/>
            <w:vAlign w:val="center"/>
            <w:hideMark/>
          </w:tcPr>
          <w:p w14:paraId="57D918A8"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2007</w:t>
            </w:r>
          </w:p>
        </w:tc>
        <w:tc>
          <w:tcPr>
            <w:tcW w:w="2291" w:type="dxa"/>
            <w:tcBorders>
              <w:top w:val="nil"/>
              <w:left w:val="nil"/>
              <w:bottom w:val="nil"/>
              <w:right w:val="single" w:sz="4" w:space="0" w:color="auto"/>
            </w:tcBorders>
            <w:shd w:val="clear" w:color="auto" w:fill="auto"/>
            <w:noWrap/>
            <w:vAlign w:val="center"/>
            <w:hideMark/>
          </w:tcPr>
          <w:p w14:paraId="3E93BC8C"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NO APROBADO</w:t>
            </w:r>
          </w:p>
        </w:tc>
        <w:tc>
          <w:tcPr>
            <w:tcW w:w="3827" w:type="dxa"/>
            <w:tcBorders>
              <w:top w:val="nil"/>
              <w:left w:val="nil"/>
              <w:bottom w:val="nil"/>
              <w:right w:val="single" w:sz="4" w:space="0" w:color="auto"/>
            </w:tcBorders>
            <w:shd w:val="clear" w:color="auto" w:fill="auto"/>
            <w:noWrap/>
            <w:vAlign w:val="center"/>
            <w:hideMark/>
          </w:tcPr>
          <w:p w14:paraId="44B526B1"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Gran Alianza Nacional (GANA)</w:t>
            </w:r>
          </w:p>
        </w:tc>
        <w:tc>
          <w:tcPr>
            <w:tcW w:w="2126" w:type="dxa"/>
            <w:tcBorders>
              <w:top w:val="nil"/>
              <w:left w:val="nil"/>
              <w:bottom w:val="nil"/>
              <w:right w:val="single" w:sz="8" w:space="0" w:color="auto"/>
            </w:tcBorders>
            <w:shd w:val="clear" w:color="auto" w:fill="auto"/>
            <w:noWrap/>
            <w:vAlign w:val="center"/>
            <w:hideMark/>
          </w:tcPr>
          <w:p w14:paraId="749A3A5A"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37,703.95</w:t>
            </w:r>
          </w:p>
        </w:tc>
      </w:tr>
      <w:tr w:rsidR="00062207" w:rsidRPr="00062207" w14:paraId="61E9FA4E" w14:textId="77777777" w:rsidTr="00A963D6">
        <w:trPr>
          <w:trHeight w:val="300"/>
          <w:jc w:val="center"/>
        </w:trPr>
        <w:tc>
          <w:tcPr>
            <w:tcW w:w="960" w:type="dxa"/>
            <w:tcBorders>
              <w:top w:val="nil"/>
              <w:left w:val="single" w:sz="8" w:space="0" w:color="auto"/>
              <w:bottom w:val="nil"/>
              <w:right w:val="single" w:sz="4" w:space="0" w:color="auto"/>
            </w:tcBorders>
            <w:shd w:val="clear" w:color="auto" w:fill="auto"/>
            <w:noWrap/>
            <w:vAlign w:val="center"/>
            <w:hideMark/>
          </w:tcPr>
          <w:p w14:paraId="0EA4C765"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2008</w:t>
            </w:r>
          </w:p>
        </w:tc>
        <w:tc>
          <w:tcPr>
            <w:tcW w:w="2291" w:type="dxa"/>
            <w:tcBorders>
              <w:top w:val="nil"/>
              <w:left w:val="nil"/>
              <w:bottom w:val="nil"/>
              <w:right w:val="single" w:sz="4" w:space="0" w:color="auto"/>
            </w:tcBorders>
            <w:shd w:val="clear" w:color="auto" w:fill="auto"/>
            <w:noWrap/>
            <w:vAlign w:val="center"/>
            <w:hideMark/>
          </w:tcPr>
          <w:p w14:paraId="62823339"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APROBADO</w:t>
            </w:r>
          </w:p>
        </w:tc>
        <w:tc>
          <w:tcPr>
            <w:tcW w:w="3827" w:type="dxa"/>
            <w:tcBorders>
              <w:top w:val="nil"/>
              <w:left w:val="nil"/>
              <w:bottom w:val="nil"/>
              <w:right w:val="single" w:sz="4" w:space="0" w:color="auto"/>
            </w:tcBorders>
            <w:shd w:val="clear" w:color="auto" w:fill="auto"/>
            <w:noWrap/>
            <w:vAlign w:val="center"/>
            <w:hideMark/>
          </w:tcPr>
          <w:p w14:paraId="37F40120"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Unidad Nacional de la Esperanza (UNE)</w:t>
            </w:r>
          </w:p>
        </w:tc>
        <w:tc>
          <w:tcPr>
            <w:tcW w:w="2126" w:type="dxa"/>
            <w:tcBorders>
              <w:top w:val="nil"/>
              <w:left w:val="nil"/>
              <w:bottom w:val="nil"/>
              <w:right w:val="single" w:sz="8" w:space="0" w:color="auto"/>
            </w:tcBorders>
            <w:shd w:val="clear" w:color="auto" w:fill="auto"/>
            <w:noWrap/>
            <w:vAlign w:val="center"/>
            <w:hideMark/>
          </w:tcPr>
          <w:p w14:paraId="26DC064A"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42,535.46</w:t>
            </w:r>
          </w:p>
        </w:tc>
      </w:tr>
      <w:tr w:rsidR="00062207" w:rsidRPr="00062207" w14:paraId="5A453DBE" w14:textId="77777777" w:rsidTr="00A963D6">
        <w:trPr>
          <w:trHeight w:val="300"/>
          <w:jc w:val="center"/>
        </w:trPr>
        <w:tc>
          <w:tcPr>
            <w:tcW w:w="960" w:type="dxa"/>
            <w:tcBorders>
              <w:top w:val="nil"/>
              <w:left w:val="single" w:sz="8" w:space="0" w:color="auto"/>
              <w:bottom w:val="nil"/>
              <w:right w:val="single" w:sz="4" w:space="0" w:color="auto"/>
            </w:tcBorders>
            <w:shd w:val="clear" w:color="auto" w:fill="auto"/>
            <w:noWrap/>
            <w:vAlign w:val="center"/>
            <w:hideMark/>
          </w:tcPr>
          <w:p w14:paraId="68346FBB"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2009</w:t>
            </w:r>
          </w:p>
        </w:tc>
        <w:tc>
          <w:tcPr>
            <w:tcW w:w="2291" w:type="dxa"/>
            <w:tcBorders>
              <w:top w:val="nil"/>
              <w:left w:val="nil"/>
              <w:bottom w:val="nil"/>
              <w:right w:val="single" w:sz="4" w:space="0" w:color="auto"/>
            </w:tcBorders>
            <w:shd w:val="clear" w:color="auto" w:fill="auto"/>
            <w:noWrap/>
            <w:vAlign w:val="center"/>
            <w:hideMark/>
          </w:tcPr>
          <w:p w14:paraId="3EAF3A44"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APROBADO</w:t>
            </w:r>
          </w:p>
        </w:tc>
        <w:tc>
          <w:tcPr>
            <w:tcW w:w="3827" w:type="dxa"/>
            <w:tcBorders>
              <w:top w:val="nil"/>
              <w:left w:val="nil"/>
              <w:bottom w:val="nil"/>
              <w:right w:val="single" w:sz="4" w:space="0" w:color="auto"/>
            </w:tcBorders>
            <w:shd w:val="clear" w:color="auto" w:fill="auto"/>
            <w:noWrap/>
            <w:vAlign w:val="center"/>
            <w:hideMark/>
          </w:tcPr>
          <w:p w14:paraId="635B1AAB"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Unidad Nacional de la Esperanza (UNE)</w:t>
            </w:r>
          </w:p>
        </w:tc>
        <w:tc>
          <w:tcPr>
            <w:tcW w:w="2126" w:type="dxa"/>
            <w:tcBorders>
              <w:top w:val="nil"/>
              <w:left w:val="nil"/>
              <w:bottom w:val="nil"/>
              <w:right w:val="single" w:sz="8" w:space="0" w:color="auto"/>
            </w:tcBorders>
            <w:shd w:val="clear" w:color="auto" w:fill="auto"/>
            <w:noWrap/>
            <w:vAlign w:val="center"/>
            <w:hideMark/>
          </w:tcPr>
          <w:p w14:paraId="391AF567"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49,723.11</w:t>
            </w:r>
          </w:p>
        </w:tc>
      </w:tr>
      <w:tr w:rsidR="00062207" w:rsidRPr="00062207" w14:paraId="523086BB" w14:textId="77777777" w:rsidTr="00A963D6">
        <w:trPr>
          <w:trHeight w:val="300"/>
          <w:jc w:val="center"/>
        </w:trPr>
        <w:tc>
          <w:tcPr>
            <w:tcW w:w="960" w:type="dxa"/>
            <w:tcBorders>
              <w:top w:val="nil"/>
              <w:left w:val="single" w:sz="8" w:space="0" w:color="auto"/>
              <w:bottom w:val="nil"/>
              <w:right w:val="single" w:sz="4" w:space="0" w:color="auto"/>
            </w:tcBorders>
            <w:shd w:val="clear" w:color="auto" w:fill="auto"/>
            <w:noWrap/>
            <w:vAlign w:val="center"/>
            <w:hideMark/>
          </w:tcPr>
          <w:p w14:paraId="2D5E8D3F"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2010</w:t>
            </w:r>
          </w:p>
        </w:tc>
        <w:tc>
          <w:tcPr>
            <w:tcW w:w="2291" w:type="dxa"/>
            <w:tcBorders>
              <w:top w:val="nil"/>
              <w:left w:val="nil"/>
              <w:bottom w:val="nil"/>
              <w:right w:val="single" w:sz="4" w:space="0" w:color="auto"/>
            </w:tcBorders>
            <w:shd w:val="clear" w:color="auto" w:fill="auto"/>
            <w:noWrap/>
            <w:vAlign w:val="center"/>
            <w:hideMark/>
          </w:tcPr>
          <w:p w14:paraId="1F5D80F5"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NO APROBADO</w:t>
            </w:r>
          </w:p>
        </w:tc>
        <w:tc>
          <w:tcPr>
            <w:tcW w:w="3827" w:type="dxa"/>
            <w:tcBorders>
              <w:top w:val="nil"/>
              <w:left w:val="nil"/>
              <w:bottom w:val="nil"/>
              <w:right w:val="single" w:sz="4" w:space="0" w:color="auto"/>
            </w:tcBorders>
            <w:shd w:val="clear" w:color="auto" w:fill="auto"/>
            <w:noWrap/>
            <w:vAlign w:val="center"/>
            <w:hideMark/>
          </w:tcPr>
          <w:p w14:paraId="6128ED07"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Unidad Nacional de la Esperanza (UNE)</w:t>
            </w:r>
          </w:p>
        </w:tc>
        <w:tc>
          <w:tcPr>
            <w:tcW w:w="2126" w:type="dxa"/>
            <w:tcBorders>
              <w:top w:val="nil"/>
              <w:left w:val="nil"/>
              <w:bottom w:val="nil"/>
              <w:right w:val="single" w:sz="8" w:space="0" w:color="auto"/>
            </w:tcBorders>
            <w:shd w:val="clear" w:color="auto" w:fill="auto"/>
            <w:noWrap/>
            <w:vAlign w:val="center"/>
            <w:hideMark/>
          </w:tcPr>
          <w:p w14:paraId="7A19FDF5"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50,031.91</w:t>
            </w:r>
          </w:p>
        </w:tc>
      </w:tr>
      <w:tr w:rsidR="00062207" w:rsidRPr="00062207" w14:paraId="61DD2D40" w14:textId="77777777" w:rsidTr="00A963D6">
        <w:trPr>
          <w:trHeight w:val="300"/>
          <w:jc w:val="center"/>
        </w:trPr>
        <w:tc>
          <w:tcPr>
            <w:tcW w:w="960" w:type="dxa"/>
            <w:tcBorders>
              <w:top w:val="nil"/>
              <w:left w:val="single" w:sz="8" w:space="0" w:color="auto"/>
              <w:bottom w:val="nil"/>
              <w:right w:val="single" w:sz="4" w:space="0" w:color="auto"/>
            </w:tcBorders>
            <w:shd w:val="clear" w:color="auto" w:fill="auto"/>
            <w:noWrap/>
            <w:vAlign w:val="center"/>
            <w:hideMark/>
          </w:tcPr>
          <w:p w14:paraId="2AAD8EF9"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2011</w:t>
            </w:r>
          </w:p>
        </w:tc>
        <w:tc>
          <w:tcPr>
            <w:tcW w:w="2291" w:type="dxa"/>
            <w:tcBorders>
              <w:top w:val="nil"/>
              <w:left w:val="nil"/>
              <w:bottom w:val="nil"/>
              <w:right w:val="single" w:sz="4" w:space="0" w:color="auto"/>
            </w:tcBorders>
            <w:shd w:val="clear" w:color="auto" w:fill="auto"/>
            <w:noWrap/>
            <w:vAlign w:val="center"/>
            <w:hideMark/>
          </w:tcPr>
          <w:p w14:paraId="5F52B488"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APROBADO</w:t>
            </w:r>
          </w:p>
        </w:tc>
        <w:tc>
          <w:tcPr>
            <w:tcW w:w="3827" w:type="dxa"/>
            <w:tcBorders>
              <w:top w:val="nil"/>
              <w:left w:val="nil"/>
              <w:bottom w:val="nil"/>
              <w:right w:val="single" w:sz="4" w:space="0" w:color="auto"/>
            </w:tcBorders>
            <w:shd w:val="clear" w:color="auto" w:fill="auto"/>
            <w:noWrap/>
            <w:vAlign w:val="center"/>
            <w:hideMark/>
          </w:tcPr>
          <w:p w14:paraId="02E4A997"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Unidad Nacional de la Esperanza (UNE)</w:t>
            </w:r>
          </w:p>
        </w:tc>
        <w:tc>
          <w:tcPr>
            <w:tcW w:w="2126" w:type="dxa"/>
            <w:tcBorders>
              <w:top w:val="nil"/>
              <w:left w:val="nil"/>
              <w:bottom w:val="nil"/>
              <w:right w:val="single" w:sz="8" w:space="0" w:color="auto"/>
            </w:tcBorders>
            <w:shd w:val="clear" w:color="auto" w:fill="auto"/>
            <w:noWrap/>
            <w:vAlign w:val="center"/>
            <w:hideMark/>
          </w:tcPr>
          <w:p w14:paraId="194AB3B7"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54,390.90</w:t>
            </w:r>
          </w:p>
        </w:tc>
      </w:tr>
      <w:tr w:rsidR="00062207" w:rsidRPr="00062207" w14:paraId="43AE0C30" w14:textId="77777777" w:rsidTr="00A963D6">
        <w:trPr>
          <w:trHeight w:val="300"/>
          <w:jc w:val="center"/>
        </w:trPr>
        <w:tc>
          <w:tcPr>
            <w:tcW w:w="960" w:type="dxa"/>
            <w:tcBorders>
              <w:top w:val="nil"/>
              <w:left w:val="single" w:sz="8" w:space="0" w:color="auto"/>
              <w:bottom w:val="nil"/>
              <w:right w:val="single" w:sz="4" w:space="0" w:color="auto"/>
            </w:tcBorders>
            <w:shd w:val="clear" w:color="auto" w:fill="auto"/>
            <w:noWrap/>
            <w:vAlign w:val="center"/>
            <w:hideMark/>
          </w:tcPr>
          <w:p w14:paraId="7D1DE2D0"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2012</w:t>
            </w:r>
          </w:p>
        </w:tc>
        <w:tc>
          <w:tcPr>
            <w:tcW w:w="2291" w:type="dxa"/>
            <w:tcBorders>
              <w:top w:val="nil"/>
              <w:left w:val="nil"/>
              <w:bottom w:val="nil"/>
              <w:right w:val="single" w:sz="4" w:space="0" w:color="auto"/>
            </w:tcBorders>
            <w:shd w:val="clear" w:color="auto" w:fill="auto"/>
            <w:noWrap/>
            <w:vAlign w:val="center"/>
            <w:hideMark/>
          </w:tcPr>
          <w:p w14:paraId="7E933B59"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APROBADO</w:t>
            </w:r>
          </w:p>
        </w:tc>
        <w:tc>
          <w:tcPr>
            <w:tcW w:w="3827" w:type="dxa"/>
            <w:tcBorders>
              <w:top w:val="nil"/>
              <w:left w:val="nil"/>
              <w:bottom w:val="nil"/>
              <w:right w:val="single" w:sz="4" w:space="0" w:color="auto"/>
            </w:tcBorders>
            <w:shd w:val="clear" w:color="auto" w:fill="auto"/>
            <w:noWrap/>
            <w:vAlign w:val="center"/>
            <w:hideMark/>
          </w:tcPr>
          <w:p w14:paraId="7158B3D9"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Partido Patriota (PP)</w:t>
            </w:r>
          </w:p>
        </w:tc>
        <w:tc>
          <w:tcPr>
            <w:tcW w:w="2126" w:type="dxa"/>
            <w:tcBorders>
              <w:top w:val="nil"/>
              <w:left w:val="nil"/>
              <w:bottom w:val="nil"/>
              <w:right w:val="single" w:sz="8" w:space="0" w:color="auto"/>
            </w:tcBorders>
            <w:shd w:val="clear" w:color="auto" w:fill="auto"/>
            <w:noWrap/>
            <w:vAlign w:val="center"/>
            <w:hideMark/>
          </w:tcPr>
          <w:p w14:paraId="72F88909"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59,547.38</w:t>
            </w:r>
          </w:p>
        </w:tc>
      </w:tr>
      <w:tr w:rsidR="00062207" w:rsidRPr="00062207" w14:paraId="58561938" w14:textId="77777777" w:rsidTr="00A963D6">
        <w:trPr>
          <w:trHeight w:val="300"/>
          <w:jc w:val="center"/>
        </w:trPr>
        <w:tc>
          <w:tcPr>
            <w:tcW w:w="960" w:type="dxa"/>
            <w:tcBorders>
              <w:top w:val="nil"/>
              <w:left w:val="single" w:sz="8" w:space="0" w:color="auto"/>
              <w:bottom w:val="nil"/>
              <w:right w:val="single" w:sz="4" w:space="0" w:color="auto"/>
            </w:tcBorders>
            <w:shd w:val="clear" w:color="auto" w:fill="auto"/>
            <w:noWrap/>
            <w:vAlign w:val="center"/>
            <w:hideMark/>
          </w:tcPr>
          <w:p w14:paraId="07167943"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2013</w:t>
            </w:r>
          </w:p>
        </w:tc>
        <w:tc>
          <w:tcPr>
            <w:tcW w:w="2291" w:type="dxa"/>
            <w:tcBorders>
              <w:top w:val="nil"/>
              <w:left w:val="nil"/>
              <w:bottom w:val="nil"/>
              <w:right w:val="single" w:sz="4" w:space="0" w:color="auto"/>
            </w:tcBorders>
            <w:shd w:val="clear" w:color="auto" w:fill="auto"/>
            <w:noWrap/>
            <w:vAlign w:val="center"/>
            <w:hideMark/>
          </w:tcPr>
          <w:p w14:paraId="0436C16E"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APROBADO</w:t>
            </w:r>
          </w:p>
        </w:tc>
        <w:tc>
          <w:tcPr>
            <w:tcW w:w="3827" w:type="dxa"/>
            <w:tcBorders>
              <w:top w:val="nil"/>
              <w:left w:val="nil"/>
              <w:bottom w:val="nil"/>
              <w:right w:val="single" w:sz="4" w:space="0" w:color="auto"/>
            </w:tcBorders>
            <w:shd w:val="clear" w:color="auto" w:fill="auto"/>
            <w:noWrap/>
            <w:vAlign w:val="center"/>
            <w:hideMark/>
          </w:tcPr>
          <w:p w14:paraId="43A75461"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Partido Patriota (PP)</w:t>
            </w:r>
          </w:p>
        </w:tc>
        <w:tc>
          <w:tcPr>
            <w:tcW w:w="2126" w:type="dxa"/>
            <w:tcBorders>
              <w:top w:val="nil"/>
              <w:left w:val="nil"/>
              <w:bottom w:val="nil"/>
              <w:right w:val="single" w:sz="8" w:space="0" w:color="auto"/>
            </w:tcBorders>
            <w:shd w:val="clear" w:color="auto" w:fill="auto"/>
            <w:noWrap/>
            <w:vAlign w:val="center"/>
            <w:hideMark/>
          </w:tcPr>
          <w:p w14:paraId="055CE8A8"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66,985.44</w:t>
            </w:r>
          </w:p>
        </w:tc>
      </w:tr>
      <w:tr w:rsidR="00062207" w:rsidRPr="00062207" w14:paraId="32040656" w14:textId="77777777" w:rsidTr="00A963D6">
        <w:trPr>
          <w:trHeight w:val="300"/>
          <w:jc w:val="center"/>
        </w:trPr>
        <w:tc>
          <w:tcPr>
            <w:tcW w:w="960" w:type="dxa"/>
            <w:tcBorders>
              <w:top w:val="nil"/>
              <w:left w:val="single" w:sz="8" w:space="0" w:color="auto"/>
              <w:bottom w:val="nil"/>
              <w:right w:val="single" w:sz="4" w:space="0" w:color="auto"/>
            </w:tcBorders>
            <w:shd w:val="clear" w:color="auto" w:fill="auto"/>
            <w:noWrap/>
            <w:vAlign w:val="center"/>
            <w:hideMark/>
          </w:tcPr>
          <w:p w14:paraId="7A126F47"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2014</w:t>
            </w:r>
          </w:p>
        </w:tc>
        <w:tc>
          <w:tcPr>
            <w:tcW w:w="2291" w:type="dxa"/>
            <w:tcBorders>
              <w:top w:val="nil"/>
              <w:left w:val="nil"/>
              <w:bottom w:val="nil"/>
              <w:right w:val="nil"/>
            </w:tcBorders>
            <w:shd w:val="clear" w:color="auto" w:fill="auto"/>
            <w:noWrap/>
            <w:vAlign w:val="center"/>
            <w:hideMark/>
          </w:tcPr>
          <w:p w14:paraId="3043F340"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NO APROBADO</w:t>
            </w:r>
          </w:p>
        </w:tc>
        <w:tc>
          <w:tcPr>
            <w:tcW w:w="3827" w:type="dxa"/>
            <w:tcBorders>
              <w:top w:val="nil"/>
              <w:left w:val="single" w:sz="4" w:space="0" w:color="auto"/>
              <w:bottom w:val="nil"/>
              <w:right w:val="single" w:sz="4" w:space="0" w:color="auto"/>
            </w:tcBorders>
            <w:shd w:val="clear" w:color="auto" w:fill="auto"/>
            <w:noWrap/>
            <w:vAlign w:val="center"/>
            <w:hideMark/>
          </w:tcPr>
          <w:p w14:paraId="39D7ACDA"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Partido Patriota (PP)</w:t>
            </w:r>
          </w:p>
        </w:tc>
        <w:tc>
          <w:tcPr>
            <w:tcW w:w="2126" w:type="dxa"/>
            <w:tcBorders>
              <w:top w:val="nil"/>
              <w:left w:val="nil"/>
              <w:bottom w:val="nil"/>
              <w:right w:val="single" w:sz="8" w:space="0" w:color="auto"/>
            </w:tcBorders>
            <w:shd w:val="clear" w:color="auto" w:fill="auto"/>
            <w:noWrap/>
            <w:vAlign w:val="center"/>
            <w:hideMark/>
          </w:tcPr>
          <w:p w14:paraId="220EEF6E"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66,985.44</w:t>
            </w:r>
          </w:p>
        </w:tc>
      </w:tr>
      <w:tr w:rsidR="00062207" w:rsidRPr="00062207" w14:paraId="69C20DD3" w14:textId="77777777" w:rsidTr="00A963D6">
        <w:trPr>
          <w:trHeight w:val="300"/>
          <w:jc w:val="center"/>
        </w:trPr>
        <w:tc>
          <w:tcPr>
            <w:tcW w:w="960" w:type="dxa"/>
            <w:tcBorders>
              <w:top w:val="nil"/>
              <w:left w:val="single" w:sz="8" w:space="0" w:color="auto"/>
              <w:bottom w:val="nil"/>
              <w:right w:val="single" w:sz="4" w:space="0" w:color="auto"/>
            </w:tcBorders>
            <w:shd w:val="clear" w:color="auto" w:fill="auto"/>
            <w:noWrap/>
            <w:vAlign w:val="center"/>
            <w:hideMark/>
          </w:tcPr>
          <w:p w14:paraId="5F73CDA2"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2015</w:t>
            </w:r>
          </w:p>
        </w:tc>
        <w:tc>
          <w:tcPr>
            <w:tcW w:w="2291" w:type="dxa"/>
            <w:tcBorders>
              <w:top w:val="nil"/>
              <w:left w:val="nil"/>
              <w:bottom w:val="nil"/>
              <w:right w:val="single" w:sz="4" w:space="0" w:color="auto"/>
            </w:tcBorders>
            <w:shd w:val="clear" w:color="auto" w:fill="auto"/>
            <w:noWrap/>
            <w:vAlign w:val="center"/>
            <w:hideMark/>
          </w:tcPr>
          <w:p w14:paraId="78A4A91F"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APROBADO</w:t>
            </w:r>
          </w:p>
        </w:tc>
        <w:tc>
          <w:tcPr>
            <w:tcW w:w="3827" w:type="dxa"/>
            <w:tcBorders>
              <w:top w:val="nil"/>
              <w:left w:val="nil"/>
              <w:bottom w:val="nil"/>
              <w:right w:val="single" w:sz="4" w:space="0" w:color="auto"/>
            </w:tcBorders>
            <w:shd w:val="clear" w:color="auto" w:fill="auto"/>
            <w:noWrap/>
            <w:vAlign w:val="center"/>
            <w:hideMark/>
          </w:tcPr>
          <w:p w14:paraId="5FF91254"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Partido Patriota (PP)</w:t>
            </w:r>
          </w:p>
        </w:tc>
        <w:tc>
          <w:tcPr>
            <w:tcW w:w="2126" w:type="dxa"/>
            <w:tcBorders>
              <w:top w:val="nil"/>
              <w:left w:val="nil"/>
              <w:bottom w:val="nil"/>
              <w:right w:val="single" w:sz="8" w:space="0" w:color="auto"/>
            </w:tcBorders>
            <w:shd w:val="clear" w:color="auto" w:fill="auto"/>
            <w:noWrap/>
            <w:vAlign w:val="center"/>
            <w:hideMark/>
          </w:tcPr>
          <w:p w14:paraId="71411B52"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70,600.00</w:t>
            </w:r>
          </w:p>
        </w:tc>
      </w:tr>
      <w:tr w:rsidR="00062207" w:rsidRPr="00062207" w14:paraId="34C85DD5" w14:textId="77777777" w:rsidTr="00A963D6">
        <w:trPr>
          <w:trHeight w:val="300"/>
          <w:jc w:val="center"/>
        </w:trPr>
        <w:tc>
          <w:tcPr>
            <w:tcW w:w="960" w:type="dxa"/>
            <w:tcBorders>
              <w:top w:val="nil"/>
              <w:left w:val="single" w:sz="8" w:space="0" w:color="auto"/>
              <w:bottom w:val="nil"/>
              <w:right w:val="single" w:sz="4" w:space="0" w:color="auto"/>
            </w:tcBorders>
            <w:shd w:val="clear" w:color="auto" w:fill="auto"/>
            <w:noWrap/>
            <w:vAlign w:val="center"/>
            <w:hideMark/>
          </w:tcPr>
          <w:p w14:paraId="54994D5D"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2016</w:t>
            </w:r>
          </w:p>
        </w:tc>
        <w:tc>
          <w:tcPr>
            <w:tcW w:w="2291" w:type="dxa"/>
            <w:tcBorders>
              <w:top w:val="nil"/>
              <w:left w:val="nil"/>
              <w:bottom w:val="nil"/>
              <w:right w:val="nil"/>
            </w:tcBorders>
            <w:shd w:val="clear" w:color="auto" w:fill="auto"/>
            <w:noWrap/>
            <w:vAlign w:val="center"/>
            <w:hideMark/>
          </w:tcPr>
          <w:p w14:paraId="1839D057"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APROBADO</w:t>
            </w:r>
          </w:p>
        </w:tc>
        <w:tc>
          <w:tcPr>
            <w:tcW w:w="3827" w:type="dxa"/>
            <w:tcBorders>
              <w:top w:val="nil"/>
              <w:left w:val="single" w:sz="4" w:space="0" w:color="auto"/>
              <w:bottom w:val="nil"/>
              <w:right w:val="single" w:sz="4" w:space="0" w:color="auto"/>
            </w:tcBorders>
            <w:shd w:val="clear" w:color="auto" w:fill="auto"/>
            <w:noWrap/>
            <w:vAlign w:val="center"/>
            <w:hideMark/>
          </w:tcPr>
          <w:p w14:paraId="7CFA4E20"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Frente de Convergencia Nacional (FCN)</w:t>
            </w:r>
          </w:p>
        </w:tc>
        <w:tc>
          <w:tcPr>
            <w:tcW w:w="2126" w:type="dxa"/>
            <w:tcBorders>
              <w:top w:val="nil"/>
              <w:left w:val="nil"/>
              <w:bottom w:val="nil"/>
              <w:right w:val="single" w:sz="8" w:space="0" w:color="auto"/>
            </w:tcBorders>
            <w:shd w:val="clear" w:color="auto" w:fill="auto"/>
            <w:noWrap/>
            <w:vAlign w:val="center"/>
            <w:hideMark/>
          </w:tcPr>
          <w:p w14:paraId="29942E7E"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70,796.31</w:t>
            </w:r>
          </w:p>
        </w:tc>
      </w:tr>
      <w:tr w:rsidR="00062207" w:rsidRPr="00062207" w14:paraId="5A9D700D" w14:textId="77777777" w:rsidTr="00A963D6">
        <w:trPr>
          <w:trHeight w:val="300"/>
          <w:jc w:val="center"/>
        </w:trPr>
        <w:tc>
          <w:tcPr>
            <w:tcW w:w="960" w:type="dxa"/>
            <w:tcBorders>
              <w:top w:val="nil"/>
              <w:left w:val="single" w:sz="8" w:space="0" w:color="auto"/>
              <w:bottom w:val="nil"/>
              <w:right w:val="single" w:sz="4" w:space="0" w:color="auto"/>
            </w:tcBorders>
            <w:shd w:val="clear" w:color="auto" w:fill="auto"/>
            <w:noWrap/>
            <w:vAlign w:val="center"/>
            <w:hideMark/>
          </w:tcPr>
          <w:p w14:paraId="05C487DA"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2017</w:t>
            </w:r>
          </w:p>
        </w:tc>
        <w:tc>
          <w:tcPr>
            <w:tcW w:w="2291" w:type="dxa"/>
            <w:tcBorders>
              <w:top w:val="nil"/>
              <w:left w:val="nil"/>
              <w:bottom w:val="nil"/>
              <w:right w:val="nil"/>
            </w:tcBorders>
            <w:shd w:val="clear" w:color="auto" w:fill="auto"/>
            <w:noWrap/>
            <w:vAlign w:val="center"/>
            <w:hideMark/>
          </w:tcPr>
          <w:p w14:paraId="5F9C7702"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APROBADO</w:t>
            </w:r>
          </w:p>
        </w:tc>
        <w:tc>
          <w:tcPr>
            <w:tcW w:w="3827" w:type="dxa"/>
            <w:tcBorders>
              <w:top w:val="nil"/>
              <w:left w:val="single" w:sz="4" w:space="0" w:color="auto"/>
              <w:bottom w:val="nil"/>
              <w:right w:val="single" w:sz="4" w:space="0" w:color="auto"/>
            </w:tcBorders>
            <w:shd w:val="clear" w:color="auto" w:fill="auto"/>
            <w:noWrap/>
            <w:vAlign w:val="center"/>
            <w:hideMark/>
          </w:tcPr>
          <w:p w14:paraId="108E6624"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Frente de Convergencia Nacional (FCN)</w:t>
            </w:r>
          </w:p>
        </w:tc>
        <w:tc>
          <w:tcPr>
            <w:tcW w:w="2126" w:type="dxa"/>
            <w:tcBorders>
              <w:top w:val="nil"/>
              <w:left w:val="nil"/>
              <w:bottom w:val="nil"/>
              <w:right w:val="single" w:sz="8" w:space="0" w:color="auto"/>
            </w:tcBorders>
            <w:shd w:val="clear" w:color="auto" w:fill="auto"/>
            <w:noWrap/>
            <w:vAlign w:val="center"/>
            <w:hideMark/>
          </w:tcPr>
          <w:p w14:paraId="41F12175"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76,989.45</w:t>
            </w:r>
          </w:p>
        </w:tc>
      </w:tr>
      <w:tr w:rsidR="00062207" w:rsidRPr="00062207" w14:paraId="09F6219D" w14:textId="77777777" w:rsidTr="00A963D6">
        <w:trPr>
          <w:trHeight w:val="300"/>
          <w:jc w:val="center"/>
        </w:trPr>
        <w:tc>
          <w:tcPr>
            <w:tcW w:w="960" w:type="dxa"/>
            <w:tcBorders>
              <w:top w:val="nil"/>
              <w:left w:val="single" w:sz="8" w:space="0" w:color="auto"/>
              <w:bottom w:val="nil"/>
              <w:right w:val="single" w:sz="4" w:space="0" w:color="auto"/>
            </w:tcBorders>
            <w:shd w:val="clear" w:color="auto" w:fill="auto"/>
            <w:noWrap/>
            <w:vAlign w:val="center"/>
            <w:hideMark/>
          </w:tcPr>
          <w:p w14:paraId="64E087CD"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2018</w:t>
            </w:r>
          </w:p>
        </w:tc>
        <w:tc>
          <w:tcPr>
            <w:tcW w:w="2291" w:type="dxa"/>
            <w:tcBorders>
              <w:top w:val="nil"/>
              <w:left w:val="nil"/>
              <w:bottom w:val="nil"/>
              <w:right w:val="nil"/>
            </w:tcBorders>
            <w:shd w:val="clear" w:color="auto" w:fill="auto"/>
            <w:noWrap/>
            <w:vAlign w:val="center"/>
            <w:hideMark/>
          </w:tcPr>
          <w:p w14:paraId="14C69E97"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NO APROBADO</w:t>
            </w:r>
          </w:p>
        </w:tc>
        <w:tc>
          <w:tcPr>
            <w:tcW w:w="3827" w:type="dxa"/>
            <w:tcBorders>
              <w:top w:val="nil"/>
              <w:left w:val="single" w:sz="4" w:space="0" w:color="auto"/>
              <w:bottom w:val="nil"/>
              <w:right w:val="single" w:sz="4" w:space="0" w:color="auto"/>
            </w:tcBorders>
            <w:shd w:val="clear" w:color="auto" w:fill="auto"/>
            <w:noWrap/>
            <w:vAlign w:val="center"/>
            <w:hideMark/>
          </w:tcPr>
          <w:p w14:paraId="22BEB58A"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Frente de Convergencia Nacional (FCN)</w:t>
            </w:r>
          </w:p>
        </w:tc>
        <w:tc>
          <w:tcPr>
            <w:tcW w:w="2126" w:type="dxa"/>
            <w:tcBorders>
              <w:top w:val="nil"/>
              <w:left w:val="nil"/>
              <w:bottom w:val="nil"/>
              <w:right w:val="single" w:sz="8" w:space="0" w:color="auto"/>
            </w:tcBorders>
            <w:shd w:val="clear" w:color="auto" w:fill="auto"/>
            <w:noWrap/>
            <w:vAlign w:val="center"/>
            <w:hideMark/>
          </w:tcPr>
          <w:p w14:paraId="094728D5"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76,989.45</w:t>
            </w:r>
          </w:p>
        </w:tc>
      </w:tr>
      <w:tr w:rsidR="00062207" w:rsidRPr="00062207" w14:paraId="12B0360B" w14:textId="77777777" w:rsidTr="00A963D6">
        <w:trPr>
          <w:trHeight w:val="300"/>
          <w:jc w:val="center"/>
        </w:trPr>
        <w:tc>
          <w:tcPr>
            <w:tcW w:w="960" w:type="dxa"/>
            <w:tcBorders>
              <w:top w:val="nil"/>
              <w:left w:val="single" w:sz="8" w:space="0" w:color="auto"/>
              <w:bottom w:val="nil"/>
              <w:right w:val="single" w:sz="4" w:space="0" w:color="auto"/>
            </w:tcBorders>
            <w:shd w:val="clear" w:color="auto" w:fill="auto"/>
            <w:noWrap/>
            <w:vAlign w:val="center"/>
            <w:hideMark/>
          </w:tcPr>
          <w:p w14:paraId="42743A49"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2019</w:t>
            </w:r>
          </w:p>
        </w:tc>
        <w:tc>
          <w:tcPr>
            <w:tcW w:w="2291" w:type="dxa"/>
            <w:tcBorders>
              <w:top w:val="nil"/>
              <w:left w:val="nil"/>
              <w:bottom w:val="nil"/>
              <w:right w:val="single" w:sz="4" w:space="0" w:color="auto"/>
            </w:tcBorders>
            <w:shd w:val="clear" w:color="auto" w:fill="auto"/>
            <w:noWrap/>
            <w:vAlign w:val="center"/>
            <w:hideMark/>
          </w:tcPr>
          <w:p w14:paraId="7FECC979"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APROBADO</w:t>
            </w:r>
          </w:p>
        </w:tc>
        <w:tc>
          <w:tcPr>
            <w:tcW w:w="3827" w:type="dxa"/>
            <w:tcBorders>
              <w:top w:val="nil"/>
              <w:left w:val="nil"/>
              <w:bottom w:val="nil"/>
              <w:right w:val="single" w:sz="4" w:space="0" w:color="auto"/>
            </w:tcBorders>
            <w:shd w:val="clear" w:color="auto" w:fill="auto"/>
            <w:noWrap/>
            <w:vAlign w:val="center"/>
            <w:hideMark/>
          </w:tcPr>
          <w:p w14:paraId="39FA27AF"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Frente de Convergencia Nacional (FCN)</w:t>
            </w:r>
          </w:p>
        </w:tc>
        <w:tc>
          <w:tcPr>
            <w:tcW w:w="2126" w:type="dxa"/>
            <w:tcBorders>
              <w:top w:val="nil"/>
              <w:left w:val="nil"/>
              <w:bottom w:val="nil"/>
              <w:right w:val="single" w:sz="8" w:space="0" w:color="auto"/>
            </w:tcBorders>
            <w:shd w:val="clear" w:color="auto" w:fill="auto"/>
            <w:noWrap/>
            <w:vAlign w:val="center"/>
            <w:hideMark/>
          </w:tcPr>
          <w:p w14:paraId="4CD140CF"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87,715.06</w:t>
            </w:r>
          </w:p>
        </w:tc>
      </w:tr>
      <w:tr w:rsidR="00062207" w:rsidRPr="00062207" w14:paraId="76A24589" w14:textId="77777777" w:rsidTr="00A963D6">
        <w:trPr>
          <w:trHeight w:val="300"/>
          <w:jc w:val="center"/>
        </w:trPr>
        <w:tc>
          <w:tcPr>
            <w:tcW w:w="960" w:type="dxa"/>
            <w:tcBorders>
              <w:top w:val="nil"/>
              <w:left w:val="single" w:sz="8" w:space="0" w:color="auto"/>
              <w:bottom w:val="nil"/>
              <w:right w:val="single" w:sz="4" w:space="0" w:color="auto"/>
            </w:tcBorders>
            <w:shd w:val="clear" w:color="auto" w:fill="auto"/>
            <w:noWrap/>
            <w:vAlign w:val="center"/>
            <w:hideMark/>
          </w:tcPr>
          <w:p w14:paraId="0D160C9B"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2020</w:t>
            </w:r>
          </w:p>
        </w:tc>
        <w:tc>
          <w:tcPr>
            <w:tcW w:w="2291" w:type="dxa"/>
            <w:tcBorders>
              <w:top w:val="nil"/>
              <w:left w:val="nil"/>
              <w:bottom w:val="nil"/>
              <w:right w:val="single" w:sz="4" w:space="0" w:color="auto"/>
            </w:tcBorders>
            <w:shd w:val="clear" w:color="auto" w:fill="auto"/>
            <w:noWrap/>
            <w:vAlign w:val="center"/>
            <w:hideMark/>
          </w:tcPr>
          <w:p w14:paraId="21EE4A29"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NO APROBADO</w:t>
            </w:r>
          </w:p>
        </w:tc>
        <w:tc>
          <w:tcPr>
            <w:tcW w:w="3827" w:type="dxa"/>
            <w:tcBorders>
              <w:top w:val="nil"/>
              <w:left w:val="nil"/>
              <w:bottom w:val="nil"/>
              <w:right w:val="single" w:sz="4" w:space="0" w:color="auto"/>
            </w:tcBorders>
            <w:shd w:val="clear" w:color="auto" w:fill="auto"/>
            <w:noWrap/>
            <w:vAlign w:val="center"/>
            <w:hideMark/>
          </w:tcPr>
          <w:p w14:paraId="4D9FD50B"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Partido VAMOS</w:t>
            </w:r>
          </w:p>
        </w:tc>
        <w:tc>
          <w:tcPr>
            <w:tcW w:w="2126" w:type="dxa"/>
            <w:tcBorders>
              <w:top w:val="nil"/>
              <w:left w:val="nil"/>
              <w:bottom w:val="nil"/>
              <w:right w:val="single" w:sz="8" w:space="0" w:color="auto"/>
            </w:tcBorders>
            <w:shd w:val="clear" w:color="auto" w:fill="auto"/>
            <w:noWrap/>
            <w:vAlign w:val="center"/>
            <w:hideMark/>
          </w:tcPr>
          <w:p w14:paraId="07BCF226"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87,715.06</w:t>
            </w:r>
          </w:p>
        </w:tc>
      </w:tr>
      <w:tr w:rsidR="00062207" w:rsidRPr="00062207" w14:paraId="4ADA40D3" w14:textId="77777777" w:rsidTr="00A963D6">
        <w:trPr>
          <w:trHeight w:val="315"/>
          <w:jc w:val="center"/>
        </w:trPr>
        <w:tc>
          <w:tcPr>
            <w:tcW w:w="960" w:type="dxa"/>
            <w:tcBorders>
              <w:top w:val="nil"/>
              <w:left w:val="single" w:sz="8" w:space="0" w:color="auto"/>
              <w:bottom w:val="single" w:sz="8" w:space="0" w:color="auto"/>
              <w:right w:val="nil"/>
            </w:tcBorders>
            <w:shd w:val="clear" w:color="auto" w:fill="auto"/>
            <w:noWrap/>
            <w:vAlign w:val="center"/>
            <w:hideMark/>
          </w:tcPr>
          <w:p w14:paraId="4A529FA4"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2021</w:t>
            </w:r>
          </w:p>
        </w:tc>
        <w:tc>
          <w:tcPr>
            <w:tcW w:w="2291" w:type="dxa"/>
            <w:tcBorders>
              <w:top w:val="nil"/>
              <w:left w:val="single" w:sz="4" w:space="0" w:color="auto"/>
              <w:bottom w:val="single" w:sz="8" w:space="0" w:color="auto"/>
              <w:right w:val="single" w:sz="4" w:space="0" w:color="auto"/>
            </w:tcBorders>
            <w:shd w:val="clear" w:color="auto" w:fill="auto"/>
            <w:noWrap/>
            <w:vAlign w:val="center"/>
            <w:hideMark/>
          </w:tcPr>
          <w:p w14:paraId="5EC32E9E"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NO APROBADO</w:t>
            </w:r>
          </w:p>
        </w:tc>
        <w:tc>
          <w:tcPr>
            <w:tcW w:w="3827" w:type="dxa"/>
            <w:tcBorders>
              <w:top w:val="nil"/>
              <w:left w:val="nil"/>
              <w:bottom w:val="single" w:sz="8" w:space="0" w:color="auto"/>
              <w:right w:val="single" w:sz="4" w:space="0" w:color="auto"/>
            </w:tcBorders>
            <w:shd w:val="clear" w:color="auto" w:fill="auto"/>
            <w:noWrap/>
            <w:vAlign w:val="center"/>
            <w:hideMark/>
          </w:tcPr>
          <w:p w14:paraId="00E04DA7"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Partido VAMOS</w:t>
            </w:r>
          </w:p>
        </w:tc>
        <w:tc>
          <w:tcPr>
            <w:tcW w:w="2126" w:type="dxa"/>
            <w:tcBorders>
              <w:top w:val="nil"/>
              <w:left w:val="nil"/>
              <w:bottom w:val="single" w:sz="8" w:space="0" w:color="auto"/>
              <w:right w:val="single" w:sz="8" w:space="0" w:color="auto"/>
            </w:tcBorders>
            <w:shd w:val="clear" w:color="auto" w:fill="auto"/>
            <w:noWrap/>
            <w:vAlign w:val="center"/>
            <w:hideMark/>
          </w:tcPr>
          <w:p w14:paraId="380FA283" w14:textId="77777777" w:rsidR="00607C6C" w:rsidRPr="00062207" w:rsidRDefault="00607C6C" w:rsidP="00A963D6">
            <w:pPr>
              <w:jc w:val="center"/>
              <w:rPr>
                <w:rFonts w:ascii="Times New Roman" w:eastAsia="Times New Roman" w:hAnsi="Times New Roman" w:cs="Times New Roman"/>
                <w:sz w:val="22"/>
                <w:szCs w:val="22"/>
                <w:lang w:val="es-GT" w:eastAsia="es-GT"/>
              </w:rPr>
            </w:pPr>
            <w:r w:rsidRPr="00062207">
              <w:rPr>
                <w:rFonts w:ascii="Times New Roman" w:eastAsia="Times New Roman" w:hAnsi="Times New Roman" w:cs="Times New Roman"/>
                <w:sz w:val="22"/>
                <w:szCs w:val="22"/>
                <w:lang w:val="es-GT" w:eastAsia="es-GT"/>
              </w:rPr>
              <w:t>107,521.46</w:t>
            </w:r>
          </w:p>
        </w:tc>
      </w:tr>
      <w:tr w:rsidR="00062207" w:rsidRPr="00062207" w14:paraId="2F44AC07" w14:textId="77777777" w:rsidTr="00A963D6">
        <w:trPr>
          <w:trHeight w:val="315"/>
          <w:jc w:val="center"/>
        </w:trPr>
        <w:tc>
          <w:tcPr>
            <w:tcW w:w="960" w:type="dxa"/>
            <w:tcBorders>
              <w:top w:val="nil"/>
              <w:left w:val="single" w:sz="8" w:space="0" w:color="auto"/>
              <w:bottom w:val="single" w:sz="8" w:space="0" w:color="auto"/>
              <w:right w:val="nil"/>
            </w:tcBorders>
            <w:shd w:val="clear" w:color="000000" w:fill="A9D08E"/>
            <w:noWrap/>
            <w:vAlign w:val="center"/>
            <w:hideMark/>
          </w:tcPr>
          <w:p w14:paraId="31F5BDAA" w14:textId="77777777" w:rsidR="00607C6C" w:rsidRPr="00062207" w:rsidRDefault="00607C6C" w:rsidP="00A963D6">
            <w:pPr>
              <w:jc w:val="center"/>
              <w:rPr>
                <w:rFonts w:ascii="Times New Roman" w:eastAsia="Times New Roman" w:hAnsi="Times New Roman" w:cs="Times New Roman"/>
                <w:b/>
                <w:bCs/>
                <w:sz w:val="22"/>
                <w:szCs w:val="22"/>
                <w:lang w:val="es-GT" w:eastAsia="es-GT"/>
              </w:rPr>
            </w:pPr>
            <w:r w:rsidRPr="00062207">
              <w:rPr>
                <w:rFonts w:ascii="Times New Roman" w:eastAsia="Times New Roman" w:hAnsi="Times New Roman" w:cs="Times New Roman"/>
                <w:b/>
                <w:bCs/>
                <w:sz w:val="22"/>
                <w:szCs w:val="22"/>
                <w:lang w:val="es-GT" w:eastAsia="es-GT"/>
              </w:rPr>
              <w:t>2022</w:t>
            </w:r>
          </w:p>
        </w:tc>
        <w:tc>
          <w:tcPr>
            <w:tcW w:w="2291" w:type="dxa"/>
            <w:tcBorders>
              <w:top w:val="nil"/>
              <w:left w:val="single" w:sz="4" w:space="0" w:color="auto"/>
              <w:bottom w:val="single" w:sz="8" w:space="0" w:color="auto"/>
              <w:right w:val="single" w:sz="4" w:space="0" w:color="auto"/>
            </w:tcBorders>
            <w:shd w:val="clear" w:color="000000" w:fill="A9D08E"/>
            <w:noWrap/>
            <w:vAlign w:val="center"/>
            <w:hideMark/>
          </w:tcPr>
          <w:p w14:paraId="3B79E286" w14:textId="77777777" w:rsidR="00607C6C" w:rsidRPr="00062207" w:rsidRDefault="00607C6C" w:rsidP="00A963D6">
            <w:pPr>
              <w:jc w:val="center"/>
              <w:rPr>
                <w:rFonts w:ascii="Times New Roman" w:eastAsia="Times New Roman" w:hAnsi="Times New Roman" w:cs="Times New Roman"/>
                <w:b/>
                <w:bCs/>
                <w:sz w:val="22"/>
                <w:szCs w:val="22"/>
                <w:lang w:val="es-GT" w:eastAsia="es-GT"/>
              </w:rPr>
            </w:pPr>
            <w:r w:rsidRPr="00062207">
              <w:rPr>
                <w:rFonts w:ascii="Times New Roman" w:eastAsia="Times New Roman" w:hAnsi="Times New Roman" w:cs="Times New Roman"/>
                <w:b/>
                <w:bCs/>
                <w:sz w:val="22"/>
                <w:szCs w:val="22"/>
                <w:lang w:val="es-GT" w:eastAsia="es-GT"/>
              </w:rPr>
              <w:t>APROBADO</w:t>
            </w:r>
          </w:p>
        </w:tc>
        <w:tc>
          <w:tcPr>
            <w:tcW w:w="3827" w:type="dxa"/>
            <w:tcBorders>
              <w:top w:val="nil"/>
              <w:left w:val="nil"/>
              <w:bottom w:val="single" w:sz="8" w:space="0" w:color="auto"/>
              <w:right w:val="single" w:sz="4" w:space="0" w:color="auto"/>
            </w:tcBorders>
            <w:shd w:val="clear" w:color="000000" w:fill="A9D08E"/>
            <w:noWrap/>
            <w:vAlign w:val="center"/>
            <w:hideMark/>
          </w:tcPr>
          <w:p w14:paraId="4DF3F842" w14:textId="77777777" w:rsidR="00607C6C" w:rsidRPr="00062207" w:rsidRDefault="00607C6C" w:rsidP="00A963D6">
            <w:pPr>
              <w:jc w:val="center"/>
              <w:rPr>
                <w:rFonts w:ascii="Times New Roman" w:eastAsia="Times New Roman" w:hAnsi="Times New Roman" w:cs="Times New Roman"/>
                <w:b/>
                <w:bCs/>
                <w:sz w:val="22"/>
                <w:szCs w:val="22"/>
                <w:lang w:val="es-GT" w:eastAsia="es-GT"/>
              </w:rPr>
            </w:pPr>
            <w:r w:rsidRPr="00062207">
              <w:rPr>
                <w:rFonts w:ascii="Times New Roman" w:eastAsia="Times New Roman" w:hAnsi="Times New Roman" w:cs="Times New Roman"/>
                <w:b/>
                <w:bCs/>
                <w:sz w:val="22"/>
                <w:szCs w:val="22"/>
                <w:lang w:val="es-GT" w:eastAsia="es-GT"/>
              </w:rPr>
              <w:t>Partido VAMOS</w:t>
            </w:r>
          </w:p>
        </w:tc>
        <w:tc>
          <w:tcPr>
            <w:tcW w:w="2126" w:type="dxa"/>
            <w:tcBorders>
              <w:top w:val="nil"/>
              <w:left w:val="nil"/>
              <w:bottom w:val="single" w:sz="8" w:space="0" w:color="auto"/>
              <w:right w:val="single" w:sz="8" w:space="0" w:color="auto"/>
            </w:tcBorders>
            <w:shd w:val="clear" w:color="000000" w:fill="A9D08E"/>
            <w:noWrap/>
            <w:vAlign w:val="center"/>
            <w:hideMark/>
          </w:tcPr>
          <w:p w14:paraId="2387E40E" w14:textId="77777777" w:rsidR="00607C6C" w:rsidRPr="00062207" w:rsidRDefault="00607C6C" w:rsidP="00A963D6">
            <w:pPr>
              <w:jc w:val="center"/>
              <w:rPr>
                <w:rFonts w:ascii="Times New Roman" w:eastAsia="Times New Roman" w:hAnsi="Times New Roman" w:cs="Times New Roman"/>
                <w:b/>
                <w:bCs/>
                <w:sz w:val="22"/>
                <w:szCs w:val="22"/>
                <w:lang w:val="es-GT" w:eastAsia="es-GT"/>
              </w:rPr>
            </w:pPr>
            <w:r w:rsidRPr="00062207">
              <w:rPr>
                <w:rFonts w:ascii="Times New Roman" w:eastAsia="Times New Roman" w:hAnsi="Times New Roman" w:cs="Times New Roman"/>
                <w:b/>
                <w:bCs/>
                <w:sz w:val="22"/>
                <w:szCs w:val="22"/>
                <w:lang w:val="es-GT" w:eastAsia="es-GT"/>
              </w:rPr>
              <w:t>106,229.47</w:t>
            </w:r>
          </w:p>
        </w:tc>
      </w:tr>
    </w:tbl>
    <w:p w14:paraId="78885232" w14:textId="00BD8598" w:rsidR="00607C6C" w:rsidRPr="00062207" w:rsidRDefault="00502DF2" w:rsidP="00502DF2">
      <w:pPr>
        <w:rPr>
          <w:rFonts w:ascii="Times New Roman" w:hAnsi="Times New Roman" w:cs="Times New Roman"/>
          <w:sz w:val="18"/>
          <w:szCs w:val="18"/>
          <w:lang w:val="es-GT"/>
        </w:rPr>
      </w:pPr>
      <w:r w:rsidRPr="00062207">
        <w:rPr>
          <w:rFonts w:ascii="Times New Roman" w:hAnsi="Times New Roman" w:cs="Times New Roman"/>
          <w:sz w:val="18"/>
          <w:szCs w:val="18"/>
        </w:rPr>
        <w:t xml:space="preserve">  </w:t>
      </w:r>
      <w:r w:rsidR="00607C6C" w:rsidRPr="00062207">
        <w:rPr>
          <w:rFonts w:ascii="Times New Roman" w:hAnsi="Times New Roman" w:cs="Times New Roman"/>
          <w:sz w:val="18"/>
          <w:szCs w:val="18"/>
        </w:rPr>
        <w:t xml:space="preserve">Fuente: </w:t>
      </w:r>
      <w:r w:rsidR="00607C6C" w:rsidRPr="00062207">
        <w:rPr>
          <w:rFonts w:ascii="Times New Roman" w:hAnsi="Times New Roman" w:cs="Times New Roman"/>
          <w:sz w:val="18"/>
          <w:szCs w:val="18"/>
          <w:lang w:val="es-GT"/>
        </w:rPr>
        <w:t xml:space="preserve">Dirección de Análisis y Política Fiscal. </w:t>
      </w:r>
    </w:p>
    <w:p w14:paraId="20C63736" w14:textId="77777777" w:rsidR="00607C6C" w:rsidRPr="00062207" w:rsidRDefault="00607C6C" w:rsidP="00607C6C">
      <w:pPr>
        <w:jc w:val="both"/>
        <w:rPr>
          <w:rFonts w:ascii="Times New Roman" w:hAnsi="Times New Roman" w:cs="Times New Roman"/>
          <w:sz w:val="16"/>
          <w:szCs w:val="22"/>
          <w:lang w:val="es-GT"/>
        </w:rPr>
      </w:pPr>
    </w:p>
    <w:p w14:paraId="6F40CD95" w14:textId="77777777" w:rsidR="00607C6C" w:rsidRPr="00062207" w:rsidRDefault="00607C6C" w:rsidP="00607C6C">
      <w:pPr>
        <w:jc w:val="both"/>
        <w:rPr>
          <w:rFonts w:ascii="Times New Roman" w:hAnsi="Times New Roman" w:cs="Times New Roman"/>
          <w:sz w:val="22"/>
          <w:szCs w:val="22"/>
        </w:rPr>
      </w:pPr>
    </w:p>
    <w:p w14:paraId="241BCB76" w14:textId="77777777" w:rsidR="00607C6C" w:rsidRPr="00062207" w:rsidRDefault="00607C6C" w:rsidP="00607C6C">
      <w:pPr>
        <w:jc w:val="both"/>
        <w:rPr>
          <w:rFonts w:ascii="Times New Roman" w:hAnsi="Times New Roman" w:cs="Times New Roman"/>
          <w:sz w:val="22"/>
          <w:szCs w:val="22"/>
        </w:rPr>
      </w:pPr>
      <w:r w:rsidRPr="00062207">
        <w:rPr>
          <w:rFonts w:ascii="Times New Roman" w:hAnsi="Times New Roman" w:cs="Times New Roman"/>
          <w:sz w:val="22"/>
          <w:szCs w:val="22"/>
        </w:rPr>
        <w:t>El Proyecto de Presupuesto consideraba un monto de Q103,992.5 millones, el cual fue modificado por la Comisión de Finanzas en Q1,947.0 millones, alcanzando un monto de Q105,939.5 millones y siendo aprobado finalmente en Q106,229.5 millones por el pleno del Congreso de la República. El Presupuesto Aprobado 2022 tuvo un aumento de Q2,237.0 millones respecto al Proyecto de Presupuesto, representando un crecimiento de 2.2%.</w:t>
      </w:r>
    </w:p>
    <w:p w14:paraId="59592AEF" w14:textId="77777777" w:rsidR="00607C6C" w:rsidRPr="00062207" w:rsidRDefault="00607C6C" w:rsidP="00607C6C">
      <w:pPr>
        <w:jc w:val="both"/>
        <w:rPr>
          <w:rFonts w:ascii="Times New Roman" w:hAnsi="Times New Roman" w:cs="Times New Roman"/>
          <w:sz w:val="22"/>
          <w:szCs w:val="22"/>
        </w:rPr>
      </w:pPr>
    </w:p>
    <w:p w14:paraId="4CD0EE16" w14:textId="77777777" w:rsidR="00607C6C" w:rsidRPr="00062207" w:rsidRDefault="00607C6C" w:rsidP="00607C6C">
      <w:pPr>
        <w:jc w:val="both"/>
        <w:rPr>
          <w:rFonts w:ascii="Times New Roman" w:hAnsi="Times New Roman" w:cs="Times New Roman"/>
          <w:sz w:val="22"/>
          <w:szCs w:val="22"/>
        </w:rPr>
      </w:pPr>
      <w:r w:rsidRPr="00062207">
        <w:rPr>
          <w:rFonts w:ascii="Times New Roman" w:hAnsi="Times New Roman" w:cs="Times New Roman"/>
          <w:sz w:val="22"/>
          <w:szCs w:val="22"/>
        </w:rPr>
        <w:t>Respecto a los techos presupuestarios por fuente de financiamiento, los ingresos corrientes tuvieron un incremento de Q1,947.0 millones respecto al Proyecto de Presupuesto derivado del incremento que se le acordó a la meta de recaudación de la SAT. Asimismo, se contemplan Q6,235.3 millones por disminución de caja y bancos, de los cuales una parte estaría explicada por el desempeño favorable de la recaudación tributaria de 2021 que dejo recursos en caja para el 2022.</w:t>
      </w:r>
    </w:p>
    <w:p w14:paraId="3E4DE793" w14:textId="6307CDAF" w:rsidR="00607C6C" w:rsidRPr="00062207" w:rsidRDefault="00607C6C" w:rsidP="00607C6C">
      <w:pPr>
        <w:jc w:val="center"/>
        <w:rPr>
          <w:rFonts w:ascii="Times New Roman" w:hAnsi="Times New Roman" w:cs="Times New Roman"/>
          <w:b/>
          <w:sz w:val="22"/>
          <w:szCs w:val="22"/>
        </w:rPr>
      </w:pPr>
    </w:p>
    <w:p w14:paraId="3D6A9268" w14:textId="05CA2F87" w:rsidR="00502DF2" w:rsidRPr="00062207" w:rsidRDefault="00502DF2" w:rsidP="00607C6C">
      <w:pPr>
        <w:jc w:val="center"/>
        <w:rPr>
          <w:rFonts w:ascii="Times New Roman" w:hAnsi="Times New Roman" w:cs="Times New Roman"/>
          <w:b/>
          <w:sz w:val="22"/>
          <w:szCs w:val="22"/>
        </w:rPr>
      </w:pPr>
    </w:p>
    <w:p w14:paraId="388E1048" w14:textId="5557CEEF" w:rsidR="00502DF2" w:rsidRPr="00062207" w:rsidRDefault="00502DF2" w:rsidP="00607C6C">
      <w:pPr>
        <w:jc w:val="center"/>
        <w:rPr>
          <w:rFonts w:ascii="Times New Roman" w:hAnsi="Times New Roman" w:cs="Times New Roman"/>
          <w:b/>
          <w:sz w:val="22"/>
          <w:szCs w:val="22"/>
        </w:rPr>
      </w:pPr>
    </w:p>
    <w:p w14:paraId="24AA91C0" w14:textId="5FC6263C" w:rsidR="00502DF2" w:rsidRPr="00062207" w:rsidRDefault="00502DF2" w:rsidP="00607C6C">
      <w:pPr>
        <w:jc w:val="center"/>
        <w:rPr>
          <w:rFonts w:ascii="Times New Roman" w:hAnsi="Times New Roman" w:cs="Times New Roman"/>
          <w:b/>
          <w:sz w:val="22"/>
          <w:szCs w:val="22"/>
        </w:rPr>
      </w:pPr>
    </w:p>
    <w:p w14:paraId="4FB5B751" w14:textId="3C388834" w:rsidR="00502DF2" w:rsidRPr="00062207" w:rsidRDefault="00502DF2" w:rsidP="00607C6C">
      <w:pPr>
        <w:jc w:val="center"/>
        <w:rPr>
          <w:rFonts w:ascii="Times New Roman" w:hAnsi="Times New Roman" w:cs="Times New Roman"/>
          <w:b/>
          <w:sz w:val="22"/>
          <w:szCs w:val="22"/>
        </w:rPr>
      </w:pPr>
    </w:p>
    <w:p w14:paraId="5FCE1891" w14:textId="1DD1CEB7" w:rsidR="00502DF2" w:rsidRPr="00062207" w:rsidRDefault="00502DF2" w:rsidP="00607C6C">
      <w:pPr>
        <w:jc w:val="center"/>
        <w:rPr>
          <w:rFonts w:ascii="Times New Roman" w:hAnsi="Times New Roman" w:cs="Times New Roman"/>
          <w:b/>
          <w:sz w:val="22"/>
          <w:szCs w:val="22"/>
        </w:rPr>
      </w:pPr>
    </w:p>
    <w:p w14:paraId="14F4046C" w14:textId="063AF89A" w:rsidR="00502DF2" w:rsidRPr="00062207" w:rsidRDefault="00502DF2" w:rsidP="00607C6C">
      <w:pPr>
        <w:jc w:val="center"/>
        <w:rPr>
          <w:rFonts w:ascii="Times New Roman" w:hAnsi="Times New Roman" w:cs="Times New Roman"/>
          <w:b/>
          <w:sz w:val="22"/>
          <w:szCs w:val="22"/>
        </w:rPr>
      </w:pPr>
    </w:p>
    <w:p w14:paraId="1F5FF228" w14:textId="590DF39F" w:rsidR="00502DF2" w:rsidRPr="00062207" w:rsidRDefault="00502DF2" w:rsidP="00607C6C">
      <w:pPr>
        <w:jc w:val="center"/>
        <w:rPr>
          <w:rFonts w:ascii="Times New Roman" w:hAnsi="Times New Roman" w:cs="Times New Roman"/>
          <w:b/>
          <w:sz w:val="22"/>
          <w:szCs w:val="22"/>
        </w:rPr>
      </w:pPr>
    </w:p>
    <w:p w14:paraId="07480CF5" w14:textId="2B4B5DB8" w:rsidR="00502DF2" w:rsidRPr="00062207" w:rsidRDefault="00502DF2" w:rsidP="00607C6C">
      <w:pPr>
        <w:jc w:val="center"/>
        <w:rPr>
          <w:rFonts w:ascii="Times New Roman" w:hAnsi="Times New Roman" w:cs="Times New Roman"/>
          <w:b/>
          <w:sz w:val="22"/>
          <w:szCs w:val="22"/>
        </w:rPr>
      </w:pPr>
    </w:p>
    <w:p w14:paraId="05571817" w14:textId="77777777" w:rsidR="00502DF2" w:rsidRPr="00062207" w:rsidRDefault="00502DF2" w:rsidP="00607C6C">
      <w:pPr>
        <w:jc w:val="center"/>
        <w:rPr>
          <w:rFonts w:ascii="Times New Roman" w:hAnsi="Times New Roman" w:cs="Times New Roman"/>
          <w:b/>
          <w:sz w:val="22"/>
          <w:szCs w:val="22"/>
        </w:rPr>
      </w:pPr>
    </w:p>
    <w:p w14:paraId="4DB9BD7B" w14:textId="77777777" w:rsidR="00607C6C" w:rsidRPr="00062207" w:rsidRDefault="00607C6C" w:rsidP="00607C6C">
      <w:pPr>
        <w:jc w:val="center"/>
        <w:rPr>
          <w:rFonts w:ascii="Times New Roman" w:hAnsi="Times New Roman" w:cs="Times New Roman"/>
          <w:b/>
        </w:rPr>
      </w:pPr>
      <w:r w:rsidRPr="00062207">
        <w:rPr>
          <w:rFonts w:ascii="Times New Roman" w:hAnsi="Times New Roman" w:cs="Times New Roman"/>
          <w:b/>
        </w:rPr>
        <w:lastRenderedPageBreak/>
        <w:t>Presupuesto aprobado 2022 por tipo de gasto</w:t>
      </w:r>
    </w:p>
    <w:p w14:paraId="69A6F1AC" w14:textId="77777777" w:rsidR="00607C6C" w:rsidRPr="00062207" w:rsidRDefault="00607C6C" w:rsidP="00607C6C">
      <w:pPr>
        <w:jc w:val="center"/>
        <w:rPr>
          <w:rFonts w:ascii="Times New Roman" w:hAnsi="Times New Roman" w:cs="Times New Roman"/>
          <w:sz w:val="22"/>
          <w:szCs w:val="22"/>
        </w:rPr>
      </w:pPr>
      <w:r w:rsidRPr="00062207">
        <w:rPr>
          <w:rFonts w:ascii="Times New Roman" w:hAnsi="Times New Roman" w:cs="Times New Roman"/>
          <w:sz w:val="22"/>
          <w:szCs w:val="22"/>
        </w:rPr>
        <w:t>Millones de quetzales</w:t>
      </w:r>
    </w:p>
    <w:p w14:paraId="44923318" w14:textId="77777777" w:rsidR="00607C6C" w:rsidRPr="00062207" w:rsidRDefault="00607C6C" w:rsidP="00607C6C">
      <w:pPr>
        <w:jc w:val="center"/>
        <w:rPr>
          <w:rFonts w:ascii="Times New Roman" w:hAnsi="Times New Roman" w:cs="Times New Roman"/>
          <w:sz w:val="22"/>
          <w:szCs w:val="22"/>
        </w:rPr>
      </w:pPr>
      <w:r w:rsidRPr="00062207">
        <w:rPr>
          <w:rFonts w:ascii="Times New Roman" w:hAnsi="Times New Roman" w:cs="Times New Roman"/>
          <w:noProof/>
          <w:sz w:val="22"/>
          <w:szCs w:val="22"/>
          <w:lang w:val="es-GT" w:eastAsia="es-GT"/>
        </w:rPr>
        <w:drawing>
          <wp:inline distT="0" distB="0" distL="0" distR="0" wp14:anchorId="75D452F6" wp14:editId="3E870C75">
            <wp:extent cx="5486400" cy="2924175"/>
            <wp:effectExtent l="0" t="0" r="0" b="0"/>
            <wp:docPr id="245" name="Chart 245"/>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37BEF0DE" w14:textId="73C6CC71" w:rsidR="00607C6C" w:rsidRPr="00062207" w:rsidRDefault="00502DF2" w:rsidP="00607C6C">
      <w:pPr>
        <w:jc w:val="both"/>
        <w:rPr>
          <w:rFonts w:ascii="Times New Roman" w:hAnsi="Times New Roman" w:cs="Times New Roman"/>
          <w:sz w:val="18"/>
          <w:szCs w:val="18"/>
        </w:rPr>
      </w:pPr>
      <w:r w:rsidRPr="00062207">
        <w:rPr>
          <w:rFonts w:ascii="Times New Roman" w:hAnsi="Times New Roman" w:cs="Times New Roman"/>
          <w:sz w:val="18"/>
          <w:szCs w:val="18"/>
        </w:rPr>
        <w:t xml:space="preserve">           </w:t>
      </w:r>
      <w:r w:rsidR="00607C6C" w:rsidRPr="00062207">
        <w:rPr>
          <w:rFonts w:ascii="Times New Roman" w:hAnsi="Times New Roman" w:cs="Times New Roman"/>
          <w:sz w:val="18"/>
          <w:szCs w:val="18"/>
        </w:rPr>
        <w:t xml:space="preserve">Fuente: </w:t>
      </w:r>
      <w:r w:rsidR="00607C6C" w:rsidRPr="00062207">
        <w:rPr>
          <w:rFonts w:ascii="Times New Roman" w:hAnsi="Times New Roman" w:cs="Times New Roman"/>
          <w:sz w:val="18"/>
          <w:szCs w:val="18"/>
          <w:lang w:val="es-GT"/>
        </w:rPr>
        <w:t>Dirección de Análisis y Política Fiscal</w:t>
      </w:r>
    </w:p>
    <w:p w14:paraId="332B43A0" w14:textId="77777777" w:rsidR="00607C6C" w:rsidRPr="00062207" w:rsidRDefault="00607C6C" w:rsidP="00607C6C">
      <w:pPr>
        <w:jc w:val="both"/>
        <w:rPr>
          <w:rFonts w:ascii="Times New Roman" w:hAnsi="Times New Roman" w:cs="Times New Roman"/>
          <w:sz w:val="22"/>
          <w:szCs w:val="22"/>
        </w:rPr>
      </w:pPr>
    </w:p>
    <w:p w14:paraId="4EA4E0E2" w14:textId="77777777" w:rsidR="009F1CF4" w:rsidRPr="00062207" w:rsidRDefault="009F1CF4" w:rsidP="009F1CF4">
      <w:pPr>
        <w:jc w:val="both"/>
        <w:rPr>
          <w:rFonts w:ascii="Times New Roman" w:eastAsiaTheme="majorEastAsia" w:hAnsi="Times New Roman" w:cs="Times New Roman"/>
          <w:sz w:val="22"/>
          <w:szCs w:val="28"/>
        </w:rPr>
      </w:pPr>
      <w:r w:rsidRPr="00062207">
        <w:rPr>
          <w:rFonts w:ascii="Times New Roman" w:eastAsiaTheme="majorEastAsia" w:hAnsi="Times New Roman" w:cs="Times New Roman"/>
          <w:sz w:val="22"/>
          <w:szCs w:val="28"/>
        </w:rPr>
        <w:t>Para este ejercicio fiscal la SAT debe implementar acciones que permitan garantizar como mínimo una carga tributaria en torno al 11.7% observado en 2021, lo que significaría un monto de recaudación equivalente a Q84,270.96 millones, para alcanzar este monto se tienen estimaciones de variables macroeconómicas preliminares para el año 2022 las cuales indican que el crecimiento de la economía para este ejercicio será de 4.5 ± , el de las importaciones de 7.5 ± 1.5 y el PIB nominal de 8 ± 1, vale indicar que con este escenario macroeconómico sería indispensable que la SAT genere medidas y recaudación no recurrente en torno a los Q3,110 millones.</w:t>
      </w:r>
    </w:p>
    <w:p w14:paraId="26540A4E" w14:textId="77777777" w:rsidR="009F1CF4" w:rsidRPr="00062207" w:rsidRDefault="009F1CF4" w:rsidP="009F1CF4">
      <w:pPr>
        <w:jc w:val="both"/>
        <w:rPr>
          <w:rFonts w:ascii="Times New Roman" w:eastAsiaTheme="majorEastAsia" w:hAnsi="Times New Roman" w:cs="Times New Roman"/>
          <w:sz w:val="22"/>
          <w:szCs w:val="28"/>
        </w:rPr>
      </w:pPr>
    </w:p>
    <w:p w14:paraId="011C21C4" w14:textId="673086FD" w:rsidR="009F1CF4" w:rsidRPr="00062207" w:rsidRDefault="009F1CF4" w:rsidP="009F1CF4">
      <w:pPr>
        <w:jc w:val="both"/>
        <w:rPr>
          <w:rFonts w:ascii="Times New Roman" w:eastAsiaTheme="majorEastAsia" w:hAnsi="Times New Roman" w:cs="Times New Roman"/>
          <w:sz w:val="22"/>
          <w:szCs w:val="28"/>
        </w:rPr>
      </w:pPr>
      <w:r w:rsidRPr="00062207">
        <w:rPr>
          <w:rFonts w:ascii="Times New Roman" w:eastAsiaTheme="majorEastAsia" w:hAnsi="Times New Roman" w:cs="Times New Roman"/>
          <w:sz w:val="22"/>
          <w:szCs w:val="28"/>
        </w:rPr>
        <w:t>La SAT por su lado mantiene sus objetivos planteados en el Plan Estratégico Institucional 2021-2025 que le permitirán garantizar el monto de recaudación establecida en el Presupuesto General de Ingresos y Egresos del Estado los cuales garantizan una carga tributaria del 10.6% monto inferior a lo observado en 2021 vale indicar que la estimación que se realizó para el presupuesto consideraba una base más pequeña, los proyectos que la SAT formulo para el 2022 destacan cambios a la infraestructura de las aduanas, nuevo sistema bancario Declaraguate, continuar con la implementación a nivel nacional del modelo de duda razonable, firma de reconocimientos mutuos de operador económico autorizado, nuevo sistema de consultas para instituciones públicas un nuevo modelo de fiscalización, nuevas funciones de fiscalización en gerencias especiales y regionales, razón electrónica de timbres fiscales, un nuevo modelo de registro fiscal de vehículos, sistema de alertas de pagos (adeudos) y la implementación del plan piloto de etiquetado de radiofrecuencia -RFID- entre otros.</w:t>
      </w:r>
    </w:p>
    <w:p w14:paraId="2F47FDFF" w14:textId="77777777" w:rsidR="009F1CF4" w:rsidRPr="00062207" w:rsidRDefault="009F1CF4" w:rsidP="009F1CF4">
      <w:pPr>
        <w:jc w:val="both"/>
        <w:rPr>
          <w:rFonts w:ascii="Times New Roman" w:hAnsi="Times New Roman" w:cs="Times New Roman"/>
          <w:sz w:val="22"/>
        </w:rPr>
      </w:pPr>
    </w:p>
    <w:p w14:paraId="1DCE15D6" w14:textId="06BB5EFA" w:rsidR="00607C6C" w:rsidRPr="00062207" w:rsidRDefault="00607C6C" w:rsidP="00607C6C">
      <w:pPr>
        <w:jc w:val="both"/>
        <w:rPr>
          <w:rFonts w:ascii="Times New Roman" w:hAnsi="Times New Roman" w:cs="Times New Roman"/>
          <w:sz w:val="22"/>
          <w:szCs w:val="22"/>
        </w:rPr>
      </w:pPr>
      <w:r w:rsidRPr="00062207">
        <w:rPr>
          <w:rFonts w:ascii="Times New Roman" w:hAnsi="Times New Roman" w:cs="Times New Roman"/>
          <w:sz w:val="22"/>
          <w:szCs w:val="22"/>
        </w:rPr>
        <w:t>Entre algunos de los puntos relevantes dentro del Presupuesto Aprobado para el ejercicio fiscal 2022 se pueden mencionar:</w:t>
      </w:r>
    </w:p>
    <w:p w14:paraId="06287BE0" w14:textId="77777777" w:rsidR="00607C6C" w:rsidRPr="00062207" w:rsidRDefault="00607C6C" w:rsidP="00607C6C">
      <w:pPr>
        <w:jc w:val="both"/>
        <w:rPr>
          <w:rFonts w:ascii="Times New Roman" w:hAnsi="Times New Roman" w:cs="Times New Roman"/>
          <w:sz w:val="22"/>
          <w:szCs w:val="22"/>
        </w:rPr>
      </w:pPr>
    </w:p>
    <w:p w14:paraId="5849B13E" w14:textId="753CDC96" w:rsidR="00607C6C" w:rsidRPr="00062207" w:rsidRDefault="00607C6C" w:rsidP="00850CFF">
      <w:pPr>
        <w:pStyle w:val="Prrafodelista"/>
        <w:numPr>
          <w:ilvl w:val="0"/>
          <w:numId w:val="9"/>
        </w:numPr>
        <w:jc w:val="both"/>
        <w:rPr>
          <w:rFonts w:ascii="Times New Roman" w:hAnsi="Times New Roman" w:cs="Times New Roman"/>
        </w:rPr>
      </w:pPr>
      <w:r w:rsidRPr="00062207">
        <w:rPr>
          <w:rFonts w:ascii="Times New Roman" w:hAnsi="Times New Roman" w:cs="Times New Roman"/>
        </w:rPr>
        <w:t xml:space="preserve">Asignación para compras de vacuna para COVID-19 por Q1,000 millones </w:t>
      </w:r>
    </w:p>
    <w:p w14:paraId="1E21854C" w14:textId="77777777" w:rsidR="00607C6C" w:rsidRPr="00062207" w:rsidRDefault="00607C6C" w:rsidP="00607C6C">
      <w:pPr>
        <w:pStyle w:val="Prrafodelista"/>
        <w:numPr>
          <w:ilvl w:val="0"/>
          <w:numId w:val="9"/>
        </w:numPr>
        <w:jc w:val="both"/>
        <w:rPr>
          <w:rFonts w:ascii="Times New Roman" w:hAnsi="Times New Roman" w:cs="Times New Roman"/>
        </w:rPr>
      </w:pPr>
      <w:r w:rsidRPr="00062207">
        <w:rPr>
          <w:rFonts w:ascii="Times New Roman" w:hAnsi="Times New Roman" w:cs="Times New Roman"/>
        </w:rPr>
        <w:t>Asignación de Q110.0 millones como una previsión para conformar el fondo emergente para mitigar los daños que puedan ocasionar los fenómenos naturales que afecten al país, asimismo para atender programas y proyectos relacionados con la atención de epidemias, pandemias y otras</w:t>
      </w:r>
    </w:p>
    <w:p w14:paraId="07036C0F" w14:textId="77777777" w:rsidR="00607C6C" w:rsidRPr="00062207" w:rsidRDefault="00607C6C" w:rsidP="00607C6C">
      <w:pPr>
        <w:pStyle w:val="Prrafodelista"/>
        <w:rPr>
          <w:rFonts w:ascii="Times New Roman" w:hAnsi="Times New Roman" w:cs="Times New Roman"/>
        </w:rPr>
      </w:pPr>
    </w:p>
    <w:p w14:paraId="4657705A" w14:textId="44062487" w:rsidR="00607C6C" w:rsidRPr="00062207" w:rsidRDefault="00607C6C" w:rsidP="00850CFF">
      <w:pPr>
        <w:pStyle w:val="Prrafodelista"/>
        <w:numPr>
          <w:ilvl w:val="0"/>
          <w:numId w:val="9"/>
        </w:numPr>
        <w:jc w:val="both"/>
        <w:rPr>
          <w:rFonts w:ascii="Times New Roman" w:hAnsi="Times New Roman" w:cs="Times New Roman"/>
        </w:rPr>
      </w:pPr>
      <w:r w:rsidRPr="00062207">
        <w:rPr>
          <w:rFonts w:ascii="Times New Roman" w:hAnsi="Times New Roman" w:cs="Times New Roman"/>
        </w:rPr>
        <w:lastRenderedPageBreak/>
        <w:t xml:space="preserve">Asignación de Q100.0 millones para la creación del Fondo de Vivienda </w:t>
      </w:r>
    </w:p>
    <w:p w14:paraId="3609B937" w14:textId="52F27A8F" w:rsidR="00607C6C" w:rsidRPr="00062207" w:rsidRDefault="00607C6C" w:rsidP="00850CFF">
      <w:pPr>
        <w:pStyle w:val="Prrafodelista"/>
        <w:numPr>
          <w:ilvl w:val="0"/>
          <w:numId w:val="9"/>
        </w:numPr>
        <w:jc w:val="both"/>
        <w:rPr>
          <w:rFonts w:ascii="Times New Roman" w:hAnsi="Times New Roman" w:cs="Times New Roman"/>
        </w:rPr>
      </w:pPr>
      <w:r w:rsidRPr="00062207">
        <w:rPr>
          <w:rFonts w:ascii="Times New Roman" w:hAnsi="Times New Roman" w:cs="Times New Roman"/>
        </w:rPr>
        <w:t>Asignación de Q70.0 millones del Presupuesto de Economía para la población de 18 años en adelante en becas de aprendizaje de inglés para empleo y enfermería y Q30.0 millones del presupuesto de Educación para impulsar el aprendizaje de inglés para el empleo</w:t>
      </w:r>
    </w:p>
    <w:p w14:paraId="3673DA95" w14:textId="711D685B" w:rsidR="00607C6C" w:rsidRPr="00062207" w:rsidRDefault="00607C6C" w:rsidP="00850CFF">
      <w:pPr>
        <w:pStyle w:val="Prrafodelista"/>
        <w:numPr>
          <w:ilvl w:val="0"/>
          <w:numId w:val="9"/>
        </w:numPr>
        <w:jc w:val="both"/>
        <w:rPr>
          <w:rFonts w:ascii="Times New Roman" w:hAnsi="Times New Roman" w:cs="Times New Roman"/>
        </w:rPr>
      </w:pPr>
      <w:r w:rsidRPr="00062207">
        <w:rPr>
          <w:rFonts w:ascii="Times New Roman" w:hAnsi="Times New Roman" w:cs="Times New Roman"/>
        </w:rPr>
        <w:t>Asignación adicional de Q500 millones al Tribunal Supremo Electoral (TSE) destinado a las Elecciones Generales correspondientes al 2023</w:t>
      </w:r>
      <w:r w:rsidR="00850CFF" w:rsidRPr="00062207">
        <w:rPr>
          <w:rFonts w:ascii="Times New Roman" w:hAnsi="Times New Roman" w:cs="Times New Roman"/>
        </w:rPr>
        <w:t>.</w:t>
      </w:r>
      <w:r w:rsidRPr="00062207">
        <w:rPr>
          <w:rFonts w:ascii="Times New Roman" w:hAnsi="Times New Roman" w:cs="Times New Roman"/>
        </w:rPr>
        <w:t xml:space="preserve"> </w:t>
      </w:r>
    </w:p>
    <w:p w14:paraId="1BE35D8C" w14:textId="6A42EC2F" w:rsidR="00607C6C" w:rsidRPr="00062207" w:rsidRDefault="00607C6C" w:rsidP="00850CFF">
      <w:pPr>
        <w:pStyle w:val="Prrafodelista"/>
        <w:numPr>
          <w:ilvl w:val="0"/>
          <w:numId w:val="9"/>
        </w:numPr>
        <w:jc w:val="both"/>
        <w:rPr>
          <w:rFonts w:ascii="Times New Roman" w:hAnsi="Times New Roman" w:cs="Times New Roman"/>
        </w:rPr>
      </w:pPr>
      <w:r w:rsidRPr="00062207">
        <w:rPr>
          <w:rFonts w:ascii="Times New Roman" w:hAnsi="Times New Roman" w:cs="Times New Roman"/>
          <w:lang w:val="es-ES_tradnl"/>
        </w:rPr>
        <w:t>Incremento de Q290.0 millones de aporte extraordinario a CODEDES para la Gran Cruzada por la Nutrición</w:t>
      </w:r>
      <w:r w:rsidRPr="00062207">
        <w:rPr>
          <w:rFonts w:ascii="Times New Roman" w:eastAsiaTheme="minorEastAsia" w:hAnsi="Times New Roman" w:cs="Times New Roman"/>
          <w:sz w:val="24"/>
          <w:szCs w:val="24"/>
          <w:lang w:val="es-ES_tradnl" w:eastAsia="es-ES"/>
        </w:rPr>
        <w:t xml:space="preserve">, </w:t>
      </w:r>
      <w:r w:rsidRPr="00062207">
        <w:rPr>
          <w:rFonts w:ascii="Times New Roman" w:hAnsi="Times New Roman" w:cs="Times New Roman"/>
          <w:lang w:val="es-ES_tradnl"/>
        </w:rPr>
        <w:t>también se ordena hacer un incremento por Q240.0 millones de sub</w:t>
      </w:r>
      <w:r w:rsidR="006151D7" w:rsidRPr="00062207">
        <w:rPr>
          <w:rFonts w:ascii="Times New Roman" w:hAnsi="Times New Roman" w:cs="Times New Roman"/>
          <w:lang w:val="es-ES_tradnl"/>
        </w:rPr>
        <w:t>-</w:t>
      </w:r>
      <w:r w:rsidRPr="00062207">
        <w:rPr>
          <w:rFonts w:ascii="Times New Roman" w:hAnsi="Times New Roman" w:cs="Times New Roman"/>
          <w:lang w:val="es-ES_tradnl"/>
        </w:rPr>
        <w:t>ejecuciones del período 2022</w:t>
      </w:r>
      <w:r w:rsidR="00850CFF" w:rsidRPr="00062207">
        <w:rPr>
          <w:rFonts w:ascii="Times New Roman" w:hAnsi="Times New Roman" w:cs="Times New Roman"/>
          <w:lang w:val="es-ES_tradnl"/>
        </w:rPr>
        <w:t>.</w:t>
      </w:r>
    </w:p>
    <w:p w14:paraId="1D874B30" w14:textId="3D729551" w:rsidR="00607C6C" w:rsidRPr="00062207" w:rsidRDefault="00607C6C" w:rsidP="006151D7">
      <w:pPr>
        <w:pStyle w:val="Prrafodelista"/>
        <w:numPr>
          <w:ilvl w:val="0"/>
          <w:numId w:val="9"/>
        </w:numPr>
        <w:jc w:val="both"/>
        <w:rPr>
          <w:rFonts w:ascii="Times New Roman" w:hAnsi="Times New Roman" w:cs="Times New Roman"/>
        </w:rPr>
      </w:pPr>
      <w:r w:rsidRPr="00062207">
        <w:rPr>
          <w:rFonts w:ascii="Times New Roman" w:hAnsi="Times New Roman" w:cs="Times New Roman"/>
          <w:lang w:val="es-ES_tradnl"/>
        </w:rPr>
        <w:t>Reconocimiento económico a Comadronas, dentro del presupuesto vigente del Ministerio de Salud Pública y Asistencia Social, siendo de Q3,000 anuales.</w:t>
      </w:r>
    </w:p>
    <w:p w14:paraId="6EA3799B" w14:textId="3D0159C7" w:rsidR="00607C6C" w:rsidRPr="00062207" w:rsidRDefault="00607C6C" w:rsidP="006151D7">
      <w:pPr>
        <w:pStyle w:val="Prrafodelista"/>
        <w:numPr>
          <w:ilvl w:val="0"/>
          <w:numId w:val="9"/>
        </w:numPr>
        <w:jc w:val="both"/>
        <w:rPr>
          <w:rFonts w:ascii="Times New Roman" w:hAnsi="Times New Roman" w:cs="Times New Roman"/>
        </w:rPr>
      </w:pPr>
      <w:r w:rsidRPr="00062207">
        <w:rPr>
          <w:rFonts w:ascii="Times New Roman" w:hAnsi="Times New Roman" w:cs="Times New Roman"/>
        </w:rPr>
        <w:t>Prohibición de gastos superfluos como alimentos y bebidas, combustible para vehículos, telefonía móvil en exceso a Q600 mensuales y gastos relacionados con viajes al exterior para ministros, viceministros, secretarios y subsecretarios del Organismo Ejecutivo</w:t>
      </w:r>
      <w:r w:rsidR="006151D7" w:rsidRPr="00062207">
        <w:rPr>
          <w:rFonts w:ascii="Times New Roman" w:hAnsi="Times New Roman" w:cs="Times New Roman"/>
        </w:rPr>
        <w:t>.</w:t>
      </w:r>
    </w:p>
    <w:p w14:paraId="29D47188" w14:textId="550E4BF8" w:rsidR="00607C6C" w:rsidRPr="00062207" w:rsidRDefault="00607C6C" w:rsidP="00607C6C">
      <w:pPr>
        <w:pStyle w:val="Prrafodelista"/>
        <w:numPr>
          <w:ilvl w:val="0"/>
          <w:numId w:val="9"/>
        </w:numPr>
        <w:jc w:val="both"/>
        <w:rPr>
          <w:rFonts w:ascii="Times New Roman" w:hAnsi="Times New Roman" w:cs="Times New Roman"/>
        </w:rPr>
      </w:pPr>
      <w:r w:rsidRPr="00062207">
        <w:rPr>
          <w:rFonts w:ascii="Times New Roman" w:hAnsi="Times New Roman" w:cs="Times New Roman"/>
        </w:rPr>
        <w:t>Dentro del presupuesto se programa una previsión de Q107.0 millones destinados al resarcimiento contenido en la Política Pública de Reparación a las Comunidades afectadas por la Construcción de la Hidroeléctrica de Chixoy.</w:t>
      </w:r>
    </w:p>
    <w:p w14:paraId="56144A1E" w14:textId="77777777" w:rsidR="00607C6C" w:rsidRPr="00062207" w:rsidRDefault="00607C6C" w:rsidP="00607C6C">
      <w:pPr>
        <w:pStyle w:val="Prrafodelista"/>
        <w:numPr>
          <w:ilvl w:val="0"/>
          <w:numId w:val="9"/>
        </w:numPr>
        <w:jc w:val="both"/>
        <w:rPr>
          <w:rFonts w:ascii="Times New Roman" w:hAnsi="Times New Roman" w:cs="Times New Roman"/>
        </w:rPr>
      </w:pPr>
      <w:r w:rsidRPr="00062207">
        <w:rPr>
          <w:rFonts w:ascii="Times New Roman" w:hAnsi="Times New Roman" w:cs="Times New Roman"/>
        </w:rPr>
        <w:t>La Comisión de Finanzas del Congreso amplió la meta de recaudación para el 2022, alcanzando los Q76,315.0 millones, dando como resultado un monto adicional de Q1,947.0 millones respecto al Proyecto de Presupuesto presentado por Finanzas, estos recursos adicionales servirían para:</w:t>
      </w:r>
    </w:p>
    <w:p w14:paraId="636C4753" w14:textId="77777777" w:rsidR="00607C6C" w:rsidRPr="00062207" w:rsidRDefault="00607C6C" w:rsidP="00607C6C">
      <w:pPr>
        <w:pStyle w:val="Prrafodelista"/>
        <w:rPr>
          <w:rFonts w:ascii="Times New Roman" w:hAnsi="Times New Roman" w:cs="Times New Roman"/>
        </w:rPr>
      </w:pPr>
    </w:p>
    <w:p w14:paraId="4BF9209B" w14:textId="77777777" w:rsidR="00607C6C" w:rsidRPr="00062207" w:rsidRDefault="00607C6C" w:rsidP="00607C6C">
      <w:pPr>
        <w:pStyle w:val="Prrafodelista"/>
        <w:numPr>
          <w:ilvl w:val="1"/>
          <w:numId w:val="9"/>
        </w:numPr>
        <w:jc w:val="both"/>
        <w:rPr>
          <w:rFonts w:ascii="Times New Roman" w:hAnsi="Times New Roman" w:cs="Times New Roman"/>
        </w:rPr>
      </w:pPr>
      <w:r w:rsidRPr="00062207">
        <w:rPr>
          <w:rFonts w:ascii="Times New Roman" w:hAnsi="Times New Roman" w:cs="Times New Roman"/>
        </w:rPr>
        <w:t xml:space="preserve">Programa de Alimentación Escolar </w:t>
      </w:r>
    </w:p>
    <w:p w14:paraId="2F64B1E7" w14:textId="77777777" w:rsidR="00607C6C" w:rsidRPr="00062207" w:rsidRDefault="00607C6C" w:rsidP="00607C6C">
      <w:pPr>
        <w:pStyle w:val="Prrafodelista"/>
        <w:numPr>
          <w:ilvl w:val="1"/>
          <w:numId w:val="9"/>
        </w:numPr>
        <w:jc w:val="both"/>
        <w:rPr>
          <w:rFonts w:ascii="Times New Roman" w:hAnsi="Times New Roman" w:cs="Times New Roman"/>
        </w:rPr>
      </w:pPr>
      <w:r w:rsidRPr="00062207">
        <w:rPr>
          <w:rFonts w:ascii="Times New Roman" w:hAnsi="Times New Roman" w:cs="Times New Roman"/>
        </w:rPr>
        <w:t>Fortalecer diversos programas del COVID-19</w:t>
      </w:r>
    </w:p>
    <w:p w14:paraId="4509AB5B" w14:textId="77777777" w:rsidR="00607C6C" w:rsidRPr="00062207" w:rsidRDefault="00607C6C" w:rsidP="00607C6C">
      <w:pPr>
        <w:pStyle w:val="Prrafodelista"/>
        <w:numPr>
          <w:ilvl w:val="1"/>
          <w:numId w:val="9"/>
        </w:numPr>
        <w:jc w:val="both"/>
        <w:rPr>
          <w:rFonts w:ascii="Times New Roman" w:hAnsi="Times New Roman" w:cs="Times New Roman"/>
        </w:rPr>
      </w:pPr>
      <w:r w:rsidRPr="00062207">
        <w:rPr>
          <w:rFonts w:ascii="Times New Roman" w:hAnsi="Times New Roman" w:cs="Times New Roman"/>
        </w:rPr>
        <w:t>Fortalecer la Gestión Administrativa y Legislativa</w:t>
      </w:r>
    </w:p>
    <w:p w14:paraId="1EFFA3FE" w14:textId="77777777" w:rsidR="00607C6C" w:rsidRPr="00062207" w:rsidRDefault="00607C6C" w:rsidP="00607C6C">
      <w:pPr>
        <w:pStyle w:val="Prrafodelista"/>
        <w:numPr>
          <w:ilvl w:val="1"/>
          <w:numId w:val="9"/>
        </w:numPr>
        <w:jc w:val="both"/>
        <w:rPr>
          <w:rFonts w:ascii="Times New Roman" w:hAnsi="Times New Roman" w:cs="Times New Roman"/>
        </w:rPr>
      </w:pPr>
      <w:r w:rsidRPr="00062207">
        <w:rPr>
          <w:rFonts w:ascii="Times New Roman" w:hAnsi="Times New Roman" w:cs="Times New Roman"/>
        </w:rPr>
        <w:t>Programa Adulto Mayor</w:t>
      </w:r>
    </w:p>
    <w:p w14:paraId="50430A42" w14:textId="77777777" w:rsidR="00607C6C" w:rsidRPr="00062207" w:rsidRDefault="00607C6C" w:rsidP="00607C6C">
      <w:pPr>
        <w:pStyle w:val="Prrafodelista"/>
        <w:numPr>
          <w:ilvl w:val="1"/>
          <w:numId w:val="9"/>
        </w:numPr>
        <w:jc w:val="both"/>
        <w:rPr>
          <w:rFonts w:ascii="Times New Roman" w:hAnsi="Times New Roman" w:cs="Times New Roman"/>
        </w:rPr>
      </w:pPr>
      <w:r w:rsidRPr="00062207">
        <w:rPr>
          <w:rFonts w:ascii="Times New Roman" w:hAnsi="Times New Roman" w:cs="Times New Roman"/>
        </w:rPr>
        <w:t>Fondo de Tierras</w:t>
      </w:r>
    </w:p>
    <w:p w14:paraId="36ED6EA7" w14:textId="3B1E66FD" w:rsidR="00607C6C" w:rsidRPr="00062207" w:rsidRDefault="00607C6C" w:rsidP="00607C6C">
      <w:pPr>
        <w:pStyle w:val="Prrafodelista"/>
        <w:numPr>
          <w:ilvl w:val="1"/>
          <w:numId w:val="9"/>
        </w:numPr>
        <w:jc w:val="both"/>
        <w:rPr>
          <w:rFonts w:ascii="Times New Roman" w:hAnsi="Times New Roman" w:cs="Times New Roman"/>
        </w:rPr>
      </w:pPr>
      <w:r w:rsidRPr="00062207">
        <w:rPr>
          <w:rFonts w:ascii="Times New Roman" w:hAnsi="Times New Roman" w:cs="Times New Roman"/>
        </w:rPr>
        <w:t xml:space="preserve">Otros </w:t>
      </w:r>
    </w:p>
    <w:p w14:paraId="1861DDF7" w14:textId="77777777" w:rsidR="006151D7" w:rsidRPr="00062207" w:rsidRDefault="006151D7" w:rsidP="006151D7">
      <w:pPr>
        <w:pStyle w:val="Prrafodelista"/>
        <w:ind w:left="1440"/>
        <w:jc w:val="both"/>
        <w:rPr>
          <w:rFonts w:ascii="Times New Roman" w:hAnsi="Times New Roman" w:cs="Times New Roman"/>
        </w:rPr>
      </w:pPr>
    </w:p>
    <w:p w14:paraId="4DBACCFE" w14:textId="77777777" w:rsidR="00607C6C" w:rsidRPr="00062207" w:rsidRDefault="00607C6C" w:rsidP="00607C6C">
      <w:pPr>
        <w:jc w:val="center"/>
        <w:rPr>
          <w:rFonts w:ascii="Times New Roman" w:hAnsi="Times New Roman" w:cs="Times New Roman"/>
          <w:b/>
          <w:szCs w:val="22"/>
        </w:rPr>
      </w:pPr>
      <w:r w:rsidRPr="00062207">
        <w:rPr>
          <w:rFonts w:ascii="Times New Roman" w:hAnsi="Times New Roman" w:cs="Times New Roman"/>
          <w:b/>
          <w:szCs w:val="22"/>
        </w:rPr>
        <w:t>Situación Financiera Resumida 2022</w:t>
      </w:r>
    </w:p>
    <w:p w14:paraId="2DF46AD5" w14:textId="298426A2" w:rsidR="00607C6C" w:rsidRPr="00062207" w:rsidRDefault="00607C6C" w:rsidP="006151D7">
      <w:pPr>
        <w:jc w:val="center"/>
        <w:rPr>
          <w:rFonts w:ascii="Times New Roman" w:hAnsi="Times New Roman" w:cs="Times New Roman"/>
          <w:sz w:val="22"/>
          <w:szCs w:val="22"/>
        </w:rPr>
      </w:pPr>
      <w:r w:rsidRPr="00062207">
        <w:rPr>
          <w:rFonts w:ascii="Times New Roman" w:hAnsi="Times New Roman" w:cs="Times New Roman"/>
          <w:sz w:val="22"/>
          <w:szCs w:val="22"/>
        </w:rPr>
        <w:t>Millones de quetzales</w:t>
      </w:r>
      <w:r w:rsidR="006151D7" w:rsidRPr="00062207">
        <w:rPr>
          <w:rFonts w:ascii="Times New Roman" w:hAnsi="Times New Roman" w:cs="Times New Roman"/>
          <w:sz w:val="22"/>
          <w:szCs w:val="22"/>
        </w:rPr>
        <w:t xml:space="preserve"> y porcentajes</w:t>
      </w:r>
    </w:p>
    <w:tbl>
      <w:tblPr>
        <w:tblW w:w="7220" w:type="dxa"/>
        <w:jc w:val="center"/>
        <w:tblCellMar>
          <w:left w:w="70" w:type="dxa"/>
          <w:right w:w="70" w:type="dxa"/>
        </w:tblCellMar>
        <w:tblLook w:val="04A0" w:firstRow="1" w:lastRow="0" w:firstColumn="1" w:lastColumn="0" w:noHBand="0" w:noVBand="1"/>
      </w:tblPr>
      <w:tblGrid>
        <w:gridCol w:w="3680"/>
        <w:gridCol w:w="1880"/>
        <w:gridCol w:w="1660"/>
      </w:tblGrid>
      <w:tr w:rsidR="00062207" w:rsidRPr="00062207" w14:paraId="0B9A4754" w14:textId="77777777" w:rsidTr="00A963D6">
        <w:trPr>
          <w:trHeight w:val="585"/>
          <w:jc w:val="center"/>
        </w:trPr>
        <w:tc>
          <w:tcPr>
            <w:tcW w:w="3680" w:type="dxa"/>
            <w:tcBorders>
              <w:top w:val="single" w:sz="4" w:space="0" w:color="auto"/>
              <w:left w:val="single" w:sz="8" w:space="0" w:color="000000"/>
              <w:bottom w:val="single" w:sz="8" w:space="0" w:color="000000"/>
              <w:right w:val="single" w:sz="8" w:space="0" w:color="000000"/>
            </w:tcBorders>
            <w:shd w:val="clear" w:color="000000" w:fill="ACB9CA"/>
            <w:vAlign w:val="center"/>
            <w:hideMark/>
          </w:tcPr>
          <w:p w14:paraId="14B33264" w14:textId="77777777" w:rsidR="00607C6C" w:rsidRPr="00062207" w:rsidRDefault="00607C6C" w:rsidP="00A963D6">
            <w:pPr>
              <w:jc w:val="center"/>
              <w:rPr>
                <w:rFonts w:ascii="Times New Roman" w:eastAsia="Times New Roman" w:hAnsi="Times New Roman" w:cs="Times New Roman"/>
                <w:b/>
                <w:bCs/>
                <w:sz w:val="20"/>
                <w:szCs w:val="22"/>
                <w:lang w:val="es-GT" w:eastAsia="es-GT"/>
              </w:rPr>
            </w:pPr>
            <w:r w:rsidRPr="00062207">
              <w:rPr>
                <w:rFonts w:ascii="Times New Roman" w:eastAsia="Times New Roman" w:hAnsi="Times New Roman" w:cs="Times New Roman"/>
                <w:b/>
                <w:bCs/>
                <w:sz w:val="20"/>
                <w:szCs w:val="22"/>
                <w:lang w:val="es-GT" w:eastAsia="es-GT"/>
              </w:rPr>
              <w:t>Descripción</w:t>
            </w:r>
          </w:p>
        </w:tc>
        <w:tc>
          <w:tcPr>
            <w:tcW w:w="1880" w:type="dxa"/>
            <w:tcBorders>
              <w:top w:val="single" w:sz="4" w:space="0" w:color="auto"/>
              <w:left w:val="nil"/>
              <w:bottom w:val="single" w:sz="8" w:space="0" w:color="000000"/>
              <w:right w:val="single" w:sz="8" w:space="0" w:color="000000"/>
            </w:tcBorders>
            <w:shd w:val="clear" w:color="000000" w:fill="ACB9CA"/>
            <w:vAlign w:val="center"/>
            <w:hideMark/>
          </w:tcPr>
          <w:p w14:paraId="39A0E4F8" w14:textId="77777777" w:rsidR="00607C6C" w:rsidRPr="00062207" w:rsidRDefault="00607C6C" w:rsidP="00A963D6">
            <w:pPr>
              <w:jc w:val="center"/>
              <w:rPr>
                <w:rFonts w:ascii="Times New Roman" w:eastAsia="Times New Roman" w:hAnsi="Times New Roman" w:cs="Times New Roman"/>
                <w:b/>
                <w:bCs/>
                <w:sz w:val="20"/>
                <w:szCs w:val="22"/>
                <w:lang w:val="es-GT" w:eastAsia="es-GT"/>
              </w:rPr>
            </w:pPr>
            <w:r w:rsidRPr="00062207">
              <w:rPr>
                <w:rFonts w:ascii="Times New Roman" w:eastAsia="Times New Roman" w:hAnsi="Times New Roman" w:cs="Times New Roman"/>
                <w:b/>
                <w:bCs/>
                <w:sz w:val="20"/>
                <w:szCs w:val="22"/>
                <w:lang w:val="es-GT" w:eastAsia="es-GT"/>
              </w:rPr>
              <w:t>Millones de Quetzales</w:t>
            </w:r>
          </w:p>
        </w:tc>
        <w:tc>
          <w:tcPr>
            <w:tcW w:w="1660" w:type="dxa"/>
            <w:tcBorders>
              <w:top w:val="single" w:sz="4" w:space="0" w:color="auto"/>
              <w:left w:val="nil"/>
              <w:bottom w:val="single" w:sz="8" w:space="0" w:color="000000"/>
              <w:right w:val="single" w:sz="8" w:space="0" w:color="000000"/>
            </w:tcBorders>
            <w:shd w:val="clear" w:color="000000" w:fill="ACB9CA"/>
            <w:vAlign w:val="center"/>
            <w:hideMark/>
          </w:tcPr>
          <w:p w14:paraId="6C7CD23C" w14:textId="77777777" w:rsidR="00607C6C" w:rsidRPr="00062207" w:rsidRDefault="00607C6C" w:rsidP="00A963D6">
            <w:pPr>
              <w:jc w:val="center"/>
              <w:rPr>
                <w:rFonts w:ascii="Times New Roman" w:eastAsia="Times New Roman" w:hAnsi="Times New Roman" w:cs="Times New Roman"/>
                <w:b/>
                <w:bCs/>
                <w:sz w:val="20"/>
                <w:szCs w:val="22"/>
                <w:lang w:val="es-GT" w:eastAsia="es-GT"/>
              </w:rPr>
            </w:pPr>
            <w:r w:rsidRPr="00062207">
              <w:rPr>
                <w:rFonts w:ascii="Times New Roman" w:eastAsia="Times New Roman" w:hAnsi="Times New Roman" w:cs="Times New Roman"/>
                <w:b/>
                <w:bCs/>
                <w:sz w:val="20"/>
                <w:szCs w:val="22"/>
                <w:lang w:val="es-GT" w:eastAsia="es-GT"/>
              </w:rPr>
              <w:t>Porcentajes del PIB</w:t>
            </w:r>
          </w:p>
        </w:tc>
      </w:tr>
      <w:tr w:rsidR="00062207" w:rsidRPr="00062207" w14:paraId="773224C8" w14:textId="77777777" w:rsidTr="00A963D6">
        <w:trPr>
          <w:trHeight w:val="300"/>
          <w:jc w:val="center"/>
        </w:trPr>
        <w:tc>
          <w:tcPr>
            <w:tcW w:w="3680" w:type="dxa"/>
            <w:tcBorders>
              <w:top w:val="nil"/>
              <w:left w:val="single" w:sz="8" w:space="0" w:color="000000"/>
              <w:bottom w:val="nil"/>
              <w:right w:val="single" w:sz="8" w:space="0" w:color="000000"/>
            </w:tcBorders>
            <w:shd w:val="clear" w:color="auto" w:fill="auto"/>
            <w:vAlign w:val="center"/>
            <w:hideMark/>
          </w:tcPr>
          <w:p w14:paraId="38AF1AFD" w14:textId="77777777" w:rsidR="00607C6C" w:rsidRPr="00062207" w:rsidRDefault="00607C6C" w:rsidP="00A963D6">
            <w:pPr>
              <w:rPr>
                <w:rFonts w:ascii="Times New Roman" w:eastAsia="Times New Roman" w:hAnsi="Times New Roman" w:cs="Times New Roman"/>
                <w:sz w:val="20"/>
                <w:szCs w:val="22"/>
                <w:lang w:val="es-GT" w:eastAsia="es-GT"/>
              </w:rPr>
            </w:pPr>
            <w:r w:rsidRPr="00062207">
              <w:rPr>
                <w:rFonts w:ascii="Times New Roman" w:eastAsia="Times New Roman" w:hAnsi="Times New Roman" w:cs="Times New Roman"/>
                <w:sz w:val="20"/>
                <w:szCs w:val="22"/>
                <w:lang w:val="es-GT" w:eastAsia="es-GT"/>
              </w:rPr>
              <w:t>Ingresos Totales</w:t>
            </w:r>
          </w:p>
        </w:tc>
        <w:tc>
          <w:tcPr>
            <w:tcW w:w="1880" w:type="dxa"/>
            <w:tcBorders>
              <w:top w:val="nil"/>
              <w:left w:val="nil"/>
              <w:bottom w:val="nil"/>
              <w:right w:val="single" w:sz="8" w:space="0" w:color="000000"/>
            </w:tcBorders>
            <w:shd w:val="clear" w:color="auto" w:fill="auto"/>
            <w:vAlign w:val="center"/>
            <w:hideMark/>
          </w:tcPr>
          <w:p w14:paraId="30AB1B9A" w14:textId="77777777" w:rsidR="00607C6C" w:rsidRPr="00062207" w:rsidRDefault="00607C6C" w:rsidP="00A963D6">
            <w:pPr>
              <w:jc w:val="center"/>
              <w:rPr>
                <w:rFonts w:ascii="Times New Roman" w:eastAsia="Times New Roman" w:hAnsi="Times New Roman" w:cs="Times New Roman"/>
                <w:sz w:val="20"/>
                <w:szCs w:val="22"/>
                <w:lang w:val="es-GT" w:eastAsia="es-GT"/>
              </w:rPr>
            </w:pPr>
            <w:r w:rsidRPr="00062207">
              <w:rPr>
                <w:rFonts w:ascii="Times New Roman" w:eastAsia="Times New Roman" w:hAnsi="Times New Roman" w:cs="Times New Roman"/>
                <w:sz w:val="20"/>
                <w:szCs w:val="22"/>
                <w:lang w:val="es-GT" w:eastAsia="es-GT"/>
              </w:rPr>
              <w:t>81,579.5</w:t>
            </w:r>
          </w:p>
        </w:tc>
        <w:tc>
          <w:tcPr>
            <w:tcW w:w="1660" w:type="dxa"/>
            <w:tcBorders>
              <w:top w:val="nil"/>
              <w:left w:val="nil"/>
              <w:bottom w:val="nil"/>
              <w:right w:val="single" w:sz="8" w:space="0" w:color="000000"/>
            </w:tcBorders>
            <w:shd w:val="clear" w:color="auto" w:fill="auto"/>
            <w:vAlign w:val="center"/>
            <w:hideMark/>
          </w:tcPr>
          <w:p w14:paraId="2F4EA58F" w14:textId="77777777" w:rsidR="00607C6C" w:rsidRPr="00062207" w:rsidRDefault="00607C6C" w:rsidP="00A963D6">
            <w:pPr>
              <w:jc w:val="center"/>
              <w:rPr>
                <w:rFonts w:ascii="Times New Roman" w:eastAsia="Times New Roman" w:hAnsi="Times New Roman" w:cs="Times New Roman"/>
                <w:sz w:val="20"/>
                <w:szCs w:val="22"/>
                <w:lang w:val="es-GT" w:eastAsia="es-GT"/>
              </w:rPr>
            </w:pPr>
            <w:r w:rsidRPr="00062207">
              <w:rPr>
                <w:rFonts w:ascii="Times New Roman" w:eastAsia="Times New Roman" w:hAnsi="Times New Roman" w:cs="Times New Roman"/>
                <w:sz w:val="20"/>
                <w:szCs w:val="22"/>
                <w:lang w:val="es-GT" w:eastAsia="es-GT"/>
              </w:rPr>
              <w:t>11.4</w:t>
            </w:r>
          </w:p>
        </w:tc>
      </w:tr>
      <w:tr w:rsidR="00062207" w:rsidRPr="00062207" w14:paraId="17F3BBFC" w14:textId="77777777" w:rsidTr="00A963D6">
        <w:trPr>
          <w:trHeight w:val="300"/>
          <w:jc w:val="center"/>
        </w:trPr>
        <w:tc>
          <w:tcPr>
            <w:tcW w:w="3680" w:type="dxa"/>
            <w:tcBorders>
              <w:top w:val="nil"/>
              <w:left w:val="single" w:sz="8" w:space="0" w:color="000000"/>
              <w:bottom w:val="nil"/>
              <w:right w:val="single" w:sz="8" w:space="0" w:color="000000"/>
            </w:tcBorders>
            <w:shd w:val="clear" w:color="auto" w:fill="auto"/>
            <w:vAlign w:val="center"/>
            <w:hideMark/>
          </w:tcPr>
          <w:p w14:paraId="59B9F195" w14:textId="77777777" w:rsidR="00607C6C" w:rsidRPr="00062207" w:rsidRDefault="00607C6C" w:rsidP="00A963D6">
            <w:pPr>
              <w:ind w:firstLineChars="200" w:firstLine="400"/>
              <w:rPr>
                <w:rFonts w:ascii="Times New Roman" w:eastAsia="Times New Roman" w:hAnsi="Times New Roman" w:cs="Times New Roman"/>
                <w:sz w:val="20"/>
                <w:szCs w:val="22"/>
                <w:lang w:val="es-GT" w:eastAsia="es-GT"/>
              </w:rPr>
            </w:pPr>
            <w:r w:rsidRPr="00062207">
              <w:rPr>
                <w:rFonts w:ascii="Times New Roman" w:eastAsia="Times New Roman" w:hAnsi="Times New Roman" w:cs="Times New Roman"/>
                <w:sz w:val="20"/>
                <w:szCs w:val="22"/>
                <w:lang w:val="es-GT" w:eastAsia="es-GT"/>
              </w:rPr>
              <w:t>Ingresos Corrientes</w:t>
            </w:r>
          </w:p>
        </w:tc>
        <w:tc>
          <w:tcPr>
            <w:tcW w:w="1880" w:type="dxa"/>
            <w:tcBorders>
              <w:top w:val="nil"/>
              <w:left w:val="nil"/>
              <w:bottom w:val="nil"/>
              <w:right w:val="single" w:sz="8" w:space="0" w:color="000000"/>
            </w:tcBorders>
            <w:shd w:val="clear" w:color="auto" w:fill="auto"/>
            <w:vAlign w:val="center"/>
            <w:hideMark/>
          </w:tcPr>
          <w:p w14:paraId="4D75D4BE" w14:textId="77777777" w:rsidR="00607C6C" w:rsidRPr="00062207" w:rsidRDefault="00607C6C" w:rsidP="00A963D6">
            <w:pPr>
              <w:jc w:val="center"/>
              <w:rPr>
                <w:rFonts w:ascii="Times New Roman" w:eastAsia="Times New Roman" w:hAnsi="Times New Roman" w:cs="Times New Roman"/>
                <w:sz w:val="20"/>
                <w:szCs w:val="22"/>
                <w:lang w:val="es-GT" w:eastAsia="es-GT"/>
              </w:rPr>
            </w:pPr>
            <w:r w:rsidRPr="00062207">
              <w:rPr>
                <w:rFonts w:ascii="Times New Roman" w:eastAsia="Times New Roman" w:hAnsi="Times New Roman" w:cs="Times New Roman"/>
                <w:sz w:val="20"/>
                <w:szCs w:val="22"/>
                <w:lang w:val="es-GT" w:eastAsia="es-GT"/>
              </w:rPr>
              <w:t>81,577.7</w:t>
            </w:r>
          </w:p>
        </w:tc>
        <w:tc>
          <w:tcPr>
            <w:tcW w:w="1660" w:type="dxa"/>
            <w:tcBorders>
              <w:top w:val="nil"/>
              <w:left w:val="nil"/>
              <w:bottom w:val="nil"/>
              <w:right w:val="single" w:sz="8" w:space="0" w:color="000000"/>
            </w:tcBorders>
            <w:shd w:val="clear" w:color="auto" w:fill="auto"/>
            <w:vAlign w:val="center"/>
            <w:hideMark/>
          </w:tcPr>
          <w:p w14:paraId="3C6F6147" w14:textId="77777777" w:rsidR="00607C6C" w:rsidRPr="00062207" w:rsidRDefault="00607C6C" w:rsidP="00A963D6">
            <w:pPr>
              <w:jc w:val="center"/>
              <w:rPr>
                <w:rFonts w:ascii="Times New Roman" w:eastAsia="Times New Roman" w:hAnsi="Times New Roman" w:cs="Times New Roman"/>
                <w:sz w:val="20"/>
                <w:szCs w:val="22"/>
                <w:lang w:val="es-GT" w:eastAsia="es-GT"/>
              </w:rPr>
            </w:pPr>
            <w:r w:rsidRPr="00062207">
              <w:rPr>
                <w:rFonts w:ascii="Times New Roman" w:eastAsia="Times New Roman" w:hAnsi="Times New Roman" w:cs="Times New Roman"/>
                <w:sz w:val="20"/>
                <w:szCs w:val="22"/>
                <w:lang w:val="es-GT" w:eastAsia="es-GT"/>
              </w:rPr>
              <w:t>11.4</w:t>
            </w:r>
          </w:p>
        </w:tc>
      </w:tr>
      <w:tr w:rsidR="00062207" w:rsidRPr="00062207" w14:paraId="0AF8DF79" w14:textId="77777777" w:rsidTr="00A963D6">
        <w:trPr>
          <w:trHeight w:val="300"/>
          <w:jc w:val="center"/>
        </w:trPr>
        <w:tc>
          <w:tcPr>
            <w:tcW w:w="3680" w:type="dxa"/>
            <w:tcBorders>
              <w:top w:val="nil"/>
              <w:left w:val="single" w:sz="8" w:space="0" w:color="000000"/>
              <w:bottom w:val="nil"/>
              <w:right w:val="single" w:sz="8" w:space="0" w:color="000000"/>
            </w:tcBorders>
            <w:shd w:val="clear" w:color="auto" w:fill="auto"/>
            <w:vAlign w:val="center"/>
            <w:hideMark/>
          </w:tcPr>
          <w:p w14:paraId="7C7F6831" w14:textId="77777777" w:rsidR="00607C6C" w:rsidRPr="00062207" w:rsidRDefault="00607C6C" w:rsidP="00A963D6">
            <w:pPr>
              <w:rPr>
                <w:rFonts w:ascii="Times New Roman" w:eastAsia="Times New Roman" w:hAnsi="Times New Roman" w:cs="Times New Roman"/>
                <w:sz w:val="20"/>
                <w:szCs w:val="22"/>
                <w:lang w:val="es-GT" w:eastAsia="es-GT"/>
              </w:rPr>
            </w:pPr>
            <w:r w:rsidRPr="00062207">
              <w:rPr>
                <w:rFonts w:ascii="Times New Roman" w:eastAsia="Times New Roman" w:hAnsi="Times New Roman" w:cs="Times New Roman"/>
                <w:sz w:val="20"/>
                <w:szCs w:val="22"/>
                <w:lang w:val="es-GT" w:eastAsia="es-GT"/>
              </w:rPr>
              <w:t xml:space="preserve">            Ingresos Tributarios </w:t>
            </w:r>
          </w:p>
        </w:tc>
        <w:tc>
          <w:tcPr>
            <w:tcW w:w="1880" w:type="dxa"/>
            <w:tcBorders>
              <w:top w:val="nil"/>
              <w:left w:val="nil"/>
              <w:bottom w:val="nil"/>
              <w:right w:val="single" w:sz="8" w:space="0" w:color="000000"/>
            </w:tcBorders>
            <w:shd w:val="clear" w:color="auto" w:fill="auto"/>
            <w:vAlign w:val="center"/>
            <w:hideMark/>
          </w:tcPr>
          <w:p w14:paraId="3ECD221A" w14:textId="77777777" w:rsidR="00607C6C" w:rsidRPr="00062207" w:rsidRDefault="00607C6C" w:rsidP="00A963D6">
            <w:pPr>
              <w:jc w:val="center"/>
              <w:rPr>
                <w:rFonts w:ascii="Times New Roman" w:eastAsia="Times New Roman" w:hAnsi="Times New Roman" w:cs="Times New Roman"/>
                <w:sz w:val="20"/>
                <w:szCs w:val="22"/>
                <w:lang w:val="es-GT" w:eastAsia="es-GT"/>
              </w:rPr>
            </w:pPr>
            <w:r w:rsidRPr="00062207">
              <w:rPr>
                <w:rFonts w:ascii="Times New Roman" w:eastAsia="Times New Roman" w:hAnsi="Times New Roman" w:cs="Times New Roman"/>
                <w:sz w:val="20"/>
                <w:szCs w:val="22"/>
                <w:lang w:val="es-GT" w:eastAsia="es-GT"/>
              </w:rPr>
              <w:t>76,315.0</w:t>
            </w:r>
          </w:p>
        </w:tc>
        <w:tc>
          <w:tcPr>
            <w:tcW w:w="1660" w:type="dxa"/>
            <w:tcBorders>
              <w:top w:val="nil"/>
              <w:left w:val="nil"/>
              <w:bottom w:val="nil"/>
              <w:right w:val="single" w:sz="8" w:space="0" w:color="000000"/>
            </w:tcBorders>
            <w:shd w:val="clear" w:color="auto" w:fill="auto"/>
            <w:vAlign w:val="center"/>
            <w:hideMark/>
          </w:tcPr>
          <w:p w14:paraId="5EA2147D" w14:textId="77777777" w:rsidR="00607C6C" w:rsidRPr="00062207" w:rsidRDefault="00607C6C" w:rsidP="00A963D6">
            <w:pPr>
              <w:jc w:val="center"/>
              <w:rPr>
                <w:rFonts w:ascii="Times New Roman" w:eastAsia="Times New Roman" w:hAnsi="Times New Roman" w:cs="Times New Roman"/>
                <w:sz w:val="20"/>
                <w:szCs w:val="22"/>
                <w:lang w:val="es-GT" w:eastAsia="es-GT"/>
              </w:rPr>
            </w:pPr>
            <w:r w:rsidRPr="00062207">
              <w:rPr>
                <w:rFonts w:ascii="Times New Roman" w:eastAsia="Times New Roman" w:hAnsi="Times New Roman" w:cs="Times New Roman"/>
                <w:sz w:val="20"/>
                <w:szCs w:val="22"/>
                <w:lang w:val="es-GT" w:eastAsia="es-GT"/>
              </w:rPr>
              <w:t>10.6</w:t>
            </w:r>
          </w:p>
        </w:tc>
      </w:tr>
      <w:tr w:rsidR="00062207" w:rsidRPr="00062207" w14:paraId="230C3F94" w14:textId="77777777" w:rsidTr="00A963D6">
        <w:trPr>
          <w:trHeight w:val="300"/>
          <w:jc w:val="center"/>
        </w:trPr>
        <w:tc>
          <w:tcPr>
            <w:tcW w:w="3680" w:type="dxa"/>
            <w:tcBorders>
              <w:top w:val="nil"/>
              <w:left w:val="single" w:sz="8" w:space="0" w:color="000000"/>
              <w:bottom w:val="nil"/>
              <w:right w:val="single" w:sz="8" w:space="0" w:color="000000"/>
            </w:tcBorders>
            <w:shd w:val="clear" w:color="auto" w:fill="auto"/>
            <w:vAlign w:val="center"/>
            <w:hideMark/>
          </w:tcPr>
          <w:p w14:paraId="08A1D331" w14:textId="77777777" w:rsidR="00607C6C" w:rsidRPr="00062207" w:rsidRDefault="00607C6C" w:rsidP="00A963D6">
            <w:pPr>
              <w:ind w:firstLineChars="100" w:firstLine="200"/>
              <w:rPr>
                <w:rFonts w:ascii="Times New Roman" w:eastAsia="Times New Roman" w:hAnsi="Times New Roman" w:cs="Times New Roman"/>
                <w:sz w:val="20"/>
                <w:szCs w:val="22"/>
                <w:lang w:val="es-GT" w:eastAsia="es-GT"/>
              </w:rPr>
            </w:pPr>
            <w:r w:rsidRPr="00062207">
              <w:rPr>
                <w:rFonts w:ascii="Times New Roman" w:eastAsia="Times New Roman" w:hAnsi="Times New Roman" w:cs="Times New Roman"/>
                <w:sz w:val="20"/>
                <w:szCs w:val="22"/>
                <w:lang w:val="es-GT" w:eastAsia="es-GT"/>
              </w:rPr>
              <w:t>Gastos Totales</w:t>
            </w:r>
          </w:p>
        </w:tc>
        <w:tc>
          <w:tcPr>
            <w:tcW w:w="1880" w:type="dxa"/>
            <w:tcBorders>
              <w:top w:val="nil"/>
              <w:left w:val="nil"/>
              <w:bottom w:val="nil"/>
              <w:right w:val="single" w:sz="8" w:space="0" w:color="000000"/>
            </w:tcBorders>
            <w:shd w:val="clear" w:color="auto" w:fill="auto"/>
            <w:vAlign w:val="center"/>
            <w:hideMark/>
          </w:tcPr>
          <w:p w14:paraId="432FB50D" w14:textId="77777777" w:rsidR="00607C6C" w:rsidRPr="00062207" w:rsidRDefault="00607C6C" w:rsidP="00A963D6">
            <w:pPr>
              <w:jc w:val="center"/>
              <w:rPr>
                <w:rFonts w:ascii="Times New Roman" w:eastAsia="Times New Roman" w:hAnsi="Times New Roman" w:cs="Times New Roman"/>
                <w:sz w:val="20"/>
                <w:szCs w:val="22"/>
                <w:lang w:val="es-GT" w:eastAsia="es-GT"/>
              </w:rPr>
            </w:pPr>
            <w:r w:rsidRPr="00062207">
              <w:rPr>
                <w:rFonts w:ascii="Times New Roman" w:eastAsia="Times New Roman" w:hAnsi="Times New Roman" w:cs="Times New Roman"/>
                <w:sz w:val="20"/>
                <w:szCs w:val="22"/>
                <w:lang w:val="es-GT" w:eastAsia="es-GT"/>
              </w:rPr>
              <w:t>101,484.0</w:t>
            </w:r>
          </w:p>
        </w:tc>
        <w:tc>
          <w:tcPr>
            <w:tcW w:w="1660" w:type="dxa"/>
            <w:tcBorders>
              <w:top w:val="nil"/>
              <w:left w:val="nil"/>
              <w:bottom w:val="nil"/>
              <w:right w:val="single" w:sz="8" w:space="0" w:color="000000"/>
            </w:tcBorders>
            <w:shd w:val="clear" w:color="auto" w:fill="auto"/>
            <w:vAlign w:val="center"/>
            <w:hideMark/>
          </w:tcPr>
          <w:p w14:paraId="18417AAF" w14:textId="77777777" w:rsidR="00607C6C" w:rsidRPr="00062207" w:rsidRDefault="00607C6C" w:rsidP="00A963D6">
            <w:pPr>
              <w:jc w:val="center"/>
              <w:rPr>
                <w:rFonts w:ascii="Times New Roman" w:eastAsia="Times New Roman" w:hAnsi="Times New Roman" w:cs="Times New Roman"/>
                <w:sz w:val="20"/>
                <w:szCs w:val="22"/>
                <w:lang w:val="es-GT" w:eastAsia="es-GT"/>
              </w:rPr>
            </w:pPr>
            <w:r w:rsidRPr="00062207">
              <w:rPr>
                <w:rFonts w:ascii="Times New Roman" w:eastAsia="Times New Roman" w:hAnsi="Times New Roman" w:cs="Times New Roman"/>
                <w:sz w:val="20"/>
                <w:szCs w:val="22"/>
                <w:lang w:val="es-GT" w:eastAsia="es-GT"/>
              </w:rPr>
              <w:t>14.1</w:t>
            </w:r>
          </w:p>
        </w:tc>
      </w:tr>
      <w:tr w:rsidR="00062207" w:rsidRPr="00062207" w14:paraId="7937E6E4" w14:textId="77777777" w:rsidTr="00A963D6">
        <w:trPr>
          <w:trHeight w:val="300"/>
          <w:jc w:val="center"/>
        </w:trPr>
        <w:tc>
          <w:tcPr>
            <w:tcW w:w="3680" w:type="dxa"/>
            <w:tcBorders>
              <w:top w:val="nil"/>
              <w:left w:val="single" w:sz="8" w:space="0" w:color="000000"/>
              <w:bottom w:val="nil"/>
              <w:right w:val="single" w:sz="8" w:space="0" w:color="000000"/>
            </w:tcBorders>
            <w:shd w:val="clear" w:color="auto" w:fill="auto"/>
            <w:vAlign w:val="center"/>
            <w:hideMark/>
          </w:tcPr>
          <w:p w14:paraId="27EFC67E" w14:textId="77777777" w:rsidR="00607C6C" w:rsidRPr="00062207" w:rsidRDefault="00607C6C" w:rsidP="00A963D6">
            <w:pPr>
              <w:ind w:firstLineChars="200" w:firstLine="400"/>
              <w:rPr>
                <w:rFonts w:ascii="Times New Roman" w:eastAsia="Times New Roman" w:hAnsi="Times New Roman" w:cs="Times New Roman"/>
                <w:sz w:val="20"/>
                <w:szCs w:val="22"/>
                <w:lang w:val="es-GT" w:eastAsia="es-GT"/>
              </w:rPr>
            </w:pPr>
            <w:r w:rsidRPr="00062207">
              <w:rPr>
                <w:rFonts w:ascii="Times New Roman" w:eastAsia="Times New Roman" w:hAnsi="Times New Roman" w:cs="Times New Roman"/>
                <w:sz w:val="20"/>
                <w:szCs w:val="22"/>
                <w:lang w:val="es-GT" w:eastAsia="es-GT"/>
              </w:rPr>
              <w:t>Gastos Corrientes</w:t>
            </w:r>
          </w:p>
        </w:tc>
        <w:tc>
          <w:tcPr>
            <w:tcW w:w="1880" w:type="dxa"/>
            <w:tcBorders>
              <w:top w:val="nil"/>
              <w:left w:val="nil"/>
              <w:bottom w:val="nil"/>
              <w:right w:val="single" w:sz="8" w:space="0" w:color="000000"/>
            </w:tcBorders>
            <w:shd w:val="clear" w:color="auto" w:fill="auto"/>
            <w:vAlign w:val="center"/>
            <w:hideMark/>
          </w:tcPr>
          <w:p w14:paraId="349E8C51" w14:textId="77777777" w:rsidR="00607C6C" w:rsidRPr="00062207" w:rsidRDefault="00607C6C" w:rsidP="00A963D6">
            <w:pPr>
              <w:jc w:val="center"/>
              <w:rPr>
                <w:rFonts w:ascii="Times New Roman" w:eastAsia="Times New Roman" w:hAnsi="Times New Roman" w:cs="Times New Roman"/>
                <w:sz w:val="20"/>
                <w:szCs w:val="22"/>
                <w:lang w:val="es-GT" w:eastAsia="es-GT"/>
              </w:rPr>
            </w:pPr>
            <w:r w:rsidRPr="00062207">
              <w:rPr>
                <w:rFonts w:ascii="Times New Roman" w:eastAsia="Times New Roman" w:hAnsi="Times New Roman" w:cs="Times New Roman"/>
                <w:sz w:val="20"/>
                <w:szCs w:val="22"/>
                <w:lang w:val="es-GT" w:eastAsia="es-GT"/>
              </w:rPr>
              <w:t>82,750.4</w:t>
            </w:r>
          </w:p>
        </w:tc>
        <w:tc>
          <w:tcPr>
            <w:tcW w:w="1660" w:type="dxa"/>
            <w:tcBorders>
              <w:top w:val="nil"/>
              <w:left w:val="nil"/>
              <w:bottom w:val="nil"/>
              <w:right w:val="single" w:sz="8" w:space="0" w:color="000000"/>
            </w:tcBorders>
            <w:shd w:val="clear" w:color="auto" w:fill="auto"/>
            <w:vAlign w:val="center"/>
            <w:hideMark/>
          </w:tcPr>
          <w:p w14:paraId="4179D046" w14:textId="77777777" w:rsidR="00607C6C" w:rsidRPr="00062207" w:rsidRDefault="00607C6C" w:rsidP="00A963D6">
            <w:pPr>
              <w:jc w:val="center"/>
              <w:rPr>
                <w:rFonts w:ascii="Times New Roman" w:eastAsia="Times New Roman" w:hAnsi="Times New Roman" w:cs="Times New Roman"/>
                <w:sz w:val="20"/>
                <w:szCs w:val="22"/>
                <w:lang w:val="es-GT" w:eastAsia="es-GT"/>
              </w:rPr>
            </w:pPr>
            <w:r w:rsidRPr="00062207">
              <w:rPr>
                <w:rFonts w:ascii="Times New Roman" w:eastAsia="Times New Roman" w:hAnsi="Times New Roman" w:cs="Times New Roman"/>
                <w:sz w:val="20"/>
                <w:szCs w:val="22"/>
                <w:lang w:val="es-GT" w:eastAsia="es-GT"/>
              </w:rPr>
              <w:t>11.5</w:t>
            </w:r>
          </w:p>
        </w:tc>
      </w:tr>
      <w:tr w:rsidR="00062207" w:rsidRPr="00062207" w14:paraId="6549F5F2" w14:textId="77777777" w:rsidTr="00A963D6">
        <w:trPr>
          <w:trHeight w:val="300"/>
          <w:jc w:val="center"/>
        </w:trPr>
        <w:tc>
          <w:tcPr>
            <w:tcW w:w="3680" w:type="dxa"/>
            <w:tcBorders>
              <w:top w:val="nil"/>
              <w:left w:val="single" w:sz="8" w:space="0" w:color="000000"/>
              <w:bottom w:val="nil"/>
              <w:right w:val="single" w:sz="8" w:space="0" w:color="000000"/>
            </w:tcBorders>
            <w:shd w:val="clear" w:color="auto" w:fill="auto"/>
            <w:vAlign w:val="center"/>
            <w:hideMark/>
          </w:tcPr>
          <w:p w14:paraId="70A1B462" w14:textId="77777777" w:rsidR="00607C6C" w:rsidRPr="00062207" w:rsidRDefault="00607C6C" w:rsidP="00A963D6">
            <w:pPr>
              <w:ind w:firstLineChars="200" w:firstLine="400"/>
              <w:rPr>
                <w:rFonts w:ascii="Times New Roman" w:eastAsia="Times New Roman" w:hAnsi="Times New Roman" w:cs="Times New Roman"/>
                <w:sz w:val="20"/>
                <w:szCs w:val="22"/>
                <w:lang w:val="es-GT" w:eastAsia="es-GT"/>
              </w:rPr>
            </w:pPr>
            <w:r w:rsidRPr="00062207">
              <w:rPr>
                <w:rFonts w:ascii="Times New Roman" w:eastAsia="Times New Roman" w:hAnsi="Times New Roman" w:cs="Times New Roman"/>
                <w:sz w:val="20"/>
                <w:szCs w:val="22"/>
                <w:lang w:val="es-GT" w:eastAsia="es-GT"/>
              </w:rPr>
              <w:t xml:space="preserve">Gastos de Capital </w:t>
            </w:r>
          </w:p>
        </w:tc>
        <w:tc>
          <w:tcPr>
            <w:tcW w:w="1880" w:type="dxa"/>
            <w:tcBorders>
              <w:top w:val="nil"/>
              <w:left w:val="nil"/>
              <w:bottom w:val="nil"/>
              <w:right w:val="single" w:sz="8" w:space="0" w:color="000000"/>
            </w:tcBorders>
            <w:shd w:val="clear" w:color="auto" w:fill="auto"/>
            <w:vAlign w:val="center"/>
            <w:hideMark/>
          </w:tcPr>
          <w:p w14:paraId="069201AD" w14:textId="77777777" w:rsidR="00607C6C" w:rsidRPr="00062207" w:rsidRDefault="00607C6C" w:rsidP="00A963D6">
            <w:pPr>
              <w:jc w:val="center"/>
              <w:rPr>
                <w:rFonts w:ascii="Times New Roman" w:eastAsia="Times New Roman" w:hAnsi="Times New Roman" w:cs="Times New Roman"/>
                <w:sz w:val="20"/>
                <w:szCs w:val="22"/>
                <w:lang w:val="es-GT" w:eastAsia="es-GT"/>
              </w:rPr>
            </w:pPr>
            <w:r w:rsidRPr="00062207">
              <w:rPr>
                <w:rFonts w:ascii="Times New Roman" w:eastAsia="Times New Roman" w:hAnsi="Times New Roman" w:cs="Times New Roman"/>
                <w:sz w:val="20"/>
                <w:szCs w:val="22"/>
                <w:lang w:val="es-GT" w:eastAsia="es-GT"/>
              </w:rPr>
              <w:t>18,733.6</w:t>
            </w:r>
          </w:p>
        </w:tc>
        <w:tc>
          <w:tcPr>
            <w:tcW w:w="1660" w:type="dxa"/>
            <w:tcBorders>
              <w:top w:val="nil"/>
              <w:left w:val="nil"/>
              <w:bottom w:val="nil"/>
              <w:right w:val="single" w:sz="8" w:space="0" w:color="000000"/>
            </w:tcBorders>
            <w:shd w:val="clear" w:color="auto" w:fill="auto"/>
            <w:vAlign w:val="center"/>
            <w:hideMark/>
          </w:tcPr>
          <w:p w14:paraId="2A56F6E2" w14:textId="77777777" w:rsidR="00607C6C" w:rsidRPr="00062207" w:rsidRDefault="00607C6C" w:rsidP="00A963D6">
            <w:pPr>
              <w:jc w:val="center"/>
              <w:rPr>
                <w:rFonts w:ascii="Times New Roman" w:eastAsia="Times New Roman" w:hAnsi="Times New Roman" w:cs="Times New Roman"/>
                <w:sz w:val="20"/>
                <w:szCs w:val="22"/>
                <w:lang w:val="es-GT" w:eastAsia="es-GT"/>
              </w:rPr>
            </w:pPr>
            <w:r w:rsidRPr="00062207">
              <w:rPr>
                <w:rFonts w:ascii="Times New Roman" w:eastAsia="Times New Roman" w:hAnsi="Times New Roman" w:cs="Times New Roman"/>
                <w:sz w:val="20"/>
                <w:szCs w:val="22"/>
                <w:lang w:val="es-GT" w:eastAsia="es-GT"/>
              </w:rPr>
              <w:t>2.6</w:t>
            </w:r>
          </w:p>
        </w:tc>
      </w:tr>
      <w:tr w:rsidR="00062207" w:rsidRPr="00062207" w14:paraId="60FCF4E4" w14:textId="77777777" w:rsidTr="00A963D6">
        <w:trPr>
          <w:trHeight w:val="300"/>
          <w:jc w:val="center"/>
        </w:trPr>
        <w:tc>
          <w:tcPr>
            <w:tcW w:w="3680" w:type="dxa"/>
            <w:tcBorders>
              <w:top w:val="nil"/>
              <w:left w:val="single" w:sz="8" w:space="0" w:color="000000"/>
              <w:bottom w:val="nil"/>
              <w:right w:val="single" w:sz="8" w:space="0" w:color="000000"/>
            </w:tcBorders>
            <w:shd w:val="clear" w:color="000000" w:fill="ACB9CA"/>
            <w:vAlign w:val="center"/>
            <w:hideMark/>
          </w:tcPr>
          <w:p w14:paraId="616D2771" w14:textId="77777777" w:rsidR="00607C6C" w:rsidRPr="00062207" w:rsidRDefault="00607C6C" w:rsidP="00A963D6">
            <w:pPr>
              <w:rPr>
                <w:rFonts w:ascii="Times New Roman" w:eastAsia="Times New Roman" w:hAnsi="Times New Roman" w:cs="Times New Roman"/>
                <w:b/>
                <w:bCs/>
                <w:sz w:val="20"/>
                <w:szCs w:val="22"/>
                <w:lang w:val="es-GT" w:eastAsia="es-GT"/>
              </w:rPr>
            </w:pPr>
            <w:r w:rsidRPr="00062207">
              <w:rPr>
                <w:rFonts w:ascii="Times New Roman" w:eastAsia="Times New Roman" w:hAnsi="Times New Roman" w:cs="Times New Roman"/>
                <w:b/>
                <w:bCs/>
                <w:sz w:val="20"/>
                <w:szCs w:val="22"/>
                <w:lang w:val="es-GT" w:eastAsia="es-GT"/>
              </w:rPr>
              <w:t>Balance  Presupuestal</w:t>
            </w:r>
          </w:p>
        </w:tc>
        <w:tc>
          <w:tcPr>
            <w:tcW w:w="1880" w:type="dxa"/>
            <w:tcBorders>
              <w:top w:val="nil"/>
              <w:left w:val="nil"/>
              <w:bottom w:val="nil"/>
              <w:right w:val="single" w:sz="8" w:space="0" w:color="000000"/>
            </w:tcBorders>
            <w:shd w:val="clear" w:color="000000" w:fill="ACB9CA"/>
            <w:vAlign w:val="center"/>
            <w:hideMark/>
          </w:tcPr>
          <w:p w14:paraId="338F14C9" w14:textId="77777777" w:rsidR="00607C6C" w:rsidRPr="00062207" w:rsidRDefault="00607C6C" w:rsidP="00A963D6">
            <w:pPr>
              <w:jc w:val="center"/>
              <w:rPr>
                <w:rFonts w:ascii="Times New Roman" w:eastAsia="Times New Roman" w:hAnsi="Times New Roman" w:cs="Times New Roman"/>
                <w:b/>
                <w:bCs/>
                <w:sz w:val="20"/>
                <w:szCs w:val="22"/>
                <w:lang w:val="es-GT" w:eastAsia="es-GT"/>
              </w:rPr>
            </w:pPr>
            <w:r w:rsidRPr="00062207">
              <w:rPr>
                <w:rFonts w:ascii="Times New Roman" w:eastAsia="Times New Roman" w:hAnsi="Times New Roman" w:cs="Times New Roman"/>
                <w:b/>
                <w:bCs/>
                <w:sz w:val="20"/>
                <w:szCs w:val="22"/>
                <w:lang w:val="es-GT" w:eastAsia="es-GT"/>
              </w:rPr>
              <w:t>-19,904.5</w:t>
            </w:r>
          </w:p>
        </w:tc>
        <w:tc>
          <w:tcPr>
            <w:tcW w:w="1660" w:type="dxa"/>
            <w:tcBorders>
              <w:top w:val="nil"/>
              <w:left w:val="nil"/>
              <w:bottom w:val="nil"/>
              <w:right w:val="single" w:sz="8" w:space="0" w:color="000000"/>
            </w:tcBorders>
            <w:shd w:val="clear" w:color="000000" w:fill="ACB9CA"/>
            <w:vAlign w:val="center"/>
            <w:hideMark/>
          </w:tcPr>
          <w:p w14:paraId="131D2ABB" w14:textId="77777777" w:rsidR="00607C6C" w:rsidRPr="00062207" w:rsidRDefault="00607C6C" w:rsidP="00A963D6">
            <w:pPr>
              <w:jc w:val="center"/>
              <w:rPr>
                <w:rFonts w:ascii="Times New Roman" w:eastAsia="Times New Roman" w:hAnsi="Times New Roman" w:cs="Times New Roman"/>
                <w:b/>
                <w:bCs/>
                <w:sz w:val="20"/>
                <w:szCs w:val="22"/>
                <w:lang w:val="es-GT" w:eastAsia="es-GT"/>
              </w:rPr>
            </w:pPr>
            <w:r w:rsidRPr="00062207">
              <w:rPr>
                <w:rFonts w:ascii="Times New Roman" w:eastAsia="Times New Roman" w:hAnsi="Times New Roman" w:cs="Times New Roman"/>
                <w:b/>
                <w:bCs/>
                <w:sz w:val="20"/>
                <w:szCs w:val="22"/>
                <w:lang w:val="es-GT" w:eastAsia="es-GT"/>
              </w:rPr>
              <w:t>-2.8</w:t>
            </w:r>
          </w:p>
        </w:tc>
      </w:tr>
      <w:tr w:rsidR="00062207" w:rsidRPr="00062207" w14:paraId="50FB9D51" w14:textId="77777777" w:rsidTr="00A963D6">
        <w:trPr>
          <w:trHeight w:val="300"/>
          <w:jc w:val="center"/>
        </w:trPr>
        <w:tc>
          <w:tcPr>
            <w:tcW w:w="3680" w:type="dxa"/>
            <w:tcBorders>
              <w:top w:val="nil"/>
              <w:left w:val="single" w:sz="8" w:space="0" w:color="000000"/>
              <w:bottom w:val="nil"/>
              <w:right w:val="single" w:sz="8" w:space="0" w:color="000000"/>
            </w:tcBorders>
            <w:shd w:val="clear" w:color="auto" w:fill="auto"/>
            <w:vAlign w:val="center"/>
            <w:hideMark/>
          </w:tcPr>
          <w:p w14:paraId="634BA811" w14:textId="77777777" w:rsidR="00607C6C" w:rsidRPr="00062207" w:rsidRDefault="00607C6C" w:rsidP="00A963D6">
            <w:pPr>
              <w:rPr>
                <w:rFonts w:ascii="Times New Roman" w:eastAsia="Times New Roman" w:hAnsi="Times New Roman" w:cs="Times New Roman"/>
                <w:sz w:val="20"/>
                <w:szCs w:val="22"/>
                <w:lang w:val="es-GT" w:eastAsia="es-GT"/>
              </w:rPr>
            </w:pPr>
            <w:r w:rsidRPr="00062207">
              <w:rPr>
                <w:rFonts w:ascii="Times New Roman" w:eastAsia="Times New Roman" w:hAnsi="Times New Roman" w:cs="Times New Roman"/>
                <w:sz w:val="20"/>
                <w:szCs w:val="22"/>
                <w:lang w:val="es-GT" w:eastAsia="es-GT"/>
              </w:rPr>
              <w:t>Financiamiento Externo</w:t>
            </w:r>
          </w:p>
        </w:tc>
        <w:tc>
          <w:tcPr>
            <w:tcW w:w="1880" w:type="dxa"/>
            <w:tcBorders>
              <w:top w:val="nil"/>
              <w:left w:val="nil"/>
              <w:bottom w:val="nil"/>
              <w:right w:val="single" w:sz="8" w:space="0" w:color="000000"/>
            </w:tcBorders>
            <w:shd w:val="clear" w:color="auto" w:fill="auto"/>
            <w:vAlign w:val="center"/>
            <w:hideMark/>
          </w:tcPr>
          <w:p w14:paraId="687B7AD3" w14:textId="77777777" w:rsidR="00607C6C" w:rsidRPr="00062207" w:rsidRDefault="00607C6C" w:rsidP="00A963D6">
            <w:pPr>
              <w:jc w:val="center"/>
              <w:rPr>
                <w:rFonts w:ascii="Times New Roman" w:eastAsia="Times New Roman" w:hAnsi="Times New Roman" w:cs="Times New Roman"/>
                <w:sz w:val="20"/>
                <w:szCs w:val="22"/>
                <w:lang w:val="es-GT" w:eastAsia="es-GT"/>
              </w:rPr>
            </w:pPr>
            <w:r w:rsidRPr="00062207">
              <w:rPr>
                <w:rFonts w:ascii="Times New Roman" w:eastAsia="Times New Roman" w:hAnsi="Times New Roman" w:cs="Times New Roman"/>
                <w:sz w:val="20"/>
                <w:szCs w:val="22"/>
                <w:lang w:val="es-GT" w:eastAsia="es-GT"/>
              </w:rPr>
              <w:t>-2,294.0</w:t>
            </w:r>
          </w:p>
        </w:tc>
        <w:tc>
          <w:tcPr>
            <w:tcW w:w="1660" w:type="dxa"/>
            <w:tcBorders>
              <w:top w:val="nil"/>
              <w:left w:val="nil"/>
              <w:bottom w:val="nil"/>
              <w:right w:val="single" w:sz="8" w:space="0" w:color="000000"/>
            </w:tcBorders>
            <w:shd w:val="clear" w:color="auto" w:fill="auto"/>
            <w:vAlign w:val="center"/>
            <w:hideMark/>
          </w:tcPr>
          <w:p w14:paraId="6423EB02" w14:textId="77777777" w:rsidR="00607C6C" w:rsidRPr="00062207" w:rsidRDefault="00607C6C" w:rsidP="00A963D6">
            <w:pPr>
              <w:jc w:val="center"/>
              <w:rPr>
                <w:rFonts w:ascii="Times New Roman" w:eastAsia="Times New Roman" w:hAnsi="Times New Roman" w:cs="Times New Roman"/>
                <w:sz w:val="20"/>
                <w:szCs w:val="22"/>
                <w:lang w:val="es-GT" w:eastAsia="es-GT"/>
              </w:rPr>
            </w:pPr>
            <w:r w:rsidRPr="00062207">
              <w:rPr>
                <w:rFonts w:ascii="Times New Roman" w:eastAsia="Times New Roman" w:hAnsi="Times New Roman" w:cs="Times New Roman"/>
                <w:sz w:val="20"/>
                <w:szCs w:val="22"/>
                <w:lang w:val="es-GT" w:eastAsia="es-GT"/>
              </w:rPr>
              <w:t>-0.3</w:t>
            </w:r>
          </w:p>
        </w:tc>
      </w:tr>
      <w:tr w:rsidR="00062207" w:rsidRPr="00062207" w14:paraId="3834610D" w14:textId="77777777" w:rsidTr="00A963D6">
        <w:trPr>
          <w:trHeight w:val="300"/>
          <w:jc w:val="center"/>
        </w:trPr>
        <w:tc>
          <w:tcPr>
            <w:tcW w:w="3680" w:type="dxa"/>
            <w:tcBorders>
              <w:top w:val="nil"/>
              <w:left w:val="single" w:sz="8" w:space="0" w:color="000000"/>
              <w:bottom w:val="nil"/>
              <w:right w:val="single" w:sz="8" w:space="0" w:color="000000"/>
            </w:tcBorders>
            <w:shd w:val="clear" w:color="auto" w:fill="auto"/>
            <w:vAlign w:val="center"/>
            <w:hideMark/>
          </w:tcPr>
          <w:p w14:paraId="5FCF145A" w14:textId="77777777" w:rsidR="00607C6C" w:rsidRPr="00062207" w:rsidRDefault="00607C6C" w:rsidP="00A963D6">
            <w:pPr>
              <w:ind w:firstLineChars="200" w:firstLine="400"/>
              <w:rPr>
                <w:rFonts w:ascii="Times New Roman" w:eastAsia="Times New Roman" w:hAnsi="Times New Roman" w:cs="Times New Roman"/>
                <w:sz w:val="20"/>
                <w:szCs w:val="22"/>
                <w:lang w:val="es-GT" w:eastAsia="es-GT"/>
              </w:rPr>
            </w:pPr>
            <w:r w:rsidRPr="00062207">
              <w:rPr>
                <w:rFonts w:ascii="Times New Roman" w:eastAsia="Times New Roman" w:hAnsi="Times New Roman" w:cs="Times New Roman"/>
                <w:sz w:val="20"/>
                <w:szCs w:val="22"/>
                <w:lang w:val="es-GT" w:eastAsia="es-GT"/>
              </w:rPr>
              <w:t xml:space="preserve">Desembolsos de Préstamos </w:t>
            </w:r>
          </w:p>
        </w:tc>
        <w:tc>
          <w:tcPr>
            <w:tcW w:w="1880" w:type="dxa"/>
            <w:tcBorders>
              <w:top w:val="nil"/>
              <w:left w:val="nil"/>
              <w:bottom w:val="nil"/>
              <w:right w:val="single" w:sz="8" w:space="0" w:color="000000"/>
            </w:tcBorders>
            <w:shd w:val="clear" w:color="auto" w:fill="auto"/>
            <w:vAlign w:val="center"/>
            <w:hideMark/>
          </w:tcPr>
          <w:p w14:paraId="264C9810" w14:textId="77777777" w:rsidR="00607C6C" w:rsidRPr="00062207" w:rsidRDefault="00607C6C" w:rsidP="00A963D6">
            <w:pPr>
              <w:jc w:val="center"/>
              <w:rPr>
                <w:rFonts w:ascii="Times New Roman" w:eastAsia="Times New Roman" w:hAnsi="Times New Roman" w:cs="Times New Roman"/>
                <w:sz w:val="20"/>
                <w:szCs w:val="22"/>
                <w:lang w:val="es-GT" w:eastAsia="es-GT"/>
              </w:rPr>
            </w:pPr>
            <w:r w:rsidRPr="00062207">
              <w:rPr>
                <w:rFonts w:ascii="Times New Roman" w:eastAsia="Times New Roman" w:hAnsi="Times New Roman" w:cs="Times New Roman"/>
                <w:sz w:val="20"/>
                <w:szCs w:val="22"/>
                <w:lang w:val="es-GT" w:eastAsia="es-GT"/>
              </w:rPr>
              <w:t>2,451.5</w:t>
            </w:r>
          </w:p>
        </w:tc>
        <w:tc>
          <w:tcPr>
            <w:tcW w:w="1660" w:type="dxa"/>
            <w:tcBorders>
              <w:top w:val="nil"/>
              <w:left w:val="nil"/>
              <w:bottom w:val="nil"/>
              <w:right w:val="single" w:sz="8" w:space="0" w:color="000000"/>
            </w:tcBorders>
            <w:shd w:val="clear" w:color="auto" w:fill="auto"/>
            <w:vAlign w:val="center"/>
            <w:hideMark/>
          </w:tcPr>
          <w:p w14:paraId="63726FB5" w14:textId="77777777" w:rsidR="00607C6C" w:rsidRPr="00062207" w:rsidRDefault="00607C6C" w:rsidP="00A963D6">
            <w:pPr>
              <w:jc w:val="center"/>
              <w:rPr>
                <w:rFonts w:ascii="Times New Roman" w:eastAsia="Times New Roman" w:hAnsi="Times New Roman" w:cs="Times New Roman"/>
                <w:sz w:val="20"/>
                <w:szCs w:val="22"/>
                <w:lang w:val="es-GT" w:eastAsia="es-GT"/>
              </w:rPr>
            </w:pPr>
            <w:r w:rsidRPr="00062207">
              <w:rPr>
                <w:rFonts w:ascii="Times New Roman" w:eastAsia="Times New Roman" w:hAnsi="Times New Roman" w:cs="Times New Roman"/>
                <w:sz w:val="20"/>
                <w:szCs w:val="22"/>
                <w:lang w:val="es-GT" w:eastAsia="es-GT"/>
              </w:rPr>
              <w:t>0.3</w:t>
            </w:r>
          </w:p>
        </w:tc>
      </w:tr>
      <w:tr w:rsidR="00062207" w:rsidRPr="00062207" w14:paraId="3E5DAA87" w14:textId="77777777" w:rsidTr="00A963D6">
        <w:trPr>
          <w:trHeight w:val="300"/>
          <w:jc w:val="center"/>
        </w:trPr>
        <w:tc>
          <w:tcPr>
            <w:tcW w:w="3680" w:type="dxa"/>
            <w:tcBorders>
              <w:top w:val="nil"/>
              <w:left w:val="single" w:sz="8" w:space="0" w:color="000000"/>
              <w:bottom w:val="nil"/>
              <w:right w:val="single" w:sz="8" w:space="0" w:color="000000"/>
            </w:tcBorders>
            <w:shd w:val="clear" w:color="auto" w:fill="auto"/>
            <w:vAlign w:val="center"/>
            <w:hideMark/>
          </w:tcPr>
          <w:p w14:paraId="4C7BF196" w14:textId="77777777" w:rsidR="00607C6C" w:rsidRPr="00062207" w:rsidRDefault="00607C6C" w:rsidP="00A963D6">
            <w:pPr>
              <w:ind w:firstLineChars="200" w:firstLine="400"/>
              <w:rPr>
                <w:rFonts w:ascii="Times New Roman" w:eastAsia="Times New Roman" w:hAnsi="Times New Roman" w:cs="Times New Roman"/>
                <w:sz w:val="20"/>
                <w:szCs w:val="22"/>
                <w:lang w:val="es-GT" w:eastAsia="es-GT"/>
              </w:rPr>
            </w:pPr>
            <w:r w:rsidRPr="00062207">
              <w:rPr>
                <w:rFonts w:ascii="Times New Roman" w:eastAsia="Times New Roman" w:hAnsi="Times New Roman" w:cs="Times New Roman"/>
                <w:sz w:val="20"/>
                <w:szCs w:val="22"/>
                <w:lang w:val="es-GT" w:eastAsia="es-GT"/>
              </w:rPr>
              <w:t>Amortizaciones de Préstamos</w:t>
            </w:r>
          </w:p>
        </w:tc>
        <w:tc>
          <w:tcPr>
            <w:tcW w:w="1880" w:type="dxa"/>
            <w:tcBorders>
              <w:top w:val="nil"/>
              <w:left w:val="nil"/>
              <w:bottom w:val="nil"/>
              <w:right w:val="single" w:sz="8" w:space="0" w:color="000000"/>
            </w:tcBorders>
            <w:shd w:val="clear" w:color="auto" w:fill="auto"/>
            <w:vAlign w:val="center"/>
            <w:hideMark/>
          </w:tcPr>
          <w:p w14:paraId="49EFD45E" w14:textId="77777777" w:rsidR="00607C6C" w:rsidRPr="00062207" w:rsidRDefault="00607C6C" w:rsidP="00A963D6">
            <w:pPr>
              <w:jc w:val="center"/>
              <w:rPr>
                <w:rFonts w:ascii="Times New Roman" w:eastAsia="Times New Roman" w:hAnsi="Times New Roman" w:cs="Times New Roman"/>
                <w:sz w:val="20"/>
                <w:szCs w:val="22"/>
                <w:lang w:val="es-GT" w:eastAsia="es-GT"/>
              </w:rPr>
            </w:pPr>
            <w:r w:rsidRPr="00062207">
              <w:rPr>
                <w:rFonts w:ascii="Times New Roman" w:eastAsia="Times New Roman" w:hAnsi="Times New Roman" w:cs="Times New Roman"/>
                <w:sz w:val="20"/>
                <w:szCs w:val="22"/>
                <w:lang w:val="es-GT" w:eastAsia="es-GT"/>
              </w:rPr>
              <w:t>4,745.5</w:t>
            </w:r>
          </w:p>
        </w:tc>
        <w:tc>
          <w:tcPr>
            <w:tcW w:w="1660" w:type="dxa"/>
            <w:tcBorders>
              <w:top w:val="nil"/>
              <w:left w:val="nil"/>
              <w:bottom w:val="nil"/>
              <w:right w:val="single" w:sz="8" w:space="0" w:color="000000"/>
            </w:tcBorders>
            <w:shd w:val="clear" w:color="auto" w:fill="auto"/>
            <w:vAlign w:val="center"/>
            <w:hideMark/>
          </w:tcPr>
          <w:p w14:paraId="10B301ED" w14:textId="77777777" w:rsidR="00607C6C" w:rsidRPr="00062207" w:rsidRDefault="00607C6C" w:rsidP="00A963D6">
            <w:pPr>
              <w:jc w:val="center"/>
              <w:rPr>
                <w:rFonts w:ascii="Times New Roman" w:eastAsia="Times New Roman" w:hAnsi="Times New Roman" w:cs="Times New Roman"/>
                <w:sz w:val="20"/>
                <w:szCs w:val="22"/>
                <w:lang w:val="es-GT" w:eastAsia="es-GT"/>
              </w:rPr>
            </w:pPr>
            <w:r w:rsidRPr="00062207">
              <w:rPr>
                <w:rFonts w:ascii="Times New Roman" w:eastAsia="Times New Roman" w:hAnsi="Times New Roman" w:cs="Times New Roman"/>
                <w:sz w:val="20"/>
                <w:szCs w:val="22"/>
                <w:lang w:val="es-GT" w:eastAsia="es-GT"/>
              </w:rPr>
              <w:t>0.7</w:t>
            </w:r>
          </w:p>
        </w:tc>
      </w:tr>
      <w:tr w:rsidR="00062207" w:rsidRPr="00062207" w14:paraId="6B783ED3" w14:textId="77777777" w:rsidTr="00A963D6">
        <w:trPr>
          <w:trHeight w:val="300"/>
          <w:jc w:val="center"/>
        </w:trPr>
        <w:tc>
          <w:tcPr>
            <w:tcW w:w="3680" w:type="dxa"/>
            <w:tcBorders>
              <w:top w:val="nil"/>
              <w:left w:val="single" w:sz="8" w:space="0" w:color="000000"/>
              <w:bottom w:val="nil"/>
              <w:right w:val="single" w:sz="8" w:space="0" w:color="000000"/>
            </w:tcBorders>
            <w:shd w:val="clear" w:color="auto" w:fill="auto"/>
            <w:hideMark/>
          </w:tcPr>
          <w:p w14:paraId="2A63D72F" w14:textId="77777777" w:rsidR="00607C6C" w:rsidRPr="00062207" w:rsidRDefault="00607C6C" w:rsidP="00A963D6">
            <w:pPr>
              <w:rPr>
                <w:rFonts w:ascii="Times New Roman" w:eastAsia="Times New Roman" w:hAnsi="Times New Roman" w:cs="Times New Roman"/>
                <w:sz w:val="20"/>
                <w:szCs w:val="22"/>
                <w:lang w:val="es-GT" w:eastAsia="es-GT"/>
              </w:rPr>
            </w:pPr>
            <w:r w:rsidRPr="00062207">
              <w:rPr>
                <w:rFonts w:ascii="Times New Roman" w:eastAsia="Times New Roman" w:hAnsi="Times New Roman" w:cs="Times New Roman"/>
                <w:sz w:val="20"/>
                <w:szCs w:val="22"/>
                <w:lang w:val="es-GT" w:eastAsia="es-GT"/>
              </w:rPr>
              <w:t>Financiamiento Interno</w:t>
            </w:r>
          </w:p>
        </w:tc>
        <w:tc>
          <w:tcPr>
            <w:tcW w:w="1880" w:type="dxa"/>
            <w:tcBorders>
              <w:top w:val="nil"/>
              <w:left w:val="nil"/>
              <w:bottom w:val="nil"/>
              <w:right w:val="single" w:sz="8" w:space="0" w:color="000000"/>
            </w:tcBorders>
            <w:shd w:val="clear" w:color="auto" w:fill="auto"/>
            <w:vAlign w:val="center"/>
            <w:hideMark/>
          </w:tcPr>
          <w:p w14:paraId="5342ED41" w14:textId="77777777" w:rsidR="00607C6C" w:rsidRPr="00062207" w:rsidRDefault="00607C6C" w:rsidP="00A963D6">
            <w:pPr>
              <w:jc w:val="center"/>
              <w:rPr>
                <w:rFonts w:ascii="Times New Roman" w:eastAsia="Times New Roman" w:hAnsi="Times New Roman" w:cs="Times New Roman"/>
                <w:sz w:val="20"/>
                <w:szCs w:val="22"/>
                <w:lang w:val="es-GT" w:eastAsia="es-GT"/>
              </w:rPr>
            </w:pPr>
            <w:r w:rsidRPr="00062207">
              <w:rPr>
                <w:rFonts w:ascii="Times New Roman" w:eastAsia="Times New Roman" w:hAnsi="Times New Roman" w:cs="Times New Roman"/>
                <w:sz w:val="20"/>
                <w:szCs w:val="22"/>
                <w:lang w:val="es-GT" w:eastAsia="es-GT"/>
              </w:rPr>
              <w:t>22,198.5</w:t>
            </w:r>
          </w:p>
        </w:tc>
        <w:tc>
          <w:tcPr>
            <w:tcW w:w="1660" w:type="dxa"/>
            <w:tcBorders>
              <w:top w:val="nil"/>
              <w:left w:val="nil"/>
              <w:bottom w:val="nil"/>
              <w:right w:val="single" w:sz="8" w:space="0" w:color="000000"/>
            </w:tcBorders>
            <w:shd w:val="clear" w:color="auto" w:fill="auto"/>
            <w:vAlign w:val="center"/>
            <w:hideMark/>
          </w:tcPr>
          <w:p w14:paraId="4994C5E2" w14:textId="77777777" w:rsidR="00607C6C" w:rsidRPr="00062207" w:rsidRDefault="00607C6C" w:rsidP="00A963D6">
            <w:pPr>
              <w:jc w:val="center"/>
              <w:rPr>
                <w:rFonts w:ascii="Times New Roman" w:eastAsia="Times New Roman" w:hAnsi="Times New Roman" w:cs="Times New Roman"/>
                <w:sz w:val="20"/>
                <w:szCs w:val="22"/>
                <w:lang w:val="es-GT" w:eastAsia="es-GT"/>
              </w:rPr>
            </w:pPr>
            <w:r w:rsidRPr="00062207">
              <w:rPr>
                <w:rFonts w:ascii="Times New Roman" w:eastAsia="Times New Roman" w:hAnsi="Times New Roman" w:cs="Times New Roman"/>
                <w:sz w:val="20"/>
                <w:szCs w:val="22"/>
                <w:lang w:val="es-GT" w:eastAsia="es-GT"/>
              </w:rPr>
              <w:t>3.1</w:t>
            </w:r>
          </w:p>
        </w:tc>
      </w:tr>
      <w:tr w:rsidR="00062207" w:rsidRPr="00062207" w14:paraId="60F88979" w14:textId="77777777" w:rsidTr="00A963D6">
        <w:trPr>
          <w:trHeight w:val="300"/>
          <w:jc w:val="center"/>
        </w:trPr>
        <w:tc>
          <w:tcPr>
            <w:tcW w:w="3680" w:type="dxa"/>
            <w:tcBorders>
              <w:top w:val="nil"/>
              <w:left w:val="single" w:sz="8" w:space="0" w:color="000000"/>
              <w:bottom w:val="nil"/>
              <w:right w:val="single" w:sz="8" w:space="0" w:color="000000"/>
            </w:tcBorders>
            <w:shd w:val="clear" w:color="auto" w:fill="auto"/>
            <w:vAlign w:val="center"/>
            <w:hideMark/>
          </w:tcPr>
          <w:p w14:paraId="7F0F08AE" w14:textId="77777777" w:rsidR="00607C6C" w:rsidRPr="00062207" w:rsidRDefault="00607C6C" w:rsidP="00A963D6">
            <w:pPr>
              <w:ind w:firstLineChars="200" w:firstLine="400"/>
              <w:rPr>
                <w:rFonts w:ascii="Times New Roman" w:eastAsia="Times New Roman" w:hAnsi="Times New Roman" w:cs="Times New Roman"/>
                <w:sz w:val="20"/>
                <w:szCs w:val="22"/>
                <w:lang w:val="es-GT" w:eastAsia="es-GT"/>
              </w:rPr>
            </w:pPr>
            <w:r w:rsidRPr="00062207">
              <w:rPr>
                <w:rFonts w:ascii="Times New Roman" w:eastAsia="Times New Roman" w:hAnsi="Times New Roman" w:cs="Times New Roman"/>
                <w:sz w:val="20"/>
                <w:szCs w:val="22"/>
                <w:lang w:val="es-GT" w:eastAsia="es-GT"/>
              </w:rPr>
              <w:t>Negociación Neta  de Bonos</w:t>
            </w:r>
          </w:p>
        </w:tc>
        <w:tc>
          <w:tcPr>
            <w:tcW w:w="1880" w:type="dxa"/>
            <w:tcBorders>
              <w:top w:val="nil"/>
              <w:left w:val="nil"/>
              <w:bottom w:val="nil"/>
              <w:right w:val="single" w:sz="8" w:space="0" w:color="000000"/>
            </w:tcBorders>
            <w:shd w:val="clear" w:color="auto" w:fill="auto"/>
            <w:vAlign w:val="center"/>
            <w:hideMark/>
          </w:tcPr>
          <w:p w14:paraId="7ECCE7EE" w14:textId="77777777" w:rsidR="00607C6C" w:rsidRPr="00062207" w:rsidRDefault="00607C6C" w:rsidP="00A963D6">
            <w:pPr>
              <w:jc w:val="center"/>
              <w:rPr>
                <w:rFonts w:ascii="Times New Roman" w:eastAsia="Times New Roman" w:hAnsi="Times New Roman" w:cs="Times New Roman"/>
                <w:sz w:val="20"/>
                <w:szCs w:val="22"/>
                <w:lang w:val="es-GT" w:eastAsia="es-GT"/>
              </w:rPr>
            </w:pPr>
            <w:r w:rsidRPr="00062207">
              <w:rPr>
                <w:rFonts w:ascii="Times New Roman" w:eastAsia="Times New Roman" w:hAnsi="Times New Roman" w:cs="Times New Roman"/>
                <w:sz w:val="20"/>
                <w:szCs w:val="22"/>
                <w:lang w:val="es-GT" w:eastAsia="es-GT"/>
              </w:rPr>
              <w:t>15,963.1</w:t>
            </w:r>
          </w:p>
        </w:tc>
        <w:tc>
          <w:tcPr>
            <w:tcW w:w="1660" w:type="dxa"/>
            <w:tcBorders>
              <w:top w:val="nil"/>
              <w:left w:val="nil"/>
              <w:bottom w:val="nil"/>
              <w:right w:val="single" w:sz="8" w:space="0" w:color="000000"/>
            </w:tcBorders>
            <w:shd w:val="clear" w:color="auto" w:fill="auto"/>
            <w:vAlign w:val="center"/>
            <w:hideMark/>
          </w:tcPr>
          <w:p w14:paraId="15EA84E2" w14:textId="77777777" w:rsidR="00607C6C" w:rsidRPr="00062207" w:rsidRDefault="00607C6C" w:rsidP="00A963D6">
            <w:pPr>
              <w:jc w:val="center"/>
              <w:rPr>
                <w:rFonts w:ascii="Times New Roman" w:eastAsia="Times New Roman" w:hAnsi="Times New Roman" w:cs="Times New Roman"/>
                <w:sz w:val="20"/>
                <w:szCs w:val="22"/>
                <w:lang w:val="es-GT" w:eastAsia="es-GT"/>
              </w:rPr>
            </w:pPr>
            <w:r w:rsidRPr="00062207">
              <w:rPr>
                <w:rFonts w:ascii="Times New Roman" w:eastAsia="Times New Roman" w:hAnsi="Times New Roman" w:cs="Times New Roman"/>
                <w:sz w:val="20"/>
                <w:szCs w:val="22"/>
                <w:lang w:val="es-GT" w:eastAsia="es-GT"/>
              </w:rPr>
              <w:t>2.2</w:t>
            </w:r>
          </w:p>
        </w:tc>
      </w:tr>
      <w:tr w:rsidR="00062207" w:rsidRPr="00062207" w14:paraId="7E23A7B6" w14:textId="77777777" w:rsidTr="00A963D6">
        <w:trPr>
          <w:trHeight w:val="315"/>
          <w:jc w:val="center"/>
        </w:trPr>
        <w:tc>
          <w:tcPr>
            <w:tcW w:w="3680" w:type="dxa"/>
            <w:tcBorders>
              <w:top w:val="nil"/>
              <w:left w:val="single" w:sz="8" w:space="0" w:color="000000"/>
              <w:bottom w:val="single" w:sz="8" w:space="0" w:color="000000"/>
              <w:right w:val="single" w:sz="8" w:space="0" w:color="000000"/>
            </w:tcBorders>
            <w:shd w:val="clear" w:color="000000" w:fill="ACB9CA"/>
            <w:vAlign w:val="center"/>
            <w:hideMark/>
          </w:tcPr>
          <w:p w14:paraId="39BEC9B7" w14:textId="77777777" w:rsidR="00607C6C" w:rsidRPr="00062207" w:rsidRDefault="00607C6C" w:rsidP="00A963D6">
            <w:pPr>
              <w:rPr>
                <w:rFonts w:ascii="Times New Roman" w:eastAsia="Times New Roman" w:hAnsi="Times New Roman" w:cs="Times New Roman"/>
                <w:b/>
                <w:bCs/>
                <w:sz w:val="20"/>
                <w:szCs w:val="22"/>
                <w:lang w:val="es-GT" w:eastAsia="es-GT"/>
              </w:rPr>
            </w:pPr>
            <w:r w:rsidRPr="00062207">
              <w:rPr>
                <w:rFonts w:ascii="Times New Roman" w:eastAsia="Times New Roman" w:hAnsi="Times New Roman" w:cs="Times New Roman"/>
                <w:b/>
                <w:bCs/>
                <w:sz w:val="20"/>
                <w:szCs w:val="22"/>
                <w:lang w:val="es-GT" w:eastAsia="es-GT"/>
              </w:rPr>
              <w:t>Variación de Caja</w:t>
            </w:r>
          </w:p>
        </w:tc>
        <w:tc>
          <w:tcPr>
            <w:tcW w:w="1880" w:type="dxa"/>
            <w:tcBorders>
              <w:top w:val="nil"/>
              <w:left w:val="nil"/>
              <w:bottom w:val="single" w:sz="8" w:space="0" w:color="000000"/>
              <w:right w:val="single" w:sz="8" w:space="0" w:color="000000"/>
            </w:tcBorders>
            <w:shd w:val="clear" w:color="000000" w:fill="ACB9CA"/>
            <w:vAlign w:val="center"/>
            <w:hideMark/>
          </w:tcPr>
          <w:p w14:paraId="674D3464" w14:textId="77777777" w:rsidR="00607C6C" w:rsidRPr="00062207" w:rsidRDefault="00607C6C" w:rsidP="00A963D6">
            <w:pPr>
              <w:jc w:val="center"/>
              <w:rPr>
                <w:rFonts w:ascii="Times New Roman" w:eastAsia="Times New Roman" w:hAnsi="Times New Roman" w:cs="Times New Roman"/>
                <w:b/>
                <w:bCs/>
                <w:sz w:val="20"/>
                <w:szCs w:val="22"/>
                <w:lang w:val="es-GT" w:eastAsia="es-GT"/>
              </w:rPr>
            </w:pPr>
            <w:r w:rsidRPr="00062207">
              <w:rPr>
                <w:rFonts w:ascii="Times New Roman" w:eastAsia="Times New Roman" w:hAnsi="Times New Roman" w:cs="Times New Roman"/>
                <w:b/>
                <w:bCs/>
                <w:sz w:val="20"/>
                <w:szCs w:val="22"/>
                <w:lang w:val="es-GT" w:eastAsia="es-GT"/>
              </w:rPr>
              <w:t>6,235.3</w:t>
            </w:r>
          </w:p>
        </w:tc>
        <w:tc>
          <w:tcPr>
            <w:tcW w:w="1660" w:type="dxa"/>
            <w:tcBorders>
              <w:top w:val="nil"/>
              <w:left w:val="nil"/>
              <w:bottom w:val="single" w:sz="8" w:space="0" w:color="000000"/>
              <w:right w:val="single" w:sz="8" w:space="0" w:color="000000"/>
            </w:tcBorders>
            <w:shd w:val="clear" w:color="000000" w:fill="ACB9CA"/>
            <w:vAlign w:val="center"/>
            <w:hideMark/>
          </w:tcPr>
          <w:p w14:paraId="17DFC20A" w14:textId="77777777" w:rsidR="00607C6C" w:rsidRPr="00062207" w:rsidRDefault="00607C6C" w:rsidP="00A963D6">
            <w:pPr>
              <w:jc w:val="center"/>
              <w:rPr>
                <w:rFonts w:ascii="Times New Roman" w:eastAsia="Times New Roman" w:hAnsi="Times New Roman" w:cs="Times New Roman"/>
                <w:b/>
                <w:bCs/>
                <w:sz w:val="20"/>
                <w:szCs w:val="22"/>
                <w:lang w:val="es-GT" w:eastAsia="es-GT"/>
              </w:rPr>
            </w:pPr>
            <w:r w:rsidRPr="00062207">
              <w:rPr>
                <w:rFonts w:ascii="Times New Roman" w:eastAsia="Times New Roman" w:hAnsi="Times New Roman" w:cs="Times New Roman"/>
                <w:b/>
                <w:bCs/>
                <w:sz w:val="20"/>
                <w:szCs w:val="22"/>
                <w:lang w:val="es-GT" w:eastAsia="es-GT"/>
              </w:rPr>
              <w:t>0.9</w:t>
            </w:r>
          </w:p>
        </w:tc>
      </w:tr>
    </w:tbl>
    <w:p w14:paraId="38E5E628" w14:textId="77777777" w:rsidR="00607C6C" w:rsidRPr="00062207" w:rsidRDefault="00607C6C" w:rsidP="00607C6C">
      <w:pPr>
        <w:jc w:val="center"/>
        <w:rPr>
          <w:rFonts w:ascii="Times New Roman" w:hAnsi="Times New Roman" w:cs="Times New Roman"/>
          <w:sz w:val="16"/>
          <w:szCs w:val="18"/>
        </w:rPr>
      </w:pPr>
    </w:p>
    <w:p w14:paraId="66BB5BE1" w14:textId="77777777" w:rsidR="00607C6C" w:rsidRPr="00062207" w:rsidRDefault="00607C6C" w:rsidP="00607C6C">
      <w:pPr>
        <w:ind w:left="708" w:firstLine="708"/>
        <w:rPr>
          <w:rFonts w:ascii="Times New Roman" w:hAnsi="Times New Roman" w:cs="Times New Roman"/>
          <w:szCs w:val="22"/>
        </w:rPr>
      </w:pPr>
      <w:r w:rsidRPr="00062207">
        <w:rPr>
          <w:rFonts w:ascii="Times New Roman" w:hAnsi="Times New Roman" w:cs="Times New Roman"/>
          <w:sz w:val="18"/>
          <w:szCs w:val="18"/>
        </w:rPr>
        <w:t xml:space="preserve">Fuente: </w:t>
      </w:r>
      <w:r w:rsidRPr="00062207">
        <w:rPr>
          <w:rFonts w:ascii="Times New Roman" w:hAnsi="Times New Roman" w:cs="Times New Roman"/>
          <w:sz w:val="18"/>
          <w:szCs w:val="18"/>
          <w:lang w:val="es-GT"/>
        </w:rPr>
        <w:t>Dirección de Análisis y Política Fiscal</w:t>
      </w:r>
    </w:p>
    <w:p w14:paraId="3CC0AE4A" w14:textId="77777777" w:rsidR="00607C6C" w:rsidRPr="00062207" w:rsidRDefault="00607C6C" w:rsidP="00607C6C">
      <w:pPr>
        <w:jc w:val="center"/>
        <w:rPr>
          <w:rFonts w:ascii="Times New Roman" w:hAnsi="Times New Roman" w:cs="Times New Roman"/>
          <w:sz w:val="22"/>
          <w:szCs w:val="22"/>
        </w:rPr>
      </w:pPr>
    </w:p>
    <w:p w14:paraId="46EB27C5" w14:textId="77777777" w:rsidR="00607C6C" w:rsidRPr="00062207" w:rsidRDefault="00607C6C" w:rsidP="00607C6C">
      <w:pPr>
        <w:jc w:val="both"/>
        <w:rPr>
          <w:rFonts w:ascii="Times New Roman" w:hAnsi="Times New Roman" w:cs="Times New Roman"/>
          <w:sz w:val="22"/>
          <w:szCs w:val="22"/>
        </w:rPr>
      </w:pPr>
      <w:r w:rsidRPr="00062207">
        <w:rPr>
          <w:rFonts w:ascii="Times New Roman" w:hAnsi="Times New Roman" w:cs="Times New Roman"/>
          <w:sz w:val="22"/>
          <w:szCs w:val="22"/>
          <w:lang w:val="es-GT"/>
        </w:rPr>
        <w:lastRenderedPageBreak/>
        <w:t xml:space="preserve">Derivado de los ingresos y gastos que se esperan para 2022, el déficit fiscal podría ubicarse en torno al 2.8% del PIB. </w:t>
      </w:r>
      <w:r w:rsidRPr="00062207">
        <w:rPr>
          <w:rFonts w:ascii="Times New Roman" w:hAnsi="Times New Roman" w:cs="Times New Roman"/>
          <w:sz w:val="22"/>
          <w:szCs w:val="22"/>
        </w:rPr>
        <w:t>Asimismo, el comportamiento que registre la economía en 2022 será determinante en el nivel de recaudación tributaria, de acuerdo al Banco de Guatemala la economía crecería entre 3.5% - 5.5%, de esa cuenta, es posible que la carga tributaria se ubique en 10.6%.</w:t>
      </w:r>
    </w:p>
    <w:p w14:paraId="46619711" w14:textId="77777777" w:rsidR="00607C6C" w:rsidRPr="00062207" w:rsidRDefault="00607C6C" w:rsidP="00607C6C">
      <w:pPr>
        <w:jc w:val="both"/>
        <w:rPr>
          <w:rFonts w:ascii="Times New Roman" w:hAnsi="Times New Roman" w:cs="Times New Roman"/>
          <w:sz w:val="22"/>
          <w:szCs w:val="22"/>
        </w:rPr>
      </w:pPr>
    </w:p>
    <w:p w14:paraId="28ED5399" w14:textId="77777777" w:rsidR="00607C6C" w:rsidRPr="00062207" w:rsidRDefault="00607C6C" w:rsidP="00607C6C">
      <w:pPr>
        <w:pStyle w:val="Sinespaciado"/>
        <w:jc w:val="both"/>
        <w:rPr>
          <w:rFonts w:ascii="Times New Roman" w:hAnsi="Times New Roman" w:cs="Times New Roman"/>
        </w:rPr>
      </w:pPr>
      <w:r w:rsidRPr="00062207">
        <w:rPr>
          <w:rFonts w:ascii="Times New Roman" w:hAnsi="Times New Roman" w:cs="Times New Roman"/>
        </w:rPr>
        <w:t xml:space="preserve">El gasto público podría ubicarse en torno al 14.1% del PIB y las fuentes de endeudamiento con las que se cuenta para su financiamiento son la emisión de Bonos del Tesoro autorizada por el Congreso por Q15,963.1 millones y se prevé que podrían recibirse desembolsos de préstamos externos por Q2,451.5 millones. Resaltando para este año en particular un fuerte uso de recursos de caja por el equivalente a Q6,235.3 millones, que se generaron del aumento de depósitos del gobierno en 2021. </w:t>
      </w:r>
    </w:p>
    <w:p w14:paraId="33ACE80E" w14:textId="77777777" w:rsidR="00607C6C" w:rsidRPr="00062207" w:rsidRDefault="00607C6C" w:rsidP="00607C6C">
      <w:pPr>
        <w:jc w:val="both"/>
        <w:rPr>
          <w:rFonts w:ascii="Times New Roman" w:hAnsi="Times New Roman" w:cs="Times New Roman"/>
          <w:sz w:val="22"/>
          <w:lang w:val="es-GT"/>
        </w:rPr>
      </w:pPr>
    </w:p>
    <w:p w14:paraId="72DC5D7F" w14:textId="5A87E2F9" w:rsidR="00283EA8" w:rsidRPr="00062207" w:rsidRDefault="00607C6C" w:rsidP="00283EA8">
      <w:pPr>
        <w:jc w:val="both"/>
        <w:rPr>
          <w:rFonts w:ascii="Times New Roman" w:hAnsi="Times New Roman" w:cs="Times New Roman"/>
          <w:sz w:val="22"/>
        </w:rPr>
      </w:pPr>
      <w:r w:rsidRPr="00062207">
        <w:rPr>
          <w:rFonts w:ascii="Times New Roman" w:hAnsi="Times New Roman" w:cs="Times New Roman"/>
          <w:sz w:val="22"/>
          <w:lang w:val="es-GT"/>
        </w:rPr>
        <w:t xml:space="preserve">Por último, la deuda pública respecto al PIB se ubicaría en 30.5%, disminuyendo en 0.3% respecto al 2021, esto debido a que el saldo de la deuda crece a un ritmo menor de lo que está creciendo el PIB nominal que es la base del indicador y por ello al final del período este indicador disminuye.  </w:t>
      </w:r>
    </w:p>
    <w:p w14:paraId="0AFBD5EA" w14:textId="77777777" w:rsidR="00283EA8" w:rsidRPr="00062207" w:rsidRDefault="00283EA8" w:rsidP="00283EA8">
      <w:pPr>
        <w:pStyle w:val="Ttulo2"/>
        <w:spacing w:before="0"/>
        <w:jc w:val="both"/>
        <w:rPr>
          <w:rFonts w:ascii="Times New Roman" w:hAnsi="Times New Roman" w:cs="Times New Roman"/>
          <w:color w:val="auto"/>
          <w:sz w:val="24"/>
        </w:rPr>
      </w:pPr>
    </w:p>
    <w:p w14:paraId="2FAE526B" w14:textId="77777777" w:rsidR="00283EA8" w:rsidRPr="00062207" w:rsidRDefault="00283EA8" w:rsidP="00EE52DF">
      <w:pPr>
        <w:jc w:val="both"/>
        <w:rPr>
          <w:rFonts w:ascii="Times New Roman" w:hAnsi="Times New Roman" w:cs="Times New Roman"/>
          <w:sz w:val="22"/>
          <w:lang w:val="es-GT"/>
        </w:rPr>
      </w:pPr>
    </w:p>
    <w:p w14:paraId="5110B82D" w14:textId="77777777" w:rsidR="00795D62" w:rsidRPr="00062207" w:rsidRDefault="00795D62" w:rsidP="00EE52DF">
      <w:pPr>
        <w:jc w:val="both"/>
        <w:rPr>
          <w:rFonts w:ascii="Times New Roman" w:hAnsi="Times New Roman" w:cs="Times New Roman"/>
          <w:sz w:val="22"/>
          <w:lang w:val="es-GT"/>
        </w:rPr>
      </w:pPr>
    </w:p>
    <w:p w14:paraId="2055EC21" w14:textId="77777777" w:rsidR="00795D62" w:rsidRPr="00062207" w:rsidRDefault="00795D62" w:rsidP="00EE52DF">
      <w:pPr>
        <w:jc w:val="both"/>
        <w:rPr>
          <w:rFonts w:ascii="Times New Roman" w:hAnsi="Times New Roman" w:cs="Times New Roman"/>
          <w:sz w:val="22"/>
          <w:lang w:val="es-GT"/>
        </w:rPr>
      </w:pPr>
    </w:p>
    <w:p w14:paraId="76CBD77C" w14:textId="77777777" w:rsidR="00795D62" w:rsidRPr="00062207" w:rsidRDefault="00795D62" w:rsidP="00EE52DF">
      <w:pPr>
        <w:jc w:val="both"/>
        <w:rPr>
          <w:rFonts w:ascii="Times New Roman" w:hAnsi="Times New Roman" w:cs="Times New Roman"/>
          <w:sz w:val="22"/>
          <w:lang w:val="es-GT"/>
        </w:rPr>
      </w:pPr>
    </w:p>
    <w:p w14:paraId="50972E77" w14:textId="77777777" w:rsidR="00795D62" w:rsidRPr="00062207" w:rsidRDefault="00795D62" w:rsidP="00EE52DF">
      <w:pPr>
        <w:jc w:val="both"/>
        <w:rPr>
          <w:rFonts w:ascii="Times New Roman" w:hAnsi="Times New Roman" w:cs="Times New Roman"/>
          <w:sz w:val="22"/>
          <w:lang w:val="es-GT"/>
        </w:rPr>
      </w:pPr>
    </w:p>
    <w:p w14:paraId="38DB1515" w14:textId="77777777" w:rsidR="00795D62" w:rsidRPr="00062207" w:rsidRDefault="00795D62" w:rsidP="00EE52DF">
      <w:pPr>
        <w:jc w:val="both"/>
        <w:rPr>
          <w:rFonts w:ascii="Times New Roman" w:hAnsi="Times New Roman" w:cs="Times New Roman"/>
          <w:sz w:val="22"/>
          <w:lang w:val="es-GT"/>
        </w:rPr>
      </w:pPr>
    </w:p>
    <w:p w14:paraId="4FEAC051" w14:textId="77777777" w:rsidR="00A5679C" w:rsidRPr="00062207" w:rsidRDefault="00A5679C" w:rsidP="00EE52DF">
      <w:pPr>
        <w:jc w:val="both"/>
        <w:rPr>
          <w:rFonts w:ascii="Times New Roman" w:hAnsi="Times New Roman" w:cs="Times New Roman"/>
          <w:sz w:val="22"/>
          <w:lang w:val="es-GT"/>
        </w:rPr>
      </w:pPr>
    </w:p>
    <w:p w14:paraId="76D5565D" w14:textId="77777777" w:rsidR="00A5679C" w:rsidRPr="00062207" w:rsidRDefault="00A5679C" w:rsidP="00EE52DF">
      <w:pPr>
        <w:jc w:val="both"/>
        <w:rPr>
          <w:rFonts w:ascii="Times New Roman" w:hAnsi="Times New Roman" w:cs="Times New Roman"/>
          <w:sz w:val="22"/>
          <w:lang w:val="es-GT"/>
        </w:rPr>
      </w:pPr>
    </w:p>
    <w:p w14:paraId="6C264CA3" w14:textId="77777777" w:rsidR="00A5679C" w:rsidRPr="00062207" w:rsidRDefault="00A5679C" w:rsidP="00EE52DF">
      <w:pPr>
        <w:jc w:val="both"/>
        <w:rPr>
          <w:rFonts w:ascii="Times New Roman" w:hAnsi="Times New Roman" w:cs="Times New Roman"/>
          <w:sz w:val="22"/>
          <w:lang w:val="es-GT"/>
        </w:rPr>
      </w:pPr>
    </w:p>
    <w:p w14:paraId="67427FF2" w14:textId="77777777" w:rsidR="00A5679C" w:rsidRPr="00062207" w:rsidRDefault="00A5679C" w:rsidP="00EE52DF">
      <w:pPr>
        <w:jc w:val="both"/>
        <w:rPr>
          <w:rFonts w:ascii="Times New Roman" w:hAnsi="Times New Roman" w:cs="Times New Roman"/>
          <w:sz w:val="22"/>
          <w:lang w:val="es-GT"/>
        </w:rPr>
      </w:pPr>
    </w:p>
    <w:p w14:paraId="382D19E4" w14:textId="77777777" w:rsidR="00A5679C" w:rsidRPr="00062207" w:rsidRDefault="00A5679C" w:rsidP="00EE52DF">
      <w:pPr>
        <w:jc w:val="both"/>
        <w:rPr>
          <w:rFonts w:ascii="Times New Roman" w:hAnsi="Times New Roman" w:cs="Times New Roman"/>
          <w:sz w:val="22"/>
          <w:lang w:val="es-GT"/>
        </w:rPr>
      </w:pPr>
    </w:p>
    <w:p w14:paraId="015AA1B2" w14:textId="77777777" w:rsidR="00A5679C" w:rsidRPr="00062207" w:rsidRDefault="00A5679C" w:rsidP="00EE52DF">
      <w:pPr>
        <w:jc w:val="both"/>
        <w:rPr>
          <w:rFonts w:ascii="Times New Roman" w:hAnsi="Times New Roman" w:cs="Times New Roman"/>
          <w:sz w:val="22"/>
          <w:lang w:val="es-GT"/>
        </w:rPr>
      </w:pPr>
    </w:p>
    <w:p w14:paraId="6A8E29C3" w14:textId="77777777" w:rsidR="00A5679C" w:rsidRPr="00062207" w:rsidRDefault="00A5679C" w:rsidP="00EE52DF">
      <w:pPr>
        <w:jc w:val="both"/>
        <w:rPr>
          <w:rFonts w:ascii="Times New Roman" w:hAnsi="Times New Roman" w:cs="Times New Roman"/>
          <w:sz w:val="22"/>
          <w:lang w:val="es-GT"/>
        </w:rPr>
      </w:pPr>
    </w:p>
    <w:p w14:paraId="72E52BF5" w14:textId="77777777" w:rsidR="00A5679C" w:rsidRPr="00062207" w:rsidRDefault="00A5679C" w:rsidP="00EE52DF">
      <w:pPr>
        <w:jc w:val="both"/>
        <w:rPr>
          <w:rFonts w:ascii="Times New Roman" w:hAnsi="Times New Roman" w:cs="Times New Roman"/>
          <w:sz w:val="22"/>
          <w:lang w:val="es-GT"/>
        </w:rPr>
      </w:pPr>
    </w:p>
    <w:p w14:paraId="56DF9950" w14:textId="77777777" w:rsidR="00A5679C" w:rsidRPr="00062207" w:rsidRDefault="00A5679C" w:rsidP="00EE52DF">
      <w:pPr>
        <w:jc w:val="both"/>
        <w:rPr>
          <w:rFonts w:ascii="Times New Roman" w:hAnsi="Times New Roman" w:cs="Times New Roman"/>
          <w:sz w:val="22"/>
          <w:lang w:val="es-GT"/>
        </w:rPr>
      </w:pPr>
    </w:p>
    <w:p w14:paraId="1596D669" w14:textId="77777777" w:rsidR="00A5679C" w:rsidRPr="00062207" w:rsidRDefault="00A5679C" w:rsidP="00EE52DF">
      <w:pPr>
        <w:jc w:val="both"/>
        <w:rPr>
          <w:rFonts w:ascii="Times New Roman" w:hAnsi="Times New Roman" w:cs="Times New Roman"/>
          <w:sz w:val="22"/>
          <w:lang w:val="es-GT"/>
        </w:rPr>
      </w:pPr>
    </w:p>
    <w:p w14:paraId="25CC6508" w14:textId="77777777" w:rsidR="00A5679C" w:rsidRPr="00062207" w:rsidRDefault="00A5679C" w:rsidP="00EE52DF">
      <w:pPr>
        <w:jc w:val="both"/>
        <w:rPr>
          <w:rFonts w:ascii="Times New Roman" w:hAnsi="Times New Roman" w:cs="Times New Roman"/>
          <w:sz w:val="22"/>
          <w:lang w:val="es-GT"/>
        </w:rPr>
      </w:pPr>
    </w:p>
    <w:p w14:paraId="71075D5D" w14:textId="77777777" w:rsidR="00A5679C" w:rsidRPr="00062207" w:rsidRDefault="00A5679C" w:rsidP="00EE52DF">
      <w:pPr>
        <w:jc w:val="both"/>
        <w:rPr>
          <w:rFonts w:ascii="Times New Roman" w:hAnsi="Times New Roman" w:cs="Times New Roman"/>
          <w:sz w:val="22"/>
          <w:lang w:val="es-GT"/>
        </w:rPr>
      </w:pPr>
    </w:p>
    <w:p w14:paraId="00F5A0FB" w14:textId="77777777" w:rsidR="00A5679C" w:rsidRPr="00062207" w:rsidRDefault="00A5679C" w:rsidP="00EE52DF">
      <w:pPr>
        <w:jc w:val="both"/>
        <w:rPr>
          <w:rFonts w:ascii="Times New Roman" w:hAnsi="Times New Roman" w:cs="Times New Roman"/>
          <w:sz w:val="22"/>
          <w:lang w:val="es-GT"/>
        </w:rPr>
      </w:pPr>
    </w:p>
    <w:p w14:paraId="6A84895F" w14:textId="77777777" w:rsidR="00A5679C" w:rsidRPr="00062207" w:rsidRDefault="00A5679C" w:rsidP="00EE52DF">
      <w:pPr>
        <w:jc w:val="both"/>
        <w:rPr>
          <w:rFonts w:ascii="Times New Roman" w:hAnsi="Times New Roman" w:cs="Times New Roman"/>
          <w:sz w:val="22"/>
          <w:lang w:val="es-GT"/>
        </w:rPr>
      </w:pPr>
    </w:p>
    <w:p w14:paraId="2C4A1348" w14:textId="77777777" w:rsidR="00A5679C" w:rsidRPr="00062207" w:rsidRDefault="00A5679C" w:rsidP="00EE52DF">
      <w:pPr>
        <w:jc w:val="both"/>
        <w:rPr>
          <w:rFonts w:ascii="Times New Roman" w:hAnsi="Times New Roman" w:cs="Times New Roman"/>
          <w:sz w:val="22"/>
          <w:lang w:val="es-GT"/>
        </w:rPr>
      </w:pPr>
    </w:p>
    <w:p w14:paraId="15EC442D" w14:textId="77777777" w:rsidR="00A5679C" w:rsidRPr="00062207" w:rsidRDefault="00A5679C" w:rsidP="00EE52DF">
      <w:pPr>
        <w:jc w:val="both"/>
        <w:rPr>
          <w:rFonts w:ascii="Times New Roman" w:hAnsi="Times New Roman" w:cs="Times New Roman"/>
          <w:sz w:val="22"/>
          <w:lang w:val="es-GT"/>
        </w:rPr>
      </w:pPr>
    </w:p>
    <w:p w14:paraId="376F8207" w14:textId="1D4D001B" w:rsidR="00A5679C" w:rsidRPr="00062207" w:rsidRDefault="00A5679C" w:rsidP="00EE52DF">
      <w:pPr>
        <w:jc w:val="both"/>
        <w:rPr>
          <w:rFonts w:ascii="Times New Roman" w:hAnsi="Times New Roman" w:cs="Times New Roman"/>
          <w:sz w:val="22"/>
          <w:lang w:val="es-GT"/>
        </w:rPr>
      </w:pPr>
    </w:p>
    <w:p w14:paraId="2E09DD68" w14:textId="0FF391B6" w:rsidR="00502DF2" w:rsidRPr="00062207" w:rsidRDefault="00502DF2" w:rsidP="00EE52DF">
      <w:pPr>
        <w:jc w:val="both"/>
        <w:rPr>
          <w:rFonts w:ascii="Times New Roman" w:hAnsi="Times New Roman" w:cs="Times New Roman"/>
          <w:sz w:val="22"/>
          <w:lang w:val="es-GT"/>
        </w:rPr>
      </w:pPr>
    </w:p>
    <w:p w14:paraId="0E29BC07" w14:textId="59A1D3D8" w:rsidR="00502DF2" w:rsidRPr="00062207" w:rsidRDefault="00502DF2" w:rsidP="00EE52DF">
      <w:pPr>
        <w:jc w:val="both"/>
        <w:rPr>
          <w:rFonts w:ascii="Times New Roman" w:hAnsi="Times New Roman" w:cs="Times New Roman"/>
          <w:sz w:val="22"/>
          <w:lang w:val="es-GT"/>
        </w:rPr>
      </w:pPr>
    </w:p>
    <w:p w14:paraId="3048F26A" w14:textId="78438940" w:rsidR="00502DF2" w:rsidRPr="00062207" w:rsidRDefault="00502DF2" w:rsidP="00EE52DF">
      <w:pPr>
        <w:jc w:val="both"/>
        <w:rPr>
          <w:rFonts w:ascii="Times New Roman" w:hAnsi="Times New Roman" w:cs="Times New Roman"/>
          <w:sz w:val="22"/>
          <w:lang w:val="es-GT"/>
        </w:rPr>
      </w:pPr>
    </w:p>
    <w:p w14:paraId="51F55F86" w14:textId="035E55CA" w:rsidR="00502DF2" w:rsidRPr="00062207" w:rsidRDefault="00502DF2" w:rsidP="00EE52DF">
      <w:pPr>
        <w:jc w:val="both"/>
        <w:rPr>
          <w:rFonts w:ascii="Times New Roman" w:hAnsi="Times New Roman" w:cs="Times New Roman"/>
          <w:sz w:val="22"/>
          <w:lang w:val="es-GT"/>
        </w:rPr>
      </w:pPr>
    </w:p>
    <w:p w14:paraId="550DE09A" w14:textId="58CFF5C7" w:rsidR="00502DF2" w:rsidRPr="00062207" w:rsidRDefault="00502DF2" w:rsidP="00EE52DF">
      <w:pPr>
        <w:jc w:val="both"/>
        <w:rPr>
          <w:rFonts w:ascii="Times New Roman" w:hAnsi="Times New Roman" w:cs="Times New Roman"/>
          <w:sz w:val="22"/>
          <w:lang w:val="es-GT"/>
        </w:rPr>
      </w:pPr>
    </w:p>
    <w:p w14:paraId="3D14B4DA" w14:textId="44FE0526" w:rsidR="00502DF2" w:rsidRPr="00062207" w:rsidRDefault="00502DF2" w:rsidP="00EE52DF">
      <w:pPr>
        <w:jc w:val="both"/>
        <w:rPr>
          <w:rFonts w:ascii="Times New Roman" w:hAnsi="Times New Roman" w:cs="Times New Roman"/>
          <w:sz w:val="22"/>
          <w:lang w:val="es-GT"/>
        </w:rPr>
      </w:pPr>
    </w:p>
    <w:p w14:paraId="60184CFB" w14:textId="493E97F6" w:rsidR="00502DF2" w:rsidRPr="00062207" w:rsidRDefault="00502DF2" w:rsidP="00EE52DF">
      <w:pPr>
        <w:jc w:val="both"/>
        <w:rPr>
          <w:rFonts w:ascii="Times New Roman" w:hAnsi="Times New Roman" w:cs="Times New Roman"/>
          <w:sz w:val="22"/>
          <w:lang w:val="es-GT"/>
        </w:rPr>
      </w:pPr>
    </w:p>
    <w:p w14:paraId="015887CC" w14:textId="119456CC" w:rsidR="00502DF2" w:rsidRPr="00062207" w:rsidRDefault="00502DF2" w:rsidP="00EE52DF">
      <w:pPr>
        <w:jc w:val="both"/>
        <w:rPr>
          <w:rFonts w:ascii="Times New Roman" w:hAnsi="Times New Roman" w:cs="Times New Roman"/>
          <w:sz w:val="22"/>
          <w:lang w:val="es-GT"/>
        </w:rPr>
      </w:pPr>
    </w:p>
    <w:p w14:paraId="02D2938D" w14:textId="4A58CE7E" w:rsidR="00502DF2" w:rsidRPr="00062207" w:rsidRDefault="00502DF2" w:rsidP="00EE52DF">
      <w:pPr>
        <w:jc w:val="both"/>
        <w:rPr>
          <w:rFonts w:ascii="Times New Roman" w:hAnsi="Times New Roman" w:cs="Times New Roman"/>
          <w:sz w:val="22"/>
          <w:lang w:val="es-GT"/>
        </w:rPr>
      </w:pPr>
    </w:p>
    <w:p w14:paraId="4BF68BC5" w14:textId="3E8C1E15" w:rsidR="00502DF2" w:rsidRPr="00062207" w:rsidRDefault="00502DF2" w:rsidP="00EE52DF">
      <w:pPr>
        <w:jc w:val="both"/>
        <w:rPr>
          <w:rFonts w:ascii="Times New Roman" w:hAnsi="Times New Roman" w:cs="Times New Roman"/>
          <w:sz w:val="22"/>
          <w:lang w:val="es-GT"/>
        </w:rPr>
      </w:pPr>
    </w:p>
    <w:p w14:paraId="206AD835" w14:textId="3F4A4430" w:rsidR="00502DF2" w:rsidRPr="00062207" w:rsidRDefault="00502DF2" w:rsidP="00EE52DF">
      <w:pPr>
        <w:jc w:val="both"/>
        <w:rPr>
          <w:rFonts w:ascii="Times New Roman" w:hAnsi="Times New Roman" w:cs="Times New Roman"/>
          <w:sz w:val="22"/>
          <w:lang w:val="es-GT"/>
        </w:rPr>
      </w:pPr>
    </w:p>
    <w:p w14:paraId="0BD04C34" w14:textId="2A27385D" w:rsidR="001B0A72" w:rsidRPr="00062207" w:rsidRDefault="001B0A72" w:rsidP="00640FCE">
      <w:pPr>
        <w:rPr>
          <w:rFonts w:ascii="Times New Roman" w:hAnsi="Times New Roman" w:cs="Times New Roman"/>
          <w:b/>
          <w:bCs/>
          <w:noProof/>
          <w:lang w:eastAsia="es-GT"/>
        </w:rPr>
      </w:pPr>
    </w:p>
    <w:p w14:paraId="420775DE" w14:textId="4D0A0A03" w:rsidR="001B0A72" w:rsidRPr="00062207" w:rsidRDefault="004751C3" w:rsidP="0074529E">
      <w:pPr>
        <w:pStyle w:val="Prrafodelista"/>
        <w:numPr>
          <w:ilvl w:val="0"/>
          <w:numId w:val="10"/>
        </w:numPr>
        <w:tabs>
          <w:tab w:val="left" w:pos="426"/>
        </w:tabs>
        <w:ind w:left="284" w:hanging="284"/>
        <w:jc w:val="both"/>
        <w:outlineLvl w:val="0"/>
        <w:rPr>
          <w:rFonts w:ascii="Times New Roman" w:eastAsiaTheme="majorEastAsia" w:hAnsi="Times New Roman" w:cs="Times New Roman"/>
          <w:b/>
          <w:bCs/>
          <w:sz w:val="24"/>
          <w:szCs w:val="26"/>
        </w:rPr>
      </w:pPr>
      <w:bookmarkStart w:id="247" w:name="_Toc94259654"/>
      <w:r w:rsidRPr="00062207">
        <w:rPr>
          <w:rFonts w:ascii="Times New Roman" w:eastAsiaTheme="majorEastAsia" w:hAnsi="Times New Roman" w:cs="Times New Roman"/>
          <w:b/>
          <w:bCs/>
          <w:sz w:val="24"/>
          <w:szCs w:val="26"/>
        </w:rPr>
        <w:lastRenderedPageBreak/>
        <w:t>Apéndice c</w:t>
      </w:r>
      <w:r w:rsidR="005F4645" w:rsidRPr="00062207">
        <w:rPr>
          <w:rFonts w:ascii="Times New Roman" w:eastAsiaTheme="majorEastAsia" w:hAnsi="Times New Roman" w:cs="Times New Roman"/>
          <w:b/>
          <w:bCs/>
          <w:sz w:val="24"/>
          <w:szCs w:val="26"/>
        </w:rPr>
        <w:t xml:space="preserve">ontexto </w:t>
      </w:r>
      <w:r w:rsidR="0074529E" w:rsidRPr="00062207">
        <w:rPr>
          <w:rFonts w:ascii="Times New Roman" w:eastAsiaTheme="majorEastAsia" w:hAnsi="Times New Roman" w:cs="Times New Roman"/>
          <w:b/>
          <w:bCs/>
          <w:sz w:val="24"/>
          <w:szCs w:val="26"/>
        </w:rPr>
        <w:t>macroeconómico</w:t>
      </w:r>
      <w:r w:rsidR="005F4645" w:rsidRPr="00062207">
        <w:rPr>
          <w:rFonts w:ascii="Times New Roman" w:eastAsiaTheme="majorEastAsia" w:hAnsi="Times New Roman" w:cs="Times New Roman"/>
          <w:b/>
          <w:bCs/>
          <w:sz w:val="24"/>
          <w:szCs w:val="26"/>
        </w:rPr>
        <w:t xml:space="preserve"> externo e interno</w:t>
      </w:r>
      <w:bookmarkEnd w:id="247"/>
    </w:p>
    <w:p w14:paraId="784847CD" w14:textId="1474A1AD" w:rsidR="001B0A72" w:rsidRPr="00062207" w:rsidRDefault="001B0A72" w:rsidP="00640FCE">
      <w:pPr>
        <w:rPr>
          <w:rFonts w:ascii="Times New Roman" w:hAnsi="Times New Roman" w:cs="Times New Roman"/>
          <w:b/>
          <w:bCs/>
          <w:noProof/>
          <w:sz w:val="14"/>
          <w:lang w:eastAsia="es-GT"/>
        </w:rPr>
      </w:pPr>
    </w:p>
    <w:p w14:paraId="6B5CE440" w14:textId="77777777" w:rsidR="004751C3" w:rsidRPr="00062207" w:rsidRDefault="004751C3" w:rsidP="004751C3">
      <w:pPr>
        <w:pStyle w:val="Prrafodelista"/>
        <w:keepNext/>
        <w:keepLines/>
        <w:numPr>
          <w:ilvl w:val="0"/>
          <w:numId w:val="16"/>
        </w:numPr>
        <w:contextualSpacing w:val="0"/>
        <w:outlineLvl w:val="1"/>
        <w:rPr>
          <w:rFonts w:ascii="Times New Roman" w:eastAsiaTheme="majorEastAsia" w:hAnsi="Times New Roman" w:cs="Times New Roman"/>
          <w:b/>
          <w:bCs/>
          <w:vanish/>
          <w:sz w:val="24"/>
          <w:szCs w:val="26"/>
          <w:lang w:val="es-ES_tradnl" w:eastAsia="es-ES"/>
        </w:rPr>
      </w:pPr>
      <w:bookmarkStart w:id="248" w:name="_Toc94250376"/>
      <w:bookmarkStart w:id="249" w:name="_Toc94250438"/>
      <w:bookmarkStart w:id="250" w:name="_Toc94251078"/>
      <w:bookmarkStart w:id="251" w:name="_Toc94257739"/>
      <w:bookmarkStart w:id="252" w:name="_Toc94259655"/>
      <w:bookmarkStart w:id="253" w:name="_Toc93398036"/>
      <w:bookmarkEnd w:id="248"/>
      <w:bookmarkEnd w:id="249"/>
      <w:bookmarkEnd w:id="250"/>
      <w:bookmarkEnd w:id="251"/>
      <w:bookmarkEnd w:id="252"/>
    </w:p>
    <w:p w14:paraId="44CFE333" w14:textId="77777777" w:rsidR="004751C3" w:rsidRPr="00062207" w:rsidRDefault="004751C3" w:rsidP="004751C3">
      <w:pPr>
        <w:pStyle w:val="Prrafodelista"/>
        <w:keepNext/>
        <w:keepLines/>
        <w:numPr>
          <w:ilvl w:val="0"/>
          <w:numId w:val="16"/>
        </w:numPr>
        <w:contextualSpacing w:val="0"/>
        <w:outlineLvl w:val="1"/>
        <w:rPr>
          <w:rFonts w:ascii="Times New Roman" w:eastAsiaTheme="majorEastAsia" w:hAnsi="Times New Roman" w:cs="Times New Roman"/>
          <w:b/>
          <w:bCs/>
          <w:vanish/>
          <w:sz w:val="24"/>
          <w:szCs w:val="26"/>
          <w:lang w:val="es-ES_tradnl" w:eastAsia="es-ES"/>
        </w:rPr>
      </w:pPr>
      <w:bookmarkStart w:id="254" w:name="_Toc94257740"/>
      <w:bookmarkStart w:id="255" w:name="_Toc94259656"/>
      <w:bookmarkEnd w:id="254"/>
      <w:bookmarkEnd w:id="255"/>
    </w:p>
    <w:p w14:paraId="5D7AED04" w14:textId="77777777" w:rsidR="004751C3" w:rsidRPr="00062207" w:rsidRDefault="004751C3" w:rsidP="004751C3">
      <w:pPr>
        <w:pStyle w:val="Prrafodelista"/>
        <w:keepNext/>
        <w:keepLines/>
        <w:numPr>
          <w:ilvl w:val="0"/>
          <w:numId w:val="16"/>
        </w:numPr>
        <w:contextualSpacing w:val="0"/>
        <w:outlineLvl w:val="1"/>
        <w:rPr>
          <w:rFonts w:ascii="Times New Roman" w:eastAsiaTheme="majorEastAsia" w:hAnsi="Times New Roman" w:cs="Times New Roman"/>
          <w:b/>
          <w:bCs/>
          <w:vanish/>
          <w:sz w:val="24"/>
          <w:szCs w:val="26"/>
          <w:lang w:val="es-ES_tradnl" w:eastAsia="es-ES"/>
        </w:rPr>
      </w:pPr>
      <w:bookmarkStart w:id="256" w:name="_Toc94257741"/>
      <w:bookmarkStart w:id="257" w:name="_Toc94259657"/>
      <w:bookmarkEnd w:id="256"/>
      <w:bookmarkEnd w:id="257"/>
    </w:p>
    <w:p w14:paraId="66EEB1E6" w14:textId="77777777" w:rsidR="004751C3" w:rsidRPr="00062207" w:rsidRDefault="004751C3" w:rsidP="004751C3">
      <w:pPr>
        <w:pStyle w:val="Prrafodelista"/>
        <w:keepNext/>
        <w:keepLines/>
        <w:numPr>
          <w:ilvl w:val="0"/>
          <w:numId w:val="16"/>
        </w:numPr>
        <w:contextualSpacing w:val="0"/>
        <w:outlineLvl w:val="1"/>
        <w:rPr>
          <w:rFonts w:ascii="Times New Roman" w:eastAsiaTheme="majorEastAsia" w:hAnsi="Times New Roman" w:cs="Times New Roman"/>
          <w:b/>
          <w:bCs/>
          <w:vanish/>
          <w:sz w:val="24"/>
          <w:szCs w:val="26"/>
          <w:lang w:val="es-ES_tradnl" w:eastAsia="es-ES"/>
        </w:rPr>
      </w:pPr>
      <w:bookmarkStart w:id="258" w:name="_Toc94257742"/>
      <w:bookmarkStart w:id="259" w:name="_Toc94259658"/>
      <w:bookmarkEnd w:id="258"/>
      <w:bookmarkEnd w:id="259"/>
    </w:p>
    <w:p w14:paraId="1EF1A61E" w14:textId="77777777" w:rsidR="004751C3" w:rsidRPr="00062207" w:rsidRDefault="004751C3" w:rsidP="004751C3">
      <w:pPr>
        <w:pStyle w:val="Prrafodelista"/>
        <w:keepNext/>
        <w:keepLines/>
        <w:numPr>
          <w:ilvl w:val="0"/>
          <w:numId w:val="16"/>
        </w:numPr>
        <w:contextualSpacing w:val="0"/>
        <w:outlineLvl w:val="1"/>
        <w:rPr>
          <w:rFonts w:ascii="Times New Roman" w:eastAsiaTheme="majorEastAsia" w:hAnsi="Times New Roman" w:cs="Times New Roman"/>
          <w:b/>
          <w:bCs/>
          <w:vanish/>
          <w:sz w:val="24"/>
          <w:szCs w:val="26"/>
          <w:lang w:val="es-ES_tradnl" w:eastAsia="es-ES"/>
        </w:rPr>
      </w:pPr>
      <w:bookmarkStart w:id="260" w:name="_Toc94257743"/>
      <w:bookmarkStart w:id="261" w:name="_Toc94259659"/>
      <w:bookmarkEnd w:id="260"/>
      <w:bookmarkEnd w:id="261"/>
    </w:p>
    <w:p w14:paraId="51A7D246" w14:textId="6E2BBCAA" w:rsidR="006A1EAE" w:rsidRPr="00062207" w:rsidRDefault="006A1EAE" w:rsidP="004751C3">
      <w:pPr>
        <w:pStyle w:val="Ttulo2"/>
        <w:numPr>
          <w:ilvl w:val="1"/>
          <w:numId w:val="16"/>
        </w:numPr>
        <w:spacing w:before="0"/>
        <w:ind w:left="567"/>
        <w:rPr>
          <w:rFonts w:ascii="Times New Roman" w:hAnsi="Times New Roman" w:cs="Times New Roman"/>
          <w:color w:val="auto"/>
          <w:sz w:val="24"/>
        </w:rPr>
      </w:pPr>
      <w:bookmarkStart w:id="262" w:name="_Toc94259660"/>
      <w:r w:rsidRPr="00062207">
        <w:rPr>
          <w:rFonts w:ascii="Times New Roman" w:hAnsi="Times New Roman" w:cs="Times New Roman"/>
          <w:color w:val="auto"/>
          <w:sz w:val="24"/>
        </w:rPr>
        <w:t xml:space="preserve">Entorno </w:t>
      </w:r>
      <w:bookmarkEnd w:id="253"/>
      <w:r w:rsidR="0080424E" w:rsidRPr="00062207">
        <w:rPr>
          <w:rFonts w:ascii="Times New Roman" w:hAnsi="Times New Roman" w:cs="Times New Roman"/>
          <w:color w:val="auto"/>
          <w:sz w:val="24"/>
        </w:rPr>
        <w:t>e</w:t>
      </w:r>
      <w:r w:rsidRPr="00062207">
        <w:rPr>
          <w:rFonts w:ascii="Times New Roman" w:hAnsi="Times New Roman" w:cs="Times New Roman"/>
          <w:color w:val="auto"/>
          <w:sz w:val="24"/>
        </w:rPr>
        <w:t>xterno en 2021</w:t>
      </w:r>
      <w:bookmarkEnd w:id="262"/>
      <w:r w:rsidRPr="00062207">
        <w:rPr>
          <w:rFonts w:ascii="Times New Roman" w:hAnsi="Times New Roman" w:cs="Times New Roman"/>
          <w:color w:val="auto"/>
          <w:sz w:val="24"/>
        </w:rPr>
        <w:t xml:space="preserve"> </w:t>
      </w:r>
    </w:p>
    <w:p w14:paraId="2E3AB5A7" w14:textId="77777777" w:rsidR="006A1EAE" w:rsidRPr="00062207" w:rsidRDefault="006A1EAE" w:rsidP="006A1EAE">
      <w:pPr>
        <w:pStyle w:val="Default"/>
        <w:jc w:val="both"/>
        <w:rPr>
          <w:color w:val="auto"/>
          <w:sz w:val="16"/>
        </w:rPr>
      </w:pPr>
    </w:p>
    <w:p w14:paraId="1D578290" w14:textId="77777777" w:rsidR="006A1EAE" w:rsidRPr="00062207" w:rsidRDefault="006A1EAE" w:rsidP="006A1EAE">
      <w:pPr>
        <w:jc w:val="both"/>
        <w:rPr>
          <w:rFonts w:ascii="Times New Roman" w:hAnsi="Times New Roman" w:cs="Times New Roman"/>
          <w:sz w:val="22"/>
        </w:rPr>
      </w:pPr>
      <w:r w:rsidRPr="00062207">
        <w:rPr>
          <w:rFonts w:ascii="Times New Roman" w:hAnsi="Times New Roman" w:cs="Times New Roman"/>
          <w:sz w:val="22"/>
          <w:szCs w:val="22"/>
        </w:rPr>
        <w:t>A lo largo del 2021 l</w:t>
      </w:r>
      <w:r w:rsidRPr="00062207">
        <w:rPr>
          <w:rFonts w:ascii="Times New Roman" w:hAnsi="Times New Roman" w:cs="Times New Roman"/>
          <w:sz w:val="22"/>
          <w:szCs w:val="22"/>
          <w:lang w:val="es-GT"/>
        </w:rPr>
        <w:t xml:space="preserve">a economía mundial mostró una fuerte recuperación con respecto al año anterior, tanto el nivel de actividad económica como la inflación volvieron a los niveles previos a la pandemia; en el primer semestre de </w:t>
      </w:r>
      <w:r w:rsidRPr="00062207">
        <w:rPr>
          <w:rFonts w:ascii="Times New Roman" w:hAnsi="Times New Roman" w:cs="Times New Roman"/>
          <w:sz w:val="22"/>
        </w:rPr>
        <w:t>2021 se evidenció el inicio de la adaptación de la actividad económica a la pandemia, los riesgos asociados a la estabilidad financiera se mantenían contenidos en ese momento, gracias al apoyo monetario y fiscal, y al repunte de la economía.  En el segundo semestre, aunque en las economías avanzadas las condiciones financieras se habían relajado incluso más, en términos netos, el clima de optimismo que impulsó a los mercados durante el primer semestre del año, perdió ímpetu. Tanto consumidores como productores estaban cada vez más preocupados por las perspectivas económicas en un contexto de aumento de los contagios y mayor incertidumbre en torno al vigor de la recuperación, en particular en los mercados emergentes. A finales de septiembre, el temor a que las presiones inflacionarias fuesen más persistentes de lo previsto inicialmente hizo subir todavía más las tasas de interés nominales, revirtiendo por completo su evolución anterior en algunos países.  Mientras tanto, el aumento de la inflación a finales del año, está afectando particularmente a los trabajadores de bajos ingresos, situación que limita la política monetaria. A nivel mundial y en las economías avanzadas, la inflación ha alcanzado las tasas más altas desde 2008. En los mercados emergentes y en desarrollo, ha llegado a la tasa más alta desde 2011. En consecuencia, para contener las presiones inflacionarias, muchas economías emergentes y en desarrollo han comenzado a retirar las medidas de apoyo mucho antes de que se complete la recuperación.</w:t>
      </w:r>
    </w:p>
    <w:p w14:paraId="41389F4F" w14:textId="77777777" w:rsidR="006A1EAE" w:rsidRPr="00062207" w:rsidRDefault="006A1EAE" w:rsidP="006A1EAE">
      <w:pPr>
        <w:jc w:val="both"/>
        <w:rPr>
          <w:rFonts w:ascii="Times New Roman" w:hAnsi="Times New Roman" w:cs="Times New Roman"/>
          <w:sz w:val="22"/>
        </w:rPr>
      </w:pPr>
    </w:p>
    <w:p w14:paraId="3444811A" w14:textId="1F1DBEC2" w:rsidR="006A1EAE" w:rsidRPr="00062207" w:rsidRDefault="006A1EAE" w:rsidP="006A1EAE">
      <w:pPr>
        <w:jc w:val="both"/>
        <w:rPr>
          <w:rFonts w:ascii="Times New Roman" w:hAnsi="Times New Roman" w:cs="Times New Roman"/>
          <w:sz w:val="22"/>
        </w:rPr>
      </w:pPr>
      <w:r w:rsidRPr="00062207">
        <w:rPr>
          <w:rFonts w:ascii="Times New Roman" w:hAnsi="Times New Roman" w:cs="Times New Roman"/>
          <w:sz w:val="22"/>
        </w:rPr>
        <w:t xml:space="preserve">El </w:t>
      </w:r>
      <w:r w:rsidR="006151D7" w:rsidRPr="00062207">
        <w:rPr>
          <w:rFonts w:ascii="Times New Roman" w:hAnsi="Times New Roman" w:cs="Times New Roman"/>
          <w:sz w:val="22"/>
        </w:rPr>
        <w:t>FMI</w:t>
      </w:r>
      <w:r w:rsidRPr="00062207">
        <w:rPr>
          <w:rFonts w:ascii="Times New Roman" w:hAnsi="Times New Roman" w:cs="Times New Roman"/>
          <w:sz w:val="22"/>
        </w:rPr>
        <w:t xml:space="preserve"> prevé un crecimiento mundial de 5.9%</w:t>
      </w:r>
      <w:r w:rsidR="006151D7" w:rsidRPr="00062207">
        <w:rPr>
          <w:rFonts w:ascii="Times New Roman" w:hAnsi="Times New Roman" w:cs="Times New Roman"/>
          <w:sz w:val="22"/>
        </w:rPr>
        <w:t xml:space="preserve"> para 2021</w:t>
      </w:r>
      <w:r w:rsidRPr="00062207">
        <w:rPr>
          <w:rFonts w:ascii="Times New Roman" w:hAnsi="Times New Roman" w:cs="Times New Roman"/>
          <w:sz w:val="22"/>
        </w:rPr>
        <w:t>, menor que lo estimado a inicio de año, en gran medida a causa del recorte de las proyecciones de las dos economías más grandes. En Estados Unidos, debido al repliegue anticipado de la política monetaria acomodaticia y los continuos trastornos del suministro generaron una revisión a la baja, así como la poca probabilida</w:t>
      </w:r>
      <w:r w:rsidR="006151D7" w:rsidRPr="00062207">
        <w:rPr>
          <w:rFonts w:ascii="Times New Roman" w:hAnsi="Times New Roman" w:cs="Times New Roman"/>
          <w:sz w:val="22"/>
        </w:rPr>
        <w:t>d de que el Senado respalde la propuesta</w:t>
      </w:r>
      <w:r w:rsidRPr="00062207">
        <w:rPr>
          <w:rFonts w:ascii="Times New Roman" w:hAnsi="Times New Roman" w:cs="Times New Roman"/>
          <w:sz w:val="22"/>
        </w:rPr>
        <w:t xml:space="preserve"> de Joe Biden, a la que los demócratas califican </w:t>
      </w:r>
      <w:r w:rsidR="006151D7" w:rsidRPr="00062207">
        <w:rPr>
          <w:rFonts w:ascii="Times New Roman" w:hAnsi="Times New Roman" w:cs="Times New Roman"/>
          <w:sz w:val="22"/>
        </w:rPr>
        <w:t>como onerosa</w:t>
      </w:r>
      <w:r w:rsidRPr="00062207">
        <w:rPr>
          <w:rFonts w:ascii="Times New Roman" w:hAnsi="Times New Roman" w:cs="Times New Roman"/>
          <w:sz w:val="22"/>
        </w:rPr>
        <w:t xml:space="preserve"> para las arcas públicas. En el </w:t>
      </w:r>
      <w:r w:rsidR="006151D7" w:rsidRPr="00062207">
        <w:rPr>
          <w:rFonts w:ascii="Times New Roman" w:hAnsi="Times New Roman" w:cs="Times New Roman"/>
          <w:sz w:val="22"/>
        </w:rPr>
        <w:t xml:space="preserve">caso </w:t>
      </w:r>
      <w:r w:rsidRPr="00062207">
        <w:rPr>
          <w:rFonts w:ascii="Times New Roman" w:hAnsi="Times New Roman" w:cs="Times New Roman"/>
          <w:sz w:val="22"/>
        </w:rPr>
        <w:t>de China, los trastornos atribuibles a la pandemia en el contexto de una política de tolerancia cero de la COVID-19 y las prolongadas tensiones financieras entre los urbanizadores se tradujeron en un recorte de las proyecciones.  Las estimaciones de cierre 2021 consideran niveles del PIB muy similares a los mostrados a lo largo del año, aunque los daños provocados en la economía por la pandemia todavía se hacen más evidentes en los indicadores de salud, mercado laboral y en los datos de inflación. El FMI en su más reciente actualización de cifras indica que el producto mundial cerrará el año con un crecimiento de 5.9%, un dato que refleja la evolución de la actividad económica mundial ante las adversidades y ha sido ligeramente menos grave de lo que en un principio se había proyectado.</w:t>
      </w:r>
    </w:p>
    <w:p w14:paraId="43198F66" w14:textId="77777777" w:rsidR="006A1EAE" w:rsidRPr="00062207" w:rsidRDefault="006A1EAE" w:rsidP="006A1EAE">
      <w:pPr>
        <w:jc w:val="both"/>
        <w:rPr>
          <w:rFonts w:ascii="Times New Roman" w:hAnsi="Times New Roman" w:cs="Times New Roman"/>
          <w:sz w:val="12"/>
        </w:rPr>
      </w:pPr>
    </w:p>
    <w:p w14:paraId="469F046F" w14:textId="77777777" w:rsidR="006A1EAE" w:rsidRPr="00062207" w:rsidRDefault="006A1EAE" w:rsidP="006A1EAE">
      <w:pPr>
        <w:jc w:val="center"/>
        <w:rPr>
          <w:rFonts w:ascii="Times New Roman" w:hAnsi="Times New Roman" w:cs="Times New Roman"/>
          <w:b/>
          <w:sz w:val="22"/>
          <w:szCs w:val="22"/>
        </w:rPr>
      </w:pPr>
      <w:r w:rsidRPr="00062207">
        <w:rPr>
          <w:rFonts w:ascii="Times New Roman" w:hAnsi="Times New Roman" w:cs="Times New Roman"/>
          <w:b/>
          <w:sz w:val="22"/>
          <w:szCs w:val="22"/>
        </w:rPr>
        <w:t>Evolución de las estimaciones de cierre 2021 según el FMI</w:t>
      </w:r>
    </w:p>
    <w:tbl>
      <w:tblPr>
        <w:tblStyle w:val="Tablaconcuadrcula"/>
        <w:tblW w:w="0" w:type="auto"/>
        <w:jc w:val="center"/>
        <w:tblLook w:val="04A0" w:firstRow="1" w:lastRow="0" w:firstColumn="1" w:lastColumn="0" w:noHBand="0" w:noVBand="1"/>
      </w:tblPr>
      <w:tblGrid>
        <w:gridCol w:w="2977"/>
        <w:gridCol w:w="1134"/>
        <w:gridCol w:w="1134"/>
        <w:gridCol w:w="1134"/>
        <w:gridCol w:w="1105"/>
      </w:tblGrid>
      <w:tr w:rsidR="00062207" w:rsidRPr="00062207" w14:paraId="293C579F" w14:textId="77777777" w:rsidTr="00EE3A5F">
        <w:trPr>
          <w:trHeight w:val="259"/>
          <w:jc w:val="center"/>
        </w:trPr>
        <w:tc>
          <w:tcPr>
            <w:tcW w:w="2977" w:type="dxa"/>
            <w:shd w:val="clear" w:color="auto" w:fill="4BACC6" w:themeFill="accent5"/>
            <w:vAlign w:val="center"/>
          </w:tcPr>
          <w:p w14:paraId="5D7A01FF" w14:textId="77777777" w:rsidR="006A1EAE" w:rsidRPr="00062207" w:rsidRDefault="006A1EAE" w:rsidP="00EE3A5F">
            <w:pPr>
              <w:jc w:val="both"/>
              <w:rPr>
                <w:rFonts w:ascii="Times New Roman" w:hAnsi="Times New Roman" w:cs="Times New Roman"/>
                <w:sz w:val="16"/>
                <w:szCs w:val="16"/>
              </w:rPr>
            </w:pPr>
            <w:r w:rsidRPr="00062207">
              <w:rPr>
                <w:rFonts w:ascii="Times New Roman" w:hAnsi="Times New Roman" w:cs="Times New Roman"/>
                <w:sz w:val="16"/>
                <w:szCs w:val="16"/>
              </w:rPr>
              <w:t>PIB real, variación porcentual anual</w:t>
            </w:r>
          </w:p>
        </w:tc>
        <w:tc>
          <w:tcPr>
            <w:tcW w:w="1134" w:type="dxa"/>
            <w:shd w:val="clear" w:color="auto" w:fill="4BACC6" w:themeFill="accent5"/>
            <w:vAlign w:val="center"/>
          </w:tcPr>
          <w:p w14:paraId="2CAB6E27" w14:textId="77777777" w:rsidR="006A1EAE" w:rsidRPr="00062207" w:rsidRDefault="006A1EAE" w:rsidP="00EE3A5F">
            <w:pPr>
              <w:rPr>
                <w:rFonts w:ascii="Times New Roman" w:hAnsi="Times New Roman" w:cs="Times New Roman"/>
                <w:sz w:val="16"/>
                <w:szCs w:val="16"/>
              </w:rPr>
            </w:pPr>
            <w:r w:rsidRPr="00062207">
              <w:rPr>
                <w:rFonts w:ascii="Times New Roman" w:hAnsi="Times New Roman" w:cs="Times New Roman"/>
                <w:sz w:val="16"/>
                <w:szCs w:val="16"/>
              </w:rPr>
              <w:t>Actualización enero 2021</w:t>
            </w:r>
          </w:p>
        </w:tc>
        <w:tc>
          <w:tcPr>
            <w:tcW w:w="1134" w:type="dxa"/>
            <w:shd w:val="clear" w:color="auto" w:fill="4BACC6" w:themeFill="accent5"/>
            <w:vAlign w:val="center"/>
          </w:tcPr>
          <w:p w14:paraId="47AD91D4"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Actualización abril 2021</w:t>
            </w:r>
          </w:p>
        </w:tc>
        <w:tc>
          <w:tcPr>
            <w:tcW w:w="1134" w:type="dxa"/>
            <w:shd w:val="clear" w:color="auto" w:fill="4BACC6" w:themeFill="accent5"/>
            <w:vAlign w:val="center"/>
          </w:tcPr>
          <w:p w14:paraId="68C04CAD"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Actualización octubre 2021</w:t>
            </w:r>
          </w:p>
        </w:tc>
        <w:tc>
          <w:tcPr>
            <w:tcW w:w="1105" w:type="dxa"/>
            <w:shd w:val="clear" w:color="auto" w:fill="4BACC6" w:themeFill="accent5"/>
            <w:vAlign w:val="center"/>
          </w:tcPr>
          <w:p w14:paraId="344A80CF" w14:textId="77777777" w:rsidR="006A1EAE" w:rsidRPr="00062207" w:rsidRDefault="006A1EAE" w:rsidP="00EE3A5F">
            <w:pPr>
              <w:rPr>
                <w:rFonts w:ascii="Times New Roman" w:hAnsi="Times New Roman" w:cs="Times New Roman"/>
                <w:sz w:val="16"/>
                <w:szCs w:val="16"/>
              </w:rPr>
            </w:pPr>
            <w:r w:rsidRPr="00062207">
              <w:rPr>
                <w:rFonts w:ascii="Times New Roman" w:hAnsi="Times New Roman" w:cs="Times New Roman"/>
                <w:sz w:val="16"/>
                <w:szCs w:val="16"/>
              </w:rPr>
              <w:t>Actualización enero 2022</w:t>
            </w:r>
          </w:p>
        </w:tc>
      </w:tr>
      <w:tr w:rsidR="00062207" w:rsidRPr="00062207" w14:paraId="7F1C20ED" w14:textId="77777777" w:rsidTr="00EE3A5F">
        <w:trPr>
          <w:jc w:val="center"/>
        </w:trPr>
        <w:tc>
          <w:tcPr>
            <w:tcW w:w="2977" w:type="dxa"/>
          </w:tcPr>
          <w:p w14:paraId="0AFA411D" w14:textId="77777777" w:rsidR="006A1EAE" w:rsidRPr="00062207" w:rsidRDefault="006A1EAE" w:rsidP="00EE3A5F">
            <w:pPr>
              <w:jc w:val="both"/>
              <w:rPr>
                <w:rFonts w:ascii="Times New Roman" w:hAnsi="Times New Roman" w:cs="Times New Roman"/>
                <w:sz w:val="16"/>
                <w:szCs w:val="16"/>
              </w:rPr>
            </w:pPr>
            <w:r w:rsidRPr="00062207">
              <w:rPr>
                <w:rFonts w:ascii="Times New Roman" w:hAnsi="Times New Roman" w:cs="Times New Roman"/>
                <w:sz w:val="16"/>
                <w:szCs w:val="16"/>
              </w:rPr>
              <w:t>Producto mundial</w:t>
            </w:r>
          </w:p>
        </w:tc>
        <w:tc>
          <w:tcPr>
            <w:tcW w:w="1134" w:type="dxa"/>
          </w:tcPr>
          <w:p w14:paraId="3DA09A8D"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5.5</w:t>
            </w:r>
          </w:p>
        </w:tc>
        <w:tc>
          <w:tcPr>
            <w:tcW w:w="1134" w:type="dxa"/>
          </w:tcPr>
          <w:p w14:paraId="5555E2B8"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6.0</w:t>
            </w:r>
          </w:p>
        </w:tc>
        <w:tc>
          <w:tcPr>
            <w:tcW w:w="1134" w:type="dxa"/>
          </w:tcPr>
          <w:p w14:paraId="5AE7A254"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5.9</w:t>
            </w:r>
          </w:p>
        </w:tc>
        <w:tc>
          <w:tcPr>
            <w:tcW w:w="1105" w:type="dxa"/>
          </w:tcPr>
          <w:p w14:paraId="034B6987"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5.9</w:t>
            </w:r>
          </w:p>
        </w:tc>
      </w:tr>
      <w:tr w:rsidR="00062207" w:rsidRPr="00062207" w14:paraId="0B36F25F" w14:textId="77777777" w:rsidTr="00EE3A5F">
        <w:trPr>
          <w:jc w:val="center"/>
        </w:trPr>
        <w:tc>
          <w:tcPr>
            <w:tcW w:w="2977" w:type="dxa"/>
            <w:shd w:val="clear" w:color="auto" w:fill="DBE5F1" w:themeFill="accent1" w:themeFillTint="33"/>
          </w:tcPr>
          <w:p w14:paraId="75282FD7" w14:textId="77777777" w:rsidR="006A1EAE" w:rsidRPr="00062207" w:rsidRDefault="006A1EAE" w:rsidP="00EE3A5F">
            <w:pPr>
              <w:jc w:val="both"/>
              <w:rPr>
                <w:rFonts w:ascii="Times New Roman" w:hAnsi="Times New Roman" w:cs="Times New Roman"/>
                <w:sz w:val="16"/>
                <w:szCs w:val="16"/>
              </w:rPr>
            </w:pPr>
            <w:r w:rsidRPr="00062207">
              <w:rPr>
                <w:rFonts w:ascii="Times New Roman" w:hAnsi="Times New Roman" w:cs="Times New Roman"/>
                <w:sz w:val="16"/>
                <w:szCs w:val="16"/>
              </w:rPr>
              <w:t>Economías avanzadas</w:t>
            </w:r>
          </w:p>
        </w:tc>
        <w:tc>
          <w:tcPr>
            <w:tcW w:w="1134" w:type="dxa"/>
            <w:shd w:val="clear" w:color="auto" w:fill="DBE5F1" w:themeFill="accent1" w:themeFillTint="33"/>
          </w:tcPr>
          <w:p w14:paraId="21C032BC"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4.3</w:t>
            </w:r>
          </w:p>
        </w:tc>
        <w:tc>
          <w:tcPr>
            <w:tcW w:w="1134" w:type="dxa"/>
            <w:shd w:val="clear" w:color="auto" w:fill="DBE5F1" w:themeFill="accent1" w:themeFillTint="33"/>
          </w:tcPr>
          <w:p w14:paraId="656711DD"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5.1</w:t>
            </w:r>
          </w:p>
        </w:tc>
        <w:tc>
          <w:tcPr>
            <w:tcW w:w="1134" w:type="dxa"/>
            <w:shd w:val="clear" w:color="auto" w:fill="DBE5F1" w:themeFill="accent1" w:themeFillTint="33"/>
          </w:tcPr>
          <w:p w14:paraId="3E2534A3"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5.2</w:t>
            </w:r>
          </w:p>
        </w:tc>
        <w:tc>
          <w:tcPr>
            <w:tcW w:w="1105" w:type="dxa"/>
            <w:shd w:val="clear" w:color="auto" w:fill="DBE5F1" w:themeFill="accent1" w:themeFillTint="33"/>
          </w:tcPr>
          <w:p w14:paraId="34611387"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5.0</w:t>
            </w:r>
          </w:p>
        </w:tc>
      </w:tr>
      <w:tr w:rsidR="00062207" w:rsidRPr="00062207" w14:paraId="55F7EDB3" w14:textId="77777777" w:rsidTr="00EE3A5F">
        <w:trPr>
          <w:jc w:val="center"/>
        </w:trPr>
        <w:tc>
          <w:tcPr>
            <w:tcW w:w="2977" w:type="dxa"/>
          </w:tcPr>
          <w:p w14:paraId="55FCCF32" w14:textId="77777777" w:rsidR="006A1EAE" w:rsidRPr="00062207" w:rsidRDefault="006A1EAE" w:rsidP="00EE3A5F">
            <w:pPr>
              <w:jc w:val="both"/>
              <w:rPr>
                <w:rFonts w:ascii="Times New Roman" w:hAnsi="Times New Roman" w:cs="Times New Roman"/>
                <w:sz w:val="16"/>
                <w:szCs w:val="16"/>
              </w:rPr>
            </w:pPr>
            <w:r w:rsidRPr="00062207">
              <w:rPr>
                <w:rFonts w:ascii="Times New Roman" w:hAnsi="Times New Roman" w:cs="Times New Roman"/>
                <w:sz w:val="16"/>
                <w:szCs w:val="16"/>
              </w:rPr>
              <w:t>Estados Unidos</w:t>
            </w:r>
          </w:p>
        </w:tc>
        <w:tc>
          <w:tcPr>
            <w:tcW w:w="1134" w:type="dxa"/>
          </w:tcPr>
          <w:p w14:paraId="5EA5A334"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5.1</w:t>
            </w:r>
          </w:p>
        </w:tc>
        <w:tc>
          <w:tcPr>
            <w:tcW w:w="1134" w:type="dxa"/>
          </w:tcPr>
          <w:p w14:paraId="1372ED44"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6.4</w:t>
            </w:r>
          </w:p>
        </w:tc>
        <w:tc>
          <w:tcPr>
            <w:tcW w:w="1134" w:type="dxa"/>
          </w:tcPr>
          <w:p w14:paraId="3B050858"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6.0</w:t>
            </w:r>
          </w:p>
        </w:tc>
        <w:tc>
          <w:tcPr>
            <w:tcW w:w="1105" w:type="dxa"/>
          </w:tcPr>
          <w:p w14:paraId="4B1DEC1D"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5.6</w:t>
            </w:r>
          </w:p>
        </w:tc>
      </w:tr>
      <w:tr w:rsidR="00062207" w:rsidRPr="00062207" w14:paraId="06DC8E3C" w14:textId="77777777" w:rsidTr="00EE3A5F">
        <w:trPr>
          <w:jc w:val="center"/>
        </w:trPr>
        <w:tc>
          <w:tcPr>
            <w:tcW w:w="2977" w:type="dxa"/>
          </w:tcPr>
          <w:p w14:paraId="2366CBB6" w14:textId="77777777" w:rsidR="006A1EAE" w:rsidRPr="00062207" w:rsidRDefault="006A1EAE" w:rsidP="00EE3A5F">
            <w:pPr>
              <w:jc w:val="both"/>
              <w:rPr>
                <w:rFonts w:ascii="Times New Roman" w:hAnsi="Times New Roman" w:cs="Times New Roman"/>
                <w:sz w:val="16"/>
                <w:szCs w:val="16"/>
              </w:rPr>
            </w:pPr>
            <w:r w:rsidRPr="00062207">
              <w:rPr>
                <w:rFonts w:ascii="Times New Roman" w:hAnsi="Times New Roman" w:cs="Times New Roman"/>
                <w:sz w:val="16"/>
                <w:szCs w:val="16"/>
              </w:rPr>
              <w:t>Zona del euro</w:t>
            </w:r>
          </w:p>
        </w:tc>
        <w:tc>
          <w:tcPr>
            <w:tcW w:w="1134" w:type="dxa"/>
          </w:tcPr>
          <w:p w14:paraId="39A1DD3C"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4.2</w:t>
            </w:r>
          </w:p>
        </w:tc>
        <w:tc>
          <w:tcPr>
            <w:tcW w:w="1134" w:type="dxa"/>
          </w:tcPr>
          <w:p w14:paraId="11B111A7"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4.4</w:t>
            </w:r>
          </w:p>
        </w:tc>
        <w:tc>
          <w:tcPr>
            <w:tcW w:w="1134" w:type="dxa"/>
          </w:tcPr>
          <w:p w14:paraId="50FEF8C0"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5.0</w:t>
            </w:r>
          </w:p>
        </w:tc>
        <w:tc>
          <w:tcPr>
            <w:tcW w:w="1105" w:type="dxa"/>
          </w:tcPr>
          <w:p w14:paraId="6099C9B8"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5.2</w:t>
            </w:r>
          </w:p>
        </w:tc>
      </w:tr>
      <w:tr w:rsidR="00062207" w:rsidRPr="00062207" w14:paraId="258558A6" w14:textId="77777777" w:rsidTr="00EE3A5F">
        <w:trPr>
          <w:jc w:val="center"/>
        </w:trPr>
        <w:tc>
          <w:tcPr>
            <w:tcW w:w="2977" w:type="dxa"/>
          </w:tcPr>
          <w:p w14:paraId="564946F9" w14:textId="77777777" w:rsidR="006A1EAE" w:rsidRPr="00062207" w:rsidRDefault="006A1EAE" w:rsidP="00EE3A5F">
            <w:pPr>
              <w:jc w:val="both"/>
              <w:rPr>
                <w:rFonts w:ascii="Times New Roman" w:hAnsi="Times New Roman" w:cs="Times New Roman"/>
                <w:sz w:val="16"/>
                <w:szCs w:val="16"/>
              </w:rPr>
            </w:pPr>
            <w:r w:rsidRPr="00062207">
              <w:rPr>
                <w:rFonts w:ascii="Times New Roman" w:hAnsi="Times New Roman" w:cs="Times New Roman"/>
                <w:sz w:val="16"/>
                <w:szCs w:val="16"/>
              </w:rPr>
              <w:t>Japón</w:t>
            </w:r>
          </w:p>
        </w:tc>
        <w:tc>
          <w:tcPr>
            <w:tcW w:w="1134" w:type="dxa"/>
          </w:tcPr>
          <w:p w14:paraId="54349A9E"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3.1</w:t>
            </w:r>
          </w:p>
        </w:tc>
        <w:tc>
          <w:tcPr>
            <w:tcW w:w="1134" w:type="dxa"/>
          </w:tcPr>
          <w:p w14:paraId="011C8947"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3.3</w:t>
            </w:r>
          </w:p>
        </w:tc>
        <w:tc>
          <w:tcPr>
            <w:tcW w:w="1134" w:type="dxa"/>
          </w:tcPr>
          <w:p w14:paraId="3ECB0F28"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2.4</w:t>
            </w:r>
          </w:p>
        </w:tc>
        <w:tc>
          <w:tcPr>
            <w:tcW w:w="1105" w:type="dxa"/>
          </w:tcPr>
          <w:p w14:paraId="0F114B60"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1.6</w:t>
            </w:r>
          </w:p>
        </w:tc>
      </w:tr>
      <w:tr w:rsidR="00062207" w:rsidRPr="00062207" w14:paraId="628484D4" w14:textId="77777777" w:rsidTr="00EE3A5F">
        <w:trPr>
          <w:jc w:val="center"/>
        </w:trPr>
        <w:tc>
          <w:tcPr>
            <w:tcW w:w="2977" w:type="dxa"/>
          </w:tcPr>
          <w:p w14:paraId="07A6A9AE" w14:textId="77777777" w:rsidR="006A1EAE" w:rsidRPr="00062207" w:rsidRDefault="006A1EAE" w:rsidP="00EE3A5F">
            <w:pPr>
              <w:jc w:val="both"/>
              <w:rPr>
                <w:rFonts w:ascii="Times New Roman" w:hAnsi="Times New Roman" w:cs="Times New Roman"/>
                <w:sz w:val="16"/>
                <w:szCs w:val="16"/>
              </w:rPr>
            </w:pPr>
            <w:r w:rsidRPr="00062207">
              <w:rPr>
                <w:rFonts w:ascii="Times New Roman" w:hAnsi="Times New Roman" w:cs="Times New Roman"/>
                <w:sz w:val="16"/>
                <w:szCs w:val="16"/>
              </w:rPr>
              <w:t>Reino Unido</w:t>
            </w:r>
          </w:p>
        </w:tc>
        <w:tc>
          <w:tcPr>
            <w:tcW w:w="1134" w:type="dxa"/>
          </w:tcPr>
          <w:p w14:paraId="1FC835BB"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4.5</w:t>
            </w:r>
          </w:p>
        </w:tc>
        <w:tc>
          <w:tcPr>
            <w:tcW w:w="1134" w:type="dxa"/>
          </w:tcPr>
          <w:p w14:paraId="5EC1FF47"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5.3</w:t>
            </w:r>
          </w:p>
        </w:tc>
        <w:tc>
          <w:tcPr>
            <w:tcW w:w="1134" w:type="dxa"/>
          </w:tcPr>
          <w:p w14:paraId="536B3769"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6.8</w:t>
            </w:r>
          </w:p>
        </w:tc>
        <w:tc>
          <w:tcPr>
            <w:tcW w:w="1105" w:type="dxa"/>
          </w:tcPr>
          <w:p w14:paraId="53399135"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7.2</w:t>
            </w:r>
          </w:p>
        </w:tc>
      </w:tr>
      <w:tr w:rsidR="00062207" w:rsidRPr="00062207" w14:paraId="2C95DCD9" w14:textId="77777777" w:rsidTr="00EE3A5F">
        <w:trPr>
          <w:jc w:val="center"/>
        </w:trPr>
        <w:tc>
          <w:tcPr>
            <w:tcW w:w="2977" w:type="dxa"/>
          </w:tcPr>
          <w:p w14:paraId="10E8AC69" w14:textId="77777777" w:rsidR="006A1EAE" w:rsidRPr="00062207" w:rsidRDefault="006A1EAE" w:rsidP="00EE3A5F">
            <w:pPr>
              <w:jc w:val="both"/>
              <w:rPr>
                <w:rFonts w:ascii="Times New Roman" w:hAnsi="Times New Roman" w:cs="Times New Roman"/>
                <w:sz w:val="16"/>
                <w:szCs w:val="16"/>
              </w:rPr>
            </w:pPr>
            <w:r w:rsidRPr="00062207">
              <w:rPr>
                <w:rFonts w:ascii="Times New Roman" w:hAnsi="Times New Roman" w:cs="Times New Roman"/>
                <w:sz w:val="16"/>
                <w:szCs w:val="16"/>
              </w:rPr>
              <w:t>Canadá</w:t>
            </w:r>
          </w:p>
        </w:tc>
        <w:tc>
          <w:tcPr>
            <w:tcW w:w="1134" w:type="dxa"/>
          </w:tcPr>
          <w:p w14:paraId="492AE121"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3.6</w:t>
            </w:r>
          </w:p>
        </w:tc>
        <w:tc>
          <w:tcPr>
            <w:tcW w:w="1134" w:type="dxa"/>
          </w:tcPr>
          <w:p w14:paraId="0D0B968B"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5.0</w:t>
            </w:r>
          </w:p>
        </w:tc>
        <w:tc>
          <w:tcPr>
            <w:tcW w:w="1134" w:type="dxa"/>
          </w:tcPr>
          <w:p w14:paraId="109B0706"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5.7</w:t>
            </w:r>
          </w:p>
        </w:tc>
        <w:tc>
          <w:tcPr>
            <w:tcW w:w="1105" w:type="dxa"/>
          </w:tcPr>
          <w:p w14:paraId="26693152"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4.7</w:t>
            </w:r>
          </w:p>
        </w:tc>
      </w:tr>
      <w:tr w:rsidR="00062207" w:rsidRPr="00062207" w14:paraId="3C392F31" w14:textId="77777777" w:rsidTr="00EE3A5F">
        <w:trPr>
          <w:jc w:val="center"/>
        </w:trPr>
        <w:tc>
          <w:tcPr>
            <w:tcW w:w="2977" w:type="dxa"/>
          </w:tcPr>
          <w:p w14:paraId="0C46444E" w14:textId="77777777" w:rsidR="006A1EAE" w:rsidRPr="00062207" w:rsidRDefault="006A1EAE" w:rsidP="00EE3A5F">
            <w:pPr>
              <w:jc w:val="both"/>
              <w:rPr>
                <w:rFonts w:ascii="Times New Roman" w:hAnsi="Times New Roman" w:cs="Times New Roman"/>
                <w:sz w:val="16"/>
                <w:szCs w:val="16"/>
              </w:rPr>
            </w:pPr>
            <w:r w:rsidRPr="00062207">
              <w:rPr>
                <w:rFonts w:ascii="Times New Roman" w:hAnsi="Times New Roman" w:cs="Times New Roman"/>
                <w:sz w:val="16"/>
                <w:szCs w:val="16"/>
              </w:rPr>
              <w:t>Otras economías avanzadas</w:t>
            </w:r>
          </w:p>
        </w:tc>
        <w:tc>
          <w:tcPr>
            <w:tcW w:w="1134" w:type="dxa"/>
          </w:tcPr>
          <w:p w14:paraId="7EB72525"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3.6</w:t>
            </w:r>
          </w:p>
        </w:tc>
        <w:tc>
          <w:tcPr>
            <w:tcW w:w="1134" w:type="dxa"/>
          </w:tcPr>
          <w:p w14:paraId="53190137"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4.4</w:t>
            </w:r>
          </w:p>
        </w:tc>
        <w:tc>
          <w:tcPr>
            <w:tcW w:w="1134" w:type="dxa"/>
          </w:tcPr>
          <w:p w14:paraId="01506FBB"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4.6</w:t>
            </w:r>
          </w:p>
        </w:tc>
        <w:tc>
          <w:tcPr>
            <w:tcW w:w="1105" w:type="dxa"/>
          </w:tcPr>
          <w:p w14:paraId="05DAF6C2"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4.7</w:t>
            </w:r>
          </w:p>
        </w:tc>
      </w:tr>
      <w:tr w:rsidR="00062207" w:rsidRPr="00062207" w14:paraId="40B3AFC8" w14:textId="77777777" w:rsidTr="00EE3A5F">
        <w:trPr>
          <w:jc w:val="center"/>
        </w:trPr>
        <w:tc>
          <w:tcPr>
            <w:tcW w:w="2977" w:type="dxa"/>
            <w:shd w:val="clear" w:color="auto" w:fill="DBE5F1" w:themeFill="accent1" w:themeFillTint="33"/>
          </w:tcPr>
          <w:p w14:paraId="78D45168" w14:textId="77777777" w:rsidR="006A1EAE" w:rsidRPr="00062207" w:rsidRDefault="006A1EAE" w:rsidP="00EE3A5F">
            <w:pPr>
              <w:jc w:val="both"/>
              <w:rPr>
                <w:rFonts w:ascii="Times New Roman" w:hAnsi="Times New Roman" w:cs="Times New Roman"/>
                <w:sz w:val="16"/>
                <w:szCs w:val="16"/>
              </w:rPr>
            </w:pPr>
            <w:r w:rsidRPr="00062207">
              <w:rPr>
                <w:rFonts w:ascii="Times New Roman" w:hAnsi="Times New Roman" w:cs="Times New Roman"/>
                <w:sz w:val="16"/>
                <w:szCs w:val="16"/>
              </w:rPr>
              <w:t>Economías emergentes y en desarrollo</w:t>
            </w:r>
          </w:p>
        </w:tc>
        <w:tc>
          <w:tcPr>
            <w:tcW w:w="1134" w:type="dxa"/>
            <w:shd w:val="clear" w:color="auto" w:fill="DBE5F1" w:themeFill="accent1" w:themeFillTint="33"/>
          </w:tcPr>
          <w:p w14:paraId="0444053C"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6.3</w:t>
            </w:r>
          </w:p>
        </w:tc>
        <w:tc>
          <w:tcPr>
            <w:tcW w:w="1134" w:type="dxa"/>
            <w:shd w:val="clear" w:color="auto" w:fill="DBE5F1" w:themeFill="accent1" w:themeFillTint="33"/>
          </w:tcPr>
          <w:p w14:paraId="40898B6A"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6.7</w:t>
            </w:r>
          </w:p>
        </w:tc>
        <w:tc>
          <w:tcPr>
            <w:tcW w:w="1134" w:type="dxa"/>
            <w:shd w:val="clear" w:color="auto" w:fill="DBE5F1" w:themeFill="accent1" w:themeFillTint="33"/>
          </w:tcPr>
          <w:p w14:paraId="77B63952"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6.4</w:t>
            </w:r>
          </w:p>
        </w:tc>
        <w:tc>
          <w:tcPr>
            <w:tcW w:w="1105" w:type="dxa"/>
            <w:shd w:val="clear" w:color="auto" w:fill="DBE5F1" w:themeFill="accent1" w:themeFillTint="33"/>
          </w:tcPr>
          <w:p w14:paraId="24C1FA7F"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6.5</w:t>
            </w:r>
          </w:p>
        </w:tc>
      </w:tr>
      <w:tr w:rsidR="00062207" w:rsidRPr="00062207" w14:paraId="4BF2B302" w14:textId="77777777" w:rsidTr="00EE3A5F">
        <w:trPr>
          <w:jc w:val="center"/>
        </w:trPr>
        <w:tc>
          <w:tcPr>
            <w:tcW w:w="2977" w:type="dxa"/>
          </w:tcPr>
          <w:p w14:paraId="486B56BC" w14:textId="77777777" w:rsidR="006A1EAE" w:rsidRPr="00062207" w:rsidRDefault="006A1EAE" w:rsidP="00EE3A5F">
            <w:pPr>
              <w:jc w:val="both"/>
              <w:rPr>
                <w:rFonts w:ascii="Times New Roman" w:hAnsi="Times New Roman" w:cs="Times New Roman"/>
                <w:sz w:val="16"/>
                <w:szCs w:val="16"/>
              </w:rPr>
            </w:pPr>
            <w:r w:rsidRPr="00062207">
              <w:rPr>
                <w:rFonts w:ascii="Times New Roman" w:hAnsi="Times New Roman" w:cs="Times New Roman"/>
                <w:sz w:val="16"/>
                <w:szCs w:val="16"/>
              </w:rPr>
              <w:t>China</w:t>
            </w:r>
          </w:p>
        </w:tc>
        <w:tc>
          <w:tcPr>
            <w:tcW w:w="1134" w:type="dxa"/>
          </w:tcPr>
          <w:p w14:paraId="58EB4449"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8.1</w:t>
            </w:r>
          </w:p>
        </w:tc>
        <w:tc>
          <w:tcPr>
            <w:tcW w:w="1134" w:type="dxa"/>
          </w:tcPr>
          <w:p w14:paraId="54A78421"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8.4</w:t>
            </w:r>
          </w:p>
        </w:tc>
        <w:tc>
          <w:tcPr>
            <w:tcW w:w="1134" w:type="dxa"/>
          </w:tcPr>
          <w:p w14:paraId="3984B723"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8.0</w:t>
            </w:r>
          </w:p>
        </w:tc>
        <w:tc>
          <w:tcPr>
            <w:tcW w:w="1105" w:type="dxa"/>
          </w:tcPr>
          <w:p w14:paraId="337288B1"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8.1</w:t>
            </w:r>
          </w:p>
        </w:tc>
      </w:tr>
      <w:tr w:rsidR="00062207" w:rsidRPr="00062207" w14:paraId="6EFE3F48" w14:textId="77777777" w:rsidTr="00EE3A5F">
        <w:trPr>
          <w:jc w:val="center"/>
        </w:trPr>
        <w:tc>
          <w:tcPr>
            <w:tcW w:w="2977" w:type="dxa"/>
          </w:tcPr>
          <w:p w14:paraId="38CA4338" w14:textId="77777777" w:rsidR="006A1EAE" w:rsidRPr="00062207" w:rsidRDefault="006A1EAE" w:rsidP="00EE3A5F">
            <w:pPr>
              <w:jc w:val="both"/>
              <w:rPr>
                <w:rFonts w:ascii="Times New Roman" w:hAnsi="Times New Roman" w:cs="Times New Roman"/>
                <w:sz w:val="16"/>
                <w:szCs w:val="16"/>
              </w:rPr>
            </w:pPr>
            <w:r w:rsidRPr="00062207">
              <w:rPr>
                <w:rFonts w:ascii="Times New Roman" w:hAnsi="Times New Roman" w:cs="Times New Roman"/>
                <w:sz w:val="16"/>
                <w:szCs w:val="16"/>
              </w:rPr>
              <w:t>India</w:t>
            </w:r>
          </w:p>
        </w:tc>
        <w:tc>
          <w:tcPr>
            <w:tcW w:w="1134" w:type="dxa"/>
          </w:tcPr>
          <w:p w14:paraId="42819FF9"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11.5</w:t>
            </w:r>
          </w:p>
        </w:tc>
        <w:tc>
          <w:tcPr>
            <w:tcW w:w="1134" w:type="dxa"/>
          </w:tcPr>
          <w:p w14:paraId="01E2EB21"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12.5</w:t>
            </w:r>
          </w:p>
        </w:tc>
        <w:tc>
          <w:tcPr>
            <w:tcW w:w="1134" w:type="dxa"/>
          </w:tcPr>
          <w:p w14:paraId="7962F207"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9.5</w:t>
            </w:r>
          </w:p>
        </w:tc>
        <w:tc>
          <w:tcPr>
            <w:tcW w:w="1105" w:type="dxa"/>
          </w:tcPr>
          <w:p w14:paraId="63EBFAB8"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9.0</w:t>
            </w:r>
          </w:p>
        </w:tc>
      </w:tr>
      <w:tr w:rsidR="00062207" w:rsidRPr="00062207" w14:paraId="00680750" w14:textId="77777777" w:rsidTr="00EE3A5F">
        <w:trPr>
          <w:jc w:val="center"/>
        </w:trPr>
        <w:tc>
          <w:tcPr>
            <w:tcW w:w="2977" w:type="dxa"/>
          </w:tcPr>
          <w:p w14:paraId="2ACE9037" w14:textId="77777777" w:rsidR="006A1EAE" w:rsidRPr="00062207" w:rsidRDefault="006A1EAE" w:rsidP="00EE3A5F">
            <w:pPr>
              <w:jc w:val="both"/>
              <w:rPr>
                <w:rFonts w:ascii="Times New Roman" w:hAnsi="Times New Roman" w:cs="Times New Roman"/>
                <w:sz w:val="16"/>
                <w:szCs w:val="16"/>
              </w:rPr>
            </w:pPr>
            <w:r w:rsidRPr="00062207">
              <w:rPr>
                <w:rFonts w:ascii="Times New Roman" w:hAnsi="Times New Roman" w:cs="Times New Roman"/>
                <w:sz w:val="16"/>
                <w:szCs w:val="16"/>
              </w:rPr>
              <w:t>Rusia</w:t>
            </w:r>
          </w:p>
        </w:tc>
        <w:tc>
          <w:tcPr>
            <w:tcW w:w="1134" w:type="dxa"/>
          </w:tcPr>
          <w:p w14:paraId="517F468D"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3.0</w:t>
            </w:r>
          </w:p>
        </w:tc>
        <w:tc>
          <w:tcPr>
            <w:tcW w:w="1134" w:type="dxa"/>
          </w:tcPr>
          <w:p w14:paraId="1AC26E62"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3.8</w:t>
            </w:r>
          </w:p>
        </w:tc>
        <w:tc>
          <w:tcPr>
            <w:tcW w:w="1134" w:type="dxa"/>
          </w:tcPr>
          <w:p w14:paraId="3011734E"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4.7</w:t>
            </w:r>
          </w:p>
        </w:tc>
        <w:tc>
          <w:tcPr>
            <w:tcW w:w="1105" w:type="dxa"/>
          </w:tcPr>
          <w:p w14:paraId="288138AD"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4.5</w:t>
            </w:r>
          </w:p>
        </w:tc>
      </w:tr>
      <w:tr w:rsidR="00062207" w:rsidRPr="00062207" w14:paraId="784EFE52" w14:textId="77777777" w:rsidTr="00EE3A5F">
        <w:trPr>
          <w:jc w:val="center"/>
        </w:trPr>
        <w:tc>
          <w:tcPr>
            <w:tcW w:w="2977" w:type="dxa"/>
          </w:tcPr>
          <w:p w14:paraId="31ED3FF6" w14:textId="77777777" w:rsidR="006A1EAE" w:rsidRPr="00062207" w:rsidRDefault="006A1EAE" w:rsidP="00EE3A5F">
            <w:pPr>
              <w:jc w:val="both"/>
              <w:rPr>
                <w:rFonts w:ascii="Times New Roman" w:hAnsi="Times New Roman" w:cs="Times New Roman"/>
                <w:sz w:val="16"/>
                <w:szCs w:val="16"/>
              </w:rPr>
            </w:pPr>
            <w:r w:rsidRPr="00062207">
              <w:rPr>
                <w:rFonts w:ascii="Times New Roman" w:hAnsi="Times New Roman" w:cs="Times New Roman"/>
                <w:sz w:val="16"/>
                <w:szCs w:val="16"/>
              </w:rPr>
              <w:t>América Latina y el Caribe</w:t>
            </w:r>
          </w:p>
        </w:tc>
        <w:tc>
          <w:tcPr>
            <w:tcW w:w="1134" w:type="dxa"/>
          </w:tcPr>
          <w:p w14:paraId="75BB872C"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4.1</w:t>
            </w:r>
          </w:p>
        </w:tc>
        <w:tc>
          <w:tcPr>
            <w:tcW w:w="1134" w:type="dxa"/>
          </w:tcPr>
          <w:p w14:paraId="363DA429"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4.6</w:t>
            </w:r>
          </w:p>
        </w:tc>
        <w:tc>
          <w:tcPr>
            <w:tcW w:w="1134" w:type="dxa"/>
          </w:tcPr>
          <w:p w14:paraId="75CF986D"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6.3</w:t>
            </w:r>
          </w:p>
        </w:tc>
        <w:tc>
          <w:tcPr>
            <w:tcW w:w="1105" w:type="dxa"/>
          </w:tcPr>
          <w:p w14:paraId="38177E24"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6.8</w:t>
            </w:r>
          </w:p>
        </w:tc>
      </w:tr>
      <w:tr w:rsidR="00062207" w:rsidRPr="00062207" w14:paraId="0C4CE820" w14:textId="77777777" w:rsidTr="00EE3A5F">
        <w:trPr>
          <w:jc w:val="center"/>
        </w:trPr>
        <w:tc>
          <w:tcPr>
            <w:tcW w:w="2977" w:type="dxa"/>
          </w:tcPr>
          <w:p w14:paraId="097F886D" w14:textId="77777777" w:rsidR="006A1EAE" w:rsidRPr="00062207" w:rsidRDefault="006A1EAE" w:rsidP="00EE3A5F">
            <w:pPr>
              <w:jc w:val="both"/>
              <w:rPr>
                <w:rFonts w:ascii="Times New Roman" w:hAnsi="Times New Roman" w:cs="Times New Roman"/>
                <w:sz w:val="16"/>
                <w:szCs w:val="16"/>
              </w:rPr>
            </w:pPr>
            <w:r w:rsidRPr="00062207">
              <w:rPr>
                <w:rFonts w:ascii="Times New Roman" w:hAnsi="Times New Roman" w:cs="Times New Roman"/>
                <w:sz w:val="16"/>
                <w:szCs w:val="16"/>
              </w:rPr>
              <w:t>Oriente Medio y Asia Central</w:t>
            </w:r>
          </w:p>
        </w:tc>
        <w:tc>
          <w:tcPr>
            <w:tcW w:w="1134" w:type="dxa"/>
          </w:tcPr>
          <w:p w14:paraId="7CA18227"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3.0</w:t>
            </w:r>
          </w:p>
        </w:tc>
        <w:tc>
          <w:tcPr>
            <w:tcW w:w="1134" w:type="dxa"/>
          </w:tcPr>
          <w:p w14:paraId="5B0B1A16"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3.7</w:t>
            </w:r>
          </w:p>
        </w:tc>
        <w:tc>
          <w:tcPr>
            <w:tcW w:w="1134" w:type="dxa"/>
          </w:tcPr>
          <w:p w14:paraId="53F4AB03"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4.1</w:t>
            </w:r>
          </w:p>
        </w:tc>
        <w:tc>
          <w:tcPr>
            <w:tcW w:w="1105" w:type="dxa"/>
          </w:tcPr>
          <w:p w14:paraId="6C5176F1"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4.2</w:t>
            </w:r>
          </w:p>
        </w:tc>
      </w:tr>
      <w:tr w:rsidR="00062207" w:rsidRPr="00062207" w14:paraId="3B09963E" w14:textId="77777777" w:rsidTr="00EE3A5F">
        <w:trPr>
          <w:jc w:val="center"/>
        </w:trPr>
        <w:tc>
          <w:tcPr>
            <w:tcW w:w="2977" w:type="dxa"/>
          </w:tcPr>
          <w:p w14:paraId="107B298B" w14:textId="77777777" w:rsidR="006A1EAE" w:rsidRPr="00062207" w:rsidRDefault="006A1EAE" w:rsidP="00EE3A5F">
            <w:pPr>
              <w:jc w:val="both"/>
              <w:rPr>
                <w:rFonts w:ascii="Times New Roman" w:hAnsi="Times New Roman" w:cs="Times New Roman"/>
                <w:sz w:val="16"/>
                <w:szCs w:val="16"/>
              </w:rPr>
            </w:pPr>
            <w:r w:rsidRPr="00062207">
              <w:rPr>
                <w:rFonts w:ascii="Times New Roman" w:hAnsi="Times New Roman" w:cs="Times New Roman"/>
                <w:sz w:val="16"/>
                <w:szCs w:val="16"/>
              </w:rPr>
              <w:t>Partida informativa:</w:t>
            </w:r>
          </w:p>
          <w:p w14:paraId="5FF56EB2" w14:textId="77777777" w:rsidR="006A1EAE" w:rsidRPr="00062207" w:rsidRDefault="006A1EAE" w:rsidP="00EE3A5F">
            <w:pPr>
              <w:jc w:val="both"/>
              <w:rPr>
                <w:rFonts w:ascii="Times New Roman" w:hAnsi="Times New Roman" w:cs="Times New Roman"/>
                <w:sz w:val="16"/>
                <w:szCs w:val="16"/>
              </w:rPr>
            </w:pPr>
            <w:r w:rsidRPr="00062207">
              <w:rPr>
                <w:rFonts w:ascii="Times New Roman" w:hAnsi="Times New Roman" w:cs="Times New Roman"/>
                <w:sz w:val="16"/>
                <w:szCs w:val="16"/>
              </w:rPr>
              <w:t>Países en desarrollo de bajo ingreso</w:t>
            </w:r>
          </w:p>
        </w:tc>
        <w:tc>
          <w:tcPr>
            <w:tcW w:w="1134" w:type="dxa"/>
            <w:vAlign w:val="center"/>
          </w:tcPr>
          <w:p w14:paraId="65A47B27"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5.1</w:t>
            </w:r>
          </w:p>
        </w:tc>
        <w:tc>
          <w:tcPr>
            <w:tcW w:w="1134" w:type="dxa"/>
            <w:vAlign w:val="center"/>
          </w:tcPr>
          <w:p w14:paraId="721574DC"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6.9</w:t>
            </w:r>
          </w:p>
        </w:tc>
        <w:tc>
          <w:tcPr>
            <w:tcW w:w="1134" w:type="dxa"/>
            <w:vAlign w:val="center"/>
          </w:tcPr>
          <w:p w14:paraId="3C311921"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6.7</w:t>
            </w:r>
          </w:p>
        </w:tc>
        <w:tc>
          <w:tcPr>
            <w:tcW w:w="1105" w:type="dxa"/>
            <w:vAlign w:val="center"/>
          </w:tcPr>
          <w:p w14:paraId="429DCE8C" w14:textId="77777777" w:rsidR="006A1EAE" w:rsidRPr="00062207" w:rsidRDefault="006A1EAE" w:rsidP="00EE3A5F">
            <w:pPr>
              <w:jc w:val="center"/>
              <w:rPr>
                <w:rFonts w:ascii="Times New Roman" w:hAnsi="Times New Roman" w:cs="Times New Roman"/>
                <w:sz w:val="16"/>
                <w:szCs w:val="16"/>
              </w:rPr>
            </w:pPr>
            <w:r w:rsidRPr="00062207">
              <w:rPr>
                <w:rFonts w:ascii="Times New Roman" w:hAnsi="Times New Roman" w:cs="Times New Roman"/>
                <w:sz w:val="16"/>
                <w:szCs w:val="16"/>
              </w:rPr>
              <w:t>6.8</w:t>
            </w:r>
          </w:p>
        </w:tc>
      </w:tr>
    </w:tbl>
    <w:p w14:paraId="14E7CE45" w14:textId="1829F34D" w:rsidR="006A1EAE" w:rsidRPr="00062207" w:rsidRDefault="006A1EAE" w:rsidP="006A1EAE">
      <w:pPr>
        <w:jc w:val="both"/>
        <w:rPr>
          <w:rFonts w:ascii="Times New Roman" w:hAnsi="Times New Roman" w:cs="Times New Roman"/>
          <w:sz w:val="22"/>
          <w:szCs w:val="22"/>
        </w:rPr>
      </w:pPr>
      <w:r w:rsidRPr="00062207">
        <w:rPr>
          <w:rFonts w:ascii="Times New Roman" w:hAnsi="Times New Roman" w:cs="Times New Roman"/>
          <w:sz w:val="16"/>
        </w:rPr>
        <w:t xml:space="preserve">                Fuente:  FMI, actualización de las Perspectivas de la economía mundial, enero 2021, abril 2021, octubre 2021 y enero de 2022.</w:t>
      </w:r>
    </w:p>
    <w:p w14:paraId="1BE0E1BE" w14:textId="77777777" w:rsidR="006A1EAE" w:rsidRPr="00062207" w:rsidRDefault="006A1EAE" w:rsidP="006A1EAE">
      <w:pPr>
        <w:jc w:val="both"/>
        <w:rPr>
          <w:rFonts w:ascii="Times New Roman" w:hAnsi="Times New Roman" w:cs="Times New Roman"/>
          <w:sz w:val="22"/>
          <w:szCs w:val="22"/>
        </w:rPr>
      </w:pPr>
      <w:r w:rsidRPr="00062207">
        <w:rPr>
          <w:rFonts w:ascii="Times New Roman" w:hAnsi="Times New Roman" w:cs="Times New Roman"/>
          <w:sz w:val="22"/>
          <w:szCs w:val="22"/>
        </w:rPr>
        <w:lastRenderedPageBreak/>
        <w:t>Los principales factores relevantes que acontecieron a lo largo del 2021 se pueden resumir en:</w:t>
      </w:r>
    </w:p>
    <w:p w14:paraId="1D41041A" w14:textId="77777777" w:rsidR="006A1EAE" w:rsidRPr="00062207" w:rsidRDefault="006A1EAE" w:rsidP="006A1EAE">
      <w:pPr>
        <w:pStyle w:val="Prrafodelista"/>
        <w:jc w:val="both"/>
        <w:rPr>
          <w:rFonts w:ascii="Times New Roman" w:hAnsi="Times New Roman" w:cs="Times New Roman"/>
        </w:rPr>
      </w:pPr>
    </w:p>
    <w:p w14:paraId="62471742" w14:textId="77777777" w:rsidR="006A1EAE" w:rsidRPr="00062207" w:rsidRDefault="006A1EAE" w:rsidP="006A1EAE">
      <w:pPr>
        <w:pStyle w:val="Prrafodelista"/>
        <w:numPr>
          <w:ilvl w:val="0"/>
          <w:numId w:val="17"/>
        </w:numPr>
        <w:jc w:val="both"/>
        <w:rPr>
          <w:rFonts w:ascii="Times New Roman" w:hAnsi="Times New Roman" w:cs="Times New Roman"/>
        </w:rPr>
      </w:pPr>
      <w:r w:rsidRPr="00062207">
        <w:rPr>
          <w:rFonts w:ascii="Times New Roman" w:hAnsi="Times New Roman" w:cs="Times New Roman"/>
        </w:rPr>
        <w:t>La pandemia y en el endeudamiento global.  Las cargas de la deuda en los mercados emergentes y las economías en desarrollo han aumentado durante la pandemia, el desafío se agudiza en los países de ingreso bajo, cuando la mitad de ellos continúan en una situación crítica causada por el sobreendeudamiento o en alto riesgo de estarlo antes de la aparición de la COVID-19. Esto se produce después de una década en la que se ha observado la expansión más rápida, más grande y más amplia de los niveles de deuda en todo el mundo.  Los registros disponibles públicamente sobre el volumen de la deuda de los países de ingreso bajo dan lugar a variaciones que pueden alcanzar hasta el 30 % del PIB de un país, debido a las divergencias en las definiciones y normas locales e internacionales.</w:t>
      </w:r>
    </w:p>
    <w:p w14:paraId="5C54398F" w14:textId="77777777" w:rsidR="006A1EAE" w:rsidRPr="00062207" w:rsidRDefault="006A1EAE" w:rsidP="006A1EAE">
      <w:pPr>
        <w:pStyle w:val="Prrafodelista"/>
        <w:jc w:val="both"/>
        <w:rPr>
          <w:rFonts w:ascii="Times New Roman" w:hAnsi="Times New Roman" w:cs="Times New Roman"/>
        </w:rPr>
      </w:pPr>
    </w:p>
    <w:p w14:paraId="26310316" w14:textId="77777777" w:rsidR="006A1EAE" w:rsidRPr="00062207" w:rsidRDefault="006A1EAE" w:rsidP="006A1EAE">
      <w:pPr>
        <w:pStyle w:val="Prrafodelista"/>
        <w:numPr>
          <w:ilvl w:val="0"/>
          <w:numId w:val="17"/>
        </w:numPr>
        <w:jc w:val="both"/>
        <w:rPr>
          <w:rFonts w:ascii="Times New Roman" w:hAnsi="Times New Roman" w:cs="Times New Roman"/>
        </w:rPr>
      </w:pPr>
      <w:r w:rsidRPr="00062207">
        <w:rPr>
          <w:rFonts w:ascii="Times New Roman" w:hAnsi="Times New Roman" w:cs="Times New Roman"/>
        </w:rPr>
        <w:t>La crisis desatada por el Covid-19 continúa afectando millones de empleos en 2021. La Organización Internacional del Trabajo estimó que se habrán perdido 125 millones de empleos de tiempo completo, o un 4.3% de las horas trabajadas, tomando como referencia el cierre de 2019, es decir el nivel previo a la pandemia de COVID-19, y muestra grandes diferencias entre los países de mayores y menores ingresos.  En los países de ingresos altos estima una recuperación más sólida, aunque no plena, al alcanzarse en el cuarto trimestre de 2021 una cantidad de horas de trabajo 3.6% inferior al referente de 2019.  Por otro lado, en las economías de renta baja o media baja, en las que el índice de vacunación es menor y existen incentivos fiscales limitados, la recuperación encuentra más obstáculos. En los países de ingresos bajos las horas trabajadas retrocedieron un 5.7%; y en las naciones de ingresos medios bajos, la pérdida fue de un 7.4%.</w:t>
      </w:r>
    </w:p>
    <w:p w14:paraId="41501831" w14:textId="77777777" w:rsidR="006A1EAE" w:rsidRPr="00062207" w:rsidRDefault="006A1EAE" w:rsidP="006A1EAE">
      <w:pPr>
        <w:rPr>
          <w:rFonts w:ascii="Times New Roman" w:hAnsi="Times New Roman" w:cs="Times New Roman"/>
        </w:rPr>
      </w:pPr>
    </w:p>
    <w:p w14:paraId="38BCE84B" w14:textId="77777777" w:rsidR="006A1EAE" w:rsidRPr="00062207" w:rsidRDefault="006A1EAE" w:rsidP="006A1EAE">
      <w:pPr>
        <w:pStyle w:val="Prrafodelista"/>
        <w:numPr>
          <w:ilvl w:val="0"/>
          <w:numId w:val="17"/>
        </w:numPr>
        <w:jc w:val="both"/>
        <w:rPr>
          <w:rFonts w:ascii="Times New Roman" w:hAnsi="Times New Roman" w:cs="Times New Roman"/>
        </w:rPr>
      </w:pPr>
      <w:r w:rsidRPr="00062207">
        <w:rPr>
          <w:rFonts w:ascii="Times New Roman" w:hAnsi="Times New Roman" w:cs="Times New Roman"/>
        </w:rPr>
        <w:t>Remesas. Por segundo año consecutivo, se prevé que los flujos de remesas a los países de ingreso bajo y mediano (sin incluir a China) superen la suma de la inversión extranjera directa (IED) y la asistencia externa para el desarrollo. Esto resalta la importancia de las remesas como medio de sustento vital que permite a los hogares cubrir sus gastos esenciales relacionados con la alimentación, la salud y la educación durante los períodos de dificultades económicas en los países de origen de los migrantes, principalmente a los hogares que enfrentan mayores dificultades económicas durante la crisis del COVID-19.  Algunos factores que han contribuido al sólido crecimiento de las remesas, aparte de la determinación de los migrantes de ayudar a sus familias, se atribuyen a la recuperación económica en Europa y Estados Unidos, que a su vez fue respaldada por los estímulos fiscales y los programas de promoción del empleo. En los países del Consejo de Cooperación del Golfo (CCG) y en Rusia, el repunte de las remesas al exterior también obedeció al aumento de los precios del petróleo y la recuperación económica que eso trajo consigo.  Según la CEPAL, los flujos de remesas con destino a América Latina y el Caribe probablemente alcancen un sólido crecimiento del 21.6% con respecto a 2020. México, el principal receptor de remesas de la región, recibió un 42% (US$ 52 700 millones) del total de la región. El valor de las remesas como porcentaje del PIB excede el 20% en varias de las economías más pequeñas: El Salvador (26.2%), Honduras (26.6%), Jamaica (23.6%) y Guatemala (18.0%).</w:t>
      </w:r>
    </w:p>
    <w:p w14:paraId="42284C94" w14:textId="77777777" w:rsidR="006A1EAE" w:rsidRPr="00062207" w:rsidRDefault="006A1EAE" w:rsidP="006A1EAE">
      <w:pPr>
        <w:pStyle w:val="Prrafodelista"/>
        <w:jc w:val="both"/>
        <w:rPr>
          <w:rFonts w:ascii="Times New Roman" w:hAnsi="Times New Roman" w:cs="Times New Roman"/>
        </w:rPr>
      </w:pPr>
    </w:p>
    <w:p w14:paraId="1F0EA09C" w14:textId="77777777" w:rsidR="006A1EAE" w:rsidRPr="00062207" w:rsidRDefault="006A1EAE" w:rsidP="006A1EAE">
      <w:pPr>
        <w:pStyle w:val="Prrafodelista"/>
        <w:numPr>
          <w:ilvl w:val="0"/>
          <w:numId w:val="17"/>
        </w:numPr>
        <w:jc w:val="both"/>
        <w:rPr>
          <w:rFonts w:ascii="Times New Roman" w:hAnsi="Times New Roman" w:cs="Times New Roman"/>
        </w:rPr>
      </w:pPr>
      <w:r w:rsidRPr="00062207">
        <w:rPr>
          <w:rFonts w:ascii="Times New Roman" w:hAnsi="Times New Roman" w:cs="Times New Roman"/>
        </w:rPr>
        <w:t xml:space="preserve">Pobreza. Pese a la recuperación económica experimentada en 2021, los niveles relativos y absolutos estimados de pobreza y de pobreza extrema se han mantenido por encima de los registrados en 2019, lo que refleja la continuación de la crisis social. La crisis también ha puesto en evidencia la vulnerabilidad en que vive buena parte de la población en los estratos de ingresos medios, caracterizados por bajos niveles de cotización a la protección social contributiva y muy baja cobertura de la protección social no contributiva.  Uno de los impactos devastadores del COVID-19 en los países de menor ingreso y más vulnerabilidad se puede ver en el campo de la educación, según el Banco Mundial, debido a los prolongados cierres de las escuelas y a los resultados de </w:t>
      </w:r>
      <w:r w:rsidRPr="00062207">
        <w:rPr>
          <w:rFonts w:ascii="Times New Roman" w:hAnsi="Times New Roman" w:cs="Times New Roman"/>
        </w:rPr>
        <w:lastRenderedPageBreak/>
        <w:t>aprendizaje deficientes, el aumento de la pobreza de aprendizaje podría llegar al 70% en los países de ingreso bajo y mediano.</w:t>
      </w:r>
    </w:p>
    <w:p w14:paraId="0F344828" w14:textId="77777777" w:rsidR="006A1EAE" w:rsidRPr="00062207" w:rsidRDefault="006A1EAE" w:rsidP="006A1EAE">
      <w:pPr>
        <w:pStyle w:val="Prrafodelista"/>
        <w:rPr>
          <w:rFonts w:ascii="Times New Roman" w:hAnsi="Times New Roman" w:cs="Times New Roman"/>
        </w:rPr>
      </w:pPr>
    </w:p>
    <w:p w14:paraId="63C0E4F2" w14:textId="77777777" w:rsidR="006A1EAE" w:rsidRPr="00062207" w:rsidRDefault="006A1EAE" w:rsidP="006A1EAE">
      <w:pPr>
        <w:pStyle w:val="Prrafodelista"/>
        <w:numPr>
          <w:ilvl w:val="0"/>
          <w:numId w:val="17"/>
        </w:numPr>
        <w:jc w:val="both"/>
        <w:rPr>
          <w:rFonts w:ascii="Times New Roman" w:hAnsi="Times New Roman" w:cs="Times New Roman"/>
        </w:rPr>
      </w:pPr>
      <w:r w:rsidRPr="00062207">
        <w:rPr>
          <w:rFonts w:ascii="Times New Roman" w:hAnsi="Times New Roman" w:cs="Times New Roman"/>
        </w:rPr>
        <w:t>Los flujos mundiales de inversión extranjera directa (IED) mostraron un fuerte repunte en 2021, ubicándose en 77% (un estimado de US$ 1.65 billones, desde US$ 929 mil millones en 2020) con respecto al año anterior, superando su nivel anterior a COVID-19.  Las economías desarrolladas experimentaron el mayor aumento, donde la IED alcanzó un estimado de US$ 777 mil millones en 2021, tres veces el nivel excepcionalmente bajo en 2020, según el informe de UNCTAD.  Las entradas de IED en los Estados Unidos se duplicaron con creces, y el aumento se debió en su totalidad a un aumento en las fusiones y adquisiciones transfronterizas.  Las entradas de IED en las economías en desarrollo aumentaron un 30% a casi US$870.000 millones, con una aceleración del crecimiento en Asia oriental y sudoriental (+20%), una recuperación a niveles cercanos a los anteriores a la pandemia en América Latina y el Caribe, y un repunte en Asia occidental.</w:t>
      </w:r>
    </w:p>
    <w:p w14:paraId="7A1BFD83" w14:textId="77777777" w:rsidR="006A1EAE" w:rsidRPr="00062207" w:rsidRDefault="006A1EAE" w:rsidP="006A1EAE">
      <w:pPr>
        <w:jc w:val="both"/>
        <w:rPr>
          <w:rFonts w:ascii="Times New Roman" w:hAnsi="Times New Roman" w:cs="Times New Roman"/>
        </w:rPr>
      </w:pPr>
    </w:p>
    <w:p w14:paraId="1ED9967C" w14:textId="77777777" w:rsidR="006A1EAE" w:rsidRPr="00062207" w:rsidRDefault="006A1EAE" w:rsidP="006A1EAE">
      <w:pPr>
        <w:pStyle w:val="Ttulo2"/>
        <w:numPr>
          <w:ilvl w:val="1"/>
          <w:numId w:val="16"/>
        </w:numPr>
        <w:spacing w:before="0"/>
        <w:ind w:left="567"/>
        <w:rPr>
          <w:rFonts w:ascii="Times New Roman" w:hAnsi="Times New Roman" w:cs="Times New Roman"/>
          <w:color w:val="auto"/>
          <w:sz w:val="24"/>
        </w:rPr>
      </w:pPr>
      <w:bookmarkStart w:id="263" w:name="_Toc93398037"/>
      <w:bookmarkStart w:id="264" w:name="_Toc94259661"/>
      <w:r w:rsidRPr="00062207">
        <w:rPr>
          <w:rFonts w:ascii="Times New Roman" w:hAnsi="Times New Roman" w:cs="Times New Roman"/>
          <w:color w:val="auto"/>
          <w:sz w:val="24"/>
        </w:rPr>
        <w:t>Desempeño económico de los principales socios comerciales</w:t>
      </w:r>
      <w:bookmarkEnd w:id="263"/>
      <w:bookmarkEnd w:id="264"/>
    </w:p>
    <w:p w14:paraId="1C6ECB52" w14:textId="77777777" w:rsidR="006A1EAE" w:rsidRPr="00062207" w:rsidRDefault="006A1EAE" w:rsidP="006A1EAE">
      <w:pPr>
        <w:rPr>
          <w:sz w:val="22"/>
          <w:szCs w:val="22"/>
        </w:rPr>
      </w:pPr>
    </w:p>
    <w:p w14:paraId="617ACC13" w14:textId="62DAB051" w:rsidR="006A1EAE" w:rsidRPr="00062207" w:rsidRDefault="0081305A" w:rsidP="0081305A">
      <w:pPr>
        <w:pStyle w:val="Prrafodelista"/>
        <w:numPr>
          <w:ilvl w:val="0"/>
          <w:numId w:val="17"/>
        </w:numPr>
        <w:jc w:val="both"/>
        <w:rPr>
          <w:rFonts w:ascii="Times New Roman" w:hAnsi="Times New Roman" w:cs="Times New Roman"/>
        </w:rPr>
      </w:pPr>
      <w:r w:rsidRPr="00062207">
        <w:rPr>
          <w:rFonts w:ascii="Times New Roman" w:hAnsi="Times New Roman" w:cs="Times New Roman"/>
        </w:rPr>
        <w:t>Estados Unidos. Durante el 2021 su economía creció 5.7%, un dato que refleja la recuperación de</w:t>
      </w:r>
      <w:r w:rsidR="006A1EAE" w:rsidRPr="00062207">
        <w:rPr>
          <w:rFonts w:ascii="Times New Roman" w:hAnsi="Times New Roman" w:cs="Times New Roman"/>
        </w:rPr>
        <w:t xml:space="preserve"> las disrupciones provocadas por la llegada de la pandemia de Covid-19</w:t>
      </w:r>
      <w:r w:rsidRPr="00062207">
        <w:rPr>
          <w:rFonts w:ascii="Times New Roman" w:hAnsi="Times New Roman" w:cs="Times New Roman"/>
        </w:rPr>
        <w:t xml:space="preserve"> en 2020 cuando mostró una contracción de 3.4%, la mayor caída en 74 años.</w:t>
      </w:r>
      <w:r w:rsidR="006A1EAE" w:rsidRPr="00062207">
        <w:rPr>
          <w:rFonts w:ascii="Times New Roman" w:hAnsi="Times New Roman" w:cs="Times New Roman"/>
        </w:rPr>
        <w:t xml:space="preserve"> </w:t>
      </w:r>
      <w:r w:rsidRPr="00062207">
        <w:rPr>
          <w:rFonts w:ascii="Times New Roman" w:hAnsi="Times New Roman" w:cs="Times New Roman"/>
        </w:rPr>
        <w:t>La economía de Estados Unidos recuperó tracción con fuerza en los últimos tres meses de 2021, en un año marcado por el crecimiento más vigoroso desde 1984, pese al parón sufrido en el tercer trimestre por el impacto de la variante delta y el atasco global en las cadenas de suministro a nivel global. El crecimiento anual ha superado incluso las expectativas de la Reserva Federal (Fed) y del FMI, que preveían una subida del 5.5%, y el 5.6%, respectivamente. Dicha recuperación económica se debe a incrementos en el gasto de los hogares, la inversión de las empresas, exportaciones, la expansión del mercado inmobiliario y el gasto en inventarios, que compensaron parcialmente la caída de las inversiones públicas, tanto de la Administración federal como de los gobiernos estatales y locales.</w:t>
      </w:r>
    </w:p>
    <w:p w14:paraId="24BF5538" w14:textId="3B4900EC" w:rsidR="006A1EAE" w:rsidRPr="00062207" w:rsidRDefault="006A1EAE" w:rsidP="006A1EAE">
      <w:pPr>
        <w:jc w:val="both"/>
        <w:rPr>
          <w:rFonts w:ascii="Times New Roman" w:hAnsi="Times New Roman" w:cs="Times New Roman"/>
          <w:sz w:val="22"/>
          <w:szCs w:val="22"/>
        </w:rPr>
      </w:pPr>
    </w:p>
    <w:p w14:paraId="5B350B7A" w14:textId="23A89D1D" w:rsidR="006A1EAE" w:rsidRPr="00062207" w:rsidRDefault="006A1EAE" w:rsidP="000676DE">
      <w:pPr>
        <w:pStyle w:val="Prrafodelista"/>
        <w:numPr>
          <w:ilvl w:val="0"/>
          <w:numId w:val="17"/>
        </w:numPr>
        <w:jc w:val="both"/>
        <w:rPr>
          <w:rFonts w:ascii="Times New Roman" w:hAnsi="Times New Roman" w:cs="Times New Roman"/>
        </w:rPr>
      </w:pPr>
      <w:r w:rsidRPr="00062207">
        <w:rPr>
          <w:rFonts w:ascii="Times New Roman" w:hAnsi="Times New Roman" w:cs="Times New Roman"/>
        </w:rPr>
        <w:t xml:space="preserve">China.  </w:t>
      </w:r>
      <w:r w:rsidR="000676DE" w:rsidRPr="00062207">
        <w:rPr>
          <w:rFonts w:ascii="Times New Roman" w:hAnsi="Times New Roman" w:cs="Times New Roman"/>
        </w:rPr>
        <w:t>La economía china creció un 4% en el cuarto trimestre de 2021, por encima de las previsiones de los analistas (en torno al 3.3%) pero a su menor ritmo en 18 meses, sobrecargada por factores como la crisis de la promotora Evergrande y sus ecos en el resto del sector inmobiliario, los apagones en núcleos industriales, los efectos de medidas reguladoras en las áreas tecnológicas, financieras y del entretenimiento, y nuevos brotes del virus.  En todo el 2021 la economía se expandió un 8.1%.  China fue el país que primero comenzó a recobrarse de la pandemia y la única gran economía mundial que creció en 2020, pero la recuperación perdió vigor en la segunda mitad de 2021, después de haber registrado un crecimiento interanual en el primer trimestre del 18.3%.  La expansión del PIB se debe, sobre todo, al crecimiento del comercio exterior, donde China ha registrado un superávit de US$676,400 millones, arriba de un 30% con respecto al año anterior. Las exportaciones y las importaciones aumentaron también en torno al 30%; solo las ventas al exterior han representado un 20.9% del crecimiento del PIB, según información de la Oficina Nacional de Estadística (ONE).</w:t>
      </w:r>
    </w:p>
    <w:p w14:paraId="1D0621C3" w14:textId="77777777" w:rsidR="006A1EAE" w:rsidRPr="00062207" w:rsidRDefault="006A1EAE" w:rsidP="006A1EAE">
      <w:pPr>
        <w:jc w:val="both"/>
        <w:rPr>
          <w:rFonts w:ascii="Times New Roman" w:hAnsi="Times New Roman" w:cs="Times New Roman"/>
          <w:sz w:val="22"/>
          <w:szCs w:val="22"/>
          <w:lang w:val="es-GT"/>
        </w:rPr>
      </w:pPr>
    </w:p>
    <w:p w14:paraId="0F49F289" w14:textId="509A3526" w:rsidR="006A1EAE" w:rsidRPr="00062207" w:rsidRDefault="006A1EAE" w:rsidP="00134CEB">
      <w:pPr>
        <w:pStyle w:val="Prrafodelista"/>
        <w:numPr>
          <w:ilvl w:val="0"/>
          <w:numId w:val="17"/>
        </w:numPr>
        <w:jc w:val="both"/>
        <w:rPr>
          <w:rFonts w:ascii="Times New Roman" w:hAnsi="Times New Roman" w:cs="Times New Roman"/>
        </w:rPr>
      </w:pPr>
      <w:r w:rsidRPr="00062207">
        <w:rPr>
          <w:rFonts w:ascii="Times New Roman" w:hAnsi="Times New Roman" w:cs="Times New Roman"/>
        </w:rPr>
        <w:t xml:space="preserve">Latinoamérica.  </w:t>
      </w:r>
      <w:r w:rsidR="008C3540" w:rsidRPr="00062207">
        <w:rPr>
          <w:rFonts w:ascii="Times New Roman" w:hAnsi="Times New Roman" w:cs="Times New Roman"/>
        </w:rPr>
        <w:t xml:space="preserve">La región de América Latina y el Caribe mostró un crecimiento en 2021 de 6.2% promedio, en un contexto de de importantes asimetrías entre los países desarrollados, emergentes y en desarrollo sobre la capacidad de implementar políticas fiscales, sociales, monetarias, de salud y vacunación para una recuperación sostenible de la crisis desatada por la pandemia de COVID-19, según la CEPAL.  El Banco Mundial por su parte, considera que </w:t>
      </w:r>
      <w:r w:rsidR="00134CEB" w:rsidRPr="00062207">
        <w:rPr>
          <w:rFonts w:ascii="Times New Roman" w:hAnsi="Times New Roman" w:cs="Times New Roman"/>
        </w:rPr>
        <w:t>América Latina y el Caribe</w:t>
      </w:r>
      <w:r w:rsidR="008C3540" w:rsidRPr="00062207">
        <w:rPr>
          <w:rFonts w:ascii="Times New Roman" w:hAnsi="Times New Roman" w:cs="Times New Roman"/>
        </w:rPr>
        <w:t xml:space="preserve"> es la región más golpeada por la pandemia. La fuerte contracción producto de la crisis sanitaria ha tenido enormes costos económicos y sociales, ya que llegó después de varios años de un débil desempeño, con un bajo crecimiento promedio y progreso limitado en los indicadores sociales, y tras un periodo </w:t>
      </w:r>
      <w:r w:rsidR="008C3540" w:rsidRPr="00062207">
        <w:rPr>
          <w:rFonts w:ascii="Times New Roman" w:hAnsi="Times New Roman" w:cs="Times New Roman"/>
        </w:rPr>
        <w:lastRenderedPageBreak/>
        <w:t>de agitación social que sacudió a algunos países a finales de 2019.</w:t>
      </w:r>
      <w:r w:rsidR="00134CEB" w:rsidRPr="00062207">
        <w:rPr>
          <w:rFonts w:ascii="Times New Roman" w:hAnsi="Times New Roman" w:cs="Times New Roman"/>
        </w:rPr>
        <w:t xml:space="preserve">  Si bien se prevé que el crecimiento regional se recupere un 6.3% en 2021, junto a una aceleración de la vacunación y una caída en las muertes por COVID-19, la mayoría de los países no logrará revertir del todo la contracción del 6.7% que tuvo lugar en 2020.</w:t>
      </w:r>
    </w:p>
    <w:p w14:paraId="4FDB64A6" w14:textId="77777777" w:rsidR="006151D7" w:rsidRPr="00062207" w:rsidRDefault="006151D7" w:rsidP="006151D7">
      <w:pPr>
        <w:pStyle w:val="Prrafodelista"/>
        <w:rPr>
          <w:rFonts w:ascii="Times New Roman" w:hAnsi="Times New Roman" w:cs="Times New Roman"/>
        </w:rPr>
      </w:pPr>
    </w:p>
    <w:p w14:paraId="246B5D21" w14:textId="22D578E7" w:rsidR="006151D7" w:rsidRPr="00062207" w:rsidRDefault="006151D7" w:rsidP="006151D7">
      <w:pPr>
        <w:pStyle w:val="Prrafodelista"/>
        <w:numPr>
          <w:ilvl w:val="0"/>
          <w:numId w:val="17"/>
        </w:numPr>
        <w:jc w:val="both"/>
        <w:rPr>
          <w:rFonts w:ascii="Times New Roman" w:hAnsi="Times New Roman" w:cs="Times New Roman"/>
        </w:rPr>
      </w:pPr>
      <w:r w:rsidRPr="00062207">
        <w:rPr>
          <w:rFonts w:ascii="Times New Roman" w:hAnsi="Times New Roman" w:cs="Times New Roman"/>
        </w:rPr>
        <w:t xml:space="preserve">México. La economía mexicana se reactivó este 2021 anclada al comercio exterior, sobre todo con Estados Unidos, pero sigue lejos la recuperación del nivel pre pandemia ante una inflación histórica y la incertidumbre existente para las inversiones. El Gobierno espera para 2021 un repunte mayor al 6% del producto interno bruto (PIB) a pesar de que los pronósticos se vieron nublados por la contracción trimestral de 0.4% del PIB entre julio y septiembre, pero, aunque se cumpla este pronóstico optimista, sería insuficiente para contrarrestar la contracción histórica de 8.2% de 2020 causada por la crisis del Covid-19. </w:t>
      </w:r>
    </w:p>
    <w:p w14:paraId="22EA2A31" w14:textId="77777777" w:rsidR="006A1EAE" w:rsidRPr="00062207" w:rsidRDefault="006A1EAE" w:rsidP="006A1EAE">
      <w:pPr>
        <w:jc w:val="both"/>
        <w:rPr>
          <w:rFonts w:ascii="Times New Roman" w:hAnsi="Times New Roman" w:cs="Times New Roman"/>
          <w:sz w:val="22"/>
          <w:szCs w:val="22"/>
        </w:rPr>
      </w:pPr>
    </w:p>
    <w:p w14:paraId="0C616B07" w14:textId="77777777" w:rsidR="006A1EAE" w:rsidRPr="00062207" w:rsidRDefault="006A1EAE" w:rsidP="006A1EAE">
      <w:pPr>
        <w:pStyle w:val="Ttulo2"/>
        <w:numPr>
          <w:ilvl w:val="1"/>
          <w:numId w:val="16"/>
        </w:numPr>
        <w:spacing w:before="0"/>
        <w:ind w:left="567"/>
        <w:rPr>
          <w:rFonts w:ascii="Times New Roman" w:hAnsi="Times New Roman" w:cs="Times New Roman"/>
          <w:color w:val="auto"/>
          <w:sz w:val="24"/>
        </w:rPr>
      </w:pPr>
      <w:bookmarkStart w:id="265" w:name="_Toc534988245"/>
      <w:bookmarkStart w:id="266" w:name="_Toc93398038"/>
      <w:bookmarkStart w:id="267" w:name="_Toc94259662"/>
      <w:r w:rsidRPr="00062207">
        <w:rPr>
          <w:rFonts w:ascii="Times New Roman" w:hAnsi="Times New Roman" w:cs="Times New Roman"/>
          <w:color w:val="auto"/>
          <w:sz w:val="24"/>
        </w:rPr>
        <w:t>Principales indicadores Macroeconómicos y Fiscales de la región</w:t>
      </w:r>
      <w:bookmarkEnd w:id="265"/>
      <w:bookmarkEnd w:id="266"/>
      <w:bookmarkEnd w:id="267"/>
      <w:r w:rsidRPr="00062207">
        <w:rPr>
          <w:rFonts w:ascii="Times New Roman" w:hAnsi="Times New Roman" w:cs="Times New Roman"/>
          <w:color w:val="auto"/>
          <w:sz w:val="24"/>
        </w:rPr>
        <w:t xml:space="preserve"> </w:t>
      </w:r>
    </w:p>
    <w:p w14:paraId="10539B20" w14:textId="77777777" w:rsidR="006A1EAE" w:rsidRPr="00062207" w:rsidRDefault="006A1EAE" w:rsidP="006A1EAE"/>
    <w:p w14:paraId="7272DB36" w14:textId="4FFD4C84" w:rsidR="006A1EAE" w:rsidRPr="00062207" w:rsidRDefault="006A1EAE" w:rsidP="006A1EAE">
      <w:pPr>
        <w:jc w:val="both"/>
        <w:rPr>
          <w:rFonts w:ascii="Times New Roman" w:hAnsi="Times New Roman" w:cs="Times New Roman"/>
          <w:sz w:val="22"/>
        </w:rPr>
      </w:pPr>
      <w:r w:rsidRPr="00062207">
        <w:rPr>
          <w:rFonts w:ascii="Times New Roman" w:hAnsi="Times New Roman" w:cs="Times New Roman"/>
          <w:sz w:val="22"/>
        </w:rPr>
        <w:t>Los países de América Latina y el Caribe han enfrentado un escenario económico mundial complejo</w:t>
      </w:r>
      <w:r w:rsidR="00F359EA" w:rsidRPr="00062207">
        <w:rPr>
          <w:rFonts w:ascii="Times New Roman" w:hAnsi="Times New Roman" w:cs="Times New Roman"/>
          <w:sz w:val="22"/>
        </w:rPr>
        <w:t xml:space="preserve">, la CEPAL cataloga a la región como la más afectada por la pandemia.  </w:t>
      </w:r>
      <w:r w:rsidRPr="00062207">
        <w:rPr>
          <w:rFonts w:ascii="Times New Roman" w:hAnsi="Times New Roman" w:cs="Times New Roman"/>
          <w:sz w:val="22"/>
        </w:rPr>
        <w:t xml:space="preserve">La región </w:t>
      </w:r>
      <w:r w:rsidR="00F359EA" w:rsidRPr="00062207">
        <w:rPr>
          <w:rFonts w:ascii="Times New Roman" w:hAnsi="Times New Roman" w:cs="Times New Roman"/>
          <w:sz w:val="22"/>
        </w:rPr>
        <w:t xml:space="preserve">experimentó una desaceleración económica histórica en su </w:t>
      </w:r>
      <w:r w:rsidRPr="00062207">
        <w:rPr>
          <w:rFonts w:ascii="Times New Roman" w:hAnsi="Times New Roman" w:cs="Times New Roman"/>
          <w:sz w:val="22"/>
        </w:rPr>
        <w:t xml:space="preserve">Producto Interior Bruto (PIB) en más de un siglo, </w:t>
      </w:r>
      <w:r w:rsidR="00F359EA" w:rsidRPr="00062207">
        <w:rPr>
          <w:rFonts w:ascii="Times New Roman" w:hAnsi="Times New Roman" w:cs="Times New Roman"/>
          <w:sz w:val="22"/>
        </w:rPr>
        <w:t>al contraerse 7%.  A pesar de un aumento de 6% en 2021, no se espera que su PIB retorne a sus niveles anteriores a la crisis antes de 2023-2024, debido a que</w:t>
      </w:r>
      <w:r w:rsidRPr="00062207">
        <w:rPr>
          <w:rFonts w:ascii="Times New Roman" w:hAnsi="Times New Roman" w:cs="Times New Roman"/>
          <w:sz w:val="22"/>
        </w:rPr>
        <w:t xml:space="preserve"> en conjunto ya arrastraban unas tasas bajas de crecimiento económico que promediaron 0.3% entre 2014 y 2019 y apenas llegaron a 0.1% en 2019, lo que les colocaba en un difícil punto de partida cuando apareció el covid-19 en el horizonte</w:t>
      </w:r>
      <w:r w:rsidR="00F359EA" w:rsidRPr="00062207">
        <w:rPr>
          <w:rFonts w:ascii="Times New Roman" w:hAnsi="Times New Roman" w:cs="Times New Roman"/>
          <w:sz w:val="22"/>
        </w:rPr>
        <w:t xml:space="preserve">. La CEPAL considera que las respuestas nacionales a las consecuencias sanitarias y socioeconómicas de la crisis deben ir acompañadas de alianzas renovadas para la recuperación que sitúen la sostenibilidad, la resiliencia y el bienestar en su centro. </w:t>
      </w:r>
    </w:p>
    <w:p w14:paraId="3B50967C" w14:textId="77777777" w:rsidR="006A1EAE" w:rsidRPr="00062207" w:rsidRDefault="006A1EAE" w:rsidP="006A1EAE">
      <w:pPr>
        <w:rPr>
          <w:rFonts w:ascii="Times New Roman" w:hAnsi="Times New Roman" w:cs="Times New Roman"/>
        </w:rPr>
      </w:pPr>
    </w:p>
    <w:p w14:paraId="1DA9F43B" w14:textId="77777777" w:rsidR="006A1EAE" w:rsidRPr="00062207" w:rsidRDefault="006A1EAE" w:rsidP="006A1EAE">
      <w:pPr>
        <w:jc w:val="center"/>
        <w:rPr>
          <w:rFonts w:ascii="Times New Roman" w:hAnsi="Times New Roman" w:cs="Times New Roman"/>
          <w:b/>
        </w:rPr>
      </w:pPr>
      <w:r w:rsidRPr="00062207">
        <w:rPr>
          <w:rFonts w:ascii="Times New Roman" w:hAnsi="Times New Roman" w:cs="Times New Roman"/>
          <w:b/>
        </w:rPr>
        <w:t>Principales indicadores Macroeconómicos y Fiscales de la región</w:t>
      </w:r>
    </w:p>
    <w:p w14:paraId="1C0B4577" w14:textId="77777777" w:rsidR="006A1EAE" w:rsidRPr="00062207" w:rsidRDefault="006A1EAE" w:rsidP="006A1EAE">
      <w:pPr>
        <w:jc w:val="center"/>
        <w:rPr>
          <w:rFonts w:ascii="Times New Roman" w:hAnsi="Times New Roman" w:cs="Times New Roman"/>
          <w:sz w:val="18"/>
        </w:rPr>
      </w:pPr>
      <w:r w:rsidRPr="00062207">
        <w:rPr>
          <w:rFonts w:ascii="Times New Roman" w:hAnsi="Times New Roman" w:cs="Times New Roman"/>
          <w:sz w:val="18"/>
        </w:rPr>
        <w:t>Millones de US$ y variación interanual</w:t>
      </w:r>
    </w:p>
    <w:p w14:paraId="51DFE7E7" w14:textId="05207672" w:rsidR="006A1EAE" w:rsidRPr="00062207" w:rsidRDefault="003367BA" w:rsidP="003367BA">
      <w:pPr>
        <w:jc w:val="center"/>
        <w:rPr>
          <w:rFonts w:ascii="Times New Roman" w:hAnsi="Times New Roman" w:cs="Times New Roman"/>
          <w:sz w:val="12"/>
        </w:rPr>
      </w:pPr>
      <w:r w:rsidRPr="003367BA">
        <w:rPr>
          <w:rFonts w:ascii="Times New Roman" w:hAnsi="Times New Roman" w:cs="Times New Roman"/>
          <w:sz w:val="18"/>
        </w:rPr>
        <w:t>Cifras a diciembre 2021, actualización en febrero de 2022</w:t>
      </w:r>
    </w:p>
    <w:p w14:paraId="15D07B56" w14:textId="55C70975" w:rsidR="006A1EAE" w:rsidRPr="00062207" w:rsidRDefault="003367BA" w:rsidP="006A1EAE">
      <w:pPr>
        <w:jc w:val="center"/>
        <w:rPr>
          <w:rFonts w:ascii="Times New Roman" w:hAnsi="Times New Roman" w:cs="Times New Roman"/>
          <w:lang w:val="es-GT"/>
        </w:rPr>
      </w:pPr>
      <w:r w:rsidRPr="003367BA">
        <w:drawing>
          <wp:inline distT="0" distB="0" distL="0" distR="0" wp14:anchorId="64FA748D" wp14:editId="5D550CA2">
            <wp:extent cx="5971540" cy="3120222"/>
            <wp:effectExtent l="0" t="0" r="0" b="444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71540" cy="3120222"/>
                    </a:xfrm>
                    <a:prstGeom prst="rect">
                      <a:avLst/>
                    </a:prstGeom>
                    <a:noFill/>
                    <a:ln>
                      <a:noFill/>
                    </a:ln>
                  </pic:spPr>
                </pic:pic>
              </a:graphicData>
            </a:graphic>
          </wp:inline>
        </w:drawing>
      </w:r>
      <w:bookmarkStart w:id="268" w:name="_GoBack"/>
      <w:bookmarkEnd w:id="268"/>
    </w:p>
    <w:p w14:paraId="2E098BA2" w14:textId="0A703603" w:rsidR="001B0A72" w:rsidRPr="00062207" w:rsidRDefault="006A1EAE" w:rsidP="00640FCE">
      <w:pPr>
        <w:rPr>
          <w:rFonts w:ascii="Times New Roman" w:hAnsi="Times New Roman" w:cs="Times New Roman"/>
          <w:sz w:val="16"/>
          <w:lang w:val="es-GT"/>
        </w:rPr>
      </w:pPr>
      <w:r w:rsidRPr="00062207">
        <w:rPr>
          <w:rFonts w:ascii="Times New Roman" w:hAnsi="Times New Roman" w:cs="Times New Roman"/>
          <w:sz w:val="16"/>
          <w:lang w:val="es-GT"/>
        </w:rPr>
        <w:t>Fuente: Dirección de Análisis y Política Fiscal con base a información de Banco Central de cada país, Consejo Monetario Centroamericano.</w:t>
      </w:r>
    </w:p>
    <w:p w14:paraId="2CC203F7" w14:textId="09D69CFF" w:rsidR="00640FCE" w:rsidRPr="00062207" w:rsidRDefault="00640FCE" w:rsidP="006A1EAE">
      <w:pPr>
        <w:pStyle w:val="Ttulo2"/>
        <w:numPr>
          <w:ilvl w:val="1"/>
          <w:numId w:val="16"/>
        </w:numPr>
        <w:spacing w:before="0"/>
        <w:ind w:left="567"/>
        <w:rPr>
          <w:rFonts w:ascii="Times New Roman" w:hAnsi="Times New Roman" w:cs="Times New Roman"/>
          <w:color w:val="auto"/>
          <w:sz w:val="24"/>
        </w:rPr>
      </w:pPr>
      <w:bookmarkStart w:id="269" w:name="_Toc94259663"/>
      <w:r w:rsidRPr="00062207">
        <w:rPr>
          <w:rFonts w:ascii="Times New Roman" w:hAnsi="Times New Roman" w:cs="Times New Roman"/>
          <w:color w:val="auto"/>
          <w:sz w:val="24"/>
        </w:rPr>
        <w:lastRenderedPageBreak/>
        <w:t xml:space="preserve">Entorno macroeconómico </w:t>
      </w:r>
      <w:r w:rsidR="000A715B" w:rsidRPr="00062207">
        <w:rPr>
          <w:rFonts w:ascii="Times New Roman" w:hAnsi="Times New Roman" w:cs="Times New Roman"/>
          <w:color w:val="auto"/>
          <w:sz w:val="24"/>
        </w:rPr>
        <w:t>Interno</w:t>
      </w:r>
      <w:r w:rsidR="001B0A72" w:rsidRPr="00062207">
        <w:rPr>
          <w:rFonts w:ascii="Times New Roman" w:hAnsi="Times New Roman" w:cs="Times New Roman"/>
          <w:color w:val="auto"/>
          <w:sz w:val="24"/>
        </w:rPr>
        <w:t xml:space="preserve"> en 2021</w:t>
      </w:r>
      <w:bookmarkEnd w:id="269"/>
    </w:p>
    <w:p w14:paraId="6D6AEDBA" w14:textId="77777777" w:rsidR="00640FCE" w:rsidRPr="00062207" w:rsidRDefault="00640FCE" w:rsidP="006A1EAE">
      <w:pPr>
        <w:jc w:val="both"/>
        <w:rPr>
          <w:rFonts w:ascii="Times New Roman" w:hAnsi="Times New Roman" w:cs="Times New Roman"/>
          <w:noProof/>
          <w:sz w:val="22"/>
          <w:szCs w:val="22"/>
          <w:lang w:eastAsia="es-GT"/>
        </w:rPr>
      </w:pPr>
    </w:p>
    <w:p w14:paraId="2A1ED4A7" w14:textId="67922A3A" w:rsidR="00640FCE" w:rsidRPr="00062207" w:rsidRDefault="00640FCE" w:rsidP="006A1EAE">
      <w:pPr>
        <w:jc w:val="both"/>
        <w:rPr>
          <w:rFonts w:ascii="Times New Roman" w:hAnsi="Times New Roman" w:cs="Times New Roman"/>
          <w:noProof/>
          <w:sz w:val="22"/>
          <w:szCs w:val="22"/>
          <w:lang w:eastAsia="es-GT"/>
        </w:rPr>
      </w:pPr>
      <w:r w:rsidRPr="00062207">
        <w:rPr>
          <w:rFonts w:ascii="Times New Roman" w:hAnsi="Times New Roman" w:cs="Times New Roman"/>
          <w:noProof/>
          <w:sz w:val="22"/>
          <w:szCs w:val="22"/>
          <w:lang w:eastAsia="es-GT"/>
        </w:rPr>
        <w:t>A finales del 2020 se preveia que el crecimiento economico sería de 3.5% sin embargo conforme fue pasando el tiempo las estimaciones fueron cambiando, a mediados del 2021 se esperaba que el crecimiento al final del año fuera de 5.0%, sin embargo se supero la expectiva al finalizar el 2021 con un crecimiento de 7.5%, esto fue derivado de las medidas sanitarias implementadas para contener la propagación del COVID-19 y con ello la recuperación de la actividad economica, particularmente por el comportamiento positivo de la demanda interna, la cual fue impulsada por el crecimiento del gasto de consumo final privado y público, por el aumento de la formación bruta de capital fijo, así como por el dinamismo de la demanda externa.</w:t>
      </w:r>
    </w:p>
    <w:p w14:paraId="7BD0CDCD" w14:textId="77777777" w:rsidR="00640FCE" w:rsidRPr="00062207" w:rsidRDefault="00640FCE" w:rsidP="006A1EAE">
      <w:pPr>
        <w:jc w:val="both"/>
        <w:rPr>
          <w:rFonts w:ascii="Times New Roman" w:hAnsi="Times New Roman" w:cs="Times New Roman"/>
          <w:noProof/>
          <w:sz w:val="22"/>
          <w:szCs w:val="22"/>
          <w:lang w:eastAsia="es-GT"/>
        </w:rPr>
      </w:pPr>
      <w:r w:rsidRPr="00062207">
        <w:rPr>
          <w:rFonts w:ascii="Times New Roman" w:hAnsi="Times New Roman" w:cs="Times New Roman"/>
          <w:noProof/>
          <w:sz w:val="22"/>
          <w:szCs w:val="22"/>
          <w:lang w:eastAsia="es-GT"/>
        </w:rPr>
        <w:t>Entre los aspectos mas relevantes del escenario económico interno están:</w:t>
      </w:r>
    </w:p>
    <w:p w14:paraId="14742816" w14:textId="77777777" w:rsidR="00640FCE" w:rsidRPr="00062207" w:rsidRDefault="00640FCE" w:rsidP="006A1EAE">
      <w:pPr>
        <w:pStyle w:val="Prrafodelista"/>
        <w:jc w:val="both"/>
        <w:rPr>
          <w:rFonts w:ascii="Times New Roman" w:hAnsi="Times New Roman" w:cs="Times New Roman"/>
          <w:noProof/>
          <w:lang w:eastAsia="es-GT"/>
        </w:rPr>
      </w:pPr>
    </w:p>
    <w:p w14:paraId="47329C26" w14:textId="77777777" w:rsidR="00640FCE" w:rsidRPr="00062207" w:rsidRDefault="00640FCE" w:rsidP="006A1EAE">
      <w:pPr>
        <w:pStyle w:val="Prrafodelista"/>
        <w:numPr>
          <w:ilvl w:val="0"/>
          <w:numId w:val="14"/>
        </w:numPr>
        <w:spacing w:after="160"/>
        <w:jc w:val="both"/>
        <w:rPr>
          <w:rFonts w:ascii="Times New Roman" w:hAnsi="Times New Roman" w:cs="Times New Roman"/>
          <w:noProof/>
          <w:lang w:eastAsia="es-GT"/>
        </w:rPr>
      </w:pPr>
      <w:r w:rsidRPr="00062207">
        <w:rPr>
          <w:rFonts w:ascii="Times New Roman" w:hAnsi="Times New Roman" w:cs="Times New Roman"/>
          <w:noProof/>
          <w:lang w:eastAsia="es-GT"/>
        </w:rPr>
        <w:t xml:space="preserve">Confianza de la actividad economica: El Indice de Confianza de la Actividad Economica (ICAE), durante el 2021 reflejo una recuperación durante el primer semestre del año, y registrando 78.75 puntos en diciembre, superior en 0.95% respecto al registrado en noviembre de 2021 (78.01 puntos) y superior en 58.01% respecto al registrado en diciembre de 2020 (49.84 puntos) situandose en expansión por arriba de 50 puntos, reflejando un aumento en la percepción del panel de analistas privados con respecto al clima de negocios y de inversión. </w:t>
      </w:r>
    </w:p>
    <w:p w14:paraId="7B9D3491" w14:textId="77777777" w:rsidR="00640FCE" w:rsidRPr="00062207" w:rsidRDefault="00640FCE" w:rsidP="006A1EAE">
      <w:pPr>
        <w:pStyle w:val="Prrafodelista"/>
        <w:jc w:val="both"/>
        <w:rPr>
          <w:rFonts w:ascii="Times New Roman" w:hAnsi="Times New Roman" w:cs="Times New Roman"/>
          <w:noProof/>
          <w:lang w:eastAsia="es-GT"/>
        </w:rPr>
      </w:pPr>
    </w:p>
    <w:p w14:paraId="58F6ABEA" w14:textId="77777777" w:rsidR="00640FCE" w:rsidRPr="00062207" w:rsidRDefault="00640FCE" w:rsidP="006A1EAE">
      <w:pPr>
        <w:pStyle w:val="Prrafodelista"/>
        <w:numPr>
          <w:ilvl w:val="0"/>
          <w:numId w:val="14"/>
        </w:numPr>
        <w:spacing w:after="160"/>
        <w:jc w:val="both"/>
        <w:rPr>
          <w:rFonts w:ascii="Times New Roman" w:hAnsi="Times New Roman" w:cs="Times New Roman"/>
          <w:noProof/>
          <w:lang w:eastAsia="es-GT"/>
        </w:rPr>
      </w:pPr>
      <w:r w:rsidRPr="00062207">
        <w:rPr>
          <w:rFonts w:ascii="Times New Roman" w:hAnsi="Times New Roman" w:cs="Times New Roman"/>
          <w:noProof/>
          <w:lang w:eastAsia="es-GT"/>
        </w:rPr>
        <w:t>El crecimiento economico del 2021 se vio fortalecida por el crédito al sector privado, el ingresos de divisas por remesas familiares y el comercio exterior entre otros, el dinamismo de la demanda interna explico gran parte del crecimiento del 2021 debido a la mejora en el gasto de consumo privado y por el aumento de la formación bruta de capital fijo (inversión), así como por el mayor impulso proveniente de la demanda externa.</w:t>
      </w:r>
    </w:p>
    <w:p w14:paraId="0A2E18FC" w14:textId="77777777" w:rsidR="00640FCE" w:rsidRPr="00062207" w:rsidRDefault="00640FCE" w:rsidP="006A1EAE">
      <w:pPr>
        <w:pStyle w:val="Prrafodelista"/>
        <w:jc w:val="both"/>
        <w:rPr>
          <w:rFonts w:ascii="Times New Roman" w:hAnsi="Times New Roman" w:cs="Times New Roman"/>
          <w:noProof/>
          <w:lang w:eastAsia="es-GT"/>
        </w:rPr>
      </w:pPr>
    </w:p>
    <w:p w14:paraId="25814162" w14:textId="77777777" w:rsidR="00640FCE" w:rsidRPr="00062207" w:rsidRDefault="00640FCE" w:rsidP="006A1EAE">
      <w:pPr>
        <w:pStyle w:val="Prrafodelista"/>
        <w:numPr>
          <w:ilvl w:val="0"/>
          <w:numId w:val="14"/>
        </w:numPr>
        <w:spacing w:after="160"/>
        <w:jc w:val="both"/>
        <w:rPr>
          <w:rFonts w:ascii="Times New Roman" w:hAnsi="Times New Roman" w:cs="Times New Roman"/>
          <w:noProof/>
          <w:lang w:eastAsia="es-GT"/>
        </w:rPr>
      </w:pPr>
      <w:r w:rsidRPr="00062207">
        <w:rPr>
          <w:rFonts w:ascii="Times New Roman" w:hAnsi="Times New Roman" w:cs="Times New Roman"/>
          <w:noProof/>
          <w:lang w:eastAsia="es-GT"/>
        </w:rPr>
        <w:t>Inflación: El nivel de inflación en guatemala reflejado a traves del Indice de Precios del Consumidor -IPC- se mantuvo de enero a mayo por arriba de su rango superior de 5.0 %, posterior a ello inicio un proceso de descenso, cerrando en 3.07 en diciembre; el ritmo inflacionario por división de gatos en 2021 resalta el comportameinto del transporte, vivienda, muebles, que registraron las principales variaciiones positivas con 7.38%, 4.47% y 3.66% respectivamente. Por su parte la división de educación es la única que representa varacion negativa con 0.20%.  El costo de la Canasta Basica Alimentaria se ha estimado en Q3.097.23 y la Canasta Ampliada en Q7,151.30 en diciembre del 2021.</w:t>
      </w:r>
    </w:p>
    <w:p w14:paraId="6AB60B2A" w14:textId="77777777" w:rsidR="00640FCE" w:rsidRPr="00062207" w:rsidRDefault="00640FCE" w:rsidP="006A1EAE">
      <w:pPr>
        <w:pStyle w:val="Prrafodelista"/>
        <w:rPr>
          <w:rFonts w:ascii="Times New Roman" w:hAnsi="Times New Roman" w:cs="Times New Roman"/>
          <w:noProof/>
          <w:lang w:eastAsia="es-GT"/>
        </w:rPr>
      </w:pPr>
    </w:p>
    <w:p w14:paraId="64D73DCC" w14:textId="77777777" w:rsidR="00640FCE" w:rsidRPr="00062207" w:rsidRDefault="00640FCE" w:rsidP="006A1EAE">
      <w:pPr>
        <w:pStyle w:val="Prrafodelista"/>
        <w:numPr>
          <w:ilvl w:val="0"/>
          <w:numId w:val="14"/>
        </w:numPr>
        <w:spacing w:after="160"/>
        <w:jc w:val="both"/>
        <w:rPr>
          <w:rFonts w:ascii="Times New Roman" w:hAnsi="Times New Roman" w:cs="Times New Roman"/>
          <w:noProof/>
          <w:lang w:eastAsia="es-GT"/>
        </w:rPr>
      </w:pPr>
      <w:r w:rsidRPr="00062207">
        <w:rPr>
          <w:rFonts w:ascii="Times New Roman" w:hAnsi="Times New Roman" w:cs="Times New Roman"/>
          <w:noProof/>
          <w:lang w:eastAsia="es-GT"/>
        </w:rPr>
        <w:t xml:space="preserve">El ingreso de divisas por remesas familiares alcanzó en 2021 un monton de US$ 15,295.7 millones, superior en US$3,955.3 millones, respecto del monto observado en igual periodo del año previo, respadado en buena medida, por la rapida recuperación del mercado laboral estadounidense, particularmente en el segmento de empleo hispano, por lo que el crecimiento al final del año 2021 fue de 34.9%. </w:t>
      </w:r>
    </w:p>
    <w:p w14:paraId="6B2ADF52" w14:textId="77777777" w:rsidR="00A5679C" w:rsidRPr="00062207" w:rsidRDefault="00A5679C" w:rsidP="006A1EAE">
      <w:pPr>
        <w:rPr>
          <w:rFonts w:ascii="Times New Roman" w:hAnsi="Times New Roman" w:cs="Times New Roman"/>
          <w:sz w:val="22"/>
          <w:szCs w:val="22"/>
          <w:lang w:val="es-GT"/>
        </w:rPr>
      </w:pPr>
    </w:p>
    <w:p w14:paraId="18DC4EE8" w14:textId="48F8DEDF" w:rsidR="006A1EAE" w:rsidRPr="00062207" w:rsidRDefault="006A1EAE" w:rsidP="006A1EAE">
      <w:pPr>
        <w:rPr>
          <w:rFonts w:ascii="Times New Roman" w:hAnsi="Times New Roman" w:cs="Times New Roman"/>
          <w:b/>
          <w:bCs/>
          <w:sz w:val="22"/>
          <w:szCs w:val="22"/>
        </w:rPr>
      </w:pPr>
    </w:p>
    <w:p w14:paraId="0E8AFB6A" w14:textId="4145B4D7" w:rsidR="007E5F5C" w:rsidRPr="00062207" w:rsidRDefault="007E5F5C" w:rsidP="006A1EAE">
      <w:pPr>
        <w:rPr>
          <w:rFonts w:ascii="Times New Roman" w:hAnsi="Times New Roman" w:cs="Times New Roman"/>
          <w:b/>
          <w:bCs/>
          <w:sz w:val="22"/>
          <w:szCs w:val="22"/>
        </w:rPr>
      </w:pPr>
    </w:p>
    <w:p w14:paraId="2A3771D3" w14:textId="732DD655" w:rsidR="007E5F5C" w:rsidRPr="00062207" w:rsidRDefault="007E5F5C" w:rsidP="006A1EAE">
      <w:pPr>
        <w:rPr>
          <w:rFonts w:ascii="Times New Roman" w:hAnsi="Times New Roman" w:cs="Times New Roman"/>
          <w:b/>
          <w:bCs/>
          <w:sz w:val="22"/>
          <w:szCs w:val="22"/>
        </w:rPr>
      </w:pPr>
    </w:p>
    <w:p w14:paraId="40845CF6" w14:textId="4841AECA" w:rsidR="007E5F5C" w:rsidRPr="00062207" w:rsidRDefault="007E5F5C" w:rsidP="006A1EAE">
      <w:pPr>
        <w:rPr>
          <w:rFonts w:ascii="Times New Roman" w:hAnsi="Times New Roman" w:cs="Times New Roman"/>
          <w:b/>
          <w:bCs/>
          <w:sz w:val="22"/>
          <w:szCs w:val="22"/>
        </w:rPr>
      </w:pPr>
    </w:p>
    <w:p w14:paraId="1ADB58F9" w14:textId="44FABF6A" w:rsidR="007E5F5C" w:rsidRPr="00062207" w:rsidRDefault="007E5F5C" w:rsidP="006A1EAE">
      <w:pPr>
        <w:rPr>
          <w:rFonts w:ascii="Times New Roman" w:hAnsi="Times New Roman" w:cs="Times New Roman"/>
          <w:b/>
          <w:bCs/>
          <w:sz w:val="22"/>
          <w:szCs w:val="22"/>
        </w:rPr>
      </w:pPr>
    </w:p>
    <w:p w14:paraId="628E0FE9" w14:textId="1FED6B22" w:rsidR="007E5F5C" w:rsidRPr="00062207" w:rsidRDefault="007E5F5C" w:rsidP="006A1EAE">
      <w:pPr>
        <w:rPr>
          <w:rFonts w:ascii="Times New Roman" w:hAnsi="Times New Roman" w:cs="Times New Roman"/>
          <w:b/>
          <w:bCs/>
          <w:sz w:val="22"/>
          <w:szCs w:val="22"/>
        </w:rPr>
      </w:pPr>
    </w:p>
    <w:p w14:paraId="7233AF65" w14:textId="77777777" w:rsidR="007E5F5C" w:rsidRPr="00062207" w:rsidRDefault="007E5F5C" w:rsidP="006A1EAE">
      <w:pPr>
        <w:rPr>
          <w:rFonts w:ascii="Times New Roman" w:hAnsi="Times New Roman" w:cs="Times New Roman"/>
          <w:b/>
          <w:bCs/>
          <w:sz w:val="22"/>
          <w:szCs w:val="22"/>
        </w:rPr>
      </w:pPr>
    </w:p>
    <w:p w14:paraId="34012F75" w14:textId="30BD9E5D" w:rsidR="0089460D" w:rsidRPr="00062207" w:rsidRDefault="0089460D" w:rsidP="00467307">
      <w:pPr>
        <w:rPr>
          <w:rFonts w:ascii="Times New Roman" w:hAnsi="Times New Roman" w:cs="Times New Roman"/>
          <w:b/>
          <w:bCs/>
          <w:lang w:val="es-MX"/>
        </w:rPr>
      </w:pPr>
    </w:p>
    <w:p w14:paraId="757120EF" w14:textId="5E06BEE9" w:rsidR="009D6295" w:rsidRPr="00062207" w:rsidRDefault="009D6295" w:rsidP="00467307">
      <w:pPr>
        <w:rPr>
          <w:rFonts w:ascii="Times New Roman" w:hAnsi="Times New Roman" w:cs="Times New Roman"/>
          <w:b/>
          <w:bCs/>
          <w:lang w:val="es-MX"/>
        </w:rPr>
      </w:pPr>
    </w:p>
    <w:p w14:paraId="43D6DE44" w14:textId="77777777" w:rsidR="009D6295" w:rsidRPr="00062207" w:rsidRDefault="009D6295" w:rsidP="00467307">
      <w:pPr>
        <w:rPr>
          <w:rFonts w:ascii="Times New Roman" w:hAnsi="Times New Roman" w:cs="Times New Roman"/>
          <w:b/>
          <w:bCs/>
          <w:lang w:val="es-MX"/>
        </w:rPr>
      </w:pPr>
    </w:p>
    <w:p w14:paraId="2F357410" w14:textId="74BDC0F2" w:rsidR="00775ECC" w:rsidRPr="00062207" w:rsidRDefault="0080424E" w:rsidP="007E5F5C">
      <w:pPr>
        <w:pStyle w:val="Prrafodelista"/>
        <w:numPr>
          <w:ilvl w:val="0"/>
          <w:numId w:val="10"/>
        </w:numPr>
        <w:tabs>
          <w:tab w:val="left" w:pos="567"/>
        </w:tabs>
        <w:ind w:left="284" w:hanging="284"/>
        <w:jc w:val="both"/>
        <w:outlineLvl w:val="0"/>
        <w:rPr>
          <w:rFonts w:ascii="Times New Roman" w:eastAsiaTheme="majorEastAsia" w:hAnsi="Times New Roman" w:cs="Times New Roman"/>
          <w:b/>
          <w:bCs/>
          <w:sz w:val="24"/>
          <w:szCs w:val="26"/>
        </w:rPr>
      </w:pPr>
      <w:bookmarkStart w:id="270" w:name="_Toc94259664"/>
      <w:r w:rsidRPr="00062207">
        <w:rPr>
          <w:rFonts w:ascii="Times New Roman" w:eastAsiaTheme="majorEastAsia" w:hAnsi="Times New Roman" w:cs="Times New Roman"/>
          <w:b/>
          <w:bCs/>
          <w:sz w:val="24"/>
          <w:szCs w:val="26"/>
        </w:rPr>
        <w:lastRenderedPageBreak/>
        <w:t>Apéndice e</w:t>
      </w:r>
      <w:r w:rsidR="00775ECC" w:rsidRPr="00062207">
        <w:rPr>
          <w:rFonts w:ascii="Times New Roman" w:eastAsiaTheme="majorEastAsia" w:hAnsi="Times New Roman" w:cs="Times New Roman"/>
          <w:b/>
          <w:bCs/>
          <w:sz w:val="24"/>
          <w:szCs w:val="26"/>
        </w:rPr>
        <w:t>stadísticas de las Finanzas Públicas</w:t>
      </w:r>
      <w:r w:rsidR="000144D5" w:rsidRPr="00062207">
        <w:rPr>
          <w:rFonts w:ascii="Times New Roman" w:eastAsiaTheme="majorEastAsia" w:hAnsi="Times New Roman" w:cs="Times New Roman"/>
          <w:b/>
          <w:bCs/>
          <w:sz w:val="24"/>
          <w:szCs w:val="26"/>
        </w:rPr>
        <w:t xml:space="preserve"> (estándar internacional del FMI)</w:t>
      </w:r>
      <w:bookmarkEnd w:id="270"/>
    </w:p>
    <w:p w14:paraId="2379A1CA" w14:textId="2AA7901E" w:rsidR="007E5F5C" w:rsidRPr="00062207" w:rsidRDefault="007E5F5C" w:rsidP="007E5F5C">
      <w:pPr>
        <w:rPr>
          <w:rFonts w:ascii="Times New Roman" w:hAnsi="Times New Roman" w:cs="Times New Roman"/>
          <w:b/>
          <w:bCs/>
          <w:lang w:val="es-MX"/>
        </w:rPr>
      </w:pPr>
    </w:p>
    <w:p w14:paraId="664AD96A" w14:textId="77777777" w:rsidR="007E5F5C" w:rsidRPr="00062207" w:rsidRDefault="007E5F5C" w:rsidP="007E5F5C">
      <w:pPr>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t>A continuación, se presenta la información de las Estadísticas de Finanza Publica (EFP) siguiendo la metodología internacional que es establecida por el Fondo Monetario Internacional (FMI) en su Manual de Estadísticas de Finanzas Públicas (MEFP) 2014. Es oportuno mencionar que esta información contienen el estado de operaciones para dos niveles diferentes de cobertura de gobierno, siendo el primero de estos lo que se conoce como el gobierno central presupuestario (conformado por las entidades que dependen de la aprobación de un Presupuesto General) seguido del Gobierno General Consolidado (que se conforma por las entidades contenidas en el Gobierno Central, los Fondos de Seguridad Social y los Gobiernos Locales, sin tomar en cuenta las transacciones recíprocas entre estas entidades).</w:t>
      </w:r>
    </w:p>
    <w:p w14:paraId="6083AA99" w14:textId="77777777" w:rsidR="007E5F5C" w:rsidRPr="00062207" w:rsidRDefault="007E5F5C" w:rsidP="007E5F5C">
      <w:pPr>
        <w:jc w:val="both"/>
        <w:rPr>
          <w:rFonts w:ascii="Times New Roman" w:hAnsi="Times New Roman" w:cs="Times New Roman"/>
          <w:sz w:val="22"/>
          <w:szCs w:val="22"/>
          <w:lang w:val="es-MX"/>
        </w:rPr>
      </w:pPr>
    </w:p>
    <w:p w14:paraId="3634896C" w14:textId="77777777" w:rsidR="007E5F5C" w:rsidRPr="00062207" w:rsidRDefault="007E5F5C" w:rsidP="007E5F5C">
      <w:pPr>
        <w:jc w:val="center"/>
        <w:rPr>
          <w:rFonts w:ascii="Times New Roman" w:hAnsi="Times New Roman" w:cs="Times New Roman"/>
          <w:noProof/>
        </w:rPr>
      </w:pPr>
      <w:r w:rsidRPr="00062207">
        <w:rPr>
          <w:rFonts w:ascii="Times New Roman" w:hAnsi="Times New Roman" w:cs="Times New Roman"/>
          <w:b/>
          <w:bCs/>
          <w:lang w:val="es-MX"/>
        </w:rPr>
        <w:t>Cobertura de los estados de operaciones conforme al MEFP 2014</w:t>
      </w:r>
    </w:p>
    <w:p w14:paraId="1888C5E9" w14:textId="77777777" w:rsidR="007E5F5C" w:rsidRPr="00062207" w:rsidRDefault="007E5F5C" w:rsidP="007E5F5C">
      <w:pPr>
        <w:jc w:val="center"/>
        <w:rPr>
          <w:rFonts w:ascii="Times New Roman" w:hAnsi="Times New Roman" w:cs="Times New Roman"/>
          <w:b/>
          <w:bCs/>
          <w:lang w:val="es-MX"/>
        </w:rPr>
      </w:pPr>
      <w:r w:rsidRPr="00062207">
        <w:rPr>
          <w:rFonts w:ascii="Times New Roman" w:hAnsi="Times New Roman" w:cs="Times New Roman"/>
          <w:b/>
          <w:bCs/>
          <w:noProof/>
          <w:lang w:val="es-GT" w:eastAsia="es-GT"/>
        </w:rPr>
        <w:drawing>
          <wp:inline distT="0" distB="0" distL="0" distR="0" wp14:anchorId="44944AB6" wp14:editId="0802F3E0">
            <wp:extent cx="6197755" cy="2760453"/>
            <wp:effectExtent l="0" t="0" r="0" b="190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35096" cy="2777085"/>
                    </a:xfrm>
                    <a:prstGeom prst="rect">
                      <a:avLst/>
                    </a:prstGeom>
                    <a:noFill/>
                  </pic:spPr>
                </pic:pic>
              </a:graphicData>
            </a:graphic>
          </wp:inline>
        </w:drawing>
      </w:r>
    </w:p>
    <w:p w14:paraId="521D2EAC" w14:textId="77777777" w:rsidR="007E5F5C" w:rsidRPr="00062207" w:rsidRDefault="007E5F5C" w:rsidP="007E5F5C">
      <w:pPr>
        <w:ind w:firstLine="708"/>
        <w:rPr>
          <w:rFonts w:ascii="Times New Roman" w:hAnsi="Times New Roman" w:cs="Times New Roman"/>
          <w:bCs/>
          <w:sz w:val="18"/>
          <w:szCs w:val="18"/>
          <w:lang w:val="es-MX"/>
        </w:rPr>
      </w:pPr>
      <w:r w:rsidRPr="00062207">
        <w:rPr>
          <w:rFonts w:ascii="Times New Roman" w:hAnsi="Times New Roman" w:cs="Times New Roman"/>
          <w:bCs/>
          <w:sz w:val="18"/>
          <w:szCs w:val="18"/>
          <w:lang w:val="es-MX"/>
        </w:rPr>
        <w:t>Fuente: Ministerio de Finanzas Públicas.</w:t>
      </w:r>
    </w:p>
    <w:p w14:paraId="7907250C" w14:textId="0DE90B74" w:rsidR="007E5F5C" w:rsidRPr="00062207" w:rsidRDefault="007E5F5C" w:rsidP="00775ECC">
      <w:pPr>
        <w:pStyle w:val="Prrafodelista"/>
        <w:rPr>
          <w:rFonts w:ascii="Times New Roman" w:hAnsi="Times New Roman" w:cs="Times New Roman"/>
          <w:b/>
          <w:bCs/>
          <w:lang w:val="es-MX"/>
        </w:rPr>
      </w:pPr>
    </w:p>
    <w:p w14:paraId="1EEBAFC8" w14:textId="77777777" w:rsidR="007E5F5C" w:rsidRPr="00062207" w:rsidRDefault="007E5F5C" w:rsidP="00775ECC">
      <w:pPr>
        <w:pStyle w:val="Prrafodelista"/>
        <w:rPr>
          <w:rFonts w:ascii="Times New Roman" w:hAnsi="Times New Roman" w:cs="Times New Roman"/>
          <w:b/>
          <w:bCs/>
          <w:lang w:val="es-MX"/>
        </w:rPr>
      </w:pPr>
    </w:p>
    <w:p w14:paraId="7A2259BB" w14:textId="77777777" w:rsidR="004751C3" w:rsidRPr="00062207" w:rsidRDefault="004751C3" w:rsidP="004751C3">
      <w:pPr>
        <w:pStyle w:val="Prrafodelista"/>
        <w:numPr>
          <w:ilvl w:val="0"/>
          <w:numId w:val="15"/>
        </w:numPr>
        <w:outlineLvl w:val="1"/>
        <w:rPr>
          <w:rFonts w:ascii="Times New Roman" w:hAnsi="Times New Roman" w:cs="Times New Roman"/>
          <w:b/>
          <w:bCs/>
          <w:vanish/>
          <w:lang w:val="es-MX"/>
        </w:rPr>
      </w:pPr>
      <w:bookmarkStart w:id="271" w:name="_Toc94250388"/>
      <w:bookmarkStart w:id="272" w:name="_Toc94250450"/>
      <w:bookmarkStart w:id="273" w:name="_Toc94251090"/>
      <w:bookmarkStart w:id="274" w:name="_Toc94257750"/>
      <w:bookmarkStart w:id="275" w:name="_Toc94259665"/>
      <w:bookmarkEnd w:id="271"/>
      <w:bookmarkEnd w:id="272"/>
      <w:bookmarkEnd w:id="273"/>
      <w:bookmarkEnd w:id="274"/>
      <w:bookmarkEnd w:id="275"/>
    </w:p>
    <w:p w14:paraId="36E646E9" w14:textId="77777777" w:rsidR="004751C3" w:rsidRPr="00062207" w:rsidRDefault="004751C3" w:rsidP="004751C3">
      <w:pPr>
        <w:pStyle w:val="Prrafodelista"/>
        <w:numPr>
          <w:ilvl w:val="0"/>
          <w:numId w:val="15"/>
        </w:numPr>
        <w:outlineLvl w:val="1"/>
        <w:rPr>
          <w:rFonts w:ascii="Times New Roman" w:hAnsi="Times New Roman" w:cs="Times New Roman"/>
          <w:b/>
          <w:bCs/>
          <w:vanish/>
          <w:lang w:val="es-MX"/>
        </w:rPr>
      </w:pPr>
      <w:bookmarkStart w:id="276" w:name="_Toc94257751"/>
      <w:bookmarkStart w:id="277" w:name="_Toc94259666"/>
      <w:bookmarkEnd w:id="276"/>
      <w:bookmarkEnd w:id="277"/>
    </w:p>
    <w:p w14:paraId="66075381" w14:textId="77777777" w:rsidR="004751C3" w:rsidRPr="00062207" w:rsidRDefault="004751C3" w:rsidP="004751C3">
      <w:pPr>
        <w:pStyle w:val="Prrafodelista"/>
        <w:numPr>
          <w:ilvl w:val="0"/>
          <w:numId w:val="15"/>
        </w:numPr>
        <w:outlineLvl w:val="1"/>
        <w:rPr>
          <w:rFonts w:ascii="Times New Roman" w:hAnsi="Times New Roman" w:cs="Times New Roman"/>
          <w:b/>
          <w:bCs/>
          <w:vanish/>
          <w:lang w:val="es-MX"/>
        </w:rPr>
      </w:pPr>
      <w:bookmarkStart w:id="278" w:name="_Toc94257752"/>
      <w:bookmarkStart w:id="279" w:name="_Toc94259667"/>
      <w:bookmarkEnd w:id="278"/>
      <w:bookmarkEnd w:id="279"/>
    </w:p>
    <w:p w14:paraId="32C9D17B" w14:textId="77777777" w:rsidR="004751C3" w:rsidRPr="00062207" w:rsidRDefault="004751C3" w:rsidP="004751C3">
      <w:pPr>
        <w:pStyle w:val="Prrafodelista"/>
        <w:numPr>
          <w:ilvl w:val="0"/>
          <w:numId w:val="15"/>
        </w:numPr>
        <w:outlineLvl w:val="1"/>
        <w:rPr>
          <w:rFonts w:ascii="Times New Roman" w:hAnsi="Times New Roman" w:cs="Times New Roman"/>
          <w:b/>
          <w:bCs/>
          <w:vanish/>
          <w:lang w:val="es-MX"/>
        </w:rPr>
      </w:pPr>
      <w:bookmarkStart w:id="280" w:name="_Toc94257753"/>
      <w:bookmarkStart w:id="281" w:name="_Toc94259668"/>
      <w:bookmarkEnd w:id="280"/>
      <w:bookmarkEnd w:id="281"/>
    </w:p>
    <w:p w14:paraId="651073F8" w14:textId="77777777" w:rsidR="004751C3" w:rsidRPr="00062207" w:rsidRDefault="004751C3" w:rsidP="004751C3">
      <w:pPr>
        <w:pStyle w:val="Prrafodelista"/>
        <w:numPr>
          <w:ilvl w:val="0"/>
          <w:numId w:val="15"/>
        </w:numPr>
        <w:outlineLvl w:val="1"/>
        <w:rPr>
          <w:rFonts w:ascii="Times New Roman" w:hAnsi="Times New Roman" w:cs="Times New Roman"/>
          <w:b/>
          <w:bCs/>
          <w:vanish/>
          <w:lang w:val="es-MX"/>
        </w:rPr>
      </w:pPr>
      <w:bookmarkStart w:id="282" w:name="_Toc94257754"/>
      <w:bookmarkStart w:id="283" w:name="_Toc94259669"/>
      <w:bookmarkEnd w:id="282"/>
      <w:bookmarkEnd w:id="283"/>
    </w:p>
    <w:p w14:paraId="34E6E144" w14:textId="77777777" w:rsidR="004751C3" w:rsidRPr="00062207" w:rsidRDefault="004751C3" w:rsidP="004751C3">
      <w:pPr>
        <w:pStyle w:val="Prrafodelista"/>
        <w:numPr>
          <w:ilvl w:val="0"/>
          <w:numId w:val="15"/>
        </w:numPr>
        <w:outlineLvl w:val="1"/>
        <w:rPr>
          <w:rFonts w:ascii="Times New Roman" w:hAnsi="Times New Roman" w:cs="Times New Roman"/>
          <w:b/>
          <w:bCs/>
          <w:vanish/>
          <w:lang w:val="es-MX"/>
        </w:rPr>
      </w:pPr>
      <w:bookmarkStart w:id="284" w:name="_Toc94257755"/>
      <w:bookmarkStart w:id="285" w:name="_Toc94259670"/>
      <w:bookmarkEnd w:id="284"/>
      <w:bookmarkEnd w:id="285"/>
    </w:p>
    <w:p w14:paraId="1F57CC8B" w14:textId="433DCCCE" w:rsidR="00467307" w:rsidRPr="00062207" w:rsidRDefault="006A1EAE" w:rsidP="004751C3">
      <w:pPr>
        <w:pStyle w:val="Prrafodelista"/>
        <w:numPr>
          <w:ilvl w:val="1"/>
          <w:numId w:val="15"/>
        </w:numPr>
        <w:ind w:left="644"/>
        <w:outlineLvl w:val="1"/>
        <w:rPr>
          <w:rFonts w:ascii="Times New Roman" w:hAnsi="Times New Roman" w:cs="Times New Roman"/>
          <w:b/>
          <w:bCs/>
          <w:lang w:val="es-MX"/>
        </w:rPr>
      </w:pPr>
      <w:r w:rsidRPr="00062207">
        <w:rPr>
          <w:rFonts w:ascii="Times New Roman" w:hAnsi="Times New Roman" w:cs="Times New Roman"/>
          <w:b/>
          <w:bCs/>
          <w:lang w:val="es-MX"/>
        </w:rPr>
        <w:t xml:space="preserve">  </w:t>
      </w:r>
      <w:bookmarkStart w:id="286" w:name="_Toc94259671"/>
      <w:r w:rsidR="00467307" w:rsidRPr="00062207">
        <w:rPr>
          <w:rFonts w:ascii="Times New Roman" w:hAnsi="Times New Roman" w:cs="Times New Roman"/>
          <w:b/>
          <w:bCs/>
          <w:lang w:val="es-MX"/>
        </w:rPr>
        <w:t>Estado de operaciones del Gobierno Central Presupuestario</w:t>
      </w:r>
      <w:r w:rsidR="000144D5" w:rsidRPr="00062207">
        <w:rPr>
          <w:rFonts w:ascii="Times New Roman" w:hAnsi="Times New Roman" w:cs="Times New Roman"/>
          <w:b/>
          <w:bCs/>
          <w:lang w:val="es-MX"/>
        </w:rPr>
        <w:t xml:space="preserve"> 2021</w:t>
      </w:r>
      <w:bookmarkEnd w:id="286"/>
    </w:p>
    <w:p w14:paraId="0D490568" w14:textId="77777777" w:rsidR="0076275A" w:rsidRPr="00062207" w:rsidRDefault="0076275A" w:rsidP="00467307">
      <w:pPr>
        <w:rPr>
          <w:rFonts w:ascii="Times New Roman" w:hAnsi="Times New Roman" w:cs="Times New Roman"/>
          <w:sz w:val="22"/>
          <w:szCs w:val="22"/>
          <w:lang w:val="es-MX"/>
        </w:rPr>
      </w:pPr>
    </w:p>
    <w:p w14:paraId="064EB4FC" w14:textId="77777777" w:rsidR="00467307" w:rsidRPr="00062207" w:rsidRDefault="00467307" w:rsidP="00467307">
      <w:pPr>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t>Los ingresos del Gobierno Central Presupuestario en 2021 se observan en torno al 12.7% del PIB con un equivalente en términos nominales a los Q84,323.7 millones y siendo este un incremento en 1.6 puntos porcentuales del PIB respecto a lo observado en 2020. El principal elemento que contribuyo a dicho aumento fue el comportamiento observado de los impuestos los cuales ascienden a 11.6% PIB (Q77,295.6 millones) mostrando crecimiento interanual de 1.7 puntos porcentuales y dentro de estos, los más destacables fueron los impuestos sobres los bienes y servicios que equivalen al 6.7% del PIB con un incremento interanual de 0.9 puntos porcentuales y los Impuestos sobre el ingreso, las utilidades y las ganancias de capital que ascienden a 4.3% del PIB con una aumento de 0.7 puntos porcentuales respecto a 2020.</w:t>
      </w:r>
    </w:p>
    <w:p w14:paraId="77E80648" w14:textId="77777777" w:rsidR="0089460D" w:rsidRPr="00062207" w:rsidRDefault="0089460D" w:rsidP="00467307">
      <w:pPr>
        <w:jc w:val="both"/>
        <w:rPr>
          <w:rFonts w:ascii="Times New Roman" w:hAnsi="Times New Roman" w:cs="Times New Roman"/>
          <w:sz w:val="22"/>
          <w:szCs w:val="22"/>
          <w:lang w:val="es-MX"/>
        </w:rPr>
      </w:pPr>
    </w:p>
    <w:p w14:paraId="1481DBC6" w14:textId="77777777" w:rsidR="00467307" w:rsidRPr="00062207" w:rsidRDefault="00467307" w:rsidP="00467307">
      <w:pPr>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t>Es oportuno mencionar los impuestos en la metodología internacional no toma en consideración a los ingresos por regalías e hidrocarburos, los intereses, las multas y las moras, los cuales pasan a formar parte de la categoría de otros ingresos. De esta categoría es importante mencionar que contiene a los ingresos captados por rentas de la propiedad, venta de bienes y servicios,</w:t>
      </w:r>
      <w:r w:rsidRPr="00062207">
        <w:rPr>
          <w:rFonts w:ascii="Times New Roman" w:hAnsi="Times New Roman" w:cs="Times New Roman"/>
          <w:sz w:val="22"/>
          <w:szCs w:val="22"/>
        </w:rPr>
        <w:t xml:space="preserve"> </w:t>
      </w:r>
      <w:r w:rsidRPr="00062207">
        <w:rPr>
          <w:rFonts w:ascii="Times New Roman" w:hAnsi="Times New Roman" w:cs="Times New Roman"/>
          <w:sz w:val="22"/>
          <w:szCs w:val="22"/>
          <w:lang w:val="es-MX"/>
        </w:rPr>
        <w:t>Multas, sanciones pecuniarias y depósitos en caución transferidos y las transferencias no clasificadas en otra parte que en su conjunto ascienden a 0.3% del PIB.</w:t>
      </w:r>
    </w:p>
    <w:p w14:paraId="3A6F085B" w14:textId="09263A42" w:rsidR="0080424E" w:rsidRPr="00062207" w:rsidRDefault="0080424E" w:rsidP="00467307">
      <w:pPr>
        <w:jc w:val="both"/>
        <w:rPr>
          <w:rFonts w:ascii="Times New Roman" w:hAnsi="Times New Roman" w:cs="Times New Roman"/>
          <w:sz w:val="22"/>
          <w:szCs w:val="22"/>
          <w:lang w:val="es-MX"/>
        </w:rPr>
      </w:pPr>
    </w:p>
    <w:p w14:paraId="0601DCA1" w14:textId="77777777" w:rsidR="0080424E" w:rsidRPr="00062207" w:rsidRDefault="0080424E" w:rsidP="00467307">
      <w:pPr>
        <w:jc w:val="both"/>
        <w:rPr>
          <w:rFonts w:ascii="Times New Roman" w:hAnsi="Times New Roman" w:cs="Times New Roman"/>
          <w:sz w:val="22"/>
          <w:szCs w:val="22"/>
          <w:lang w:val="es-MX"/>
        </w:rPr>
      </w:pPr>
    </w:p>
    <w:p w14:paraId="1EC054BF" w14:textId="77777777" w:rsidR="00467307" w:rsidRPr="00062207" w:rsidRDefault="00467307" w:rsidP="00467307">
      <w:pPr>
        <w:jc w:val="center"/>
        <w:rPr>
          <w:rFonts w:ascii="Times New Roman" w:hAnsi="Times New Roman" w:cs="Times New Roman"/>
          <w:b/>
          <w:bCs/>
          <w:sz w:val="22"/>
          <w:szCs w:val="22"/>
        </w:rPr>
      </w:pPr>
      <w:r w:rsidRPr="00062207">
        <w:rPr>
          <w:rFonts w:ascii="Times New Roman" w:hAnsi="Times New Roman" w:cs="Times New Roman"/>
          <w:b/>
          <w:bCs/>
          <w:sz w:val="22"/>
          <w:szCs w:val="22"/>
        </w:rPr>
        <w:t>Estado de operaciones del Gobierno Central Presupuestario</w:t>
      </w:r>
    </w:p>
    <w:p w14:paraId="537FF249" w14:textId="77777777" w:rsidR="00467307" w:rsidRPr="00062207" w:rsidRDefault="00467307" w:rsidP="00467307">
      <w:pPr>
        <w:jc w:val="center"/>
        <w:rPr>
          <w:rFonts w:ascii="Times New Roman" w:hAnsi="Times New Roman" w:cs="Times New Roman"/>
          <w:b/>
          <w:bCs/>
          <w:sz w:val="22"/>
          <w:szCs w:val="22"/>
        </w:rPr>
      </w:pPr>
      <w:r w:rsidRPr="00062207">
        <w:rPr>
          <w:rFonts w:ascii="Times New Roman" w:hAnsi="Times New Roman" w:cs="Times New Roman"/>
          <w:b/>
          <w:bCs/>
          <w:sz w:val="22"/>
          <w:szCs w:val="22"/>
        </w:rPr>
        <w:t>Cifras en Millones de Quetzales</w:t>
      </w:r>
    </w:p>
    <w:tbl>
      <w:tblPr>
        <w:tblW w:w="8998" w:type="dxa"/>
        <w:jc w:val="center"/>
        <w:tblCellMar>
          <w:left w:w="70" w:type="dxa"/>
          <w:right w:w="70" w:type="dxa"/>
        </w:tblCellMar>
        <w:tblLook w:val="04A0" w:firstRow="1" w:lastRow="0" w:firstColumn="1" w:lastColumn="0" w:noHBand="0" w:noVBand="1"/>
      </w:tblPr>
      <w:tblGrid>
        <w:gridCol w:w="4380"/>
        <w:gridCol w:w="1213"/>
        <w:gridCol w:w="1214"/>
        <w:gridCol w:w="1095"/>
        <w:gridCol w:w="1096"/>
      </w:tblGrid>
      <w:tr w:rsidR="00062207" w:rsidRPr="00062207" w14:paraId="373C6D0C" w14:textId="77777777" w:rsidTr="00A963D6">
        <w:trPr>
          <w:trHeight w:val="238"/>
          <w:jc w:val="center"/>
        </w:trPr>
        <w:tc>
          <w:tcPr>
            <w:tcW w:w="4380" w:type="dxa"/>
            <w:vMerge w:val="restart"/>
            <w:tcBorders>
              <w:top w:val="single" w:sz="8" w:space="0" w:color="auto"/>
              <w:left w:val="single" w:sz="8" w:space="0" w:color="auto"/>
              <w:bottom w:val="single" w:sz="8" w:space="0" w:color="000000"/>
              <w:right w:val="nil"/>
            </w:tcBorders>
            <w:shd w:val="clear" w:color="000000" w:fill="44546A"/>
            <w:noWrap/>
            <w:vAlign w:val="center"/>
            <w:hideMark/>
          </w:tcPr>
          <w:p w14:paraId="6E7EBE9F"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Descripción</w:t>
            </w:r>
          </w:p>
        </w:tc>
        <w:tc>
          <w:tcPr>
            <w:tcW w:w="2427" w:type="dxa"/>
            <w:gridSpan w:val="2"/>
            <w:tcBorders>
              <w:top w:val="single" w:sz="8" w:space="0" w:color="auto"/>
              <w:left w:val="single" w:sz="8" w:space="0" w:color="auto"/>
              <w:bottom w:val="single" w:sz="8" w:space="0" w:color="auto"/>
              <w:right w:val="single" w:sz="8" w:space="0" w:color="000000"/>
            </w:tcBorders>
            <w:shd w:val="clear" w:color="000000" w:fill="44546A"/>
            <w:vAlign w:val="center"/>
            <w:hideMark/>
          </w:tcPr>
          <w:p w14:paraId="0F63CD61"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En millones de Q</w:t>
            </w:r>
          </w:p>
        </w:tc>
        <w:tc>
          <w:tcPr>
            <w:tcW w:w="2191" w:type="dxa"/>
            <w:gridSpan w:val="2"/>
            <w:tcBorders>
              <w:top w:val="single" w:sz="8" w:space="0" w:color="auto"/>
              <w:left w:val="nil"/>
              <w:bottom w:val="single" w:sz="8" w:space="0" w:color="auto"/>
              <w:right w:val="single" w:sz="8" w:space="0" w:color="000000"/>
            </w:tcBorders>
            <w:shd w:val="clear" w:color="000000" w:fill="44546A"/>
            <w:vAlign w:val="center"/>
            <w:hideMark/>
          </w:tcPr>
          <w:p w14:paraId="02CAC035"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Como porcentaje del PIB</w:t>
            </w:r>
          </w:p>
        </w:tc>
      </w:tr>
      <w:tr w:rsidR="00062207" w:rsidRPr="00062207" w14:paraId="4C9965EF" w14:textId="77777777" w:rsidTr="00A963D6">
        <w:trPr>
          <w:trHeight w:val="238"/>
          <w:jc w:val="center"/>
        </w:trPr>
        <w:tc>
          <w:tcPr>
            <w:tcW w:w="4380" w:type="dxa"/>
            <w:vMerge/>
            <w:tcBorders>
              <w:top w:val="single" w:sz="8" w:space="0" w:color="auto"/>
              <w:left w:val="single" w:sz="8" w:space="0" w:color="auto"/>
              <w:bottom w:val="single" w:sz="8" w:space="0" w:color="000000"/>
              <w:right w:val="nil"/>
            </w:tcBorders>
            <w:vAlign w:val="center"/>
            <w:hideMark/>
          </w:tcPr>
          <w:p w14:paraId="24303D41" w14:textId="77777777" w:rsidR="00467307" w:rsidRPr="00062207" w:rsidRDefault="00467307" w:rsidP="00A963D6">
            <w:pPr>
              <w:rPr>
                <w:rFonts w:ascii="Times New Roman" w:eastAsia="Times New Roman" w:hAnsi="Times New Roman" w:cs="Times New Roman"/>
                <w:b/>
                <w:bCs/>
                <w:sz w:val="22"/>
                <w:szCs w:val="22"/>
                <w:lang w:eastAsia="es-GT"/>
              </w:rPr>
            </w:pPr>
          </w:p>
        </w:tc>
        <w:tc>
          <w:tcPr>
            <w:tcW w:w="1213" w:type="dxa"/>
            <w:tcBorders>
              <w:top w:val="nil"/>
              <w:left w:val="single" w:sz="8" w:space="0" w:color="auto"/>
              <w:bottom w:val="single" w:sz="8" w:space="0" w:color="auto"/>
              <w:right w:val="nil"/>
            </w:tcBorders>
            <w:shd w:val="clear" w:color="000000" w:fill="808080"/>
            <w:vAlign w:val="center"/>
            <w:hideMark/>
          </w:tcPr>
          <w:p w14:paraId="69AAB390"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2020</w:t>
            </w:r>
          </w:p>
        </w:tc>
        <w:tc>
          <w:tcPr>
            <w:tcW w:w="1214" w:type="dxa"/>
            <w:tcBorders>
              <w:top w:val="nil"/>
              <w:left w:val="nil"/>
              <w:bottom w:val="single" w:sz="8" w:space="0" w:color="auto"/>
              <w:right w:val="single" w:sz="8" w:space="0" w:color="auto"/>
            </w:tcBorders>
            <w:shd w:val="clear" w:color="000000" w:fill="808080"/>
            <w:vAlign w:val="center"/>
            <w:hideMark/>
          </w:tcPr>
          <w:p w14:paraId="54B78A0E"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2021*</w:t>
            </w:r>
          </w:p>
        </w:tc>
        <w:tc>
          <w:tcPr>
            <w:tcW w:w="1095" w:type="dxa"/>
            <w:tcBorders>
              <w:top w:val="nil"/>
              <w:left w:val="nil"/>
              <w:bottom w:val="single" w:sz="8" w:space="0" w:color="auto"/>
              <w:right w:val="nil"/>
            </w:tcBorders>
            <w:shd w:val="clear" w:color="000000" w:fill="808080"/>
            <w:vAlign w:val="center"/>
            <w:hideMark/>
          </w:tcPr>
          <w:p w14:paraId="203826C3"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2020</w:t>
            </w:r>
          </w:p>
        </w:tc>
        <w:tc>
          <w:tcPr>
            <w:tcW w:w="1096" w:type="dxa"/>
            <w:tcBorders>
              <w:top w:val="nil"/>
              <w:left w:val="nil"/>
              <w:bottom w:val="single" w:sz="8" w:space="0" w:color="auto"/>
              <w:right w:val="single" w:sz="8" w:space="0" w:color="auto"/>
            </w:tcBorders>
            <w:shd w:val="clear" w:color="000000" w:fill="808080"/>
            <w:vAlign w:val="center"/>
            <w:hideMark/>
          </w:tcPr>
          <w:p w14:paraId="2533BAFE"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2021*</w:t>
            </w:r>
          </w:p>
        </w:tc>
      </w:tr>
      <w:tr w:rsidR="00062207" w:rsidRPr="00062207" w14:paraId="22BA895C" w14:textId="77777777" w:rsidTr="00A963D6">
        <w:trPr>
          <w:trHeight w:val="238"/>
          <w:jc w:val="center"/>
        </w:trPr>
        <w:tc>
          <w:tcPr>
            <w:tcW w:w="4380" w:type="dxa"/>
            <w:tcBorders>
              <w:top w:val="nil"/>
              <w:left w:val="nil"/>
              <w:bottom w:val="nil"/>
              <w:right w:val="nil"/>
            </w:tcBorders>
            <w:shd w:val="clear" w:color="auto" w:fill="auto"/>
            <w:noWrap/>
            <w:vAlign w:val="center"/>
            <w:hideMark/>
          </w:tcPr>
          <w:p w14:paraId="33E85C7D" w14:textId="77777777" w:rsidR="00467307" w:rsidRPr="00062207" w:rsidRDefault="00467307" w:rsidP="00A963D6">
            <w:pPr>
              <w:jc w:val="both"/>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INGRESO</w:t>
            </w:r>
          </w:p>
        </w:tc>
        <w:tc>
          <w:tcPr>
            <w:tcW w:w="1213" w:type="dxa"/>
            <w:tcBorders>
              <w:top w:val="nil"/>
              <w:left w:val="nil"/>
              <w:bottom w:val="nil"/>
              <w:right w:val="nil"/>
            </w:tcBorders>
            <w:shd w:val="clear" w:color="auto" w:fill="auto"/>
            <w:noWrap/>
            <w:vAlign w:val="center"/>
            <w:hideMark/>
          </w:tcPr>
          <w:p w14:paraId="7430F901"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66,261.6</w:t>
            </w:r>
          </w:p>
        </w:tc>
        <w:tc>
          <w:tcPr>
            <w:tcW w:w="1214" w:type="dxa"/>
            <w:tcBorders>
              <w:top w:val="nil"/>
              <w:left w:val="nil"/>
              <w:bottom w:val="nil"/>
              <w:right w:val="nil"/>
            </w:tcBorders>
            <w:shd w:val="clear" w:color="auto" w:fill="auto"/>
            <w:noWrap/>
            <w:vAlign w:val="center"/>
            <w:hideMark/>
          </w:tcPr>
          <w:p w14:paraId="15CD9427"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84,323.7</w:t>
            </w:r>
          </w:p>
        </w:tc>
        <w:tc>
          <w:tcPr>
            <w:tcW w:w="1095" w:type="dxa"/>
            <w:tcBorders>
              <w:top w:val="nil"/>
              <w:left w:val="dotDash" w:sz="4" w:space="0" w:color="auto"/>
              <w:bottom w:val="nil"/>
              <w:right w:val="nil"/>
            </w:tcBorders>
            <w:shd w:val="clear" w:color="auto" w:fill="auto"/>
            <w:noWrap/>
            <w:vAlign w:val="center"/>
            <w:hideMark/>
          </w:tcPr>
          <w:p w14:paraId="0AB94828"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11.1</w:t>
            </w:r>
          </w:p>
        </w:tc>
        <w:tc>
          <w:tcPr>
            <w:tcW w:w="1096" w:type="dxa"/>
            <w:tcBorders>
              <w:top w:val="nil"/>
              <w:left w:val="nil"/>
              <w:bottom w:val="nil"/>
              <w:right w:val="nil"/>
            </w:tcBorders>
            <w:shd w:val="clear" w:color="auto" w:fill="auto"/>
            <w:noWrap/>
            <w:vAlign w:val="center"/>
            <w:hideMark/>
          </w:tcPr>
          <w:p w14:paraId="0111CB8D"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12.7</w:t>
            </w:r>
          </w:p>
        </w:tc>
      </w:tr>
      <w:tr w:rsidR="00062207" w:rsidRPr="00062207" w14:paraId="69F39AA7" w14:textId="77777777" w:rsidTr="00A963D6">
        <w:trPr>
          <w:trHeight w:val="238"/>
          <w:jc w:val="center"/>
        </w:trPr>
        <w:tc>
          <w:tcPr>
            <w:tcW w:w="4380" w:type="dxa"/>
            <w:tcBorders>
              <w:top w:val="nil"/>
              <w:left w:val="nil"/>
              <w:bottom w:val="nil"/>
              <w:right w:val="nil"/>
            </w:tcBorders>
            <w:shd w:val="clear" w:color="auto" w:fill="auto"/>
            <w:noWrap/>
            <w:vAlign w:val="center"/>
            <w:hideMark/>
          </w:tcPr>
          <w:p w14:paraId="69345D8C" w14:textId="77777777" w:rsidR="00467307" w:rsidRPr="00062207" w:rsidRDefault="00467307" w:rsidP="00A963D6">
            <w:pPr>
              <w:ind w:firstLineChars="100" w:firstLine="220"/>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Impuestos</w:t>
            </w:r>
          </w:p>
        </w:tc>
        <w:tc>
          <w:tcPr>
            <w:tcW w:w="1213" w:type="dxa"/>
            <w:tcBorders>
              <w:top w:val="nil"/>
              <w:left w:val="nil"/>
              <w:bottom w:val="nil"/>
              <w:right w:val="nil"/>
            </w:tcBorders>
            <w:shd w:val="clear" w:color="auto" w:fill="auto"/>
            <w:noWrap/>
            <w:vAlign w:val="center"/>
            <w:hideMark/>
          </w:tcPr>
          <w:p w14:paraId="18F5A202"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59,742.3</w:t>
            </w:r>
          </w:p>
        </w:tc>
        <w:tc>
          <w:tcPr>
            <w:tcW w:w="1214" w:type="dxa"/>
            <w:tcBorders>
              <w:top w:val="nil"/>
              <w:left w:val="nil"/>
              <w:bottom w:val="nil"/>
              <w:right w:val="nil"/>
            </w:tcBorders>
            <w:shd w:val="clear" w:color="auto" w:fill="auto"/>
            <w:noWrap/>
            <w:vAlign w:val="center"/>
            <w:hideMark/>
          </w:tcPr>
          <w:p w14:paraId="2254F64D"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77,295.6</w:t>
            </w:r>
          </w:p>
        </w:tc>
        <w:tc>
          <w:tcPr>
            <w:tcW w:w="1095" w:type="dxa"/>
            <w:tcBorders>
              <w:top w:val="nil"/>
              <w:left w:val="dotDash" w:sz="4" w:space="0" w:color="auto"/>
              <w:bottom w:val="nil"/>
              <w:right w:val="nil"/>
            </w:tcBorders>
            <w:shd w:val="clear" w:color="auto" w:fill="auto"/>
            <w:noWrap/>
            <w:vAlign w:val="center"/>
            <w:hideMark/>
          </w:tcPr>
          <w:p w14:paraId="3079BE11"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10.0</w:t>
            </w:r>
          </w:p>
        </w:tc>
        <w:tc>
          <w:tcPr>
            <w:tcW w:w="1096" w:type="dxa"/>
            <w:tcBorders>
              <w:top w:val="nil"/>
              <w:left w:val="nil"/>
              <w:bottom w:val="nil"/>
              <w:right w:val="nil"/>
            </w:tcBorders>
            <w:shd w:val="clear" w:color="auto" w:fill="auto"/>
            <w:noWrap/>
            <w:vAlign w:val="center"/>
            <w:hideMark/>
          </w:tcPr>
          <w:p w14:paraId="497D60B3"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11.6</w:t>
            </w:r>
          </w:p>
        </w:tc>
      </w:tr>
      <w:tr w:rsidR="00062207" w:rsidRPr="00062207" w14:paraId="75504658" w14:textId="77777777" w:rsidTr="00A963D6">
        <w:trPr>
          <w:trHeight w:val="238"/>
          <w:jc w:val="center"/>
        </w:trPr>
        <w:tc>
          <w:tcPr>
            <w:tcW w:w="4380" w:type="dxa"/>
            <w:tcBorders>
              <w:top w:val="nil"/>
              <w:left w:val="nil"/>
              <w:bottom w:val="nil"/>
              <w:right w:val="nil"/>
            </w:tcBorders>
            <w:shd w:val="clear" w:color="auto" w:fill="auto"/>
            <w:noWrap/>
            <w:vAlign w:val="center"/>
            <w:hideMark/>
          </w:tcPr>
          <w:p w14:paraId="4180DA86" w14:textId="77777777" w:rsidR="00467307" w:rsidRPr="00062207" w:rsidRDefault="00467307" w:rsidP="00A963D6">
            <w:pPr>
              <w:ind w:firstLineChars="100" w:firstLine="220"/>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 xml:space="preserve">Contribuciones sociales </w:t>
            </w:r>
          </w:p>
        </w:tc>
        <w:tc>
          <w:tcPr>
            <w:tcW w:w="1213" w:type="dxa"/>
            <w:tcBorders>
              <w:top w:val="nil"/>
              <w:left w:val="nil"/>
              <w:bottom w:val="nil"/>
              <w:right w:val="nil"/>
            </w:tcBorders>
            <w:shd w:val="clear" w:color="auto" w:fill="auto"/>
            <w:noWrap/>
            <w:vAlign w:val="center"/>
            <w:hideMark/>
          </w:tcPr>
          <w:p w14:paraId="074C2910"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4,878.9</w:t>
            </w:r>
          </w:p>
        </w:tc>
        <w:tc>
          <w:tcPr>
            <w:tcW w:w="1214" w:type="dxa"/>
            <w:tcBorders>
              <w:top w:val="nil"/>
              <w:left w:val="nil"/>
              <w:bottom w:val="nil"/>
              <w:right w:val="nil"/>
            </w:tcBorders>
            <w:shd w:val="clear" w:color="auto" w:fill="auto"/>
            <w:noWrap/>
            <w:vAlign w:val="center"/>
            <w:hideMark/>
          </w:tcPr>
          <w:p w14:paraId="0FD01140"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5,007.3</w:t>
            </w:r>
          </w:p>
        </w:tc>
        <w:tc>
          <w:tcPr>
            <w:tcW w:w="1095" w:type="dxa"/>
            <w:tcBorders>
              <w:top w:val="nil"/>
              <w:left w:val="dotDash" w:sz="4" w:space="0" w:color="auto"/>
              <w:bottom w:val="nil"/>
              <w:right w:val="nil"/>
            </w:tcBorders>
            <w:shd w:val="clear" w:color="auto" w:fill="auto"/>
            <w:noWrap/>
            <w:vAlign w:val="center"/>
            <w:hideMark/>
          </w:tcPr>
          <w:p w14:paraId="3C326DD6"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0.8</w:t>
            </w:r>
          </w:p>
        </w:tc>
        <w:tc>
          <w:tcPr>
            <w:tcW w:w="1096" w:type="dxa"/>
            <w:tcBorders>
              <w:top w:val="nil"/>
              <w:left w:val="nil"/>
              <w:bottom w:val="nil"/>
              <w:right w:val="nil"/>
            </w:tcBorders>
            <w:shd w:val="clear" w:color="auto" w:fill="auto"/>
            <w:noWrap/>
            <w:vAlign w:val="center"/>
            <w:hideMark/>
          </w:tcPr>
          <w:p w14:paraId="75AC7D4F"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0.8</w:t>
            </w:r>
          </w:p>
        </w:tc>
      </w:tr>
      <w:tr w:rsidR="00062207" w:rsidRPr="00062207" w14:paraId="43979D83" w14:textId="77777777" w:rsidTr="00A963D6">
        <w:trPr>
          <w:trHeight w:val="238"/>
          <w:jc w:val="center"/>
        </w:trPr>
        <w:tc>
          <w:tcPr>
            <w:tcW w:w="4380" w:type="dxa"/>
            <w:tcBorders>
              <w:top w:val="nil"/>
              <w:left w:val="nil"/>
              <w:bottom w:val="nil"/>
              <w:right w:val="nil"/>
            </w:tcBorders>
            <w:shd w:val="clear" w:color="auto" w:fill="auto"/>
            <w:noWrap/>
            <w:vAlign w:val="center"/>
            <w:hideMark/>
          </w:tcPr>
          <w:p w14:paraId="23A7878B" w14:textId="77777777" w:rsidR="00467307" w:rsidRPr="00062207" w:rsidRDefault="00467307" w:rsidP="00A963D6">
            <w:pPr>
              <w:ind w:firstLineChars="100" w:firstLine="220"/>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Donaciones</w:t>
            </w:r>
          </w:p>
        </w:tc>
        <w:tc>
          <w:tcPr>
            <w:tcW w:w="1213" w:type="dxa"/>
            <w:tcBorders>
              <w:top w:val="nil"/>
              <w:left w:val="nil"/>
              <w:bottom w:val="nil"/>
              <w:right w:val="nil"/>
            </w:tcBorders>
            <w:shd w:val="clear" w:color="auto" w:fill="auto"/>
            <w:noWrap/>
            <w:vAlign w:val="center"/>
            <w:hideMark/>
          </w:tcPr>
          <w:p w14:paraId="6D07B6C9"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68.3</w:t>
            </w:r>
          </w:p>
        </w:tc>
        <w:tc>
          <w:tcPr>
            <w:tcW w:w="1214" w:type="dxa"/>
            <w:tcBorders>
              <w:top w:val="nil"/>
              <w:left w:val="nil"/>
              <w:bottom w:val="nil"/>
              <w:right w:val="nil"/>
            </w:tcBorders>
            <w:shd w:val="clear" w:color="auto" w:fill="auto"/>
            <w:noWrap/>
            <w:vAlign w:val="center"/>
            <w:hideMark/>
          </w:tcPr>
          <w:p w14:paraId="5BFC2E4F"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184.9</w:t>
            </w:r>
          </w:p>
        </w:tc>
        <w:tc>
          <w:tcPr>
            <w:tcW w:w="1095" w:type="dxa"/>
            <w:tcBorders>
              <w:top w:val="nil"/>
              <w:left w:val="dotDash" w:sz="4" w:space="0" w:color="auto"/>
              <w:bottom w:val="nil"/>
              <w:right w:val="nil"/>
            </w:tcBorders>
            <w:shd w:val="clear" w:color="auto" w:fill="auto"/>
            <w:noWrap/>
            <w:vAlign w:val="center"/>
            <w:hideMark/>
          </w:tcPr>
          <w:p w14:paraId="74897F1D"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0.0</w:t>
            </w:r>
          </w:p>
        </w:tc>
        <w:tc>
          <w:tcPr>
            <w:tcW w:w="1096" w:type="dxa"/>
            <w:tcBorders>
              <w:top w:val="nil"/>
              <w:left w:val="nil"/>
              <w:bottom w:val="nil"/>
              <w:right w:val="nil"/>
            </w:tcBorders>
            <w:shd w:val="clear" w:color="auto" w:fill="auto"/>
            <w:noWrap/>
            <w:vAlign w:val="center"/>
            <w:hideMark/>
          </w:tcPr>
          <w:p w14:paraId="59DE6362"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0.0</w:t>
            </w:r>
          </w:p>
        </w:tc>
      </w:tr>
      <w:tr w:rsidR="00062207" w:rsidRPr="00062207" w14:paraId="30229F36" w14:textId="77777777" w:rsidTr="00A963D6">
        <w:trPr>
          <w:trHeight w:val="238"/>
          <w:jc w:val="center"/>
        </w:trPr>
        <w:tc>
          <w:tcPr>
            <w:tcW w:w="4380" w:type="dxa"/>
            <w:tcBorders>
              <w:top w:val="nil"/>
              <w:left w:val="nil"/>
              <w:bottom w:val="nil"/>
              <w:right w:val="nil"/>
            </w:tcBorders>
            <w:shd w:val="clear" w:color="auto" w:fill="auto"/>
            <w:noWrap/>
            <w:vAlign w:val="center"/>
            <w:hideMark/>
          </w:tcPr>
          <w:p w14:paraId="2A828E8C" w14:textId="77777777" w:rsidR="00467307" w:rsidRPr="00062207" w:rsidRDefault="00467307" w:rsidP="00A963D6">
            <w:pPr>
              <w:ind w:firstLineChars="100" w:firstLine="220"/>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 xml:space="preserve">Otros ingresos </w:t>
            </w:r>
          </w:p>
        </w:tc>
        <w:tc>
          <w:tcPr>
            <w:tcW w:w="1213" w:type="dxa"/>
            <w:tcBorders>
              <w:top w:val="nil"/>
              <w:left w:val="nil"/>
              <w:bottom w:val="nil"/>
              <w:right w:val="nil"/>
            </w:tcBorders>
            <w:shd w:val="clear" w:color="auto" w:fill="auto"/>
            <w:noWrap/>
            <w:vAlign w:val="center"/>
            <w:hideMark/>
          </w:tcPr>
          <w:p w14:paraId="6DA3502C"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1,572.0</w:t>
            </w:r>
          </w:p>
        </w:tc>
        <w:tc>
          <w:tcPr>
            <w:tcW w:w="1214" w:type="dxa"/>
            <w:tcBorders>
              <w:top w:val="nil"/>
              <w:left w:val="nil"/>
              <w:bottom w:val="nil"/>
              <w:right w:val="nil"/>
            </w:tcBorders>
            <w:shd w:val="clear" w:color="auto" w:fill="auto"/>
            <w:noWrap/>
            <w:vAlign w:val="center"/>
            <w:hideMark/>
          </w:tcPr>
          <w:p w14:paraId="2D47947B"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1,835.9</w:t>
            </w:r>
          </w:p>
        </w:tc>
        <w:tc>
          <w:tcPr>
            <w:tcW w:w="1095" w:type="dxa"/>
            <w:tcBorders>
              <w:top w:val="nil"/>
              <w:left w:val="dotDash" w:sz="4" w:space="0" w:color="auto"/>
              <w:bottom w:val="nil"/>
              <w:right w:val="nil"/>
            </w:tcBorders>
            <w:shd w:val="clear" w:color="auto" w:fill="auto"/>
            <w:noWrap/>
            <w:vAlign w:val="center"/>
            <w:hideMark/>
          </w:tcPr>
          <w:p w14:paraId="2E180D20"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0.3</w:t>
            </w:r>
          </w:p>
        </w:tc>
        <w:tc>
          <w:tcPr>
            <w:tcW w:w="1096" w:type="dxa"/>
            <w:tcBorders>
              <w:top w:val="nil"/>
              <w:left w:val="nil"/>
              <w:bottom w:val="nil"/>
              <w:right w:val="nil"/>
            </w:tcBorders>
            <w:shd w:val="clear" w:color="auto" w:fill="auto"/>
            <w:noWrap/>
            <w:vAlign w:val="center"/>
            <w:hideMark/>
          </w:tcPr>
          <w:p w14:paraId="6BBC4151"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0.3</w:t>
            </w:r>
          </w:p>
        </w:tc>
      </w:tr>
      <w:tr w:rsidR="00062207" w:rsidRPr="00062207" w14:paraId="55A4E5BA" w14:textId="77777777" w:rsidTr="00A963D6">
        <w:trPr>
          <w:trHeight w:val="238"/>
          <w:jc w:val="center"/>
        </w:trPr>
        <w:tc>
          <w:tcPr>
            <w:tcW w:w="4380" w:type="dxa"/>
            <w:tcBorders>
              <w:top w:val="nil"/>
              <w:left w:val="nil"/>
              <w:bottom w:val="nil"/>
              <w:right w:val="nil"/>
            </w:tcBorders>
            <w:shd w:val="clear" w:color="auto" w:fill="auto"/>
            <w:noWrap/>
            <w:vAlign w:val="center"/>
            <w:hideMark/>
          </w:tcPr>
          <w:p w14:paraId="3B42ABEA" w14:textId="77777777" w:rsidR="00467307" w:rsidRPr="00062207" w:rsidRDefault="00467307" w:rsidP="00A963D6">
            <w:pPr>
              <w:jc w:val="both"/>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GASTO</w:t>
            </w:r>
          </w:p>
        </w:tc>
        <w:tc>
          <w:tcPr>
            <w:tcW w:w="1213" w:type="dxa"/>
            <w:tcBorders>
              <w:top w:val="nil"/>
              <w:left w:val="nil"/>
              <w:bottom w:val="nil"/>
              <w:right w:val="nil"/>
            </w:tcBorders>
            <w:shd w:val="clear" w:color="auto" w:fill="auto"/>
            <w:noWrap/>
            <w:vAlign w:val="center"/>
            <w:hideMark/>
          </w:tcPr>
          <w:p w14:paraId="07CA0CEC"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89,474.4</w:t>
            </w:r>
          </w:p>
        </w:tc>
        <w:tc>
          <w:tcPr>
            <w:tcW w:w="1214" w:type="dxa"/>
            <w:tcBorders>
              <w:top w:val="nil"/>
              <w:left w:val="nil"/>
              <w:bottom w:val="nil"/>
              <w:right w:val="nil"/>
            </w:tcBorders>
            <w:shd w:val="clear" w:color="auto" w:fill="auto"/>
            <w:noWrap/>
            <w:vAlign w:val="center"/>
            <w:hideMark/>
          </w:tcPr>
          <w:p w14:paraId="6D5E7633"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88,323.0</w:t>
            </w:r>
          </w:p>
        </w:tc>
        <w:tc>
          <w:tcPr>
            <w:tcW w:w="1095" w:type="dxa"/>
            <w:tcBorders>
              <w:top w:val="nil"/>
              <w:left w:val="dotDash" w:sz="4" w:space="0" w:color="auto"/>
              <w:bottom w:val="nil"/>
              <w:right w:val="nil"/>
            </w:tcBorders>
            <w:shd w:val="clear" w:color="auto" w:fill="auto"/>
            <w:noWrap/>
            <w:vAlign w:val="center"/>
            <w:hideMark/>
          </w:tcPr>
          <w:p w14:paraId="5BE972C5"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14.9</w:t>
            </w:r>
          </w:p>
        </w:tc>
        <w:tc>
          <w:tcPr>
            <w:tcW w:w="1096" w:type="dxa"/>
            <w:tcBorders>
              <w:top w:val="nil"/>
              <w:left w:val="nil"/>
              <w:bottom w:val="nil"/>
              <w:right w:val="nil"/>
            </w:tcBorders>
            <w:shd w:val="clear" w:color="auto" w:fill="auto"/>
            <w:noWrap/>
            <w:vAlign w:val="center"/>
            <w:hideMark/>
          </w:tcPr>
          <w:p w14:paraId="25E4CD4E"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13.3</w:t>
            </w:r>
          </w:p>
        </w:tc>
      </w:tr>
      <w:tr w:rsidR="00062207" w:rsidRPr="00062207" w14:paraId="2B0AEB04" w14:textId="77777777" w:rsidTr="00A963D6">
        <w:trPr>
          <w:trHeight w:val="238"/>
          <w:jc w:val="center"/>
        </w:trPr>
        <w:tc>
          <w:tcPr>
            <w:tcW w:w="4380" w:type="dxa"/>
            <w:tcBorders>
              <w:top w:val="nil"/>
              <w:left w:val="nil"/>
              <w:bottom w:val="nil"/>
              <w:right w:val="nil"/>
            </w:tcBorders>
            <w:shd w:val="clear" w:color="auto" w:fill="auto"/>
            <w:noWrap/>
            <w:vAlign w:val="center"/>
            <w:hideMark/>
          </w:tcPr>
          <w:p w14:paraId="320DF9D9" w14:textId="77777777" w:rsidR="00467307" w:rsidRPr="00062207" w:rsidRDefault="00467307" w:rsidP="00A963D6">
            <w:pPr>
              <w:ind w:firstLineChars="100" w:firstLine="220"/>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 xml:space="preserve">Remuneración a los empleados </w:t>
            </w:r>
          </w:p>
        </w:tc>
        <w:tc>
          <w:tcPr>
            <w:tcW w:w="1213" w:type="dxa"/>
            <w:tcBorders>
              <w:top w:val="nil"/>
              <w:left w:val="nil"/>
              <w:bottom w:val="nil"/>
              <w:right w:val="nil"/>
            </w:tcBorders>
            <w:shd w:val="clear" w:color="auto" w:fill="auto"/>
            <w:noWrap/>
            <w:vAlign w:val="center"/>
            <w:hideMark/>
          </w:tcPr>
          <w:p w14:paraId="5D36B52C"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29,835.7</w:t>
            </w:r>
          </w:p>
        </w:tc>
        <w:tc>
          <w:tcPr>
            <w:tcW w:w="1214" w:type="dxa"/>
            <w:tcBorders>
              <w:top w:val="nil"/>
              <w:left w:val="nil"/>
              <w:bottom w:val="nil"/>
              <w:right w:val="nil"/>
            </w:tcBorders>
            <w:shd w:val="clear" w:color="auto" w:fill="auto"/>
            <w:noWrap/>
            <w:vAlign w:val="center"/>
            <w:hideMark/>
          </w:tcPr>
          <w:p w14:paraId="16D153CB"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30,905.7</w:t>
            </w:r>
          </w:p>
        </w:tc>
        <w:tc>
          <w:tcPr>
            <w:tcW w:w="1095" w:type="dxa"/>
            <w:tcBorders>
              <w:top w:val="nil"/>
              <w:left w:val="dotDash" w:sz="4" w:space="0" w:color="auto"/>
              <w:bottom w:val="nil"/>
              <w:right w:val="nil"/>
            </w:tcBorders>
            <w:shd w:val="clear" w:color="auto" w:fill="auto"/>
            <w:noWrap/>
            <w:vAlign w:val="center"/>
            <w:hideMark/>
          </w:tcPr>
          <w:p w14:paraId="7788616B"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5.0</w:t>
            </w:r>
          </w:p>
        </w:tc>
        <w:tc>
          <w:tcPr>
            <w:tcW w:w="1096" w:type="dxa"/>
            <w:tcBorders>
              <w:top w:val="nil"/>
              <w:left w:val="nil"/>
              <w:bottom w:val="nil"/>
              <w:right w:val="nil"/>
            </w:tcBorders>
            <w:shd w:val="clear" w:color="auto" w:fill="auto"/>
            <w:noWrap/>
            <w:vAlign w:val="center"/>
            <w:hideMark/>
          </w:tcPr>
          <w:p w14:paraId="460E3B6F"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4.6</w:t>
            </w:r>
          </w:p>
        </w:tc>
      </w:tr>
      <w:tr w:rsidR="00062207" w:rsidRPr="00062207" w14:paraId="6DA17EE8" w14:textId="77777777" w:rsidTr="00A963D6">
        <w:trPr>
          <w:trHeight w:val="238"/>
          <w:jc w:val="center"/>
        </w:trPr>
        <w:tc>
          <w:tcPr>
            <w:tcW w:w="4380" w:type="dxa"/>
            <w:tcBorders>
              <w:top w:val="nil"/>
              <w:left w:val="nil"/>
              <w:bottom w:val="nil"/>
              <w:right w:val="nil"/>
            </w:tcBorders>
            <w:shd w:val="clear" w:color="auto" w:fill="auto"/>
            <w:noWrap/>
            <w:vAlign w:val="center"/>
            <w:hideMark/>
          </w:tcPr>
          <w:p w14:paraId="5CE6BC30" w14:textId="77777777" w:rsidR="00467307" w:rsidRPr="00062207" w:rsidRDefault="00467307" w:rsidP="00A963D6">
            <w:pPr>
              <w:ind w:firstLineChars="100" w:firstLine="220"/>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 xml:space="preserve">Uso de bienes y servicios  </w:t>
            </w:r>
          </w:p>
        </w:tc>
        <w:tc>
          <w:tcPr>
            <w:tcW w:w="1213" w:type="dxa"/>
            <w:tcBorders>
              <w:top w:val="nil"/>
              <w:left w:val="nil"/>
              <w:bottom w:val="nil"/>
              <w:right w:val="nil"/>
            </w:tcBorders>
            <w:shd w:val="clear" w:color="auto" w:fill="auto"/>
            <w:noWrap/>
            <w:vAlign w:val="center"/>
            <w:hideMark/>
          </w:tcPr>
          <w:p w14:paraId="1ACE5F12"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9,121.5</w:t>
            </w:r>
          </w:p>
        </w:tc>
        <w:tc>
          <w:tcPr>
            <w:tcW w:w="1214" w:type="dxa"/>
            <w:tcBorders>
              <w:top w:val="nil"/>
              <w:left w:val="nil"/>
              <w:bottom w:val="nil"/>
              <w:right w:val="nil"/>
            </w:tcBorders>
            <w:shd w:val="clear" w:color="auto" w:fill="auto"/>
            <w:noWrap/>
            <w:vAlign w:val="center"/>
            <w:hideMark/>
          </w:tcPr>
          <w:p w14:paraId="7A220303"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13,254.2</w:t>
            </w:r>
          </w:p>
        </w:tc>
        <w:tc>
          <w:tcPr>
            <w:tcW w:w="1095" w:type="dxa"/>
            <w:tcBorders>
              <w:top w:val="nil"/>
              <w:left w:val="dotDash" w:sz="4" w:space="0" w:color="auto"/>
              <w:bottom w:val="nil"/>
              <w:right w:val="nil"/>
            </w:tcBorders>
            <w:shd w:val="clear" w:color="auto" w:fill="auto"/>
            <w:noWrap/>
            <w:vAlign w:val="center"/>
            <w:hideMark/>
          </w:tcPr>
          <w:p w14:paraId="05DA8341"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1.5</w:t>
            </w:r>
          </w:p>
        </w:tc>
        <w:tc>
          <w:tcPr>
            <w:tcW w:w="1096" w:type="dxa"/>
            <w:tcBorders>
              <w:top w:val="nil"/>
              <w:left w:val="nil"/>
              <w:bottom w:val="nil"/>
              <w:right w:val="nil"/>
            </w:tcBorders>
            <w:shd w:val="clear" w:color="auto" w:fill="auto"/>
            <w:noWrap/>
            <w:vAlign w:val="center"/>
            <w:hideMark/>
          </w:tcPr>
          <w:p w14:paraId="2AE9FD27"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2.0</w:t>
            </w:r>
          </w:p>
        </w:tc>
      </w:tr>
      <w:tr w:rsidR="00062207" w:rsidRPr="00062207" w14:paraId="09D228E4" w14:textId="77777777" w:rsidTr="00A963D6">
        <w:trPr>
          <w:trHeight w:val="238"/>
          <w:jc w:val="center"/>
        </w:trPr>
        <w:tc>
          <w:tcPr>
            <w:tcW w:w="4380" w:type="dxa"/>
            <w:tcBorders>
              <w:top w:val="nil"/>
              <w:left w:val="nil"/>
              <w:bottom w:val="nil"/>
              <w:right w:val="nil"/>
            </w:tcBorders>
            <w:shd w:val="clear" w:color="auto" w:fill="auto"/>
            <w:noWrap/>
            <w:vAlign w:val="center"/>
            <w:hideMark/>
          </w:tcPr>
          <w:p w14:paraId="678E7DE5" w14:textId="77777777" w:rsidR="00467307" w:rsidRPr="00062207" w:rsidRDefault="00467307" w:rsidP="00A963D6">
            <w:pPr>
              <w:ind w:firstLineChars="100" w:firstLine="220"/>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 xml:space="preserve">Intereses </w:t>
            </w:r>
          </w:p>
        </w:tc>
        <w:tc>
          <w:tcPr>
            <w:tcW w:w="1213" w:type="dxa"/>
            <w:tcBorders>
              <w:top w:val="nil"/>
              <w:left w:val="nil"/>
              <w:bottom w:val="nil"/>
              <w:right w:val="nil"/>
            </w:tcBorders>
            <w:shd w:val="clear" w:color="auto" w:fill="auto"/>
            <w:noWrap/>
            <w:vAlign w:val="center"/>
            <w:hideMark/>
          </w:tcPr>
          <w:p w14:paraId="60809E85"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10,176.9</w:t>
            </w:r>
          </w:p>
        </w:tc>
        <w:tc>
          <w:tcPr>
            <w:tcW w:w="1214" w:type="dxa"/>
            <w:tcBorders>
              <w:top w:val="nil"/>
              <w:left w:val="nil"/>
              <w:bottom w:val="nil"/>
              <w:right w:val="nil"/>
            </w:tcBorders>
            <w:shd w:val="clear" w:color="auto" w:fill="auto"/>
            <w:noWrap/>
            <w:vAlign w:val="center"/>
            <w:hideMark/>
          </w:tcPr>
          <w:p w14:paraId="414E3679"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11,392.9</w:t>
            </w:r>
          </w:p>
        </w:tc>
        <w:tc>
          <w:tcPr>
            <w:tcW w:w="1095" w:type="dxa"/>
            <w:tcBorders>
              <w:top w:val="nil"/>
              <w:left w:val="dotDash" w:sz="4" w:space="0" w:color="auto"/>
              <w:bottom w:val="nil"/>
              <w:right w:val="nil"/>
            </w:tcBorders>
            <w:shd w:val="clear" w:color="auto" w:fill="auto"/>
            <w:noWrap/>
            <w:vAlign w:val="center"/>
            <w:hideMark/>
          </w:tcPr>
          <w:p w14:paraId="708C97D8"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1.7</w:t>
            </w:r>
          </w:p>
        </w:tc>
        <w:tc>
          <w:tcPr>
            <w:tcW w:w="1096" w:type="dxa"/>
            <w:tcBorders>
              <w:top w:val="nil"/>
              <w:left w:val="nil"/>
              <w:bottom w:val="nil"/>
              <w:right w:val="nil"/>
            </w:tcBorders>
            <w:shd w:val="clear" w:color="auto" w:fill="auto"/>
            <w:noWrap/>
            <w:vAlign w:val="center"/>
            <w:hideMark/>
          </w:tcPr>
          <w:p w14:paraId="5CAA3C24"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1.7</w:t>
            </w:r>
          </w:p>
        </w:tc>
      </w:tr>
      <w:tr w:rsidR="00062207" w:rsidRPr="00062207" w14:paraId="0AB846FB" w14:textId="77777777" w:rsidTr="00A963D6">
        <w:trPr>
          <w:trHeight w:val="238"/>
          <w:jc w:val="center"/>
        </w:trPr>
        <w:tc>
          <w:tcPr>
            <w:tcW w:w="4380" w:type="dxa"/>
            <w:tcBorders>
              <w:top w:val="nil"/>
              <w:left w:val="nil"/>
              <w:bottom w:val="nil"/>
              <w:right w:val="nil"/>
            </w:tcBorders>
            <w:shd w:val="clear" w:color="auto" w:fill="auto"/>
            <w:noWrap/>
            <w:vAlign w:val="center"/>
            <w:hideMark/>
          </w:tcPr>
          <w:p w14:paraId="5E777750" w14:textId="77777777" w:rsidR="00467307" w:rsidRPr="00062207" w:rsidRDefault="00467307" w:rsidP="00A963D6">
            <w:pPr>
              <w:ind w:firstLineChars="100" w:firstLine="220"/>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 xml:space="preserve">Subsidios </w:t>
            </w:r>
          </w:p>
        </w:tc>
        <w:tc>
          <w:tcPr>
            <w:tcW w:w="1213" w:type="dxa"/>
            <w:tcBorders>
              <w:top w:val="nil"/>
              <w:left w:val="nil"/>
              <w:bottom w:val="nil"/>
              <w:right w:val="nil"/>
            </w:tcBorders>
            <w:shd w:val="clear" w:color="auto" w:fill="auto"/>
            <w:noWrap/>
            <w:vAlign w:val="center"/>
            <w:hideMark/>
          </w:tcPr>
          <w:p w14:paraId="282912A7"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2,672.0</w:t>
            </w:r>
          </w:p>
        </w:tc>
        <w:tc>
          <w:tcPr>
            <w:tcW w:w="1214" w:type="dxa"/>
            <w:tcBorders>
              <w:top w:val="nil"/>
              <w:left w:val="nil"/>
              <w:bottom w:val="nil"/>
              <w:right w:val="nil"/>
            </w:tcBorders>
            <w:shd w:val="clear" w:color="auto" w:fill="auto"/>
            <w:noWrap/>
            <w:vAlign w:val="center"/>
            <w:hideMark/>
          </w:tcPr>
          <w:p w14:paraId="4ABD5B4C"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436.2</w:t>
            </w:r>
          </w:p>
        </w:tc>
        <w:tc>
          <w:tcPr>
            <w:tcW w:w="1095" w:type="dxa"/>
            <w:tcBorders>
              <w:top w:val="nil"/>
              <w:left w:val="dotDash" w:sz="4" w:space="0" w:color="auto"/>
              <w:bottom w:val="nil"/>
              <w:right w:val="nil"/>
            </w:tcBorders>
            <w:shd w:val="clear" w:color="auto" w:fill="auto"/>
            <w:noWrap/>
            <w:vAlign w:val="center"/>
            <w:hideMark/>
          </w:tcPr>
          <w:p w14:paraId="5D644926"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0.4</w:t>
            </w:r>
          </w:p>
        </w:tc>
        <w:tc>
          <w:tcPr>
            <w:tcW w:w="1096" w:type="dxa"/>
            <w:tcBorders>
              <w:top w:val="nil"/>
              <w:left w:val="nil"/>
              <w:bottom w:val="nil"/>
              <w:right w:val="nil"/>
            </w:tcBorders>
            <w:shd w:val="clear" w:color="auto" w:fill="auto"/>
            <w:noWrap/>
            <w:vAlign w:val="center"/>
            <w:hideMark/>
          </w:tcPr>
          <w:p w14:paraId="6B572F23"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0.1</w:t>
            </w:r>
          </w:p>
        </w:tc>
      </w:tr>
      <w:tr w:rsidR="00062207" w:rsidRPr="00062207" w14:paraId="6409A48D" w14:textId="77777777" w:rsidTr="00A963D6">
        <w:trPr>
          <w:trHeight w:val="238"/>
          <w:jc w:val="center"/>
        </w:trPr>
        <w:tc>
          <w:tcPr>
            <w:tcW w:w="4380" w:type="dxa"/>
            <w:tcBorders>
              <w:top w:val="nil"/>
              <w:left w:val="nil"/>
              <w:bottom w:val="nil"/>
              <w:right w:val="nil"/>
            </w:tcBorders>
            <w:shd w:val="clear" w:color="auto" w:fill="auto"/>
            <w:noWrap/>
            <w:vAlign w:val="center"/>
            <w:hideMark/>
          </w:tcPr>
          <w:p w14:paraId="5A87C900" w14:textId="77777777" w:rsidR="00467307" w:rsidRPr="00062207" w:rsidRDefault="00467307" w:rsidP="00A963D6">
            <w:pPr>
              <w:ind w:firstLineChars="100" w:firstLine="220"/>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 xml:space="preserve">Donaciones </w:t>
            </w:r>
          </w:p>
        </w:tc>
        <w:tc>
          <w:tcPr>
            <w:tcW w:w="1213" w:type="dxa"/>
            <w:tcBorders>
              <w:top w:val="nil"/>
              <w:left w:val="nil"/>
              <w:bottom w:val="nil"/>
              <w:right w:val="nil"/>
            </w:tcBorders>
            <w:shd w:val="clear" w:color="auto" w:fill="auto"/>
            <w:noWrap/>
            <w:vAlign w:val="center"/>
            <w:hideMark/>
          </w:tcPr>
          <w:p w14:paraId="2636D939"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20,133.6</w:t>
            </w:r>
          </w:p>
        </w:tc>
        <w:tc>
          <w:tcPr>
            <w:tcW w:w="1214" w:type="dxa"/>
            <w:tcBorders>
              <w:top w:val="nil"/>
              <w:left w:val="nil"/>
              <w:bottom w:val="nil"/>
              <w:right w:val="nil"/>
            </w:tcBorders>
            <w:shd w:val="clear" w:color="auto" w:fill="auto"/>
            <w:noWrap/>
            <w:vAlign w:val="center"/>
            <w:hideMark/>
          </w:tcPr>
          <w:p w14:paraId="2138197B"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21,045.2</w:t>
            </w:r>
          </w:p>
        </w:tc>
        <w:tc>
          <w:tcPr>
            <w:tcW w:w="1095" w:type="dxa"/>
            <w:tcBorders>
              <w:top w:val="nil"/>
              <w:left w:val="dotDash" w:sz="4" w:space="0" w:color="auto"/>
              <w:bottom w:val="nil"/>
              <w:right w:val="nil"/>
            </w:tcBorders>
            <w:shd w:val="clear" w:color="auto" w:fill="auto"/>
            <w:noWrap/>
            <w:vAlign w:val="center"/>
            <w:hideMark/>
          </w:tcPr>
          <w:p w14:paraId="003638E3"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3.4</w:t>
            </w:r>
          </w:p>
        </w:tc>
        <w:tc>
          <w:tcPr>
            <w:tcW w:w="1096" w:type="dxa"/>
            <w:tcBorders>
              <w:top w:val="nil"/>
              <w:left w:val="nil"/>
              <w:bottom w:val="nil"/>
              <w:right w:val="nil"/>
            </w:tcBorders>
            <w:shd w:val="clear" w:color="auto" w:fill="auto"/>
            <w:noWrap/>
            <w:vAlign w:val="center"/>
            <w:hideMark/>
          </w:tcPr>
          <w:p w14:paraId="3B310E98"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3.2</w:t>
            </w:r>
          </w:p>
        </w:tc>
      </w:tr>
      <w:tr w:rsidR="00062207" w:rsidRPr="00062207" w14:paraId="6FF9E098" w14:textId="77777777" w:rsidTr="00A963D6">
        <w:trPr>
          <w:trHeight w:val="238"/>
          <w:jc w:val="center"/>
        </w:trPr>
        <w:tc>
          <w:tcPr>
            <w:tcW w:w="4380" w:type="dxa"/>
            <w:tcBorders>
              <w:top w:val="nil"/>
              <w:left w:val="nil"/>
              <w:bottom w:val="nil"/>
              <w:right w:val="nil"/>
            </w:tcBorders>
            <w:shd w:val="clear" w:color="auto" w:fill="auto"/>
            <w:noWrap/>
            <w:vAlign w:val="center"/>
            <w:hideMark/>
          </w:tcPr>
          <w:p w14:paraId="60FA9A73" w14:textId="77777777" w:rsidR="00467307" w:rsidRPr="00062207" w:rsidRDefault="00467307" w:rsidP="00A963D6">
            <w:pPr>
              <w:ind w:firstLineChars="100" w:firstLine="220"/>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 xml:space="preserve">Prestaciones sociales </w:t>
            </w:r>
          </w:p>
        </w:tc>
        <w:tc>
          <w:tcPr>
            <w:tcW w:w="1213" w:type="dxa"/>
            <w:tcBorders>
              <w:top w:val="nil"/>
              <w:left w:val="nil"/>
              <w:bottom w:val="nil"/>
              <w:right w:val="nil"/>
            </w:tcBorders>
            <w:shd w:val="clear" w:color="auto" w:fill="auto"/>
            <w:noWrap/>
            <w:vAlign w:val="center"/>
            <w:hideMark/>
          </w:tcPr>
          <w:p w14:paraId="090416D5"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11,878.7</w:t>
            </w:r>
          </w:p>
        </w:tc>
        <w:tc>
          <w:tcPr>
            <w:tcW w:w="1214" w:type="dxa"/>
            <w:tcBorders>
              <w:top w:val="nil"/>
              <w:left w:val="nil"/>
              <w:bottom w:val="nil"/>
              <w:right w:val="nil"/>
            </w:tcBorders>
            <w:shd w:val="clear" w:color="auto" w:fill="auto"/>
            <w:noWrap/>
            <w:vAlign w:val="center"/>
            <w:hideMark/>
          </w:tcPr>
          <w:p w14:paraId="7CEC8FD0"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5,990.5</w:t>
            </w:r>
          </w:p>
        </w:tc>
        <w:tc>
          <w:tcPr>
            <w:tcW w:w="1095" w:type="dxa"/>
            <w:tcBorders>
              <w:top w:val="nil"/>
              <w:left w:val="dotDash" w:sz="4" w:space="0" w:color="auto"/>
              <w:bottom w:val="nil"/>
              <w:right w:val="nil"/>
            </w:tcBorders>
            <w:shd w:val="clear" w:color="auto" w:fill="auto"/>
            <w:noWrap/>
            <w:vAlign w:val="center"/>
            <w:hideMark/>
          </w:tcPr>
          <w:p w14:paraId="1A5625BC"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2.0</w:t>
            </w:r>
          </w:p>
        </w:tc>
        <w:tc>
          <w:tcPr>
            <w:tcW w:w="1096" w:type="dxa"/>
            <w:tcBorders>
              <w:top w:val="nil"/>
              <w:left w:val="nil"/>
              <w:bottom w:val="nil"/>
              <w:right w:val="nil"/>
            </w:tcBorders>
            <w:shd w:val="clear" w:color="auto" w:fill="auto"/>
            <w:noWrap/>
            <w:vAlign w:val="center"/>
            <w:hideMark/>
          </w:tcPr>
          <w:p w14:paraId="75F26AD8"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0.9</w:t>
            </w:r>
          </w:p>
        </w:tc>
      </w:tr>
      <w:tr w:rsidR="00062207" w:rsidRPr="00062207" w14:paraId="077A5613" w14:textId="77777777" w:rsidTr="00A963D6">
        <w:trPr>
          <w:trHeight w:val="238"/>
          <w:jc w:val="center"/>
        </w:trPr>
        <w:tc>
          <w:tcPr>
            <w:tcW w:w="4380" w:type="dxa"/>
            <w:tcBorders>
              <w:top w:val="nil"/>
              <w:left w:val="nil"/>
              <w:bottom w:val="nil"/>
              <w:right w:val="nil"/>
            </w:tcBorders>
            <w:shd w:val="clear" w:color="auto" w:fill="auto"/>
            <w:noWrap/>
            <w:vAlign w:val="center"/>
            <w:hideMark/>
          </w:tcPr>
          <w:p w14:paraId="602A186F" w14:textId="77777777" w:rsidR="00467307" w:rsidRPr="00062207" w:rsidRDefault="00467307" w:rsidP="00A963D6">
            <w:pPr>
              <w:ind w:firstLineChars="100" w:firstLine="220"/>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 xml:space="preserve">Otros gastos </w:t>
            </w:r>
          </w:p>
        </w:tc>
        <w:tc>
          <w:tcPr>
            <w:tcW w:w="1213" w:type="dxa"/>
            <w:tcBorders>
              <w:top w:val="nil"/>
              <w:left w:val="nil"/>
              <w:bottom w:val="nil"/>
              <w:right w:val="nil"/>
            </w:tcBorders>
            <w:shd w:val="clear" w:color="auto" w:fill="auto"/>
            <w:noWrap/>
            <w:vAlign w:val="center"/>
            <w:hideMark/>
          </w:tcPr>
          <w:p w14:paraId="49F845D9"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5,656.0</w:t>
            </w:r>
          </w:p>
        </w:tc>
        <w:tc>
          <w:tcPr>
            <w:tcW w:w="1214" w:type="dxa"/>
            <w:tcBorders>
              <w:top w:val="nil"/>
              <w:left w:val="nil"/>
              <w:bottom w:val="nil"/>
              <w:right w:val="nil"/>
            </w:tcBorders>
            <w:shd w:val="clear" w:color="auto" w:fill="auto"/>
            <w:noWrap/>
            <w:vAlign w:val="center"/>
            <w:hideMark/>
          </w:tcPr>
          <w:p w14:paraId="549C6268"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5,298.2</w:t>
            </w:r>
          </w:p>
        </w:tc>
        <w:tc>
          <w:tcPr>
            <w:tcW w:w="1095" w:type="dxa"/>
            <w:tcBorders>
              <w:top w:val="nil"/>
              <w:left w:val="dotDash" w:sz="4" w:space="0" w:color="auto"/>
              <w:bottom w:val="nil"/>
              <w:right w:val="nil"/>
            </w:tcBorders>
            <w:shd w:val="clear" w:color="auto" w:fill="auto"/>
            <w:noWrap/>
            <w:vAlign w:val="center"/>
            <w:hideMark/>
          </w:tcPr>
          <w:p w14:paraId="0E78220D"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0.9</w:t>
            </w:r>
          </w:p>
        </w:tc>
        <w:tc>
          <w:tcPr>
            <w:tcW w:w="1096" w:type="dxa"/>
            <w:tcBorders>
              <w:top w:val="nil"/>
              <w:left w:val="nil"/>
              <w:bottom w:val="nil"/>
              <w:right w:val="nil"/>
            </w:tcBorders>
            <w:shd w:val="clear" w:color="auto" w:fill="auto"/>
            <w:noWrap/>
            <w:vAlign w:val="center"/>
            <w:hideMark/>
          </w:tcPr>
          <w:p w14:paraId="31BF0046"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0.8</w:t>
            </w:r>
          </w:p>
        </w:tc>
      </w:tr>
      <w:tr w:rsidR="00062207" w:rsidRPr="00062207" w14:paraId="7286EBB6" w14:textId="77777777" w:rsidTr="00A963D6">
        <w:trPr>
          <w:trHeight w:val="238"/>
          <w:jc w:val="center"/>
        </w:trPr>
        <w:tc>
          <w:tcPr>
            <w:tcW w:w="4380" w:type="dxa"/>
            <w:tcBorders>
              <w:top w:val="nil"/>
              <w:left w:val="nil"/>
              <w:bottom w:val="nil"/>
              <w:right w:val="nil"/>
            </w:tcBorders>
            <w:shd w:val="clear" w:color="auto" w:fill="auto"/>
            <w:noWrap/>
            <w:vAlign w:val="center"/>
            <w:hideMark/>
          </w:tcPr>
          <w:p w14:paraId="7B44C5CE" w14:textId="77777777" w:rsidR="00467307" w:rsidRPr="00062207" w:rsidRDefault="00467307" w:rsidP="00A963D6">
            <w:pPr>
              <w:jc w:val="both"/>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Resultado Operativo Primario</w:t>
            </w:r>
          </w:p>
        </w:tc>
        <w:tc>
          <w:tcPr>
            <w:tcW w:w="1213" w:type="dxa"/>
            <w:tcBorders>
              <w:top w:val="nil"/>
              <w:left w:val="nil"/>
              <w:bottom w:val="nil"/>
              <w:right w:val="nil"/>
            </w:tcBorders>
            <w:shd w:val="clear" w:color="auto" w:fill="auto"/>
            <w:noWrap/>
            <w:vAlign w:val="center"/>
            <w:hideMark/>
          </w:tcPr>
          <w:p w14:paraId="186564CD"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-13,035.9</w:t>
            </w:r>
          </w:p>
        </w:tc>
        <w:tc>
          <w:tcPr>
            <w:tcW w:w="1214" w:type="dxa"/>
            <w:tcBorders>
              <w:top w:val="nil"/>
              <w:left w:val="nil"/>
              <w:bottom w:val="nil"/>
              <w:right w:val="nil"/>
            </w:tcBorders>
            <w:shd w:val="clear" w:color="auto" w:fill="auto"/>
            <w:noWrap/>
            <w:vAlign w:val="center"/>
            <w:hideMark/>
          </w:tcPr>
          <w:p w14:paraId="04D8D4C8"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7,393.6</w:t>
            </w:r>
          </w:p>
        </w:tc>
        <w:tc>
          <w:tcPr>
            <w:tcW w:w="1095" w:type="dxa"/>
            <w:tcBorders>
              <w:top w:val="nil"/>
              <w:left w:val="dotDash" w:sz="4" w:space="0" w:color="auto"/>
              <w:bottom w:val="nil"/>
              <w:right w:val="nil"/>
            </w:tcBorders>
            <w:shd w:val="clear" w:color="auto" w:fill="auto"/>
            <w:noWrap/>
            <w:vAlign w:val="center"/>
            <w:hideMark/>
          </w:tcPr>
          <w:p w14:paraId="0D67BB00"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-2.2</w:t>
            </w:r>
          </w:p>
        </w:tc>
        <w:tc>
          <w:tcPr>
            <w:tcW w:w="1096" w:type="dxa"/>
            <w:tcBorders>
              <w:top w:val="nil"/>
              <w:left w:val="nil"/>
              <w:bottom w:val="nil"/>
              <w:right w:val="nil"/>
            </w:tcBorders>
            <w:shd w:val="clear" w:color="auto" w:fill="auto"/>
            <w:noWrap/>
            <w:vAlign w:val="center"/>
            <w:hideMark/>
          </w:tcPr>
          <w:p w14:paraId="5F7DA745"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1.1</w:t>
            </w:r>
          </w:p>
        </w:tc>
      </w:tr>
      <w:tr w:rsidR="00062207" w:rsidRPr="00062207" w14:paraId="05EE3A04" w14:textId="77777777" w:rsidTr="00A963D6">
        <w:trPr>
          <w:trHeight w:val="238"/>
          <w:jc w:val="center"/>
        </w:trPr>
        <w:tc>
          <w:tcPr>
            <w:tcW w:w="4380" w:type="dxa"/>
            <w:tcBorders>
              <w:top w:val="nil"/>
              <w:left w:val="nil"/>
              <w:bottom w:val="nil"/>
              <w:right w:val="nil"/>
            </w:tcBorders>
            <w:shd w:val="clear" w:color="auto" w:fill="auto"/>
            <w:noWrap/>
            <w:vAlign w:val="center"/>
            <w:hideMark/>
          </w:tcPr>
          <w:p w14:paraId="3D0DA9AA" w14:textId="77777777" w:rsidR="00467307" w:rsidRPr="00062207" w:rsidRDefault="00467307" w:rsidP="00A963D6">
            <w:pPr>
              <w:jc w:val="both"/>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Resultado Operativo</w:t>
            </w:r>
          </w:p>
        </w:tc>
        <w:tc>
          <w:tcPr>
            <w:tcW w:w="1213" w:type="dxa"/>
            <w:tcBorders>
              <w:top w:val="nil"/>
              <w:left w:val="nil"/>
              <w:bottom w:val="nil"/>
              <w:right w:val="nil"/>
            </w:tcBorders>
            <w:shd w:val="clear" w:color="auto" w:fill="auto"/>
            <w:noWrap/>
            <w:vAlign w:val="center"/>
            <w:hideMark/>
          </w:tcPr>
          <w:p w14:paraId="5032C509"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-23,212.8</w:t>
            </w:r>
          </w:p>
        </w:tc>
        <w:tc>
          <w:tcPr>
            <w:tcW w:w="1214" w:type="dxa"/>
            <w:tcBorders>
              <w:top w:val="nil"/>
              <w:left w:val="nil"/>
              <w:bottom w:val="nil"/>
              <w:right w:val="nil"/>
            </w:tcBorders>
            <w:shd w:val="clear" w:color="auto" w:fill="auto"/>
            <w:noWrap/>
            <w:vAlign w:val="center"/>
            <w:hideMark/>
          </w:tcPr>
          <w:p w14:paraId="46BDC1C9"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-3,999.3</w:t>
            </w:r>
          </w:p>
        </w:tc>
        <w:tc>
          <w:tcPr>
            <w:tcW w:w="1095" w:type="dxa"/>
            <w:tcBorders>
              <w:top w:val="nil"/>
              <w:left w:val="dotDash" w:sz="4" w:space="0" w:color="auto"/>
              <w:bottom w:val="nil"/>
              <w:right w:val="nil"/>
            </w:tcBorders>
            <w:shd w:val="clear" w:color="auto" w:fill="auto"/>
            <w:noWrap/>
            <w:vAlign w:val="center"/>
            <w:hideMark/>
          </w:tcPr>
          <w:p w14:paraId="78C01BDA"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-3.9</w:t>
            </w:r>
          </w:p>
        </w:tc>
        <w:tc>
          <w:tcPr>
            <w:tcW w:w="1096" w:type="dxa"/>
            <w:tcBorders>
              <w:top w:val="nil"/>
              <w:left w:val="nil"/>
              <w:bottom w:val="nil"/>
              <w:right w:val="nil"/>
            </w:tcBorders>
            <w:shd w:val="clear" w:color="auto" w:fill="auto"/>
            <w:noWrap/>
            <w:vAlign w:val="center"/>
            <w:hideMark/>
          </w:tcPr>
          <w:p w14:paraId="7CF9603F"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-0.6</w:t>
            </w:r>
          </w:p>
        </w:tc>
      </w:tr>
      <w:tr w:rsidR="00062207" w:rsidRPr="00062207" w14:paraId="0A5DB6D4" w14:textId="77777777" w:rsidTr="00A963D6">
        <w:trPr>
          <w:trHeight w:val="238"/>
          <w:jc w:val="center"/>
        </w:trPr>
        <w:tc>
          <w:tcPr>
            <w:tcW w:w="4380" w:type="dxa"/>
            <w:tcBorders>
              <w:top w:val="nil"/>
              <w:left w:val="nil"/>
              <w:bottom w:val="nil"/>
              <w:right w:val="nil"/>
            </w:tcBorders>
            <w:shd w:val="clear" w:color="auto" w:fill="auto"/>
            <w:noWrap/>
            <w:hideMark/>
          </w:tcPr>
          <w:p w14:paraId="1F3458F0" w14:textId="77777777" w:rsidR="00467307" w:rsidRPr="00062207" w:rsidRDefault="00467307" w:rsidP="00A963D6">
            <w:pPr>
              <w:jc w:val="center"/>
              <w:rPr>
                <w:rFonts w:ascii="Times New Roman" w:eastAsia="Times New Roman" w:hAnsi="Times New Roman" w:cs="Times New Roman"/>
                <w:b/>
                <w:bCs/>
                <w:sz w:val="22"/>
                <w:szCs w:val="22"/>
                <w:lang w:eastAsia="es-GT"/>
              </w:rPr>
            </w:pPr>
          </w:p>
        </w:tc>
        <w:tc>
          <w:tcPr>
            <w:tcW w:w="1213" w:type="dxa"/>
            <w:tcBorders>
              <w:top w:val="nil"/>
              <w:left w:val="nil"/>
              <w:bottom w:val="nil"/>
              <w:right w:val="nil"/>
            </w:tcBorders>
            <w:shd w:val="clear" w:color="auto" w:fill="auto"/>
            <w:noWrap/>
            <w:hideMark/>
          </w:tcPr>
          <w:p w14:paraId="3644AC7B" w14:textId="77777777" w:rsidR="00467307" w:rsidRPr="00062207" w:rsidRDefault="00467307" w:rsidP="00A963D6">
            <w:pPr>
              <w:rPr>
                <w:rFonts w:ascii="Times New Roman" w:eastAsia="Times New Roman" w:hAnsi="Times New Roman" w:cs="Times New Roman"/>
                <w:sz w:val="22"/>
                <w:szCs w:val="22"/>
                <w:lang w:eastAsia="es-GT"/>
              </w:rPr>
            </w:pPr>
          </w:p>
        </w:tc>
        <w:tc>
          <w:tcPr>
            <w:tcW w:w="1214" w:type="dxa"/>
            <w:tcBorders>
              <w:top w:val="nil"/>
              <w:left w:val="nil"/>
              <w:bottom w:val="nil"/>
              <w:right w:val="nil"/>
            </w:tcBorders>
            <w:shd w:val="clear" w:color="auto" w:fill="auto"/>
            <w:noWrap/>
            <w:hideMark/>
          </w:tcPr>
          <w:p w14:paraId="0399B47E" w14:textId="77777777" w:rsidR="00467307" w:rsidRPr="00062207" w:rsidRDefault="00467307" w:rsidP="00A963D6">
            <w:pPr>
              <w:rPr>
                <w:rFonts w:ascii="Times New Roman" w:eastAsia="Times New Roman" w:hAnsi="Times New Roman" w:cs="Times New Roman"/>
                <w:sz w:val="22"/>
                <w:szCs w:val="22"/>
                <w:lang w:eastAsia="es-GT"/>
              </w:rPr>
            </w:pPr>
          </w:p>
        </w:tc>
        <w:tc>
          <w:tcPr>
            <w:tcW w:w="1095" w:type="dxa"/>
            <w:tcBorders>
              <w:top w:val="nil"/>
              <w:left w:val="dotDash" w:sz="4" w:space="0" w:color="auto"/>
              <w:bottom w:val="single" w:sz="8" w:space="0" w:color="auto"/>
              <w:right w:val="nil"/>
            </w:tcBorders>
            <w:shd w:val="clear" w:color="auto" w:fill="auto"/>
            <w:noWrap/>
            <w:hideMark/>
          </w:tcPr>
          <w:p w14:paraId="3AADF607" w14:textId="77777777" w:rsidR="00467307" w:rsidRPr="00062207" w:rsidRDefault="00467307" w:rsidP="00A963D6">
            <w:pP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 </w:t>
            </w:r>
          </w:p>
        </w:tc>
        <w:tc>
          <w:tcPr>
            <w:tcW w:w="1096" w:type="dxa"/>
            <w:tcBorders>
              <w:top w:val="nil"/>
              <w:left w:val="nil"/>
              <w:bottom w:val="single" w:sz="8" w:space="0" w:color="auto"/>
              <w:right w:val="nil"/>
            </w:tcBorders>
            <w:shd w:val="clear" w:color="auto" w:fill="auto"/>
            <w:noWrap/>
            <w:vAlign w:val="center"/>
            <w:hideMark/>
          </w:tcPr>
          <w:p w14:paraId="3EC4437C" w14:textId="77777777" w:rsidR="00467307" w:rsidRPr="00062207" w:rsidRDefault="00467307" w:rsidP="00A963D6">
            <w:pP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 </w:t>
            </w:r>
          </w:p>
        </w:tc>
      </w:tr>
      <w:tr w:rsidR="00062207" w:rsidRPr="00062207" w14:paraId="32A15F15" w14:textId="77777777" w:rsidTr="00A963D6">
        <w:trPr>
          <w:trHeight w:val="238"/>
          <w:jc w:val="center"/>
        </w:trPr>
        <w:tc>
          <w:tcPr>
            <w:tcW w:w="8998" w:type="dxa"/>
            <w:gridSpan w:val="5"/>
            <w:tcBorders>
              <w:top w:val="single" w:sz="8" w:space="0" w:color="auto"/>
              <w:left w:val="nil"/>
              <w:bottom w:val="double" w:sz="6" w:space="0" w:color="auto"/>
              <w:right w:val="nil"/>
            </w:tcBorders>
            <w:shd w:val="clear" w:color="auto" w:fill="auto"/>
            <w:noWrap/>
            <w:vAlign w:val="center"/>
            <w:hideMark/>
          </w:tcPr>
          <w:p w14:paraId="483BA122" w14:textId="77777777" w:rsidR="00467307" w:rsidRPr="00062207" w:rsidRDefault="00467307" w:rsidP="00A963D6">
            <w:pPr>
              <w:jc w:val="both"/>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TRANSACCIONES EN ACTIVOS NO FINANCIEROS</w:t>
            </w:r>
          </w:p>
        </w:tc>
      </w:tr>
      <w:tr w:rsidR="00062207" w:rsidRPr="00062207" w14:paraId="408EF34E" w14:textId="77777777" w:rsidTr="00A963D6">
        <w:trPr>
          <w:trHeight w:val="238"/>
          <w:jc w:val="center"/>
        </w:trPr>
        <w:tc>
          <w:tcPr>
            <w:tcW w:w="4380" w:type="dxa"/>
            <w:tcBorders>
              <w:top w:val="nil"/>
              <w:left w:val="nil"/>
              <w:bottom w:val="nil"/>
              <w:right w:val="nil"/>
            </w:tcBorders>
            <w:shd w:val="clear" w:color="auto" w:fill="auto"/>
            <w:noWrap/>
            <w:vAlign w:val="center"/>
            <w:hideMark/>
          </w:tcPr>
          <w:p w14:paraId="73C97846" w14:textId="77777777" w:rsidR="00467307" w:rsidRPr="00062207" w:rsidRDefault="00467307" w:rsidP="00A963D6">
            <w:pPr>
              <w:jc w:val="both"/>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Inversión bruta en activos no financieros</w:t>
            </w:r>
          </w:p>
        </w:tc>
        <w:tc>
          <w:tcPr>
            <w:tcW w:w="1213" w:type="dxa"/>
            <w:tcBorders>
              <w:top w:val="nil"/>
              <w:left w:val="nil"/>
              <w:bottom w:val="nil"/>
              <w:right w:val="nil"/>
            </w:tcBorders>
            <w:shd w:val="clear" w:color="auto" w:fill="auto"/>
            <w:noWrap/>
            <w:vAlign w:val="center"/>
            <w:hideMark/>
          </w:tcPr>
          <w:p w14:paraId="131818DB"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2,928.3</w:t>
            </w:r>
          </w:p>
        </w:tc>
        <w:tc>
          <w:tcPr>
            <w:tcW w:w="1214" w:type="dxa"/>
            <w:tcBorders>
              <w:top w:val="nil"/>
              <w:left w:val="nil"/>
              <w:bottom w:val="nil"/>
              <w:right w:val="nil"/>
            </w:tcBorders>
            <w:shd w:val="clear" w:color="auto" w:fill="auto"/>
            <w:noWrap/>
            <w:vAlign w:val="center"/>
            <w:hideMark/>
          </w:tcPr>
          <w:p w14:paraId="1E7E541D"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3,748.9</w:t>
            </w:r>
          </w:p>
        </w:tc>
        <w:tc>
          <w:tcPr>
            <w:tcW w:w="1095" w:type="dxa"/>
            <w:tcBorders>
              <w:top w:val="nil"/>
              <w:left w:val="dotDash" w:sz="4" w:space="0" w:color="auto"/>
              <w:bottom w:val="nil"/>
              <w:right w:val="nil"/>
            </w:tcBorders>
            <w:shd w:val="clear" w:color="auto" w:fill="auto"/>
            <w:noWrap/>
            <w:vAlign w:val="center"/>
            <w:hideMark/>
          </w:tcPr>
          <w:p w14:paraId="6F6DAC1B"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0.5</w:t>
            </w:r>
          </w:p>
        </w:tc>
        <w:tc>
          <w:tcPr>
            <w:tcW w:w="1096" w:type="dxa"/>
            <w:tcBorders>
              <w:top w:val="nil"/>
              <w:left w:val="nil"/>
              <w:bottom w:val="nil"/>
              <w:right w:val="nil"/>
            </w:tcBorders>
            <w:shd w:val="clear" w:color="auto" w:fill="auto"/>
            <w:noWrap/>
            <w:vAlign w:val="center"/>
            <w:hideMark/>
          </w:tcPr>
          <w:p w14:paraId="5D708443"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0.6</w:t>
            </w:r>
          </w:p>
        </w:tc>
      </w:tr>
      <w:tr w:rsidR="00062207" w:rsidRPr="00062207" w14:paraId="0CA93CA8" w14:textId="77777777" w:rsidTr="00A963D6">
        <w:trPr>
          <w:trHeight w:val="238"/>
          <w:jc w:val="center"/>
        </w:trPr>
        <w:tc>
          <w:tcPr>
            <w:tcW w:w="4380" w:type="dxa"/>
            <w:tcBorders>
              <w:top w:val="nil"/>
              <w:left w:val="nil"/>
              <w:bottom w:val="nil"/>
              <w:right w:val="nil"/>
            </w:tcBorders>
            <w:shd w:val="clear" w:color="auto" w:fill="auto"/>
            <w:noWrap/>
            <w:vAlign w:val="center"/>
            <w:hideMark/>
          </w:tcPr>
          <w:p w14:paraId="4718BF91" w14:textId="77777777" w:rsidR="00467307" w:rsidRPr="00062207" w:rsidRDefault="00467307" w:rsidP="00A963D6">
            <w:pPr>
              <w:jc w:val="both"/>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Erogación</w:t>
            </w:r>
          </w:p>
        </w:tc>
        <w:tc>
          <w:tcPr>
            <w:tcW w:w="1213" w:type="dxa"/>
            <w:tcBorders>
              <w:top w:val="nil"/>
              <w:left w:val="nil"/>
              <w:bottom w:val="nil"/>
              <w:right w:val="nil"/>
            </w:tcBorders>
            <w:shd w:val="clear" w:color="auto" w:fill="auto"/>
            <w:noWrap/>
            <w:vAlign w:val="center"/>
            <w:hideMark/>
          </w:tcPr>
          <w:p w14:paraId="1B79FB6A"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92,402.7</w:t>
            </w:r>
          </w:p>
        </w:tc>
        <w:tc>
          <w:tcPr>
            <w:tcW w:w="1214" w:type="dxa"/>
            <w:tcBorders>
              <w:top w:val="nil"/>
              <w:left w:val="nil"/>
              <w:bottom w:val="nil"/>
              <w:right w:val="nil"/>
            </w:tcBorders>
            <w:shd w:val="clear" w:color="auto" w:fill="auto"/>
            <w:noWrap/>
            <w:vAlign w:val="center"/>
            <w:hideMark/>
          </w:tcPr>
          <w:p w14:paraId="31AECDE7"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92,071.8</w:t>
            </w:r>
          </w:p>
        </w:tc>
        <w:tc>
          <w:tcPr>
            <w:tcW w:w="1095" w:type="dxa"/>
            <w:tcBorders>
              <w:top w:val="nil"/>
              <w:left w:val="dotDash" w:sz="4" w:space="0" w:color="auto"/>
              <w:bottom w:val="nil"/>
              <w:right w:val="nil"/>
            </w:tcBorders>
            <w:shd w:val="clear" w:color="auto" w:fill="auto"/>
            <w:noWrap/>
            <w:vAlign w:val="center"/>
            <w:hideMark/>
          </w:tcPr>
          <w:p w14:paraId="1A1DD9D5"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15.4</w:t>
            </w:r>
          </w:p>
        </w:tc>
        <w:tc>
          <w:tcPr>
            <w:tcW w:w="1096" w:type="dxa"/>
            <w:tcBorders>
              <w:top w:val="nil"/>
              <w:left w:val="nil"/>
              <w:bottom w:val="nil"/>
              <w:right w:val="nil"/>
            </w:tcBorders>
            <w:shd w:val="clear" w:color="auto" w:fill="auto"/>
            <w:noWrap/>
            <w:vAlign w:val="center"/>
            <w:hideMark/>
          </w:tcPr>
          <w:p w14:paraId="063A7BBA"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13.8</w:t>
            </w:r>
          </w:p>
        </w:tc>
      </w:tr>
      <w:tr w:rsidR="00062207" w:rsidRPr="00062207" w14:paraId="306A304C" w14:textId="77777777" w:rsidTr="00A963D6">
        <w:trPr>
          <w:trHeight w:val="238"/>
          <w:jc w:val="center"/>
        </w:trPr>
        <w:tc>
          <w:tcPr>
            <w:tcW w:w="4380" w:type="dxa"/>
            <w:tcBorders>
              <w:top w:val="nil"/>
              <w:left w:val="nil"/>
              <w:bottom w:val="nil"/>
              <w:right w:val="nil"/>
            </w:tcBorders>
            <w:shd w:val="clear" w:color="auto" w:fill="auto"/>
            <w:noWrap/>
            <w:vAlign w:val="center"/>
            <w:hideMark/>
          </w:tcPr>
          <w:p w14:paraId="5388A158" w14:textId="77777777" w:rsidR="00467307" w:rsidRPr="00062207" w:rsidRDefault="00467307" w:rsidP="00A963D6">
            <w:pPr>
              <w:jc w:val="both"/>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Resultado Primario</w:t>
            </w:r>
          </w:p>
        </w:tc>
        <w:tc>
          <w:tcPr>
            <w:tcW w:w="1213" w:type="dxa"/>
            <w:tcBorders>
              <w:top w:val="nil"/>
              <w:left w:val="nil"/>
              <w:bottom w:val="nil"/>
              <w:right w:val="nil"/>
            </w:tcBorders>
            <w:shd w:val="clear" w:color="auto" w:fill="auto"/>
            <w:noWrap/>
            <w:vAlign w:val="center"/>
            <w:hideMark/>
          </w:tcPr>
          <w:p w14:paraId="3BA27C2B"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-15,964.3</w:t>
            </w:r>
          </w:p>
        </w:tc>
        <w:tc>
          <w:tcPr>
            <w:tcW w:w="1214" w:type="dxa"/>
            <w:tcBorders>
              <w:top w:val="nil"/>
              <w:left w:val="nil"/>
              <w:bottom w:val="nil"/>
              <w:right w:val="nil"/>
            </w:tcBorders>
            <w:shd w:val="clear" w:color="auto" w:fill="auto"/>
            <w:noWrap/>
            <w:vAlign w:val="center"/>
            <w:hideMark/>
          </w:tcPr>
          <w:p w14:paraId="6382573C"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3,644.7</w:t>
            </w:r>
          </w:p>
        </w:tc>
        <w:tc>
          <w:tcPr>
            <w:tcW w:w="1095" w:type="dxa"/>
            <w:tcBorders>
              <w:top w:val="nil"/>
              <w:left w:val="dotDash" w:sz="4" w:space="0" w:color="auto"/>
              <w:bottom w:val="nil"/>
              <w:right w:val="nil"/>
            </w:tcBorders>
            <w:shd w:val="clear" w:color="auto" w:fill="auto"/>
            <w:noWrap/>
            <w:vAlign w:val="center"/>
            <w:hideMark/>
          </w:tcPr>
          <w:p w14:paraId="1A597BEE"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-2.7</w:t>
            </w:r>
          </w:p>
        </w:tc>
        <w:tc>
          <w:tcPr>
            <w:tcW w:w="1096" w:type="dxa"/>
            <w:tcBorders>
              <w:top w:val="nil"/>
              <w:left w:val="nil"/>
              <w:bottom w:val="nil"/>
              <w:right w:val="nil"/>
            </w:tcBorders>
            <w:shd w:val="clear" w:color="auto" w:fill="auto"/>
            <w:noWrap/>
            <w:vAlign w:val="center"/>
            <w:hideMark/>
          </w:tcPr>
          <w:p w14:paraId="75F418D9"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0.5</w:t>
            </w:r>
          </w:p>
        </w:tc>
      </w:tr>
      <w:tr w:rsidR="00062207" w:rsidRPr="00062207" w14:paraId="2615F6DA" w14:textId="77777777" w:rsidTr="00A963D6">
        <w:trPr>
          <w:trHeight w:val="238"/>
          <w:jc w:val="center"/>
        </w:trPr>
        <w:tc>
          <w:tcPr>
            <w:tcW w:w="4380" w:type="dxa"/>
            <w:tcBorders>
              <w:top w:val="nil"/>
              <w:left w:val="nil"/>
              <w:bottom w:val="nil"/>
              <w:right w:val="nil"/>
            </w:tcBorders>
            <w:shd w:val="clear" w:color="auto" w:fill="auto"/>
            <w:noWrap/>
            <w:vAlign w:val="center"/>
            <w:hideMark/>
          </w:tcPr>
          <w:p w14:paraId="74CBAA00" w14:textId="77777777" w:rsidR="00467307" w:rsidRPr="00062207" w:rsidRDefault="00467307" w:rsidP="00A963D6">
            <w:pPr>
              <w:jc w:val="both"/>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Préstamo (+) / endeudamiento (-)</w:t>
            </w:r>
          </w:p>
        </w:tc>
        <w:tc>
          <w:tcPr>
            <w:tcW w:w="1213" w:type="dxa"/>
            <w:tcBorders>
              <w:top w:val="nil"/>
              <w:left w:val="nil"/>
              <w:bottom w:val="nil"/>
              <w:right w:val="nil"/>
            </w:tcBorders>
            <w:shd w:val="clear" w:color="auto" w:fill="auto"/>
            <w:noWrap/>
            <w:vAlign w:val="center"/>
            <w:hideMark/>
          </w:tcPr>
          <w:p w14:paraId="4445AC66"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-26,141.1</w:t>
            </w:r>
          </w:p>
        </w:tc>
        <w:tc>
          <w:tcPr>
            <w:tcW w:w="1214" w:type="dxa"/>
            <w:tcBorders>
              <w:top w:val="nil"/>
              <w:left w:val="nil"/>
              <w:bottom w:val="nil"/>
              <w:right w:val="nil"/>
            </w:tcBorders>
            <w:shd w:val="clear" w:color="auto" w:fill="auto"/>
            <w:noWrap/>
            <w:vAlign w:val="center"/>
            <w:hideMark/>
          </w:tcPr>
          <w:p w14:paraId="3FF39C32"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-7,748.2</w:t>
            </w:r>
          </w:p>
        </w:tc>
        <w:tc>
          <w:tcPr>
            <w:tcW w:w="1095" w:type="dxa"/>
            <w:tcBorders>
              <w:top w:val="nil"/>
              <w:left w:val="dotDash" w:sz="4" w:space="0" w:color="auto"/>
              <w:bottom w:val="nil"/>
              <w:right w:val="nil"/>
            </w:tcBorders>
            <w:shd w:val="clear" w:color="auto" w:fill="auto"/>
            <w:noWrap/>
            <w:vAlign w:val="center"/>
            <w:hideMark/>
          </w:tcPr>
          <w:p w14:paraId="7FBC0D84"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-4.4</w:t>
            </w:r>
          </w:p>
        </w:tc>
        <w:tc>
          <w:tcPr>
            <w:tcW w:w="1096" w:type="dxa"/>
            <w:tcBorders>
              <w:top w:val="nil"/>
              <w:left w:val="nil"/>
              <w:bottom w:val="nil"/>
              <w:right w:val="nil"/>
            </w:tcBorders>
            <w:shd w:val="clear" w:color="auto" w:fill="auto"/>
            <w:noWrap/>
            <w:vAlign w:val="center"/>
            <w:hideMark/>
          </w:tcPr>
          <w:p w14:paraId="6C5F7B9C"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-1.2</w:t>
            </w:r>
          </w:p>
        </w:tc>
      </w:tr>
      <w:tr w:rsidR="00062207" w:rsidRPr="00062207" w14:paraId="43942470" w14:textId="77777777" w:rsidTr="00A963D6">
        <w:trPr>
          <w:trHeight w:val="238"/>
          <w:jc w:val="center"/>
        </w:trPr>
        <w:tc>
          <w:tcPr>
            <w:tcW w:w="4380" w:type="dxa"/>
            <w:tcBorders>
              <w:top w:val="nil"/>
              <w:left w:val="nil"/>
              <w:bottom w:val="nil"/>
              <w:right w:val="nil"/>
            </w:tcBorders>
            <w:shd w:val="clear" w:color="auto" w:fill="auto"/>
            <w:noWrap/>
            <w:hideMark/>
          </w:tcPr>
          <w:p w14:paraId="33ABC151" w14:textId="77777777" w:rsidR="00467307" w:rsidRPr="00062207" w:rsidRDefault="00467307" w:rsidP="00A963D6">
            <w:pPr>
              <w:jc w:val="center"/>
              <w:rPr>
                <w:rFonts w:ascii="Times New Roman" w:eastAsia="Times New Roman" w:hAnsi="Times New Roman" w:cs="Times New Roman"/>
                <w:b/>
                <w:bCs/>
                <w:sz w:val="22"/>
                <w:szCs w:val="22"/>
                <w:lang w:eastAsia="es-GT"/>
              </w:rPr>
            </w:pPr>
          </w:p>
        </w:tc>
        <w:tc>
          <w:tcPr>
            <w:tcW w:w="1213" w:type="dxa"/>
            <w:tcBorders>
              <w:top w:val="nil"/>
              <w:left w:val="nil"/>
              <w:bottom w:val="nil"/>
              <w:right w:val="nil"/>
            </w:tcBorders>
            <w:shd w:val="clear" w:color="auto" w:fill="auto"/>
            <w:noWrap/>
            <w:hideMark/>
          </w:tcPr>
          <w:p w14:paraId="5F241C23" w14:textId="77777777" w:rsidR="00467307" w:rsidRPr="00062207" w:rsidRDefault="00467307" w:rsidP="00A963D6">
            <w:pPr>
              <w:rPr>
                <w:rFonts w:ascii="Times New Roman" w:eastAsia="Times New Roman" w:hAnsi="Times New Roman" w:cs="Times New Roman"/>
                <w:sz w:val="22"/>
                <w:szCs w:val="22"/>
                <w:lang w:eastAsia="es-GT"/>
              </w:rPr>
            </w:pPr>
          </w:p>
        </w:tc>
        <w:tc>
          <w:tcPr>
            <w:tcW w:w="1214" w:type="dxa"/>
            <w:tcBorders>
              <w:top w:val="nil"/>
              <w:left w:val="nil"/>
              <w:bottom w:val="nil"/>
              <w:right w:val="nil"/>
            </w:tcBorders>
            <w:shd w:val="clear" w:color="auto" w:fill="auto"/>
            <w:noWrap/>
            <w:hideMark/>
          </w:tcPr>
          <w:p w14:paraId="07585125" w14:textId="77777777" w:rsidR="00467307" w:rsidRPr="00062207" w:rsidRDefault="00467307" w:rsidP="00A963D6">
            <w:pPr>
              <w:rPr>
                <w:rFonts w:ascii="Times New Roman" w:eastAsia="Times New Roman" w:hAnsi="Times New Roman" w:cs="Times New Roman"/>
                <w:sz w:val="22"/>
                <w:szCs w:val="22"/>
                <w:lang w:eastAsia="es-GT"/>
              </w:rPr>
            </w:pPr>
          </w:p>
        </w:tc>
        <w:tc>
          <w:tcPr>
            <w:tcW w:w="1095" w:type="dxa"/>
            <w:tcBorders>
              <w:top w:val="nil"/>
              <w:left w:val="dotDash" w:sz="4" w:space="0" w:color="auto"/>
              <w:bottom w:val="single" w:sz="8" w:space="0" w:color="auto"/>
              <w:right w:val="nil"/>
            </w:tcBorders>
            <w:shd w:val="clear" w:color="auto" w:fill="auto"/>
            <w:noWrap/>
            <w:hideMark/>
          </w:tcPr>
          <w:p w14:paraId="622DB787" w14:textId="77777777" w:rsidR="00467307" w:rsidRPr="00062207" w:rsidRDefault="00467307" w:rsidP="00A963D6">
            <w:pP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 </w:t>
            </w:r>
          </w:p>
        </w:tc>
        <w:tc>
          <w:tcPr>
            <w:tcW w:w="1096" w:type="dxa"/>
            <w:tcBorders>
              <w:top w:val="nil"/>
              <w:left w:val="nil"/>
              <w:bottom w:val="nil"/>
              <w:right w:val="nil"/>
            </w:tcBorders>
            <w:shd w:val="clear" w:color="auto" w:fill="auto"/>
            <w:noWrap/>
            <w:vAlign w:val="center"/>
            <w:hideMark/>
          </w:tcPr>
          <w:p w14:paraId="0EE6B400" w14:textId="77777777" w:rsidR="00467307" w:rsidRPr="00062207" w:rsidRDefault="00467307" w:rsidP="00A963D6">
            <w:pPr>
              <w:rPr>
                <w:rFonts w:ascii="Times New Roman" w:eastAsia="Times New Roman" w:hAnsi="Times New Roman" w:cs="Times New Roman"/>
                <w:sz w:val="22"/>
                <w:szCs w:val="22"/>
                <w:lang w:eastAsia="es-GT"/>
              </w:rPr>
            </w:pPr>
          </w:p>
        </w:tc>
      </w:tr>
      <w:tr w:rsidR="00062207" w:rsidRPr="00062207" w14:paraId="260B9CC0" w14:textId="77777777" w:rsidTr="00A963D6">
        <w:trPr>
          <w:trHeight w:val="238"/>
          <w:jc w:val="center"/>
        </w:trPr>
        <w:tc>
          <w:tcPr>
            <w:tcW w:w="8998" w:type="dxa"/>
            <w:gridSpan w:val="5"/>
            <w:tcBorders>
              <w:top w:val="single" w:sz="8" w:space="0" w:color="auto"/>
              <w:left w:val="nil"/>
              <w:bottom w:val="double" w:sz="6" w:space="0" w:color="auto"/>
              <w:right w:val="nil"/>
            </w:tcBorders>
            <w:shd w:val="clear" w:color="auto" w:fill="auto"/>
            <w:noWrap/>
            <w:vAlign w:val="center"/>
            <w:hideMark/>
          </w:tcPr>
          <w:p w14:paraId="2546BE9F" w14:textId="77777777" w:rsidR="00467307" w:rsidRPr="00062207" w:rsidRDefault="00467307" w:rsidP="00A963D6">
            <w:pPr>
              <w:jc w:val="both"/>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TRANSACCIONES EN ACTIVOS Y PASIVOS FINANCIEROS (FINANCIMIENTO)</w:t>
            </w:r>
          </w:p>
        </w:tc>
      </w:tr>
      <w:tr w:rsidR="00062207" w:rsidRPr="00062207" w14:paraId="36742D11" w14:textId="77777777" w:rsidTr="00A963D6">
        <w:trPr>
          <w:trHeight w:val="238"/>
          <w:jc w:val="center"/>
        </w:trPr>
        <w:tc>
          <w:tcPr>
            <w:tcW w:w="4380" w:type="dxa"/>
            <w:tcBorders>
              <w:top w:val="nil"/>
              <w:left w:val="nil"/>
              <w:bottom w:val="nil"/>
              <w:right w:val="nil"/>
            </w:tcBorders>
            <w:shd w:val="clear" w:color="auto" w:fill="auto"/>
            <w:noWrap/>
            <w:vAlign w:val="center"/>
            <w:hideMark/>
          </w:tcPr>
          <w:p w14:paraId="26893410" w14:textId="77777777" w:rsidR="00467307" w:rsidRPr="00062207" w:rsidRDefault="00467307" w:rsidP="00A963D6">
            <w:pPr>
              <w:jc w:val="both"/>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Adquisición neta de activos financieros</w:t>
            </w:r>
          </w:p>
        </w:tc>
        <w:tc>
          <w:tcPr>
            <w:tcW w:w="1213" w:type="dxa"/>
            <w:tcBorders>
              <w:top w:val="nil"/>
              <w:left w:val="nil"/>
              <w:bottom w:val="nil"/>
              <w:right w:val="nil"/>
            </w:tcBorders>
            <w:shd w:val="clear" w:color="auto" w:fill="auto"/>
            <w:noWrap/>
            <w:vAlign w:val="center"/>
            <w:hideMark/>
          </w:tcPr>
          <w:p w14:paraId="789F1A22"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7,491.6</w:t>
            </w:r>
          </w:p>
        </w:tc>
        <w:tc>
          <w:tcPr>
            <w:tcW w:w="1214" w:type="dxa"/>
            <w:tcBorders>
              <w:top w:val="nil"/>
              <w:left w:val="nil"/>
              <w:bottom w:val="nil"/>
              <w:right w:val="nil"/>
            </w:tcBorders>
            <w:shd w:val="clear" w:color="auto" w:fill="auto"/>
            <w:noWrap/>
            <w:vAlign w:val="center"/>
            <w:hideMark/>
          </w:tcPr>
          <w:p w14:paraId="0ABA7FC5"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12,285.1</w:t>
            </w:r>
          </w:p>
        </w:tc>
        <w:tc>
          <w:tcPr>
            <w:tcW w:w="1095" w:type="dxa"/>
            <w:tcBorders>
              <w:top w:val="nil"/>
              <w:left w:val="dotDash" w:sz="4" w:space="0" w:color="auto"/>
              <w:bottom w:val="nil"/>
              <w:right w:val="nil"/>
            </w:tcBorders>
            <w:shd w:val="clear" w:color="auto" w:fill="auto"/>
            <w:noWrap/>
            <w:vAlign w:val="center"/>
            <w:hideMark/>
          </w:tcPr>
          <w:p w14:paraId="2FC44DF5"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1.3</w:t>
            </w:r>
          </w:p>
        </w:tc>
        <w:tc>
          <w:tcPr>
            <w:tcW w:w="1096" w:type="dxa"/>
            <w:tcBorders>
              <w:top w:val="nil"/>
              <w:left w:val="nil"/>
              <w:bottom w:val="nil"/>
              <w:right w:val="nil"/>
            </w:tcBorders>
            <w:shd w:val="clear" w:color="auto" w:fill="auto"/>
            <w:noWrap/>
            <w:vAlign w:val="center"/>
            <w:hideMark/>
          </w:tcPr>
          <w:p w14:paraId="18EF7BFC"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1.8</w:t>
            </w:r>
          </w:p>
        </w:tc>
      </w:tr>
      <w:tr w:rsidR="00062207" w:rsidRPr="00062207" w14:paraId="16CF0D39" w14:textId="77777777" w:rsidTr="00A963D6">
        <w:trPr>
          <w:trHeight w:val="238"/>
          <w:jc w:val="center"/>
        </w:trPr>
        <w:tc>
          <w:tcPr>
            <w:tcW w:w="4380" w:type="dxa"/>
            <w:tcBorders>
              <w:top w:val="nil"/>
              <w:left w:val="nil"/>
              <w:bottom w:val="nil"/>
              <w:right w:val="nil"/>
            </w:tcBorders>
            <w:shd w:val="clear" w:color="auto" w:fill="auto"/>
            <w:noWrap/>
            <w:vAlign w:val="center"/>
            <w:hideMark/>
          </w:tcPr>
          <w:p w14:paraId="21F1B9B2" w14:textId="77777777" w:rsidR="00467307" w:rsidRPr="00062207" w:rsidRDefault="00467307" w:rsidP="00A963D6">
            <w:pPr>
              <w:ind w:firstLineChars="100" w:firstLine="220"/>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Billetes monedas y depósitos</w:t>
            </w:r>
          </w:p>
        </w:tc>
        <w:tc>
          <w:tcPr>
            <w:tcW w:w="1213" w:type="dxa"/>
            <w:tcBorders>
              <w:top w:val="nil"/>
              <w:left w:val="nil"/>
              <w:bottom w:val="nil"/>
              <w:right w:val="nil"/>
            </w:tcBorders>
            <w:shd w:val="clear" w:color="auto" w:fill="auto"/>
            <w:noWrap/>
            <w:vAlign w:val="center"/>
            <w:hideMark/>
          </w:tcPr>
          <w:p w14:paraId="516DB74E"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4,161.8</w:t>
            </w:r>
          </w:p>
        </w:tc>
        <w:tc>
          <w:tcPr>
            <w:tcW w:w="1214" w:type="dxa"/>
            <w:tcBorders>
              <w:top w:val="nil"/>
              <w:left w:val="nil"/>
              <w:bottom w:val="nil"/>
              <w:right w:val="nil"/>
            </w:tcBorders>
            <w:shd w:val="clear" w:color="auto" w:fill="auto"/>
            <w:noWrap/>
            <w:vAlign w:val="center"/>
            <w:hideMark/>
          </w:tcPr>
          <w:p w14:paraId="791E1CC6"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12,042.0</w:t>
            </w:r>
          </w:p>
        </w:tc>
        <w:tc>
          <w:tcPr>
            <w:tcW w:w="1095" w:type="dxa"/>
            <w:tcBorders>
              <w:top w:val="nil"/>
              <w:left w:val="dotDash" w:sz="4" w:space="0" w:color="auto"/>
              <w:bottom w:val="nil"/>
              <w:right w:val="nil"/>
            </w:tcBorders>
            <w:shd w:val="clear" w:color="auto" w:fill="auto"/>
            <w:noWrap/>
            <w:vAlign w:val="center"/>
            <w:hideMark/>
          </w:tcPr>
          <w:p w14:paraId="1342D849"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0.7</w:t>
            </w:r>
          </w:p>
        </w:tc>
        <w:tc>
          <w:tcPr>
            <w:tcW w:w="1096" w:type="dxa"/>
            <w:tcBorders>
              <w:top w:val="nil"/>
              <w:left w:val="nil"/>
              <w:bottom w:val="nil"/>
              <w:right w:val="nil"/>
            </w:tcBorders>
            <w:shd w:val="clear" w:color="auto" w:fill="auto"/>
            <w:noWrap/>
            <w:vAlign w:val="center"/>
            <w:hideMark/>
          </w:tcPr>
          <w:p w14:paraId="067021D8"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1.8</w:t>
            </w:r>
          </w:p>
        </w:tc>
      </w:tr>
      <w:tr w:rsidR="00062207" w:rsidRPr="00062207" w14:paraId="2F0CDA67" w14:textId="77777777" w:rsidTr="00A963D6">
        <w:trPr>
          <w:trHeight w:val="238"/>
          <w:jc w:val="center"/>
        </w:trPr>
        <w:tc>
          <w:tcPr>
            <w:tcW w:w="4380" w:type="dxa"/>
            <w:tcBorders>
              <w:top w:val="nil"/>
              <w:left w:val="nil"/>
              <w:bottom w:val="nil"/>
              <w:right w:val="nil"/>
            </w:tcBorders>
            <w:shd w:val="clear" w:color="auto" w:fill="auto"/>
            <w:noWrap/>
            <w:vAlign w:val="center"/>
            <w:hideMark/>
          </w:tcPr>
          <w:p w14:paraId="203B0E90" w14:textId="77777777" w:rsidR="00467307" w:rsidRPr="00062207" w:rsidRDefault="00467307" w:rsidP="00A963D6">
            <w:pPr>
              <w:ind w:firstLineChars="100" w:firstLine="220"/>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Préstamos</w:t>
            </w:r>
          </w:p>
        </w:tc>
        <w:tc>
          <w:tcPr>
            <w:tcW w:w="1213" w:type="dxa"/>
            <w:tcBorders>
              <w:top w:val="nil"/>
              <w:left w:val="nil"/>
              <w:bottom w:val="nil"/>
              <w:right w:val="nil"/>
            </w:tcBorders>
            <w:shd w:val="clear" w:color="auto" w:fill="auto"/>
            <w:noWrap/>
            <w:vAlign w:val="center"/>
            <w:hideMark/>
          </w:tcPr>
          <w:p w14:paraId="14AA6F66"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3,329.8</w:t>
            </w:r>
          </w:p>
        </w:tc>
        <w:tc>
          <w:tcPr>
            <w:tcW w:w="1214" w:type="dxa"/>
            <w:tcBorders>
              <w:top w:val="nil"/>
              <w:left w:val="nil"/>
              <w:bottom w:val="nil"/>
              <w:right w:val="nil"/>
            </w:tcBorders>
            <w:shd w:val="clear" w:color="auto" w:fill="auto"/>
            <w:noWrap/>
            <w:vAlign w:val="center"/>
            <w:hideMark/>
          </w:tcPr>
          <w:p w14:paraId="698061A9"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29.2</w:t>
            </w:r>
          </w:p>
        </w:tc>
        <w:tc>
          <w:tcPr>
            <w:tcW w:w="1095" w:type="dxa"/>
            <w:tcBorders>
              <w:top w:val="nil"/>
              <w:left w:val="dotDash" w:sz="4" w:space="0" w:color="auto"/>
              <w:bottom w:val="nil"/>
              <w:right w:val="nil"/>
            </w:tcBorders>
            <w:shd w:val="clear" w:color="auto" w:fill="auto"/>
            <w:noWrap/>
            <w:vAlign w:val="center"/>
            <w:hideMark/>
          </w:tcPr>
          <w:p w14:paraId="7D2F86C7"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0.6</w:t>
            </w:r>
          </w:p>
        </w:tc>
        <w:tc>
          <w:tcPr>
            <w:tcW w:w="1096" w:type="dxa"/>
            <w:tcBorders>
              <w:top w:val="nil"/>
              <w:left w:val="nil"/>
              <w:bottom w:val="nil"/>
              <w:right w:val="nil"/>
            </w:tcBorders>
            <w:shd w:val="clear" w:color="auto" w:fill="auto"/>
            <w:noWrap/>
            <w:vAlign w:val="center"/>
            <w:hideMark/>
          </w:tcPr>
          <w:p w14:paraId="23528033"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0.0</w:t>
            </w:r>
          </w:p>
        </w:tc>
      </w:tr>
      <w:tr w:rsidR="00062207" w:rsidRPr="00062207" w14:paraId="1AB1F54A" w14:textId="77777777" w:rsidTr="00A963D6">
        <w:trPr>
          <w:trHeight w:val="238"/>
          <w:jc w:val="center"/>
        </w:trPr>
        <w:tc>
          <w:tcPr>
            <w:tcW w:w="4380" w:type="dxa"/>
            <w:tcBorders>
              <w:top w:val="nil"/>
              <w:left w:val="nil"/>
              <w:bottom w:val="nil"/>
              <w:right w:val="nil"/>
            </w:tcBorders>
            <w:shd w:val="clear" w:color="auto" w:fill="auto"/>
            <w:noWrap/>
            <w:vAlign w:val="center"/>
            <w:hideMark/>
          </w:tcPr>
          <w:p w14:paraId="1B236BE6" w14:textId="77777777" w:rsidR="00467307" w:rsidRPr="00062207" w:rsidRDefault="00467307" w:rsidP="00A963D6">
            <w:pPr>
              <w:ind w:firstLineChars="100" w:firstLine="220"/>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Otros</w:t>
            </w:r>
          </w:p>
        </w:tc>
        <w:tc>
          <w:tcPr>
            <w:tcW w:w="1213" w:type="dxa"/>
            <w:tcBorders>
              <w:top w:val="nil"/>
              <w:left w:val="nil"/>
              <w:bottom w:val="nil"/>
              <w:right w:val="nil"/>
            </w:tcBorders>
            <w:shd w:val="clear" w:color="auto" w:fill="auto"/>
            <w:noWrap/>
            <w:vAlign w:val="center"/>
            <w:hideMark/>
          </w:tcPr>
          <w:p w14:paraId="38EF1F29"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0.0</w:t>
            </w:r>
          </w:p>
        </w:tc>
        <w:tc>
          <w:tcPr>
            <w:tcW w:w="1214" w:type="dxa"/>
            <w:tcBorders>
              <w:top w:val="nil"/>
              <w:left w:val="nil"/>
              <w:bottom w:val="nil"/>
              <w:right w:val="nil"/>
            </w:tcBorders>
            <w:shd w:val="clear" w:color="auto" w:fill="auto"/>
            <w:noWrap/>
            <w:vAlign w:val="center"/>
            <w:hideMark/>
          </w:tcPr>
          <w:p w14:paraId="488B421C"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213.9</w:t>
            </w:r>
          </w:p>
        </w:tc>
        <w:tc>
          <w:tcPr>
            <w:tcW w:w="1095" w:type="dxa"/>
            <w:tcBorders>
              <w:top w:val="nil"/>
              <w:left w:val="dotDash" w:sz="4" w:space="0" w:color="auto"/>
              <w:bottom w:val="nil"/>
              <w:right w:val="nil"/>
            </w:tcBorders>
            <w:shd w:val="clear" w:color="auto" w:fill="auto"/>
            <w:noWrap/>
            <w:vAlign w:val="center"/>
            <w:hideMark/>
          </w:tcPr>
          <w:p w14:paraId="2173FA53"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0.0</w:t>
            </w:r>
          </w:p>
        </w:tc>
        <w:tc>
          <w:tcPr>
            <w:tcW w:w="1096" w:type="dxa"/>
            <w:tcBorders>
              <w:top w:val="nil"/>
              <w:left w:val="nil"/>
              <w:bottom w:val="nil"/>
              <w:right w:val="nil"/>
            </w:tcBorders>
            <w:shd w:val="clear" w:color="auto" w:fill="auto"/>
            <w:noWrap/>
            <w:vAlign w:val="center"/>
            <w:hideMark/>
          </w:tcPr>
          <w:p w14:paraId="795706EF"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0.0</w:t>
            </w:r>
          </w:p>
        </w:tc>
      </w:tr>
      <w:tr w:rsidR="00062207" w:rsidRPr="00062207" w14:paraId="40EA4EC2" w14:textId="77777777" w:rsidTr="00A963D6">
        <w:trPr>
          <w:trHeight w:val="238"/>
          <w:jc w:val="center"/>
        </w:trPr>
        <w:tc>
          <w:tcPr>
            <w:tcW w:w="4380" w:type="dxa"/>
            <w:tcBorders>
              <w:top w:val="nil"/>
              <w:left w:val="nil"/>
              <w:bottom w:val="nil"/>
              <w:right w:val="nil"/>
            </w:tcBorders>
            <w:shd w:val="clear" w:color="auto" w:fill="auto"/>
            <w:noWrap/>
            <w:vAlign w:val="center"/>
            <w:hideMark/>
          </w:tcPr>
          <w:p w14:paraId="381BD21A" w14:textId="77777777" w:rsidR="00467307" w:rsidRPr="00062207" w:rsidRDefault="00467307" w:rsidP="00A963D6">
            <w:pPr>
              <w:jc w:val="both"/>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Incurrimiento neto de pasivos</w:t>
            </w:r>
          </w:p>
        </w:tc>
        <w:tc>
          <w:tcPr>
            <w:tcW w:w="1213" w:type="dxa"/>
            <w:tcBorders>
              <w:top w:val="nil"/>
              <w:left w:val="nil"/>
              <w:bottom w:val="nil"/>
              <w:right w:val="nil"/>
            </w:tcBorders>
            <w:shd w:val="clear" w:color="auto" w:fill="auto"/>
            <w:noWrap/>
            <w:vAlign w:val="center"/>
            <w:hideMark/>
          </w:tcPr>
          <w:p w14:paraId="1E580E75"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33,267.9</w:t>
            </w:r>
          </w:p>
        </w:tc>
        <w:tc>
          <w:tcPr>
            <w:tcW w:w="1214" w:type="dxa"/>
            <w:tcBorders>
              <w:top w:val="nil"/>
              <w:left w:val="nil"/>
              <w:bottom w:val="nil"/>
              <w:right w:val="nil"/>
            </w:tcBorders>
            <w:shd w:val="clear" w:color="auto" w:fill="auto"/>
            <w:noWrap/>
            <w:vAlign w:val="center"/>
            <w:hideMark/>
          </w:tcPr>
          <w:p w14:paraId="332F5E45"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19,161.1</w:t>
            </w:r>
          </w:p>
        </w:tc>
        <w:tc>
          <w:tcPr>
            <w:tcW w:w="1095" w:type="dxa"/>
            <w:tcBorders>
              <w:top w:val="nil"/>
              <w:left w:val="dotDash" w:sz="4" w:space="0" w:color="auto"/>
              <w:bottom w:val="nil"/>
              <w:right w:val="nil"/>
            </w:tcBorders>
            <w:shd w:val="clear" w:color="auto" w:fill="auto"/>
            <w:noWrap/>
            <w:vAlign w:val="center"/>
            <w:hideMark/>
          </w:tcPr>
          <w:p w14:paraId="3B4046A6"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5.6</w:t>
            </w:r>
          </w:p>
        </w:tc>
        <w:tc>
          <w:tcPr>
            <w:tcW w:w="1096" w:type="dxa"/>
            <w:tcBorders>
              <w:top w:val="nil"/>
              <w:left w:val="nil"/>
              <w:bottom w:val="nil"/>
              <w:right w:val="nil"/>
            </w:tcBorders>
            <w:shd w:val="clear" w:color="auto" w:fill="auto"/>
            <w:noWrap/>
            <w:vAlign w:val="center"/>
            <w:hideMark/>
          </w:tcPr>
          <w:p w14:paraId="2BE31005"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2.9</w:t>
            </w:r>
          </w:p>
        </w:tc>
      </w:tr>
      <w:tr w:rsidR="00062207" w:rsidRPr="00062207" w14:paraId="295702AF" w14:textId="77777777" w:rsidTr="00A963D6">
        <w:trPr>
          <w:trHeight w:val="238"/>
          <w:jc w:val="center"/>
        </w:trPr>
        <w:tc>
          <w:tcPr>
            <w:tcW w:w="4380" w:type="dxa"/>
            <w:tcBorders>
              <w:top w:val="nil"/>
              <w:left w:val="nil"/>
              <w:bottom w:val="nil"/>
              <w:right w:val="nil"/>
            </w:tcBorders>
            <w:shd w:val="clear" w:color="auto" w:fill="auto"/>
            <w:noWrap/>
            <w:vAlign w:val="center"/>
            <w:hideMark/>
          </w:tcPr>
          <w:p w14:paraId="77DC3221" w14:textId="77777777" w:rsidR="00467307" w:rsidRPr="00062207" w:rsidRDefault="00467307" w:rsidP="00A963D6">
            <w:pPr>
              <w:ind w:firstLineChars="100" w:firstLine="220"/>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Títulos de deuda</w:t>
            </w:r>
          </w:p>
        </w:tc>
        <w:tc>
          <w:tcPr>
            <w:tcW w:w="1213" w:type="dxa"/>
            <w:tcBorders>
              <w:top w:val="nil"/>
              <w:left w:val="nil"/>
              <w:bottom w:val="nil"/>
              <w:right w:val="nil"/>
            </w:tcBorders>
            <w:shd w:val="clear" w:color="auto" w:fill="auto"/>
            <w:noWrap/>
            <w:vAlign w:val="center"/>
            <w:hideMark/>
          </w:tcPr>
          <w:p w14:paraId="557C0B08"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31,493.3</w:t>
            </w:r>
          </w:p>
        </w:tc>
        <w:tc>
          <w:tcPr>
            <w:tcW w:w="1214" w:type="dxa"/>
            <w:tcBorders>
              <w:top w:val="nil"/>
              <w:left w:val="nil"/>
              <w:bottom w:val="nil"/>
              <w:right w:val="nil"/>
            </w:tcBorders>
            <w:shd w:val="clear" w:color="auto" w:fill="auto"/>
            <w:noWrap/>
            <w:vAlign w:val="center"/>
            <w:hideMark/>
          </w:tcPr>
          <w:p w14:paraId="12C0133E"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22,151.6</w:t>
            </w:r>
          </w:p>
        </w:tc>
        <w:tc>
          <w:tcPr>
            <w:tcW w:w="1095" w:type="dxa"/>
            <w:tcBorders>
              <w:top w:val="nil"/>
              <w:left w:val="dotDash" w:sz="4" w:space="0" w:color="auto"/>
              <w:bottom w:val="nil"/>
              <w:right w:val="nil"/>
            </w:tcBorders>
            <w:shd w:val="clear" w:color="auto" w:fill="auto"/>
            <w:noWrap/>
            <w:vAlign w:val="center"/>
            <w:hideMark/>
          </w:tcPr>
          <w:p w14:paraId="6DAEE320"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5.3</w:t>
            </w:r>
          </w:p>
        </w:tc>
        <w:tc>
          <w:tcPr>
            <w:tcW w:w="1096" w:type="dxa"/>
            <w:tcBorders>
              <w:top w:val="nil"/>
              <w:left w:val="nil"/>
              <w:bottom w:val="nil"/>
              <w:right w:val="nil"/>
            </w:tcBorders>
            <w:shd w:val="clear" w:color="auto" w:fill="auto"/>
            <w:noWrap/>
            <w:vAlign w:val="center"/>
            <w:hideMark/>
          </w:tcPr>
          <w:p w14:paraId="694C25E7"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3.3</w:t>
            </w:r>
          </w:p>
        </w:tc>
      </w:tr>
      <w:tr w:rsidR="00062207" w:rsidRPr="00062207" w14:paraId="0DD2CC5D" w14:textId="77777777" w:rsidTr="00A963D6">
        <w:trPr>
          <w:trHeight w:val="238"/>
          <w:jc w:val="center"/>
        </w:trPr>
        <w:tc>
          <w:tcPr>
            <w:tcW w:w="4380" w:type="dxa"/>
            <w:tcBorders>
              <w:top w:val="nil"/>
              <w:left w:val="nil"/>
              <w:bottom w:val="nil"/>
              <w:right w:val="nil"/>
            </w:tcBorders>
            <w:shd w:val="clear" w:color="auto" w:fill="auto"/>
            <w:noWrap/>
            <w:vAlign w:val="center"/>
            <w:hideMark/>
          </w:tcPr>
          <w:p w14:paraId="0A0EBF68" w14:textId="77777777" w:rsidR="00467307" w:rsidRPr="00062207" w:rsidRDefault="00467307" w:rsidP="00A963D6">
            <w:pPr>
              <w:ind w:firstLineChars="100" w:firstLine="220"/>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Préstamos</w:t>
            </w:r>
          </w:p>
        </w:tc>
        <w:tc>
          <w:tcPr>
            <w:tcW w:w="1213" w:type="dxa"/>
            <w:tcBorders>
              <w:top w:val="nil"/>
              <w:left w:val="nil"/>
              <w:bottom w:val="nil"/>
              <w:right w:val="nil"/>
            </w:tcBorders>
            <w:shd w:val="clear" w:color="auto" w:fill="auto"/>
            <w:noWrap/>
            <w:vAlign w:val="center"/>
            <w:hideMark/>
          </w:tcPr>
          <w:p w14:paraId="72D1A55C"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1,082.8</w:t>
            </w:r>
          </w:p>
        </w:tc>
        <w:tc>
          <w:tcPr>
            <w:tcW w:w="1214" w:type="dxa"/>
            <w:tcBorders>
              <w:top w:val="nil"/>
              <w:left w:val="nil"/>
              <w:bottom w:val="nil"/>
              <w:right w:val="nil"/>
            </w:tcBorders>
            <w:shd w:val="clear" w:color="auto" w:fill="auto"/>
            <w:noWrap/>
            <w:vAlign w:val="center"/>
            <w:hideMark/>
          </w:tcPr>
          <w:p w14:paraId="6FC1BD8B"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-2,496.2</w:t>
            </w:r>
          </w:p>
        </w:tc>
        <w:tc>
          <w:tcPr>
            <w:tcW w:w="1095" w:type="dxa"/>
            <w:tcBorders>
              <w:top w:val="nil"/>
              <w:left w:val="dotDash" w:sz="4" w:space="0" w:color="auto"/>
              <w:bottom w:val="nil"/>
              <w:right w:val="nil"/>
            </w:tcBorders>
            <w:shd w:val="clear" w:color="auto" w:fill="auto"/>
            <w:noWrap/>
            <w:vAlign w:val="center"/>
            <w:hideMark/>
          </w:tcPr>
          <w:p w14:paraId="769178E6"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0.2</w:t>
            </w:r>
          </w:p>
        </w:tc>
        <w:tc>
          <w:tcPr>
            <w:tcW w:w="1096" w:type="dxa"/>
            <w:tcBorders>
              <w:top w:val="nil"/>
              <w:left w:val="nil"/>
              <w:bottom w:val="nil"/>
              <w:right w:val="nil"/>
            </w:tcBorders>
            <w:shd w:val="clear" w:color="auto" w:fill="auto"/>
            <w:noWrap/>
            <w:vAlign w:val="center"/>
            <w:hideMark/>
          </w:tcPr>
          <w:p w14:paraId="45D8160D"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-0.4</w:t>
            </w:r>
          </w:p>
        </w:tc>
      </w:tr>
      <w:tr w:rsidR="00062207" w:rsidRPr="00062207" w14:paraId="540C244B" w14:textId="77777777" w:rsidTr="00A963D6">
        <w:trPr>
          <w:trHeight w:val="238"/>
          <w:jc w:val="center"/>
        </w:trPr>
        <w:tc>
          <w:tcPr>
            <w:tcW w:w="4380" w:type="dxa"/>
            <w:tcBorders>
              <w:top w:val="nil"/>
              <w:left w:val="nil"/>
              <w:bottom w:val="nil"/>
              <w:right w:val="nil"/>
            </w:tcBorders>
            <w:shd w:val="clear" w:color="auto" w:fill="auto"/>
            <w:noWrap/>
            <w:vAlign w:val="center"/>
            <w:hideMark/>
          </w:tcPr>
          <w:p w14:paraId="6AF6C4E1" w14:textId="77777777" w:rsidR="00467307" w:rsidRPr="00062207" w:rsidRDefault="00467307" w:rsidP="00A963D6">
            <w:pPr>
              <w:ind w:firstLineChars="100" w:firstLine="220"/>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Otros</w:t>
            </w:r>
          </w:p>
        </w:tc>
        <w:tc>
          <w:tcPr>
            <w:tcW w:w="1213" w:type="dxa"/>
            <w:tcBorders>
              <w:top w:val="nil"/>
              <w:left w:val="nil"/>
              <w:bottom w:val="nil"/>
              <w:right w:val="nil"/>
            </w:tcBorders>
            <w:shd w:val="clear" w:color="auto" w:fill="auto"/>
            <w:noWrap/>
            <w:vAlign w:val="center"/>
            <w:hideMark/>
          </w:tcPr>
          <w:p w14:paraId="17EBD551"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691.8</w:t>
            </w:r>
          </w:p>
        </w:tc>
        <w:tc>
          <w:tcPr>
            <w:tcW w:w="1214" w:type="dxa"/>
            <w:tcBorders>
              <w:top w:val="nil"/>
              <w:left w:val="nil"/>
              <w:bottom w:val="nil"/>
              <w:right w:val="nil"/>
            </w:tcBorders>
            <w:shd w:val="clear" w:color="auto" w:fill="auto"/>
            <w:noWrap/>
            <w:vAlign w:val="center"/>
            <w:hideMark/>
          </w:tcPr>
          <w:p w14:paraId="4D63355A"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-494.3</w:t>
            </w:r>
          </w:p>
        </w:tc>
        <w:tc>
          <w:tcPr>
            <w:tcW w:w="1095" w:type="dxa"/>
            <w:tcBorders>
              <w:top w:val="nil"/>
              <w:left w:val="dotDash" w:sz="4" w:space="0" w:color="auto"/>
              <w:bottom w:val="nil"/>
              <w:right w:val="nil"/>
            </w:tcBorders>
            <w:shd w:val="clear" w:color="auto" w:fill="auto"/>
            <w:noWrap/>
            <w:vAlign w:val="center"/>
            <w:hideMark/>
          </w:tcPr>
          <w:p w14:paraId="7202AEFC"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0.1</w:t>
            </w:r>
          </w:p>
        </w:tc>
        <w:tc>
          <w:tcPr>
            <w:tcW w:w="1096" w:type="dxa"/>
            <w:tcBorders>
              <w:top w:val="nil"/>
              <w:left w:val="nil"/>
              <w:bottom w:val="nil"/>
              <w:right w:val="nil"/>
            </w:tcBorders>
            <w:shd w:val="clear" w:color="auto" w:fill="auto"/>
            <w:noWrap/>
            <w:vAlign w:val="center"/>
            <w:hideMark/>
          </w:tcPr>
          <w:p w14:paraId="6BFFEBF6"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-0.1</w:t>
            </w:r>
          </w:p>
        </w:tc>
      </w:tr>
      <w:tr w:rsidR="00062207" w:rsidRPr="00062207" w14:paraId="2AD143C6" w14:textId="77777777" w:rsidTr="00A963D6">
        <w:trPr>
          <w:trHeight w:val="238"/>
          <w:jc w:val="center"/>
        </w:trPr>
        <w:tc>
          <w:tcPr>
            <w:tcW w:w="4380" w:type="dxa"/>
            <w:tcBorders>
              <w:top w:val="nil"/>
              <w:left w:val="nil"/>
              <w:bottom w:val="nil"/>
              <w:right w:val="nil"/>
            </w:tcBorders>
            <w:shd w:val="clear" w:color="auto" w:fill="auto"/>
            <w:noWrap/>
            <w:vAlign w:val="center"/>
            <w:hideMark/>
          </w:tcPr>
          <w:p w14:paraId="70D928AF" w14:textId="77777777" w:rsidR="00467307" w:rsidRPr="00062207" w:rsidRDefault="00467307" w:rsidP="00A963D6">
            <w:pPr>
              <w:jc w:val="both"/>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Discrepancia estadística global</w:t>
            </w:r>
          </w:p>
        </w:tc>
        <w:tc>
          <w:tcPr>
            <w:tcW w:w="1213" w:type="dxa"/>
            <w:tcBorders>
              <w:top w:val="nil"/>
              <w:left w:val="nil"/>
              <w:bottom w:val="nil"/>
              <w:right w:val="nil"/>
            </w:tcBorders>
            <w:shd w:val="clear" w:color="auto" w:fill="auto"/>
            <w:noWrap/>
            <w:vAlign w:val="center"/>
            <w:hideMark/>
          </w:tcPr>
          <w:p w14:paraId="55FAC0CD"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364.8</w:t>
            </w:r>
          </w:p>
        </w:tc>
        <w:tc>
          <w:tcPr>
            <w:tcW w:w="1214" w:type="dxa"/>
            <w:tcBorders>
              <w:top w:val="nil"/>
              <w:left w:val="nil"/>
              <w:bottom w:val="nil"/>
              <w:right w:val="nil"/>
            </w:tcBorders>
            <w:shd w:val="clear" w:color="auto" w:fill="auto"/>
            <w:noWrap/>
            <w:vAlign w:val="center"/>
            <w:hideMark/>
          </w:tcPr>
          <w:p w14:paraId="0FC362CD"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872.2</w:t>
            </w:r>
          </w:p>
        </w:tc>
        <w:tc>
          <w:tcPr>
            <w:tcW w:w="1095" w:type="dxa"/>
            <w:tcBorders>
              <w:top w:val="nil"/>
              <w:left w:val="dotDash" w:sz="4" w:space="0" w:color="auto"/>
              <w:bottom w:val="nil"/>
              <w:right w:val="nil"/>
            </w:tcBorders>
            <w:shd w:val="clear" w:color="auto" w:fill="auto"/>
            <w:noWrap/>
            <w:vAlign w:val="center"/>
            <w:hideMark/>
          </w:tcPr>
          <w:p w14:paraId="55B1FC48"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0.1</w:t>
            </w:r>
          </w:p>
        </w:tc>
        <w:tc>
          <w:tcPr>
            <w:tcW w:w="1096" w:type="dxa"/>
            <w:tcBorders>
              <w:top w:val="nil"/>
              <w:left w:val="nil"/>
              <w:bottom w:val="nil"/>
              <w:right w:val="nil"/>
            </w:tcBorders>
            <w:shd w:val="clear" w:color="auto" w:fill="auto"/>
            <w:noWrap/>
            <w:vAlign w:val="center"/>
            <w:hideMark/>
          </w:tcPr>
          <w:p w14:paraId="28283DA2"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0.1</w:t>
            </w:r>
          </w:p>
        </w:tc>
      </w:tr>
    </w:tbl>
    <w:p w14:paraId="3921C731" w14:textId="77777777" w:rsidR="00467307" w:rsidRPr="00062207" w:rsidRDefault="00467307" w:rsidP="00467307">
      <w:pPr>
        <w:rPr>
          <w:rFonts w:ascii="Times New Roman" w:hAnsi="Times New Roman" w:cs="Times New Roman"/>
          <w:bCs/>
          <w:sz w:val="18"/>
          <w:szCs w:val="18"/>
        </w:rPr>
      </w:pPr>
      <w:r w:rsidRPr="00062207">
        <w:rPr>
          <w:rFonts w:ascii="Times New Roman" w:hAnsi="Times New Roman" w:cs="Times New Roman"/>
          <w:bCs/>
          <w:sz w:val="18"/>
          <w:szCs w:val="18"/>
        </w:rPr>
        <w:t>*Cifras preliminares</w:t>
      </w:r>
    </w:p>
    <w:p w14:paraId="3C95AB0C" w14:textId="2AF02DB0" w:rsidR="0089460D" w:rsidRPr="00062207" w:rsidRDefault="0089460D" w:rsidP="00467307">
      <w:pPr>
        <w:jc w:val="both"/>
        <w:rPr>
          <w:rFonts w:ascii="Times New Roman" w:hAnsi="Times New Roman" w:cs="Times New Roman"/>
          <w:bCs/>
          <w:sz w:val="18"/>
          <w:szCs w:val="18"/>
        </w:rPr>
      </w:pPr>
      <w:r w:rsidRPr="00062207">
        <w:rPr>
          <w:rFonts w:ascii="Times New Roman" w:hAnsi="Times New Roman" w:cs="Times New Roman"/>
          <w:bCs/>
          <w:sz w:val="18"/>
          <w:szCs w:val="18"/>
        </w:rPr>
        <w:t>Fuente: Dirección de Análisis y Política Fiscal</w:t>
      </w:r>
      <w:r w:rsidR="006B53F4" w:rsidRPr="00062207">
        <w:rPr>
          <w:rFonts w:ascii="Times New Roman" w:hAnsi="Times New Roman" w:cs="Times New Roman"/>
          <w:bCs/>
          <w:sz w:val="18"/>
          <w:szCs w:val="18"/>
        </w:rPr>
        <w:t>.</w:t>
      </w:r>
    </w:p>
    <w:p w14:paraId="4FC8DCF0" w14:textId="77777777" w:rsidR="0089460D" w:rsidRPr="00062207" w:rsidRDefault="0089460D" w:rsidP="00467307">
      <w:pPr>
        <w:jc w:val="both"/>
        <w:rPr>
          <w:rFonts w:ascii="Times New Roman" w:hAnsi="Times New Roman" w:cs="Times New Roman"/>
          <w:sz w:val="22"/>
          <w:szCs w:val="22"/>
        </w:rPr>
      </w:pPr>
    </w:p>
    <w:p w14:paraId="5FE3687C" w14:textId="6BD25DC3" w:rsidR="00467307" w:rsidRPr="00062207" w:rsidRDefault="00467307" w:rsidP="00467307">
      <w:pPr>
        <w:jc w:val="both"/>
        <w:rPr>
          <w:rFonts w:ascii="Times New Roman" w:hAnsi="Times New Roman" w:cs="Times New Roman"/>
          <w:sz w:val="22"/>
          <w:szCs w:val="22"/>
        </w:rPr>
      </w:pPr>
      <w:r w:rsidRPr="00062207">
        <w:rPr>
          <w:rFonts w:ascii="Times New Roman" w:hAnsi="Times New Roman" w:cs="Times New Roman"/>
          <w:sz w:val="22"/>
          <w:szCs w:val="22"/>
        </w:rPr>
        <w:t xml:space="preserve">El gasto en 2021 se observa entorno al 13.3% del PIB (Q88,323.0 millones) con una disminución de 1.7 puntos porcentuales respecto al año previo (14.9% del PIB) y destacando al gasto en prestaciones sociales como la cuenta economía con la mayor disminución interanual, siendo esta de 1.1 puntos porcentuales y alcanzando en términos acumulados el 0.9% del PIB. La fuerte disminución de esta cuenta económica se explica principalmente por las prestaciones de asistencia social que en el año 2020 incluía al Bono Familia y el cual no continuo durante el 2021. </w:t>
      </w:r>
    </w:p>
    <w:p w14:paraId="0063EE91" w14:textId="28A8ED08" w:rsidR="0080424E" w:rsidRPr="00062207" w:rsidRDefault="0080424E" w:rsidP="00467307">
      <w:pPr>
        <w:jc w:val="both"/>
        <w:rPr>
          <w:rFonts w:ascii="Times New Roman" w:hAnsi="Times New Roman" w:cs="Times New Roman"/>
          <w:sz w:val="22"/>
          <w:szCs w:val="22"/>
        </w:rPr>
      </w:pPr>
    </w:p>
    <w:p w14:paraId="739A2598" w14:textId="356A9450" w:rsidR="0080424E" w:rsidRPr="00062207" w:rsidRDefault="0080424E" w:rsidP="00467307">
      <w:pPr>
        <w:jc w:val="both"/>
        <w:rPr>
          <w:rFonts w:ascii="Times New Roman" w:hAnsi="Times New Roman" w:cs="Times New Roman"/>
          <w:sz w:val="22"/>
          <w:szCs w:val="22"/>
        </w:rPr>
      </w:pPr>
    </w:p>
    <w:p w14:paraId="1882858B" w14:textId="2BB64030" w:rsidR="0080424E" w:rsidRPr="00062207" w:rsidRDefault="0080424E" w:rsidP="00467307">
      <w:pPr>
        <w:jc w:val="both"/>
        <w:rPr>
          <w:rFonts w:ascii="Times New Roman" w:hAnsi="Times New Roman" w:cs="Times New Roman"/>
          <w:sz w:val="22"/>
          <w:szCs w:val="22"/>
        </w:rPr>
      </w:pPr>
    </w:p>
    <w:p w14:paraId="322C340A" w14:textId="77777777" w:rsidR="00467307" w:rsidRPr="00062207" w:rsidRDefault="00467307" w:rsidP="00467307">
      <w:pPr>
        <w:jc w:val="both"/>
        <w:rPr>
          <w:rFonts w:ascii="Times New Roman" w:hAnsi="Times New Roman" w:cs="Times New Roman"/>
          <w:sz w:val="22"/>
          <w:szCs w:val="22"/>
        </w:rPr>
      </w:pPr>
      <w:r w:rsidRPr="00062207">
        <w:rPr>
          <w:rFonts w:ascii="Times New Roman" w:hAnsi="Times New Roman" w:cs="Times New Roman"/>
          <w:sz w:val="22"/>
          <w:szCs w:val="22"/>
        </w:rPr>
        <w:lastRenderedPageBreak/>
        <w:t>Asimismo, cabe destacar a los subsidios como la cuenta económica con la segunda mayor disminución interanual, que al finalizar el año se colocan entrono al 0.1% del PIB (Q436.2 millones) con una variación negativa 0.4 puntos porcentuales respecto a 2020, derivado principalmente por la ejecución del fondo para la protección del empleo durante el año previo y que no continuo en 2021.</w:t>
      </w:r>
    </w:p>
    <w:p w14:paraId="65923BF6" w14:textId="77777777" w:rsidR="0089460D" w:rsidRPr="00062207" w:rsidRDefault="0089460D" w:rsidP="00467307">
      <w:pPr>
        <w:jc w:val="both"/>
        <w:rPr>
          <w:rFonts w:ascii="Times New Roman" w:hAnsi="Times New Roman" w:cs="Times New Roman"/>
          <w:sz w:val="22"/>
          <w:szCs w:val="22"/>
        </w:rPr>
      </w:pPr>
    </w:p>
    <w:p w14:paraId="64D5390D" w14:textId="77777777" w:rsidR="00467307" w:rsidRPr="00062207" w:rsidRDefault="00467307" w:rsidP="00467307">
      <w:pPr>
        <w:jc w:val="both"/>
        <w:rPr>
          <w:rFonts w:ascii="Times New Roman" w:hAnsi="Times New Roman" w:cs="Times New Roman"/>
          <w:sz w:val="22"/>
          <w:szCs w:val="22"/>
        </w:rPr>
      </w:pPr>
      <w:r w:rsidRPr="00062207">
        <w:rPr>
          <w:rFonts w:ascii="Times New Roman" w:hAnsi="Times New Roman" w:cs="Times New Roman"/>
          <w:sz w:val="22"/>
          <w:szCs w:val="22"/>
        </w:rPr>
        <w:t>La remuneración a los empleados se sitúa con un valor acumulado equivalente al 4.6% del PIB (Q30,905.7 millones) siendo una disminución de 0.3 puntos porcentuales y por ultimo las donaciones que alcanzaron el 3.2% del PIB (Q21,045.2 millones) siendo una disminución de 0.2 puntos porcentuales respecto a lo observado en el año previo.</w:t>
      </w:r>
    </w:p>
    <w:p w14:paraId="1A681181" w14:textId="77777777" w:rsidR="0089460D" w:rsidRPr="00062207" w:rsidRDefault="0089460D" w:rsidP="00467307">
      <w:pPr>
        <w:jc w:val="both"/>
        <w:rPr>
          <w:rFonts w:ascii="Times New Roman" w:hAnsi="Times New Roman" w:cs="Times New Roman"/>
          <w:sz w:val="22"/>
          <w:szCs w:val="22"/>
        </w:rPr>
      </w:pPr>
    </w:p>
    <w:p w14:paraId="62FA8442" w14:textId="77777777" w:rsidR="00467307" w:rsidRPr="00062207" w:rsidRDefault="00467307" w:rsidP="00467307">
      <w:pPr>
        <w:jc w:val="both"/>
        <w:rPr>
          <w:rFonts w:ascii="Times New Roman" w:hAnsi="Times New Roman" w:cs="Times New Roman"/>
          <w:sz w:val="22"/>
          <w:szCs w:val="22"/>
        </w:rPr>
      </w:pPr>
      <w:r w:rsidRPr="00062207">
        <w:rPr>
          <w:rFonts w:ascii="Times New Roman" w:hAnsi="Times New Roman" w:cs="Times New Roman"/>
          <w:sz w:val="22"/>
          <w:szCs w:val="22"/>
        </w:rPr>
        <w:t>En cuanto a las cuentas económicas que experimentaron un crecimiento interanual, se destaca a el uso de bienes y servicios que ascendió a 2.0% del PIB (Q13,254.2 millones) con una tasa de crecimiento de 0.5 puntos porcentuales en términos de PIB, seguido de los pagos por intereses que se encuentran entorno al 1.7% del PIB (Q11,392.9 millones) y es un incremento de 0.01 puntos porcentuales.</w:t>
      </w:r>
    </w:p>
    <w:p w14:paraId="758583E8" w14:textId="77777777" w:rsidR="0089460D" w:rsidRPr="00062207" w:rsidRDefault="0089460D" w:rsidP="00467307">
      <w:pPr>
        <w:jc w:val="both"/>
        <w:rPr>
          <w:rFonts w:ascii="Times New Roman" w:hAnsi="Times New Roman" w:cs="Times New Roman"/>
          <w:sz w:val="22"/>
          <w:szCs w:val="22"/>
        </w:rPr>
      </w:pPr>
    </w:p>
    <w:p w14:paraId="3FB0BE54" w14:textId="77777777" w:rsidR="00467307" w:rsidRPr="00062207" w:rsidRDefault="00467307" w:rsidP="00467307">
      <w:pPr>
        <w:jc w:val="both"/>
        <w:rPr>
          <w:rFonts w:ascii="Times New Roman" w:hAnsi="Times New Roman" w:cs="Times New Roman"/>
          <w:sz w:val="22"/>
          <w:szCs w:val="22"/>
        </w:rPr>
      </w:pPr>
      <w:r w:rsidRPr="00062207">
        <w:rPr>
          <w:rFonts w:ascii="Times New Roman" w:hAnsi="Times New Roman" w:cs="Times New Roman"/>
          <w:sz w:val="22"/>
          <w:szCs w:val="22"/>
        </w:rPr>
        <w:t>Por su parte, la adquisición bruta en activos no financieros asciende al 0.6% del PIB (Q3,748.9 millones) siendo un incremento en 0.1 puntos porcentuales respecto a lo observado en 2020. Este aumento se atribuye a la adquisición de activos fijos y se destaca especialmente a la adquisición de edificios y estructuras que ascienden a 0.5% del PIB (Q3,115.1 millones) y a la adquisición de maquinaria y equipo que alcanzó los 0.1% del PIB (Q611.7 millones).</w:t>
      </w:r>
    </w:p>
    <w:p w14:paraId="233CC27D" w14:textId="77777777" w:rsidR="0089460D" w:rsidRPr="00062207" w:rsidRDefault="0089460D" w:rsidP="00467307">
      <w:pPr>
        <w:jc w:val="both"/>
        <w:rPr>
          <w:rFonts w:ascii="Times New Roman" w:hAnsi="Times New Roman" w:cs="Times New Roman"/>
          <w:sz w:val="22"/>
          <w:szCs w:val="22"/>
        </w:rPr>
      </w:pPr>
    </w:p>
    <w:p w14:paraId="7A827AFF" w14:textId="77777777" w:rsidR="00467307" w:rsidRPr="00062207" w:rsidRDefault="00467307" w:rsidP="00467307">
      <w:pPr>
        <w:jc w:val="both"/>
        <w:rPr>
          <w:rFonts w:ascii="Times New Roman" w:hAnsi="Times New Roman" w:cs="Times New Roman"/>
          <w:sz w:val="22"/>
          <w:szCs w:val="22"/>
        </w:rPr>
      </w:pPr>
      <w:r w:rsidRPr="00062207">
        <w:rPr>
          <w:rFonts w:ascii="Times New Roman" w:hAnsi="Times New Roman" w:cs="Times New Roman"/>
          <w:sz w:val="22"/>
          <w:szCs w:val="22"/>
        </w:rPr>
        <w:t>Como resultado de lo anterior, el resultado operativo (la diferencia entre los ingresos y los gastos) en 2021 fue negativo en 0.6% del PIB (Q3,999.3 millones) que implica un deterioro del patrimonio neto del Gobierno Central Presupuestarios, aunque es importante resaltar que esto es una mejora respecto lo observado en 2020 cuando el resultado había sido negativo por 3.9% del PIB (Q23,212.8 millones).</w:t>
      </w:r>
    </w:p>
    <w:p w14:paraId="663AA2D9" w14:textId="77777777" w:rsidR="0089460D" w:rsidRPr="00062207" w:rsidRDefault="0089460D" w:rsidP="00467307">
      <w:pPr>
        <w:jc w:val="both"/>
        <w:rPr>
          <w:rFonts w:ascii="Times New Roman" w:hAnsi="Times New Roman" w:cs="Times New Roman"/>
          <w:sz w:val="22"/>
          <w:szCs w:val="22"/>
        </w:rPr>
      </w:pPr>
    </w:p>
    <w:p w14:paraId="7AB58AB5" w14:textId="77777777" w:rsidR="00467307" w:rsidRPr="00062207" w:rsidRDefault="00467307" w:rsidP="00467307">
      <w:pPr>
        <w:jc w:val="both"/>
        <w:rPr>
          <w:rFonts w:ascii="Times New Roman" w:hAnsi="Times New Roman" w:cs="Times New Roman"/>
          <w:sz w:val="22"/>
          <w:szCs w:val="22"/>
        </w:rPr>
      </w:pPr>
      <w:r w:rsidRPr="00062207">
        <w:rPr>
          <w:rFonts w:ascii="Times New Roman" w:hAnsi="Times New Roman" w:cs="Times New Roman"/>
          <w:sz w:val="22"/>
          <w:szCs w:val="22"/>
        </w:rPr>
        <w:t>Al tomar en consideración las operaciones por adquisición de activos no financieros, observamos que se obtuvo un endeudamiento (diferencia negativa entre los ingresos y las erogaciones, siendo este ultimo la suma de los gastos y la adquisición de activos no financieros) para el año 2021 de 1.2% del PIB (Q7,748.2 millones) y su financiamiento de explica por un por un aumento en los activos financieros (incluye la cuenta de Billetes, monedas y depósitos o común mente conocido como caja y banco) de 1.8% del PIB (Q12,285.1 millones), un aumento en los pasivos por 2.9% del PIB (Q19,161.1 millones) y una discrepancia estadística del 0.1% del PIB (Q872.2 millones).</w:t>
      </w:r>
    </w:p>
    <w:p w14:paraId="4CA041CF" w14:textId="77777777" w:rsidR="0089460D" w:rsidRPr="00062207" w:rsidRDefault="0089460D" w:rsidP="00467307">
      <w:pPr>
        <w:rPr>
          <w:rFonts w:ascii="Times New Roman" w:hAnsi="Times New Roman" w:cs="Times New Roman"/>
          <w:b/>
          <w:bCs/>
          <w:sz w:val="22"/>
          <w:szCs w:val="22"/>
          <w:lang w:val="es-MX"/>
        </w:rPr>
      </w:pPr>
    </w:p>
    <w:p w14:paraId="21974E8C" w14:textId="15423669" w:rsidR="00467307" w:rsidRPr="00062207" w:rsidRDefault="006D725A" w:rsidP="006D725A">
      <w:pPr>
        <w:pStyle w:val="Prrafodelista"/>
        <w:numPr>
          <w:ilvl w:val="1"/>
          <w:numId w:val="15"/>
        </w:numPr>
        <w:ind w:left="567" w:hanging="283"/>
        <w:outlineLvl w:val="1"/>
        <w:rPr>
          <w:rFonts w:ascii="Times New Roman" w:hAnsi="Times New Roman" w:cs="Times New Roman"/>
          <w:b/>
          <w:bCs/>
          <w:lang w:val="es-MX"/>
        </w:rPr>
      </w:pPr>
      <w:r w:rsidRPr="00062207">
        <w:rPr>
          <w:rFonts w:ascii="Times New Roman" w:hAnsi="Times New Roman" w:cs="Times New Roman"/>
          <w:b/>
          <w:bCs/>
          <w:lang w:val="es-MX"/>
        </w:rPr>
        <w:t xml:space="preserve">  </w:t>
      </w:r>
      <w:bookmarkStart w:id="287" w:name="_Toc94259672"/>
      <w:r w:rsidR="00467307" w:rsidRPr="00062207">
        <w:rPr>
          <w:rFonts w:ascii="Times New Roman" w:hAnsi="Times New Roman" w:cs="Times New Roman"/>
          <w:b/>
          <w:bCs/>
          <w:lang w:val="es-MX"/>
        </w:rPr>
        <w:t>Estado de operaciones del Gobierno General Consolidado</w:t>
      </w:r>
      <w:r w:rsidR="000144D5" w:rsidRPr="00062207">
        <w:rPr>
          <w:rFonts w:ascii="Times New Roman" w:hAnsi="Times New Roman" w:cs="Times New Roman"/>
          <w:b/>
          <w:bCs/>
          <w:lang w:val="es-MX"/>
        </w:rPr>
        <w:t xml:space="preserve"> 2021</w:t>
      </w:r>
      <w:bookmarkEnd w:id="287"/>
    </w:p>
    <w:p w14:paraId="3989A407" w14:textId="77777777" w:rsidR="0076275A" w:rsidRPr="00062207" w:rsidRDefault="0076275A" w:rsidP="00467307">
      <w:pPr>
        <w:rPr>
          <w:rFonts w:ascii="Times New Roman" w:hAnsi="Times New Roman" w:cs="Times New Roman"/>
          <w:b/>
          <w:bCs/>
          <w:sz w:val="22"/>
          <w:szCs w:val="22"/>
          <w:lang w:val="es-MX"/>
        </w:rPr>
      </w:pPr>
    </w:p>
    <w:p w14:paraId="44AD1006" w14:textId="77777777" w:rsidR="00467307" w:rsidRPr="00062207" w:rsidRDefault="00467307" w:rsidP="00467307">
      <w:pPr>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t xml:space="preserve">En cuanto al nivel del Gobierno General (que amplía la cobertura del Gobierno Central Presupuestario para incluir a las entidades del Gobierno Central Extrapresupuestario, los Fondos de Seguridad Social y los Gobiernos Locales), para el año 2021 se observa que los ingresos totales fueron del 16.1% del PIB (Q107,224.9 millones) con un crecimiento de 1.7 puntos porcentuales, siendo los más importantes a destacar; los impuestos y las contribuciones sociales. </w:t>
      </w:r>
    </w:p>
    <w:p w14:paraId="1B915EED" w14:textId="77777777" w:rsidR="0076275A" w:rsidRPr="00062207" w:rsidRDefault="00467307" w:rsidP="00467307">
      <w:pPr>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t>Al igual que el Gobierno Central Presupuestario, los impuestos siguen siendo los ingresos que más aumentaron respecto al año previo, alcanzando un total de 12.2% del PIB (Q80,841.8 millones) y una variación 1.7 puntos porcentuales respecto al 2020. De este monto, el Gobierno Central Presupuestario recauda el 95.6% y el restante del total proviene de los Gobiernos locales (3.5%) y las entidades del Gobierno Central Extrapresupuestario (0.9%)</w:t>
      </w:r>
      <w:r w:rsidR="0076275A" w:rsidRPr="00062207">
        <w:rPr>
          <w:rFonts w:ascii="Times New Roman" w:hAnsi="Times New Roman" w:cs="Times New Roman"/>
          <w:sz w:val="22"/>
          <w:szCs w:val="22"/>
          <w:lang w:val="es-MX"/>
        </w:rPr>
        <w:t>.</w:t>
      </w:r>
    </w:p>
    <w:p w14:paraId="3E4C94BD" w14:textId="16A6E44F" w:rsidR="00467307" w:rsidRPr="00062207" w:rsidRDefault="0089460D" w:rsidP="00467307">
      <w:pPr>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t xml:space="preserve"> </w:t>
      </w:r>
    </w:p>
    <w:p w14:paraId="1AF2F958" w14:textId="77777777" w:rsidR="00467307" w:rsidRPr="00062207" w:rsidRDefault="00467307" w:rsidP="00467307">
      <w:pPr>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t>Las contribuciones sociales se observan entorno al 2.8% del PIB (Q18,424.9 millones) y esta cuenta económica proviene en un 27.2% de los ingresos del Gobierno Central Presupuestario, el 2.5% del Gobierno Central Extrapresupuestario, el 69% de los Fondos de Seguridad Social y el 1.3% de los Gobiernos locales.</w:t>
      </w:r>
    </w:p>
    <w:p w14:paraId="765460E9" w14:textId="77777777" w:rsidR="00467307" w:rsidRPr="00062207" w:rsidRDefault="00467307" w:rsidP="00467307">
      <w:pPr>
        <w:jc w:val="both"/>
        <w:rPr>
          <w:rFonts w:ascii="Times New Roman" w:hAnsi="Times New Roman" w:cs="Times New Roman"/>
          <w:sz w:val="22"/>
          <w:szCs w:val="22"/>
          <w:lang w:val="es-MX"/>
        </w:rPr>
      </w:pPr>
    </w:p>
    <w:p w14:paraId="1E16B079" w14:textId="77777777" w:rsidR="00467307" w:rsidRPr="00062207" w:rsidRDefault="00467307" w:rsidP="00467307">
      <w:pPr>
        <w:jc w:val="both"/>
        <w:rPr>
          <w:rFonts w:ascii="Times New Roman" w:hAnsi="Times New Roman" w:cs="Times New Roman"/>
          <w:sz w:val="22"/>
          <w:szCs w:val="22"/>
          <w:lang w:val="es-MX"/>
        </w:rPr>
      </w:pPr>
      <w:r w:rsidRPr="00062207">
        <w:rPr>
          <w:rFonts w:ascii="Times New Roman" w:hAnsi="Times New Roman" w:cs="Times New Roman"/>
          <w:sz w:val="22"/>
          <w:szCs w:val="22"/>
          <w:lang w:val="es-MX"/>
        </w:rPr>
        <w:t>La categoría de otros ingresos asciende a 1.2% del PIB (Q7,672.4 millones) siendo un crecimiento interanual de 0.1 puntos porcentuales.  Sus principales rubros son los provenientes de Ventas de bienes y servicios que en 2021 fueron un equivalente de 0.6% del PIB (Q3,903.8 millones), seguido de las Rentas de la propiedad que ascienden a 0.3% del PIB (Q2,107.0 millones) y las multas, sanciones pecuniarias y depósitos en caución transferidos con 0.2% del PIB (Q1,076.5 millones).</w:t>
      </w:r>
    </w:p>
    <w:p w14:paraId="40D1DA1D" w14:textId="77777777" w:rsidR="0076275A" w:rsidRPr="00062207" w:rsidRDefault="0076275A" w:rsidP="00467307">
      <w:pPr>
        <w:jc w:val="both"/>
        <w:rPr>
          <w:rFonts w:ascii="Times New Roman" w:hAnsi="Times New Roman" w:cs="Times New Roman"/>
          <w:sz w:val="22"/>
          <w:szCs w:val="22"/>
          <w:lang w:val="es-MX"/>
        </w:rPr>
      </w:pPr>
    </w:p>
    <w:p w14:paraId="677CE619" w14:textId="77777777" w:rsidR="00467307" w:rsidRPr="00062207" w:rsidRDefault="00467307" w:rsidP="00467307">
      <w:pPr>
        <w:jc w:val="center"/>
        <w:rPr>
          <w:rFonts w:ascii="Times New Roman" w:hAnsi="Times New Roman" w:cs="Times New Roman"/>
          <w:b/>
          <w:bCs/>
          <w:sz w:val="22"/>
          <w:szCs w:val="22"/>
        </w:rPr>
      </w:pPr>
      <w:r w:rsidRPr="00062207">
        <w:rPr>
          <w:rFonts w:ascii="Times New Roman" w:hAnsi="Times New Roman" w:cs="Times New Roman"/>
          <w:b/>
          <w:bCs/>
          <w:sz w:val="22"/>
          <w:szCs w:val="22"/>
        </w:rPr>
        <w:t xml:space="preserve">Estado de operaciones del Gobierno General Consolidado </w:t>
      </w:r>
    </w:p>
    <w:p w14:paraId="3D944C9C" w14:textId="77777777" w:rsidR="00467307" w:rsidRPr="00062207" w:rsidRDefault="00467307" w:rsidP="00467307">
      <w:pPr>
        <w:jc w:val="center"/>
        <w:rPr>
          <w:rFonts w:ascii="Times New Roman" w:hAnsi="Times New Roman" w:cs="Times New Roman"/>
          <w:b/>
          <w:bCs/>
          <w:sz w:val="22"/>
          <w:szCs w:val="22"/>
        </w:rPr>
      </w:pPr>
      <w:r w:rsidRPr="00062207">
        <w:rPr>
          <w:rFonts w:ascii="Times New Roman" w:hAnsi="Times New Roman" w:cs="Times New Roman"/>
          <w:b/>
          <w:bCs/>
          <w:sz w:val="22"/>
          <w:szCs w:val="22"/>
        </w:rPr>
        <w:t>Cifras en Millones de Quetzales</w:t>
      </w:r>
    </w:p>
    <w:tbl>
      <w:tblPr>
        <w:tblW w:w="8984" w:type="dxa"/>
        <w:jc w:val="center"/>
        <w:tblCellMar>
          <w:left w:w="70" w:type="dxa"/>
          <w:right w:w="70" w:type="dxa"/>
        </w:tblCellMar>
        <w:tblLook w:val="04A0" w:firstRow="1" w:lastRow="0" w:firstColumn="1" w:lastColumn="0" w:noHBand="0" w:noVBand="1"/>
      </w:tblPr>
      <w:tblGrid>
        <w:gridCol w:w="4373"/>
        <w:gridCol w:w="1212"/>
        <w:gridCol w:w="1212"/>
        <w:gridCol w:w="1093"/>
        <w:gridCol w:w="1094"/>
      </w:tblGrid>
      <w:tr w:rsidR="00062207" w:rsidRPr="00062207" w14:paraId="7B7833F9" w14:textId="77777777" w:rsidTr="00A963D6">
        <w:trPr>
          <w:trHeight w:val="228"/>
          <w:jc w:val="center"/>
        </w:trPr>
        <w:tc>
          <w:tcPr>
            <w:tcW w:w="4373" w:type="dxa"/>
            <w:vMerge w:val="restart"/>
            <w:tcBorders>
              <w:top w:val="single" w:sz="8" w:space="0" w:color="auto"/>
              <w:left w:val="single" w:sz="8" w:space="0" w:color="auto"/>
              <w:bottom w:val="single" w:sz="8" w:space="0" w:color="000000"/>
              <w:right w:val="nil"/>
            </w:tcBorders>
            <w:shd w:val="clear" w:color="000000" w:fill="44546A"/>
            <w:noWrap/>
            <w:vAlign w:val="center"/>
            <w:hideMark/>
          </w:tcPr>
          <w:p w14:paraId="7D4BDC5A"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Descripción</w:t>
            </w:r>
          </w:p>
        </w:tc>
        <w:tc>
          <w:tcPr>
            <w:tcW w:w="2424" w:type="dxa"/>
            <w:gridSpan w:val="2"/>
            <w:tcBorders>
              <w:top w:val="single" w:sz="8" w:space="0" w:color="auto"/>
              <w:left w:val="single" w:sz="8" w:space="0" w:color="auto"/>
              <w:bottom w:val="single" w:sz="8" w:space="0" w:color="auto"/>
              <w:right w:val="single" w:sz="8" w:space="0" w:color="000000"/>
            </w:tcBorders>
            <w:shd w:val="clear" w:color="000000" w:fill="44546A"/>
            <w:vAlign w:val="center"/>
            <w:hideMark/>
          </w:tcPr>
          <w:p w14:paraId="6251672C"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En millones de Q</w:t>
            </w:r>
          </w:p>
        </w:tc>
        <w:tc>
          <w:tcPr>
            <w:tcW w:w="2186" w:type="dxa"/>
            <w:gridSpan w:val="2"/>
            <w:tcBorders>
              <w:top w:val="single" w:sz="8" w:space="0" w:color="auto"/>
              <w:left w:val="nil"/>
              <w:bottom w:val="single" w:sz="8" w:space="0" w:color="auto"/>
              <w:right w:val="single" w:sz="8" w:space="0" w:color="000000"/>
            </w:tcBorders>
            <w:shd w:val="clear" w:color="000000" w:fill="44546A"/>
            <w:vAlign w:val="center"/>
            <w:hideMark/>
          </w:tcPr>
          <w:p w14:paraId="67EFF433"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Como porcentaje del PIB</w:t>
            </w:r>
          </w:p>
        </w:tc>
      </w:tr>
      <w:tr w:rsidR="00062207" w:rsidRPr="00062207" w14:paraId="1BFDFF18" w14:textId="77777777" w:rsidTr="00A963D6">
        <w:trPr>
          <w:trHeight w:val="228"/>
          <w:jc w:val="center"/>
        </w:trPr>
        <w:tc>
          <w:tcPr>
            <w:tcW w:w="4373" w:type="dxa"/>
            <w:vMerge/>
            <w:tcBorders>
              <w:top w:val="single" w:sz="8" w:space="0" w:color="auto"/>
              <w:left w:val="single" w:sz="8" w:space="0" w:color="auto"/>
              <w:bottom w:val="single" w:sz="8" w:space="0" w:color="000000"/>
              <w:right w:val="nil"/>
            </w:tcBorders>
            <w:vAlign w:val="center"/>
            <w:hideMark/>
          </w:tcPr>
          <w:p w14:paraId="4D6EC36E" w14:textId="77777777" w:rsidR="00467307" w:rsidRPr="00062207" w:rsidRDefault="00467307" w:rsidP="00A963D6">
            <w:pPr>
              <w:rPr>
                <w:rFonts w:ascii="Times New Roman" w:eastAsia="Times New Roman" w:hAnsi="Times New Roman" w:cs="Times New Roman"/>
                <w:b/>
                <w:bCs/>
                <w:sz w:val="22"/>
                <w:szCs w:val="22"/>
                <w:lang w:eastAsia="es-GT"/>
              </w:rPr>
            </w:pPr>
          </w:p>
        </w:tc>
        <w:tc>
          <w:tcPr>
            <w:tcW w:w="1212" w:type="dxa"/>
            <w:tcBorders>
              <w:top w:val="nil"/>
              <w:left w:val="single" w:sz="8" w:space="0" w:color="auto"/>
              <w:bottom w:val="single" w:sz="8" w:space="0" w:color="auto"/>
              <w:right w:val="nil"/>
            </w:tcBorders>
            <w:shd w:val="clear" w:color="000000" w:fill="808080"/>
            <w:vAlign w:val="center"/>
            <w:hideMark/>
          </w:tcPr>
          <w:p w14:paraId="2D4C2310"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2020</w:t>
            </w:r>
          </w:p>
        </w:tc>
        <w:tc>
          <w:tcPr>
            <w:tcW w:w="1212" w:type="dxa"/>
            <w:tcBorders>
              <w:top w:val="nil"/>
              <w:left w:val="nil"/>
              <w:bottom w:val="single" w:sz="8" w:space="0" w:color="auto"/>
              <w:right w:val="single" w:sz="8" w:space="0" w:color="auto"/>
            </w:tcBorders>
            <w:shd w:val="clear" w:color="000000" w:fill="808080"/>
            <w:vAlign w:val="center"/>
            <w:hideMark/>
          </w:tcPr>
          <w:p w14:paraId="5CE9D6F5"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2021*</w:t>
            </w:r>
          </w:p>
        </w:tc>
        <w:tc>
          <w:tcPr>
            <w:tcW w:w="1093" w:type="dxa"/>
            <w:tcBorders>
              <w:top w:val="nil"/>
              <w:left w:val="nil"/>
              <w:bottom w:val="single" w:sz="8" w:space="0" w:color="auto"/>
              <w:right w:val="nil"/>
            </w:tcBorders>
            <w:shd w:val="clear" w:color="000000" w:fill="808080"/>
            <w:vAlign w:val="center"/>
            <w:hideMark/>
          </w:tcPr>
          <w:p w14:paraId="11E84D0C"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2020</w:t>
            </w:r>
          </w:p>
        </w:tc>
        <w:tc>
          <w:tcPr>
            <w:tcW w:w="1093" w:type="dxa"/>
            <w:tcBorders>
              <w:top w:val="nil"/>
              <w:left w:val="nil"/>
              <w:bottom w:val="single" w:sz="8" w:space="0" w:color="auto"/>
              <w:right w:val="single" w:sz="8" w:space="0" w:color="auto"/>
            </w:tcBorders>
            <w:shd w:val="clear" w:color="000000" w:fill="808080"/>
            <w:vAlign w:val="center"/>
            <w:hideMark/>
          </w:tcPr>
          <w:p w14:paraId="17E0893F"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2021*</w:t>
            </w:r>
          </w:p>
        </w:tc>
      </w:tr>
      <w:tr w:rsidR="00062207" w:rsidRPr="00062207" w14:paraId="7F595F52" w14:textId="77777777" w:rsidTr="00A963D6">
        <w:trPr>
          <w:trHeight w:val="228"/>
          <w:jc w:val="center"/>
        </w:trPr>
        <w:tc>
          <w:tcPr>
            <w:tcW w:w="4373" w:type="dxa"/>
            <w:tcBorders>
              <w:top w:val="nil"/>
              <w:left w:val="nil"/>
              <w:bottom w:val="nil"/>
              <w:right w:val="nil"/>
            </w:tcBorders>
            <w:shd w:val="clear" w:color="auto" w:fill="auto"/>
            <w:noWrap/>
            <w:vAlign w:val="center"/>
            <w:hideMark/>
          </w:tcPr>
          <w:p w14:paraId="7A3000F3" w14:textId="77777777" w:rsidR="00467307" w:rsidRPr="00062207" w:rsidRDefault="00467307" w:rsidP="00A963D6">
            <w:pPr>
              <w:jc w:val="both"/>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INGRESO</w:t>
            </w:r>
          </w:p>
        </w:tc>
        <w:tc>
          <w:tcPr>
            <w:tcW w:w="1212" w:type="dxa"/>
            <w:tcBorders>
              <w:top w:val="nil"/>
              <w:left w:val="nil"/>
              <w:bottom w:val="nil"/>
              <w:right w:val="nil"/>
            </w:tcBorders>
            <w:shd w:val="clear" w:color="auto" w:fill="auto"/>
            <w:noWrap/>
            <w:vAlign w:val="center"/>
            <w:hideMark/>
          </w:tcPr>
          <w:p w14:paraId="1EA16430"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86,246.8</w:t>
            </w:r>
          </w:p>
        </w:tc>
        <w:tc>
          <w:tcPr>
            <w:tcW w:w="1212" w:type="dxa"/>
            <w:tcBorders>
              <w:top w:val="nil"/>
              <w:left w:val="nil"/>
              <w:bottom w:val="nil"/>
              <w:right w:val="nil"/>
            </w:tcBorders>
            <w:shd w:val="clear" w:color="auto" w:fill="auto"/>
            <w:noWrap/>
            <w:vAlign w:val="center"/>
            <w:hideMark/>
          </w:tcPr>
          <w:p w14:paraId="308D4D4C"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107,224.9</w:t>
            </w:r>
          </w:p>
        </w:tc>
        <w:tc>
          <w:tcPr>
            <w:tcW w:w="1093" w:type="dxa"/>
            <w:tcBorders>
              <w:top w:val="nil"/>
              <w:left w:val="dotDash" w:sz="4" w:space="0" w:color="auto"/>
              <w:bottom w:val="nil"/>
              <w:right w:val="nil"/>
            </w:tcBorders>
            <w:shd w:val="clear" w:color="auto" w:fill="auto"/>
            <w:noWrap/>
            <w:vAlign w:val="center"/>
            <w:hideMark/>
          </w:tcPr>
          <w:p w14:paraId="37DB1781"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14.4</w:t>
            </w:r>
          </w:p>
        </w:tc>
        <w:tc>
          <w:tcPr>
            <w:tcW w:w="1093" w:type="dxa"/>
            <w:tcBorders>
              <w:top w:val="nil"/>
              <w:left w:val="nil"/>
              <w:bottom w:val="nil"/>
              <w:right w:val="nil"/>
            </w:tcBorders>
            <w:shd w:val="clear" w:color="auto" w:fill="auto"/>
            <w:noWrap/>
            <w:vAlign w:val="center"/>
            <w:hideMark/>
          </w:tcPr>
          <w:p w14:paraId="6B2180DC"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16.1</w:t>
            </w:r>
          </w:p>
        </w:tc>
      </w:tr>
      <w:tr w:rsidR="00062207" w:rsidRPr="00062207" w14:paraId="1899077D" w14:textId="77777777" w:rsidTr="00A963D6">
        <w:trPr>
          <w:trHeight w:val="228"/>
          <w:jc w:val="center"/>
        </w:trPr>
        <w:tc>
          <w:tcPr>
            <w:tcW w:w="4373" w:type="dxa"/>
            <w:tcBorders>
              <w:top w:val="nil"/>
              <w:left w:val="nil"/>
              <w:bottom w:val="nil"/>
              <w:right w:val="nil"/>
            </w:tcBorders>
            <w:shd w:val="clear" w:color="auto" w:fill="auto"/>
            <w:noWrap/>
            <w:vAlign w:val="center"/>
            <w:hideMark/>
          </w:tcPr>
          <w:p w14:paraId="22AAC01B" w14:textId="77777777" w:rsidR="00467307" w:rsidRPr="00062207" w:rsidRDefault="00467307" w:rsidP="00A963D6">
            <w:pPr>
              <w:ind w:firstLineChars="100" w:firstLine="220"/>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Impuestos</w:t>
            </w:r>
          </w:p>
        </w:tc>
        <w:tc>
          <w:tcPr>
            <w:tcW w:w="1212" w:type="dxa"/>
            <w:tcBorders>
              <w:top w:val="nil"/>
              <w:left w:val="nil"/>
              <w:bottom w:val="nil"/>
              <w:right w:val="nil"/>
            </w:tcBorders>
            <w:shd w:val="clear" w:color="auto" w:fill="auto"/>
            <w:noWrap/>
            <w:vAlign w:val="center"/>
            <w:hideMark/>
          </w:tcPr>
          <w:p w14:paraId="0B989445"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62,734.0</w:t>
            </w:r>
          </w:p>
        </w:tc>
        <w:tc>
          <w:tcPr>
            <w:tcW w:w="1212" w:type="dxa"/>
            <w:tcBorders>
              <w:top w:val="nil"/>
              <w:left w:val="nil"/>
              <w:bottom w:val="nil"/>
              <w:right w:val="nil"/>
            </w:tcBorders>
            <w:shd w:val="clear" w:color="auto" w:fill="auto"/>
            <w:noWrap/>
            <w:vAlign w:val="center"/>
            <w:hideMark/>
          </w:tcPr>
          <w:p w14:paraId="777CC0FA"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80,841.8</w:t>
            </w:r>
          </w:p>
        </w:tc>
        <w:tc>
          <w:tcPr>
            <w:tcW w:w="1093" w:type="dxa"/>
            <w:tcBorders>
              <w:top w:val="nil"/>
              <w:left w:val="dotDash" w:sz="4" w:space="0" w:color="auto"/>
              <w:bottom w:val="nil"/>
              <w:right w:val="nil"/>
            </w:tcBorders>
            <w:shd w:val="clear" w:color="auto" w:fill="auto"/>
            <w:noWrap/>
            <w:vAlign w:val="center"/>
            <w:hideMark/>
          </w:tcPr>
          <w:p w14:paraId="08043394"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10.5</w:t>
            </w:r>
          </w:p>
        </w:tc>
        <w:tc>
          <w:tcPr>
            <w:tcW w:w="1093" w:type="dxa"/>
            <w:tcBorders>
              <w:top w:val="nil"/>
              <w:left w:val="nil"/>
              <w:bottom w:val="nil"/>
              <w:right w:val="nil"/>
            </w:tcBorders>
            <w:shd w:val="clear" w:color="auto" w:fill="auto"/>
            <w:noWrap/>
            <w:vAlign w:val="center"/>
            <w:hideMark/>
          </w:tcPr>
          <w:p w14:paraId="243B78E1"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12.2</w:t>
            </w:r>
          </w:p>
        </w:tc>
      </w:tr>
      <w:tr w:rsidR="00062207" w:rsidRPr="00062207" w14:paraId="4C92D16C" w14:textId="77777777" w:rsidTr="00A963D6">
        <w:trPr>
          <w:trHeight w:val="228"/>
          <w:jc w:val="center"/>
        </w:trPr>
        <w:tc>
          <w:tcPr>
            <w:tcW w:w="4373" w:type="dxa"/>
            <w:tcBorders>
              <w:top w:val="nil"/>
              <w:left w:val="nil"/>
              <w:bottom w:val="nil"/>
              <w:right w:val="nil"/>
            </w:tcBorders>
            <w:shd w:val="clear" w:color="auto" w:fill="auto"/>
            <w:noWrap/>
            <w:vAlign w:val="center"/>
            <w:hideMark/>
          </w:tcPr>
          <w:p w14:paraId="41C0FF48" w14:textId="77777777" w:rsidR="00467307" w:rsidRPr="00062207" w:rsidRDefault="00467307" w:rsidP="00A963D6">
            <w:pPr>
              <w:ind w:firstLineChars="100" w:firstLine="220"/>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 xml:space="preserve">Contribuciones sociales </w:t>
            </w:r>
          </w:p>
        </w:tc>
        <w:tc>
          <w:tcPr>
            <w:tcW w:w="1212" w:type="dxa"/>
            <w:tcBorders>
              <w:top w:val="nil"/>
              <w:left w:val="nil"/>
              <w:bottom w:val="nil"/>
              <w:right w:val="nil"/>
            </w:tcBorders>
            <w:shd w:val="clear" w:color="auto" w:fill="auto"/>
            <w:noWrap/>
            <w:vAlign w:val="center"/>
            <w:hideMark/>
          </w:tcPr>
          <w:p w14:paraId="240E41D4"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16,696.5</w:t>
            </w:r>
          </w:p>
        </w:tc>
        <w:tc>
          <w:tcPr>
            <w:tcW w:w="1212" w:type="dxa"/>
            <w:tcBorders>
              <w:top w:val="nil"/>
              <w:left w:val="nil"/>
              <w:bottom w:val="nil"/>
              <w:right w:val="nil"/>
            </w:tcBorders>
            <w:shd w:val="clear" w:color="auto" w:fill="auto"/>
            <w:noWrap/>
            <w:vAlign w:val="center"/>
            <w:hideMark/>
          </w:tcPr>
          <w:p w14:paraId="52001F3B"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18,424.9</w:t>
            </w:r>
          </w:p>
        </w:tc>
        <w:tc>
          <w:tcPr>
            <w:tcW w:w="1093" w:type="dxa"/>
            <w:tcBorders>
              <w:top w:val="nil"/>
              <w:left w:val="dotDash" w:sz="4" w:space="0" w:color="auto"/>
              <w:bottom w:val="nil"/>
              <w:right w:val="nil"/>
            </w:tcBorders>
            <w:shd w:val="clear" w:color="auto" w:fill="auto"/>
            <w:noWrap/>
            <w:vAlign w:val="center"/>
            <w:hideMark/>
          </w:tcPr>
          <w:p w14:paraId="69BB03A1"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2.8</w:t>
            </w:r>
          </w:p>
        </w:tc>
        <w:tc>
          <w:tcPr>
            <w:tcW w:w="1093" w:type="dxa"/>
            <w:tcBorders>
              <w:top w:val="nil"/>
              <w:left w:val="nil"/>
              <w:bottom w:val="nil"/>
              <w:right w:val="nil"/>
            </w:tcBorders>
            <w:shd w:val="clear" w:color="auto" w:fill="auto"/>
            <w:noWrap/>
            <w:vAlign w:val="center"/>
            <w:hideMark/>
          </w:tcPr>
          <w:p w14:paraId="46873897"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2.8</w:t>
            </w:r>
          </w:p>
        </w:tc>
      </w:tr>
      <w:tr w:rsidR="00062207" w:rsidRPr="00062207" w14:paraId="13737901" w14:textId="77777777" w:rsidTr="00A963D6">
        <w:trPr>
          <w:trHeight w:val="228"/>
          <w:jc w:val="center"/>
        </w:trPr>
        <w:tc>
          <w:tcPr>
            <w:tcW w:w="4373" w:type="dxa"/>
            <w:tcBorders>
              <w:top w:val="nil"/>
              <w:left w:val="nil"/>
              <w:bottom w:val="nil"/>
              <w:right w:val="nil"/>
            </w:tcBorders>
            <w:shd w:val="clear" w:color="auto" w:fill="auto"/>
            <w:noWrap/>
            <w:vAlign w:val="center"/>
            <w:hideMark/>
          </w:tcPr>
          <w:p w14:paraId="3778EA89" w14:textId="77777777" w:rsidR="00467307" w:rsidRPr="00062207" w:rsidRDefault="00467307" w:rsidP="00A963D6">
            <w:pPr>
              <w:ind w:firstLineChars="100" w:firstLine="220"/>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Donaciones</w:t>
            </w:r>
          </w:p>
        </w:tc>
        <w:tc>
          <w:tcPr>
            <w:tcW w:w="1212" w:type="dxa"/>
            <w:tcBorders>
              <w:top w:val="nil"/>
              <w:left w:val="nil"/>
              <w:bottom w:val="nil"/>
              <w:right w:val="nil"/>
            </w:tcBorders>
            <w:shd w:val="clear" w:color="auto" w:fill="auto"/>
            <w:noWrap/>
            <w:vAlign w:val="center"/>
            <w:hideMark/>
          </w:tcPr>
          <w:p w14:paraId="34CA5C7E"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114.1</w:t>
            </w:r>
          </w:p>
        </w:tc>
        <w:tc>
          <w:tcPr>
            <w:tcW w:w="1212" w:type="dxa"/>
            <w:tcBorders>
              <w:top w:val="nil"/>
              <w:left w:val="nil"/>
              <w:bottom w:val="nil"/>
              <w:right w:val="nil"/>
            </w:tcBorders>
            <w:shd w:val="clear" w:color="auto" w:fill="auto"/>
            <w:noWrap/>
            <w:vAlign w:val="center"/>
            <w:hideMark/>
          </w:tcPr>
          <w:p w14:paraId="524B15A1"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285.9</w:t>
            </w:r>
          </w:p>
        </w:tc>
        <w:tc>
          <w:tcPr>
            <w:tcW w:w="1093" w:type="dxa"/>
            <w:tcBorders>
              <w:top w:val="nil"/>
              <w:left w:val="dotDash" w:sz="4" w:space="0" w:color="auto"/>
              <w:bottom w:val="nil"/>
              <w:right w:val="nil"/>
            </w:tcBorders>
            <w:shd w:val="clear" w:color="auto" w:fill="auto"/>
            <w:noWrap/>
            <w:vAlign w:val="center"/>
            <w:hideMark/>
          </w:tcPr>
          <w:p w14:paraId="2589A2BF"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0.0</w:t>
            </w:r>
          </w:p>
        </w:tc>
        <w:tc>
          <w:tcPr>
            <w:tcW w:w="1093" w:type="dxa"/>
            <w:tcBorders>
              <w:top w:val="nil"/>
              <w:left w:val="nil"/>
              <w:bottom w:val="nil"/>
              <w:right w:val="nil"/>
            </w:tcBorders>
            <w:shd w:val="clear" w:color="auto" w:fill="auto"/>
            <w:noWrap/>
            <w:vAlign w:val="center"/>
            <w:hideMark/>
          </w:tcPr>
          <w:p w14:paraId="2C354A63"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0.0</w:t>
            </w:r>
          </w:p>
        </w:tc>
      </w:tr>
      <w:tr w:rsidR="00062207" w:rsidRPr="00062207" w14:paraId="3CC5323D" w14:textId="77777777" w:rsidTr="00A963D6">
        <w:trPr>
          <w:trHeight w:val="228"/>
          <w:jc w:val="center"/>
        </w:trPr>
        <w:tc>
          <w:tcPr>
            <w:tcW w:w="4373" w:type="dxa"/>
            <w:tcBorders>
              <w:top w:val="nil"/>
              <w:left w:val="nil"/>
              <w:bottom w:val="nil"/>
              <w:right w:val="nil"/>
            </w:tcBorders>
            <w:shd w:val="clear" w:color="auto" w:fill="auto"/>
            <w:noWrap/>
            <w:vAlign w:val="center"/>
            <w:hideMark/>
          </w:tcPr>
          <w:p w14:paraId="4FF5E850" w14:textId="77777777" w:rsidR="00467307" w:rsidRPr="00062207" w:rsidRDefault="00467307" w:rsidP="00A963D6">
            <w:pPr>
              <w:ind w:firstLineChars="100" w:firstLine="220"/>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 xml:space="preserve">Otros ingresos </w:t>
            </w:r>
          </w:p>
        </w:tc>
        <w:tc>
          <w:tcPr>
            <w:tcW w:w="1212" w:type="dxa"/>
            <w:tcBorders>
              <w:top w:val="nil"/>
              <w:left w:val="nil"/>
              <w:bottom w:val="nil"/>
              <w:right w:val="nil"/>
            </w:tcBorders>
            <w:shd w:val="clear" w:color="auto" w:fill="auto"/>
            <w:noWrap/>
            <w:vAlign w:val="center"/>
            <w:hideMark/>
          </w:tcPr>
          <w:p w14:paraId="27DE33CF"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6,702.3</w:t>
            </w:r>
          </w:p>
        </w:tc>
        <w:tc>
          <w:tcPr>
            <w:tcW w:w="1212" w:type="dxa"/>
            <w:tcBorders>
              <w:top w:val="nil"/>
              <w:left w:val="nil"/>
              <w:bottom w:val="nil"/>
              <w:right w:val="nil"/>
            </w:tcBorders>
            <w:shd w:val="clear" w:color="auto" w:fill="auto"/>
            <w:noWrap/>
            <w:vAlign w:val="center"/>
            <w:hideMark/>
          </w:tcPr>
          <w:p w14:paraId="12765183"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7,672.4</w:t>
            </w:r>
          </w:p>
        </w:tc>
        <w:tc>
          <w:tcPr>
            <w:tcW w:w="1093" w:type="dxa"/>
            <w:tcBorders>
              <w:top w:val="nil"/>
              <w:left w:val="dotDash" w:sz="4" w:space="0" w:color="auto"/>
              <w:bottom w:val="nil"/>
              <w:right w:val="nil"/>
            </w:tcBorders>
            <w:shd w:val="clear" w:color="auto" w:fill="auto"/>
            <w:noWrap/>
            <w:vAlign w:val="center"/>
            <w:hideMark/>
          </w:tcPr>
          <w:p w14:paraId="6021C2BD"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1.1</w:t>
            </w:r>
          </w:p>
        </w:tc>
        <w:tc>
          <w:tcPr>
            <w:tcW w:w="1093" w:type="dxa"/>
            <w:tcBorders>
              <w:top w:val="nil"/>
              <w:left w:val="nil"/>
              <w:bottom w:val="nil"/>
              <w:right w:val="nil"/>
            </w:tcBorders>
            <w:shd w:val="clear" w:color="auto" w:fill="auto"/>
            <w:noWrap/>
            <w:vAlign w:val="center"/>
            <w:hideMark/>
          </w:tcPr>
          <w:p w14:paraId="0A38B6B0"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1.2</w:t>
            </w:r>
          </w:p>
        </w:tc>
      </w:tr>
      <w:tr w:rsidR="00062207" w:rsidRPr="00062207" w14:paraId="4136FD0A" w14:textId="77777777" w:rsidTr="00A963D6">
        <w:trPr>
          <w:trHeight w:val="228"/>
          <w:jc w:val="center"/>
        </w:trPr>
        <w:tc>
          <w:tcPr>
            <w:tcW w:w="4373" w:type="dxa"/>
            <w:tcBorders>
              <w:top w:val="nil"/>
              <w:left w:val="nil"/>
              <w:bottom w:val="nil"/>
              <w:right w:val="nil"/>
            </w:tcBorders>
            <w:shd w:val="clear" w:color="auto" w:fill="auto"/>
            <w:noWrap/>
            <w:vAlign w:val="center"/>
            <w:hideMark/>
          </w:tcPr>
          <w:p w14:paraId="74251FC1" w14:textId="77777777" w:rsidR="00467307" w:rsidRPr="00062207" w:rsidRDefault="00467307" w:rsidP="00A963D6">
            <w:pPr>
              <w:jc w:val="both"/>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GASTO</w:t>
            </w:r>
          </w:p>
        </w:tc>
        <w:tc>
          <w:tcPr>
            <w:tcW w:w="1212" w:type="dxa"/>
            <w:tcBorders>
              <w:top w:val="nil"/>
              <w:left w:val="nil"/>
              <w:bottom w:val="nil"/>
              <w:right w:val="nil"/>
            </w:tcBorders>
            <w:shd w:val="clear" w:color="auto" w:fill="auto"/>
            <w:noWrap/>
            <w:vAlign w:val="center"/>
            <w:hideMark/>
          </w:tcPr>
          <w:p w14:paraId="4F4027E6"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96,231.0</w:t>
            </w:r>
          </w:p>
        </w:tc>
        <w:tc>
          <w:tcPr>
            <w:tcW w:w="1212" w:type="dxa"/>
            <w:tcBorders>
              <w:top w:val="nil"/>
              <w:left w:val="nil"/>
              <w:bottom w:val="nil"/>
              <w:right w:val="nil"/>
            </w:tcBorders>
            <w:shd w:val="clear" w:color="auto" w:fill="auto"/>
            <w:noWrap/>
            <w:vAlign w:val="center"/>
            <w:hideMark/>
          </w:tcPr>
          <w:p w14:paraId="6B4774E6"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96,574.2</w:t>
            </w:r>
          </w:p>
        </w:tc>
        <w:tc>
          <w:tcPr>
            <w:tcW w:w="1093" w:type="dxa"/>
            <w:tcBorders>
              <w:top w:val="nil"/>
              <w:left w:val="dotDash" w:sz="4" w:space="0" w:color="auto"/>
              <w:bottom w:val="nil"/>
              <w:right w:val="nil"/>
            </w:tcBorders>
            <w:shd w:val="clear" w:color="auto" w:fill="auto"/>
            <w:noWrap/>
            <w:vAlign w:val="center"/>
            <w:hideMark/>
          </w:tcPr>
          <w:p w14:paraId="2F5C8D4C"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16.1</w:t>
            </w:r>
          </w:p>
        </w:tc>
        <w:tc>
          <w:tcPr>
            <w:tcW w:w="1093" w:type="dxa"/>
            <w:tcBorders>
              <w:top w:val="nil"/>
              <w:left w:val="nil"/>
              <w:bottom w:val="nil"/>
              <w:right w:val="nil"/>
            </w:tcBorders>
            <w:shd w:val="clear" w:color="auto" w:fill="auto"/>
            <w:noWrap/>
            <w:vAlign w:val="center"/>
            <w:hideMark/>
          </w:tcPr>
          <w:p w14:paraId="0CA56C43"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14.5</w:t>
            </w:r>
          </w:p>
        </w:tc>
      </w:tr>
      <w:tr w:rsidR="00062207" w:rsidRPr="00062207" w14:paraId="373C844C" w14:textId="77777777" w:rsidTr="00A963D6">
        <w:trPr>
          <w:trHeight w:val="228"/>
          <w:jc w:val="center"/>
        </w:trPr>
        <w:tc>
          <w:tcPr>
            <w:tcW w:w="4373" w:type="dxa"/>
            <w:tcBorders>
              <w:top w:val="nil"/>
              <w:left w:val="nil"/>
              <w:bottom w:val="nil"/>
              <w:right w:val="nil"/>
            </w:tcBorders>
            <w:shd w:val="clear" w:color="auto" w:fill="auto"/>
            <w:noWrap/>
            <w:vAlign w:val="center"/>
            <w:hideMark/>
          </w:tcPr>
          <w:p w14:paraId="75963309" w14:textId="77777777" w:rsidR="00467307" w:rsidRPr="00062207" w:rsidRDefault="00467307" w:rsidP="00A963D6">
            <w:pPr>
              <w:ind w:firstLineChars="100" w:firstLine="220"/>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 xml:space="preserve">Remuneración a los empleados </w:t>
            </w:r>
          </w:p>
        </w:tc>
        <w:tc>
          <w:tcPr>
            <w:tcW w:w="1212" w:type="dxa"/>
            <w:tcBorders>
              <w:top w:val="nil"/>
              <w:left w:val="nil"/>
              <w:bottom w:val="nil"/>
              <w:right w:val="nil"/>
            </w:tcBorders>
            <w:shd w:val="clear" w:color="auto" w:fill="auto"/>
            <w:noWrap/>
            <w:vAlign w:val="center"/>
            <w:hideMark/>
          </w:tcPr>
          <w:p w14:paraId="1E30C846"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45,772.6</w:t>
            </w:r>
          </w:p>
        </w:tc>
        <w:tc>
          <w:tcPr>
            <w:tcW w:w="1212" w:type="dxa"/>
            <w:tcBorders>
              <w:top w:val="nil"/>
              <w:left w:val="nil"/>
              <w:bottom w:val="nil"/>
              <w:right w:val="nil"/>
            </w:tcBorders>
            <w:shd w:val="clear" w:color="auto" w:fill="auto"/>
            <w:noWrap/>
            <w:vAlign w:val="center"/>
            <w:hideMark/>
          </w:tcPr>
          <w:p w14:paraId="507FDD67"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48,474.2</w:t>
            </w:r>
          </w:p>
        </w:tc>
        <w:tc>
          <w:tcPr>
            <w:tcW w:w="1093" w:type="dxa"/>
            <w:tcBorders>
              <w:top w:val="nil"/>
              <w:left w:val="dotDash" w:sz="4" w:space="0" w:color="auto"/>
              <w:bottom w:val="nil"/>
              <w:right w:val="nil"/>
            </w:tcBorders>
            <w:shd w:val="clear" w:color="auto" w:fill="auto"/>
            <w:noWrap/>
            <w:vAlign w:val="center"/>
            <w:hideMark/>
          </w:tcPr>
          <w:p w14:paraId="545D8631"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7.6</w:t>
            </w:r>
          </w:p>
        </w:tc>
        <w:tc>
          <w:tcPr>
            <w:tcW w:w="1093" w:type="dxa"/>
            <w:tcBorders>
              <w:top w:val="nil"/>
              <w:left w:val="nil"/>
              <w:bottom w:val="nil"/>
              <w:right w:val="nil"/>
            </w:tcBorders>
            <w:shd w:val="clear" w:color="auto" w:fill="auto"/>
            <w:noWrap/>
            <w:vAlign w:val="center"/>
            <w:hideMark/>
          </w:tcPr>
          <w:p w14:paraId="22F1F479"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7.3</w:t>
            </w:r>
          </w:p>
        </w:tc>
      </w:tr>
      <w:tr w:rsidR="00062207" w:rsidRPr="00062207" w14:paraId="74D0EA7B" w14:textId="77777777" w:rsidTr="00A963D6">
        <w:trPr>
          <w:trHeight w:val="228"/>
          <w:jc w:val="center"/>
        </w:trPr>
        <w:tc>
          <w:tcPr>
            <w:tcW w:w="4373" w:type="dxa"/>
            <w:tcBorders>
              <w:top w:val="nil"/>
              <w:left w:val="nil"/>
              <w:bottom w:val="nil"/>
              <w:right w:val="nil"/>
            </w:tcBorders>
            <w:shd w:val="clear" w:color="auto" w:fill="auto"/>
            <w:noWrap/>
            <w:vAlign w:val="center"/>
            <w:hideMark/>
          </w:tcPr>
          <w:p w14:paraId="27AC363F" w14:textId="77777777" w:rsidR="00467307" w:rsidRPr="00062207" w:rsidRDefault="00467307" w:rsidP="00A963D6">
            <w:pPr>
              <w:ind w:firstLineChars="100" w:firstLine="220"/>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 xml:space="preserve">Uso de bienes y servicios  </w:t>
            </w:r>
          </w:p>
        </w:tc>
        <w:tc>
          <w:tcPr>
            <w:tcW w:w="1212" w:type="dxa"/>
            <w:tcBorders>
              <w:top w:val="nil"/>
              <w:left w:val="nil"/>
              <w:bottom w:val="nil"/>
              <w:right w:val="nil"/>
            </w:tcBorders>
            <w:shd w:val="clear" w:color="auto" w:fill="auto"/>
            <w:noWrap/>
            <w:vAlign w:val="center"/>
            <w:hideMark/>
          </w:tcPr>
          <w:p w14:paraId="14A9D22D"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15,026.1</w:t>
            </w:r>
          </w:p>
        </w:tc>
        <w:tc>
          <w:tcPr>
            <w:tcW w:w="1212" w:type="dxa"/>
            <w:tcBorders>
              <w:top w:val="nil"/>
              <w:left w:val="nil"/>
              <w:bottom w:val="nil"/>
              <w:right w:val="nil"/>
            </w:tcBorders>
            <w:shd w:val="clear" w:color="auto" w:fill="auto"/>
            <w:noWrap/>
            <w:vAlign w:val="center"/>
            <w:hideMark/>
          </w:tcPr>
          <w:p w14:paraId="51F0C02B"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19,412.2</w:t>
            </w:r>
          </w:p>
        </w:tc>
        <w:tc>
          <w:tcPr>
            <w:tcW w:w="1093" w:type="dxa"/>
            <w:tcBorders>
              <w:top w:val="nil"/>
              <w:left w:val="dotDash" w:sz="4" w:space="0" w:color="auto"/>
              <w:bottom w:val="nil"/>
              <w:right w:val="nil"/>
            </w:tcBorders>
            <w:shd w:val="clear" w:color="auto" w:fill="auto"/>
            <w:noWrap/>
            <w:vAlign w:val="center"/>
            <w:hideMark/>
          </w:tcPr>
          <w:p w14:paraId="1C0917D3"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2.5</w:t>
            </w:r>
          </w:p>
        </w:tc>
        <w:tc>
          <w:tcPr>
            <w:tcW w:w="1093" w:type="dxa"/>
            <w:tcBorders>
              <w:top w:val="nil"/>
              <w:left w:val="nil"/>
              <w:bottom w:val="nil"/>
              <w:right w:val="nil"/>
            </w:tcBorders>
            <w:shd w:val="clear" w:color="auto" w:fill="auto"/>
            <w:noWrap/>
            <w:vAlign w:val="center"/>
            <w:hideMark/>
          </w:tcPr>
          <w:p w14:paraId="23E3CA34"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2.9</w:t>
            </w:r>
          </w:p>
        </w:tc>
      </w:tr>
      <w:tr w:rsidR="00062207" w:rsidRPr="00062207" w14:paraId="31ED7DA6" w14:textId="77777777" w:rsidTr="00A963D6">
        <w:trPr>
          <w:trHeight w:val="228"/>
          <w:jc w:val="center"/>
        </w:trPr>
        <w:tc>
          <w:tcPr>
            <w:tcW w:w="4373" w:type="dxa"/>
            <w:tcBorders>
              <w:top w:val="nil"/>
              <w:left w:val="nil"/>
              <w:bottom w:val="nil"/>
              <w:right w:val="nil"/>
            </w:tcBorders>
            <w:shd w:val="clear" w:color="auto" w:fill="auto"/>
            <w:noWrap/>
            <w:vAlign w:val="center"/>
            <w:hideMark/>
          </w:tcPr>
          <w:p w14:paraId="0DC0565D" w14:textId="77777777" w:rsidR="00467307" w:rsidRPr="00062207" w:rsidRDefault="00467307" w:rsidP="00A963D6">
            <w:pPr>
              <w:ind w:firstLineChars="100" w:firstLine="220"/>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 xml:space="preserve">Intereses </w:t>
            </w:r>
          </w:p>
        </w:tc>
        <w:tc>
          <w:tcPr>
            <w:tcW w:w="1212" w:type="dxa"/>
            <w:tcBorders>
              <w:top w:val="nil"/>
              <w:left w:val="nil"/>
              <w:bottom w:val="nil"/>
              <w:right w:val="nil"/>
            </w:tcBorders>
            <w:shd w:val="clear" w:color="auto" w:fill="auto"/>
            <w:noWrap/>
            <w:vAlign w:val="center"/>
            <w:hideMark/>
          </w:tcPr>
          <w:p w14:paraId="26BDF3FF"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9,104.3</w:t>
            </w:r>
          </w:p>
        </w:tc>
        <w:tc>
          <w:tcPr>
            <w:tcW w:w="1212" w:type="dxa"/>
            <w:tcBorders>
              <w:top w:val="nil"/>
              <w:left w:val="nil"/>
              <w:bottom w:val="nil"/>
              <w:right w:val="nil"/>
            </w:tcBorders>
            <w:shd w:val="clear" w:color="auto" w:fill="auto"/>
            <w:noWrap/>
            <w:vAlign w:val="center"/>
            <w:hideMark/>
          </w:tcPr>
          <w:p w14:paraId="604638AE"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10,301.3</w:t>
            </w:r>
          </w:p>
        </w:tc>
        <w:tc>
          <w:tcPr>
            <w:tcW w:w="1093" w:type="dxa"/>
            <w:tcBorders>
              <w:top w:val="nil"/>
              <w:left w:val="dotDash" w:sz="4" w:space="0" w:color="auto"/>
              <w:bottom w:val="nil"/>
              <w:right w:val="nil"/>
            </w:tcBorders>
            <w:shd w:val="clear" w:color="auto" w:fill="auto"/>
            <w:noWrap/>
            <w:vAlign w:val="center"/>
            <w:hideMark/>
          </w:tcPr>
          <w:p w14:paraId="00F94A26"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1.5</w:t>
            </w:r>
          </w:p>
        </w:tc>
        <w:tc>
          <w:tcPr>
            <w:tcW w:w="1093" w:type="dxa"/>
            <w:tcBorders>
              <w:top w:val="nil"/>
              <w:left w:val="nil"/>
              <w:bottom w:val="nil"/>
              <w:right w:val="nil"/>
            </w:tcBorders>
            <w:shd w:val="clear" w:color="auto" w:fill="auto"/>
            <w:noWrap/>
            <w:vAlign w:val="center"/>
            <w:hideMark/>
          </w:tcPr>
          <w:p w14:paraId="769E4C99"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1.5</w:t>
            </w:r>
          </w:p>
        </w:tc>
      </w:tr>
      <w:tr w:rsidR="00062207" w:rsidRPr="00062207" w14:paraId="46C756C2" w14:textId="77777777" w:rsidTr="00A963D6">
        <w:trPr>
          <w:trHeight w:val="228"/>
          <w:jc w:val="center"/>
        </w:trPr>
        <w:tc>
          <w:tcPr>
            <w:tcW w:w="4373" w:type="dxa"/>
            <w:tcBorders>
              <w:top w:val="nil"/>
              <w:left w:val="nil"/>
              <w:bottom w:val="nil"/>
              <w:right w:val="nil"/>
            </w:tcBorders>
            <w:shd w:val="clear" w:color="auto" w:fill="auto"/>
            <w:noWrap/>
            <w:vAlign w:val="center"/>
            <w:hideMark/>
          </w:tcPr>
          <w:p w14:paraId="7EFA1641" w14:textId="77777777" w:rsidR="00467307" w:rsidRPr="00062207" w:rsidRDefault="00467307" w:rsidP="00A963D6">
            <w:pPr>
              <w:ind w:firstLineChars="100" w:firstLine="220"/>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 xml:space="preserve">Subsidios </w:t>
            </w:r>
          </w:p>
        </w:tc>
        <w:tc>
          <w:tcPr>
            <w:tcW w:w="1212" w:type="dxa"/>
            <w:tcBorders>
              <w:top w:val="nil"/>
              <w:left w:val="nil"/>
              <w:bottom w:val="nil"/>
              <w:right w:val="nil"/>
            </w:tcBorders>
            <w:shd w:val="clear" w:color="auto" w:fill="auto"/>
            <w:noWrap/>
            <w:vAlign w:val="center"/>
            <w:hideMark/>
          </w:tcPr>
          <w:p w14:paraId="5B34AA5B"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2,772.7</w:t>
            </w:r>
          </w:p>
        </w:tc>
        <w:tc>
          <w:tcPr>
            <w:tcW w:w="1212" w:type="dxa"/>
            <w:tcBorders>
              <w:top w:val="nil"/>
              <w:left w:val="nil"/>
              <w:bottom w:val="nil"/>
              <w:right w:val="nil"/>
            </w:tcBorders>
            <w:shd w:val="clear" w:color="auto" w:fill="auto"/>
            <w:noWrap/>
            <w:vAlign w:val="center"/>
            <w:hideMark/>
          </w:tcPr>
          <w:p w14:paraId="0E7850E2"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466.0</w:t>
            </w:r>
          </w:p>
        </w:tc>
        <w:tc>
          <w:tcPr>
            <w:tcW w:w="1093" w:type="dxa"/>
            <w:tcBorders>
              <w:top w:val="nil"/>
              <w:left w:val="dotDash" w:sz="4" w:space="0" w:color="auto"/>
              <w:bottom w:val="nil"/>
              <w:right w:val="nil"/>
            </w:tcBorders>
            <w:shd w:val="clear" w:color="auto" w:fill="auto"/>
            <w:noWrap/>
            <w:vAlign w:val="center"/>
            <w:hideMark/>
          </w:tcPr>
          <w:p w14:paraId="38C3B030"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0.5</w:t>
            </w:r>
          </w:p>
        </w:tc>
        <w:tc>
          <w:tcPr>
            <w:tcW w:w="1093" w:type="dxa"/>
            <w:tcBorders>
              <w:top w:val="nil"/>
              <w:left w:val="nil"/>
              <w:bottom w:val="nil"/>
              <w:right w:val="nil"/>
            </w:tcBorders>
            <w:shd w:val="clear" w:color="auto" w:fill="auto"/>
            <w:noWrap/>
            <w:vAlign w:val="center"/>
            <w:hideMark/>
          </w:tcPr>
          <w:p w14:paraId="464B0338"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0.1</w:t>
            </w:r>
          </w:p>
        </w:tc>
      </w:tr>
      <w:tr w:rsidR="00062207" w:rsidRPr="00062207" w14:paraId="589F4D14" w14:textId="77777777" w:rsidTr="00A963D6">
        <w:trPr>
          <w:trHeight w:val="228"/>
          <w:jc w:val="center"/>
        </w:trPr>
        <w:tc>
          <w:tcPr>
            <w:tcW w:w="4373" w:type="dxa"/>
            <w:tcBorders>
              <w:top w:val="nil"/>
              <w:left w:val="nil"/>
              <w:bottom w:val="nil"/>
              <w:right w:val="nil"/>
            </w:tcBorders>
            <w:shd w:val="clear" w:color="auto" w:fill="auto"/>
            <w:noWrap/>
            <w:vAlign w:val="center"/>
            <w:hideMark/>
          </w:tcPr>
          <w:p w14:paraId="68581B07" w14:textId="77777777" w:rsidR="00467307" w:rsidRPr="00062207" w:rsidRDefault="00467307" w:rsidP="00A963D6">
            <w:pPr>
              <w:ind w:firstLineChars="100" w:firstLine="220"/>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 xml:space="preserve">Donaciones </w:t>
            </w:r>
          </w:p>
        </w:tc>
        <w:tc>
          <w:tcPr>
            <w:tcW w:w="1212" w:type="dxa"/>
            <w:tcBorders>
              <w:top w:val="nil"/>
              <w:left w:val="nil"/>
              <w:bottom w:val="nil"/>
              <w:right w:val="nil"/>
            </w:tcBorders>
            <w:shd w:val="clear" w:color="auto" w:fill="auto"/>
            <w:noWrap/>
            <w:vAlign w:val="center"/>
            <w:hideMark/>
          </w:tcPr>
          <w:p w14:paraId="1711D17C"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227.8</w:t>
            </w:r>
          </w:p>
        </w:tc>
        <w:tc>
          <w:tcPr>
            <w:tcW w:w="1212" w:type="dxa"/>
            <w:tcBorders>
              <w:top w:val="nil"/>
              <w:left w:val="nil"/>
              <w:bottom w:val="nil"/>
              <w:right w:val="nil"/>
            </w:tcBorders>
            <w:shd w:val="clear" w:color="auto" w:fill="auto"/>
            <w:noWrap/>
            <w:vAlign w:val="center"/>
            <w:hideMark/>
          </w:tcPr>
          <w:p w14:paraId="219E31C7"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266.8</w:t>
            </w:r>
          </w:p>
        </w:tc>
        <w:tc>
          <w:tcPr>
            <w:tcW w:w="1093" w:type="dxa"/>
            <w:tcBorders>
              <w:top w:val="nil"/>
              <w:left w:val="dotDash" w:sz="4" w:space="0" w:color="auto"/>
              <w:bottom w:val="nil"/>
              <w:right w:val="nil"/>
            </w:tcBorders>
            <w:shd w:val="clear" w:color="auto" w:fill="auto"/>
            <w:noWrap/>
            <w:vAlign w:val="center"/>
            <w:hideMark/>
          </w:tcPr>
          <w:p w14:paraId="4CE86DD1"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0.0</w:t>
            </w:r>
          </w:p>
        </w:tc>
        <w:tc>
          <w:tcPr>
            <w:tcW w:w="1093" w:type="dxa"/>
            <w:tcBorders>
              <w:top w:val="nil"/>
              <w:left w:val="nil"/>
              <w:bottom w:val="nil"/>
              <w:right w:val="nil"/>
            </w:tcBorders>
            <w:shd w:val="clear" w:color="auto" w:fill="auto"/>
            <w:noWrap/>
            <w:vAlign w:val="center"/>
            <w:hideMark/>
          </w:tcPr>
          <w:p w14:paraId="0BC9D28E"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0.0</w:t>
            </w:r>
          </w:p>
        </w:tc>
      </w:tr>
      <w:tr w:rsidR="00062207" w:rsidRPr="00062207" w14:paraId="3CC08160" w14:textId="77777777" w:rsidTr="00A963D6">
        <w:trPr>
          <w:trHeight w:val="228"/>
          <w:jc w:val="center"/>
        </w:trPr>
        <w:tc>
          <w:tcPr>
            <w:tcW w:w="4373" w:type="dxa"/>
            <w:tcBorders>
              <w:top w:val="nil"/>
              <w:left w:val="nil"/>
              <w:bottom w:val="nil"/>
              <w:right w:val="nil"/>
            </w:tcBorders>
            <w:shd w:val="clear" w:color="auto" w:fill="auto"/>
            <w:noWrap/>
            <w:vAlign w:val="center"/>
            <w:hideMark/>
          </w:tcPr>
          <w:p w14:paraId="725CDAA5" w14:textId="77777777" w:rsidR="00467307" w:rsidRPr="00062207" w:rsidRDefault="00467307" w:rsidP="00A963D6">
            <w:pPr>
              <w:ind w:firstLineChars="100" w:firstLine="220"/>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 xml:space="preserve">Prestaciones sociales </w:t>
            </w:r>
          </w:p>
        </w:tc>
        <w:tc>
          <w:tcPr>
            <w:tcW w:w="1212" w:type="dxa"/>
            <w:tcBorders>
              <w:top w:val="nil"/>
              <w:left w:val="nil"/>
              <w:bottom w:val="nil"/>
              <w:right w:val="nil"/>
            </w:tcBorders>
            <w:shd w:val="clear" w:color="auto" w:fill="auto"/>
            <w:noWrap/>
            <w:vAlign w:val="center"/>
            <w:hideMark/>
          </w:tcPr>
          <w:p w14:paraId="6F3CD8BC"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17,136.1</w:t>
            </w:r>
          </w:p>
        </w:tc>
        <w:tc>
          <w:tcPr>
            <w:tcW w:w="1212" w:type="dxa"/>
            <w:tcBorders>
              <w:top w:val="nil"/>
              <w:left w:val="nil"/>
              <w:bottom w:val="nil"/>
              <w:right w:val="nil"/>
            </w:tcBorders>
            <w:shd w:val="clear" w:color="auto" w:fill="auto"/>
            <w:noWrap/>
            <w:vAlign w:val="center"/>
            <w:hideMark/>
          </w:tcPr>
          <w:p w14:paraId="0C539A9D"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11,807.4</w:t>
            </w:r>
          </w:p>
        </w:tc>
        <w:tc>
          <w:tcPr>
            <w:tcW w:w="1093" w:type="dxa"/>
            <w:tcBorders>
              <w:top w:val="nil"/>
              <w:left w:val="dotDash" w:sz="4" w:space="0" w:color="auto"/>
              <w:bottom w:val="nil"/>
              <w:right w:val="nil"/>
            </w:tcBorders>
            <w:shd w:val="clear" w:color="auto" w:fill="auto"/>
            <w:noWrap/>
            <w:vAlign w:val="center"/>
            <w:hideMark/>
          </w:tcPr>
          <w:p w14:paraId="7E5F2550"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2.9</w:t>
            </w:r>
          </w:p>
        </w:tc>
        <w:tc>
          <w:tcPr>
            <w:tcW w:w="1093" w:type="dxa"/>
            <w:tcBorders>
              <w:top w:val="nil"/>
              <w:left w:val="nil"/>
              <w:bottom w:val="nil"/>
              <w:right w:val="nil"/>
            </w:tcBorders>
            <w:shd w:val="clear" w:color="auto" w:fill="auto"/>
            <w:noWrap/>
            <w:vAlign w:val="center"/>
            <w:hideMark/>
          </w:tcPr>
          <w:p w14:paraId="23277BAE"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1.8</w:t>
            </w:r>
          </w:p>
        </w:tc>
      </w:tr>
      <w:tr w:rsidR="00062207" w:rsidRPr="00062207" w14:paraId="5F529E87" w14:textId="77777777" w:rsidTr="00A963D6">
        <w:trPr>
          <w:trHeight w:val="228"/>
          <w:jc w:val="center"/>
        </w:trPr>
        <w:tc>
          <w:tcPr>
            <w:tcW w:w="4373" w:type="dxa"/>
            <w:tcBorders>
              <w:top w:val="nil"/>
              <w:left w:val="nil"/>
              <w:bottom w:val="nil"/>
              <w:right w:val="nil"/>
            </w:tcBorders>
            <w:shd w:val="clear" w:color="auto" w:fill="auto"/>
            <w:noWrap/>
            <w:vAlign w:val="center"/>
            <w:hideMark/>
          </w:tcPr>
          <w:p w14:paraId="40301E6F" w14:textId="77777777" w:rsidR="00467307" w:rsidRPr="00062207" w:rsidRDefault="00467307" w:rsidP="00A963D6">
            <w:pPr>
              <w:ind w:firstLineChars="100" w:firstLine="220"/>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 xml:space="preserve">Otros gastos </w:t>
            </w:r>
          </w:p>
        </w:tc>
        <w:tc>
          <w:tcPr>
            <w:tcW w:w="1212" w:type="dxa"/>
            <w:tcBorders>
              <w:top w:val="nil"/>
              <w:left w:val="nil"/>
              <w:bottom w:val="nil"/>
              <w:right w:val="nil"/>
            </w:tcBorders>
            <w:shd w:val="clear" w:color="auto" w:fill="auto"/>
            <w:noWrap/>
            <w:vAlign w:val="center"/>
            <w:hideMark/>
          </w:tcPr>
          <w:p w14:paraId="110C6B02"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6,191.3</w:t>
            </w:r>
          </w:p>
        </w:tc>
        <w:tc>
          <w:tcPr>
            <w:tcW w:w="1212" w:type="dxa"/>
            <w:tcBorders>
              <w:top w:val="nil"/>
              <w:left w:val="nil"/>
              <w:bottom w:val="nil"/>
              <w:right w:val="nil"/>
            </w:tcBorders>
            <w:shd w:val="clear" w:color="auto" w:fill="auto"/>
            <w:noWrap/>
            <w:vAlign w:val="center"/>
            <w:hideMark/>
          </w:tcPr>
          <w:p w14:paraId="2471E7AC"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5,846.3</w:t>
            </w:r>
          </w:p>
        </w:tc>
        <w:tc>
          <w:tcPr>
            <w:tcW w:w="1093" w:type="dxa"/>
            <w:tcBorders>
              <w:top w:val="nil"/>
              <w:left w:val="dotDash" w:sz="4" w:space="0" w:color="auto"/>
              <w:bottom w:val="nil"/>
              <w:right w:val="nil"/>
            </w:tcBorders>
            <w:shd w:val="clear" w:color="auto" w:fill="auto"/>
            <w:noWrap/>
            <w:vAlign w:val="center"/>
            <w:hideMark/>
          </w:tcPr>
          <w:p w14:paraId="40D170F3"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1.0</w:t>
            </w:r>
          </w:p>
        </w:tc>
        <w:tc>
          <w:tcPr>
            <w:tcW w:w="1093" w:type="dxa"/>
            <w:tcBorders>
              <w:top w:val="nil"/>
              <w:left w:val="nil"/>
              <w:bottom w:val="nil"/>
              <w:right w:val="nil"/>
            </w:tcBorders>
            <w:shd w:val="clear" w:color="auto" w:fill="auto"/>
            <w:noWrap/>
            <w:vAlign w:val="center"/>
            <w:hideMark/>
          </w:tcPr>
          <w:p w14:paraId="3DE6EE59"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0.9</w:t>
            </w:r>
          </w:p>
        </w:tc>
      </w:tr>
      <w:tr w:rsidR="00062207" w:rsidRPr="00062207" w14:paraId="7FD282BA" w14:textId="77777777" w:rsidTr="00A963D6">
        <w:trPr>
          <w:trHeight w:val="228"/>
          <w:jc w:val="center"/>
        </w:trPr>
        <w:tc>
          <w:tcPr>
            <w:tcW w:w="4373" w:type="dxa"/>
            <w:tcBorders>
              <w:top w:val="nil"/>
              <w:left w:val="nil"/>
              <w:bottom w:val="nil"/>
              <w:right w:val="nil"/>
            </w:tcBorders>
            <w:shd w:val="clear" w:color="auto" w:fill="auto"/>
            <w:noWrap/>
            <w:vAlign w:val="center"/>
            <w:hideMark/>
          </w:tcPr>
          <w:p w14:paraId="7F9884D8" w14:textId="77777777" w:rsidR="00467307" w:rsidRPr="00062207" w:rsidRDefault="00467307" w:rsidP="00A963D6">
            <w:pPr>
              <w:jc w:val="both"/>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Resultado Operativo Primario</w:t>
            </w:r>
          </w:p>
        </w:tc>
        <w:tc>
          <w:tcPr>
            <w:tcW w:w="1212" w:type="dxa"/>
            <w:tcBorders>
              <w:top w:val="nil"/>
              <w:left w:val="nil"/>
              <w:bottom w:val="nil"/>
              <w:right w:val="nil"/>
            </w:tcBorders>
            <w:shd w:val="clear" w:color="auto" w:fill="auto"/>
            <w:noWrap/>
            <w:vAlign w:val="center"/>
            <w:hideMark/>
          </w:tcPr>
          <w:p w14:paraId="192D5093"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-879.8</w:t>
            </w:r>
          </w:p>
        </w:tc>
        <w:tc>
          <w:tcPr>
            <w:tcW w:w="1212" w:type="dxa"/>
            <w:tcBorders>
              <w:top w:val="nil"/>
              <w:left w:val="nil"/>
              <w:bottom w:val="nil"/>
              <w:right w:val="nil"/>
            </w:tcBorders>
            <w:shd w:val="clear" w:color="auto" w:fill="auto"/>
            <w:noWrap/>
            <w:vAlign w:val="center"/>
            <w:hideMark/>
          </w:tcPr>
          <w:p w14:paraId="7A78E5D9"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20,952.0</w:t>
            </w:r>
          </w:p>
        </w:tc>
        <w:tc>
          <w:tcPr>
            <w:tcW w:w="1093" w:type="dxa"/>
            <w:tcBorders>
              <w:top w:val="nil"/>
              <w:left w:val="dotDash" w:sz="4" w:space="0" w:color="auto"/>
              <w:bottom w:val="nil"/>
              <w:right w:val="nil"/>
            </w:tcBorders>
            <w:shd w:val="clear" w:color="auto" w:fill="auto"/>
            <w:noWrap/>
            <w:vAlign w:val="center"/>
            <w:hideMark/>
          </w:tcPr>
          <w:p w14:paraId="0B16BCDB"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-0.1</w:t>
            </w:r>
          </w:p>
        </w:tc>
        <w:tc>
          <w:tcPr>
            <w:tcW w:w="1093" w:type="dxa"/>
            <w:tcBorders>
              <w:top w:val="nil"/>
              <w:left w:val="nil"/>
              <w:bottom w:val="nil"/>
              <w:right w:val="nil"/>
            </w:tcBorders>
            <w:shd w:val="clear" w:color="auto" w:fill="auto"/>
            <w:noWrap/>
            <w:vAlign w:val="center"/>
            <w:hideMark/>
          </w:tcPr>
          <w:p w14:paraId="0257DD54"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3.2</w:t>
            </w:r>
          </w:p>
        </w:tc>
      </w:tr>
      <w:tr w:rsidR="00062207" w:rsidRPr="00062207" w14:paraId="231327D2" w14:textId="77777777" w:rsidTr="00A963D6">
        <w:trPr>
          <w:trHeight w:val="228"/>
          <w:jc w:val="center"/>
        </w:trPr>
        <w:tc>
          <w:tcPr>
            <w:tcW w:w="4373" w:type="dxa"/>
            <w:tcBorders>
              <w:top w:val="nil"/>
              <w:left w:val="nil"/>
              <w:bottom w:val="nil"/>
              <w:right w:val="nil"/>
            </w:tcBorders>
            <w:shd w:val="clear" w:color="auto" w:fill="auto"/>
            <w:noWrap/>
            <w:vAlign w:val="center"/>
            <w:hideMark/>
          </w:tcPr>
          <w:p w14:paraId="49EE2803" w14:textId="77777777" w:rsidR="00467307" w:rsidRPr="00062207" w:rsidRDefault="00467307" w:rsidP="00A963D6">
            <w:pPr>
              <w:jc w:val="both"/>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Resultado Operativo</w:t>
            </w:r>
          </w:p>
        </w:tc>
        <w:tc>
          <w:tcPr>
            <w:tcW w:w="1212" w:type="dxa"/>
            <w:tcBorders>
              <w:top w:val="nil"/>
              <w:left w:val="nil"/>
              <w:bottom w:val="nil"/>
              <w:right w:val="nil"/>
            </w:tcBorders>
            <w:shd w:val="clear" w:color="auto" w:fill="auto"/>
            <w:noWrap/>
            <w:vAlign w:val="center"/>
            <w:hideMark/>
          </w:tcPr>
          <w:p w14:paraId="5081D108"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-9,984.1</w:t>
            </w:r>
          </w:p>
        </w:tc>
        <w:tc>
          <w:tcPr>
            <w:tcW w:w="1212" w:type="dxa"/>
            <w:tcBorders>
              <w:top w:val="nil"/>
              <w:left w:val="nil"/>
              <w:bottom w:val="nil"/>
              <w:right w:val="nil"/>
            </w:tcBorders>
            <w:shd w:val="clear" w:color="auto" w:fill="auto"/>
            <w:noWrap/>
            <w:vAlign w:val="center"/>
            <w:hideMark/>
          </w:tcPr>
          <w:p w14:paraId="1F3D06DC"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10,650.7</w:t>
            </w:r>
          </w:p>
        </w:tc>
        <w:tc>
          <w:tcPr>
            <w:tcW w:w="1093" w:type="dxa"/>
            <w:tcBorders>
              <w:top w:val="nil"/>
              <w:left w:val="dotDash" w:sz="4" w:space="0" w:color="auto"/>
              <w:bottom w:val="nil"/>
              <w:right w:val="nil"/>
            </w:tcBorders>
            <w:shd w:val="clear" w:color="auto" w:fill="auto"/>
            <w:noWrap/>
            <w:vAlign w:val="center"/>
            <w:hideMark/>
          </w:tcPr>
          <w:p w14:paraId="033CEF6E"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-1.7</w:t>
            </w:r>
          </w:p>
        </w:tc>
        <w:tc>
          <w:tcPr>
            <w:tcW w:w="1093" w:type="dxa"/>
            <w:tcBorders>
              <w:top w:val="nil"/>
              <w:left w:val="nil"/>
              <w:bottom w:val="nil"/>
              <w:right w:val="nil"/>
            </w:tcBorders>
            <w:shd w:val="clear" w:color="auto" w:fill="auto"/>
            <w:noWrap/>
            <w:vAlign w:val="center"/>
            <w:hideMark/>
          </w:tcPr>
          <w:p w14:paraId="53BA09B4"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1.6</w:t>
            </w:r>
          </w:p>
        </w:tc>
      </w:tr>
      <w:tr w:rsidR="00062207" w:rsidRPr="00062207" w14:paraId="0A85B27D" w14:textId="77777777" w:rsidTr="00A963D6">
        <w:trPr>
          <w:trHeight w:val="228"/>
          <w:jc w:val="center"/>
        </w:trPr>
        <w:tc>
          <w:tcPr>
            <w:tcW w:w="4373" w:type="dxa"/>
            <w:tcBorders>
              <w:top w:val="nil"/>
              <w:left w:val="nil"/>
              <w:bottom w:val="nil"/>
              <w:right w:val="nil"/>
            </w:tcBorders>
            <w:shd w:val="clear" w:color="auto" w:fill="auto"/>
            <w:noWrap/>
            <w:hideMark/>
          </w:tcPr>
          <w:p w14:paraId="30EB5D36" w14:textId="77777777" w:rsidR="00467307" w:rsidRPr="00062207" w:rsidRDefault="00467307" w:rsidP="00A963D6">
            <w:pPr>
              <w:jc w:val="center"/>
              <w:rPr>
                <w:rFonts w:ascii="Times New Roman" w:eastAsia="Times New Roman" w:hAnsi="Times New Roman" w:cs="Times New Roman"/>
                <w:b/>
                <w:bCs/>
                <w:sz w:val="22"/>
                <w:szCs w:val="22"/>
                <w:lang w:eastAsia="es-GT"/>
              </w:rPr>
            </w:pPr>
          </w:p>
        </w:tc>
        <w:tc>
          <w:tcPr>
            <w:tcW w:w="1212" w:type="dxa"/>
            <w:tcBorders>
              <w:top w:val="nil"/>
              <w:left w:val="nil"/>
              <w:bottom w:val="nil"/>
              <w:right w:val="nil"/>
            </w:tcBorders>
            <w:shd w:val="clear" w:color="auto" w:fill="auto"/>
            <w:noWrap/>
            <w:hideMark/>
          </w:tcPr>
          <w:p w14:paraId="5063A3C1" w14:textId="77777777" w:rsidR="00467307" w:rsidRPr="00062207" w:rsidRDefault="00467307" w:rsidP="00A963D6">
            <w:pPr>
              <w:rPr>
                <w:rFonts w:ascii="Times New Roman" w:eastAsia="Times New Roman" w:hAnsi="Times New Roman" w:cs="Times New Roman"/>
                <w:sz w:val="22"/>
                <w:szCs w:val="22"/>
                <w:lang w:eastAsia="es-GT"/>
              </w:rPr>
            </w:pPr>
          </w:p>
        </w:tc>
        <w:tc>
          <w:tcPr>
            <w:tcW w:w="1212" w:type="dxa"/>
            <w:tcBorders>
              <w:top w:val="nil"/>
              <w:left w:val="nil"/>
              <w:bottom w:val="nil"/>
              <w:right w:val="nil"/>
            </w:tcBorders>
            <w:shd w:val="clear" w:color="auto" w:fill="auto"/>
            <w:noWrap/>
            <w:hideMark/>
          </w:tcPr>
          <w:p w14:paraId="198DF35D" w14:textId="77777777" w:rsidR="00467307" w:rsidRPr="00062207" w:rsidRDefault="00467307" w:rsidP="00A963D6">
            <w:pPr>
              <w:rPr>
                <w:rFonts w:ascii="Times New Roman" w:eastAsia="Times New Roman" w:hAnsi="Times New Roman" w:cs="Times New Roman"/>
                <w:sz w:val="22"/>
                <w:szCs w:val="22"/>
                <w:lang w:eastAsia="es-GT"/>
              </w:rPr>
            </w:pPr>
          </w:p>
        </w:tc>
        <w:tc>
          <w:tcPr>
            <w:tcW w:w="1093" w:type="dxa"/>
            <w:tcBorders>
              <w:top w:val="nil"/>
              <w:left w:val="dotDash" w:sz="4" w:space="0" w:color="auto"/>
              <w:bottom w:val="single" w:sz="8" w:space="0" w:color="auto"/>
              <w:right w:val="nil"/>
            </w:tcBorders>
            <w:shd w:val="clear" w:color="auto" w:fill="auto"/>
            <w:noWrap/>
            <w:hideMark/>
          </w:tcPr>
          <w:p w14:paraId="75BDFEDD" w14:textId="77777777" w:rsidR="00467307" w:rsidRPr="00062207" w:rsidRDefault="00467307" w:rsidP="00A963D6">
            <w:pP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 </w:t>
            </w:r>
          </w:p>
        </w:tc>
        <w:tc>
          <w:tcPr>
            <w:tcW w:w="1093" w:type="dxa"/>
            <w:tcBorders>
              <w:top w:val="nil"/>
              <w:left w:val="nil"/>
              <w:bottom w:val="single" w:sz="8" w:space="0" w:color="auto"/>
              <w:right w:val="nil"/>
            </w:tcBorders>
            <w:shd w:val="clear" w:color="auto" w:fill="auto"/>
            <w:noWrap/>
            <w:vAlign w:val="center"/>
            <w:hideMark/>
          </w:tcPr>
          <w:p w14:paraId="14E75A73" w14:textId="77777777" w:rsidR="00467307" w:rsidRPr="00062207" w:rsidRDefault="00467307" w:rsidP="00A963D6">
            <w:pP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 </w:t>
            </w:r>
          </w:p>
        </w:tc>
      </w:tr>
      <w:tr w:rsidR="00062207" w:rsidRPr="00062207" w14:paraId="688F48C2" w14:textId="77777777" w:rsidTr="00A963D6">
        <w:trPr>
          <w:trHeight w:val="228"/>
          <w:jc w:val="center"/>
        </w:trPr>
        <w:tc>
          <w:tcPr>
            <w:tcW w:w="8984" w:type="dxa"/>
            <w:gridSpan w:val="5"/>
            <w:tcBorders>
              <w:top w:val="single" w:sz="8" w:space="0" w:color="auto"/>
              <w:left w:val="nil"/>
              <w:bottom w:val="double" w:sz="6" w:space="0" w:color="auto"/>
              <w:right w:val="nil"/>
            </w:tcBorders>
            <w:shd w:val="clear" w:color="auto" w:fill="auto"/>
            <w:noWrap/>
            <w:vAlign w:val="center"/>
            <w:hideMark/>
          </w:tcPr>
          <w:p w14:paraId="461D2E8A" w14:textId="77777777" w:rsidR="00467307" w:rsidRPr="00062207" w:rsidRDefault="00467307" w:rsidP="00A963D6">
            <w:pPr>
              <w:jc w:val="both"/>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TRANSACCIONES EN ACTIVOS NO FINANCIEROS</w:t>
            </w:r>
          </w:p>
        </w:tc>
      </w:tr>
      <w:tr w:rsidR="00062207" w:rsidRPr="00062207" w14:paraId="1E337BF5" w14:textId="77777777" w:rsidTr="00A963D6">
        <w:trPr>
          <w:trHeight w:val="228"/>
          <w:jc w:val="center"/>
        </w:trPr>
        <w:tc>
          <w:tcPr>
            <w:tcW w:w="4373" w:type="dxa"/>
            <w:tcBorders>
              <w:top w:val="nil"/>
              <w:left w:val="nil"/>
              <w:bottom w:val="nil"/>
              <w:right w:val="nil"/>
            </w:tcBorders>
            <w:shd w:val="clear" w:color="auto" w:fill="auto"/>
            <w:noWrap/>
            <w:vAlign w:val="center"/>
            <w:hideMark/>
          </w:tcPr>
          <w:p w14:paraId="5BE73881" w14:textId="77777777" w:rsidR="00467307" w:rsidRPr="00062207" w:rsidRDefault="00467307" w:rsidP="00A963D6">
            <w:pPr>
              <w:jc w:val="both"/>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Inversión bruta en activos no financieros</w:t>
            </w:r>
          </w:p>
        </w:tc>
        <w:tc>
          <w:tcPr>
            <w:tcW w:w="1212" w:type="dxa"/>
            <w:tcBorders>
              <w:top w:val="nil"/>
              <w:left w:val="nil"/>
              <w:bottom w:val="nil"/>
              <w:right w:val="nil"/>
            </w:tcBorders>
            <w:shd w:val="clear" w:color="auto" w:fill="auto"/>
            <w:noWrap/>
            <w:vAlign w:val="center"/>
            <w:hideMark/>
          </w:tcPr>
          <w:p w14:paraId="506F9AA2"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11,473.7</w:t>
            </w:r>
          </w:p>
        </w:tc>
        <w:tc>
          <w:tcPr>
            <w:tcW w:w="1212" w:type="dxa"/>
            <w:tcBorders>
              <w:top w:val="nil"/>
              <w:left w:val="nil"/>
              <w:bottom w:val="nil"/>
              <w:right w:val="nil"/>
            </w:tcBorders>
            <w:shd w:val="clear" w:color="auto" w:fill="auto"/>
            <w:noWrap/>
            <w:vAlign w:val="center"/>
            <w:hideMark/>
          </w:tcPr>
          <w:p w14:paraId="648C16A9"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14,745.3</w:t>
            </w:r>
          </w:p>
        </w:tc>
        <w:tc>
          <w:tcPr>
            <w:tcW w:w="1093" w:type="dxa"/>
            <w:tcBorders>
              <w:top w:val="nil"/>
              <w:left w:val="dotDash" w:sz="4" w:space="0" w:color="auto"/>
              <w:bottom w:val="nil"/>
              <w:right w:val="nil"/>
            </w:tcBorders>
            <w:shd w:val="clear" w:color="auto" w:fill="auto"/>
            <w:noWrap/>
            <w:vAlign w:val="center"/>
            <w:hideMark/>
          </w:tcPr>
          <w:p w14:paraId="6D4E3B1E"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1.9</w:t>
            </w:r>
          </w:p>
        </w:tc>
        <w:tc>
          <w:tcPr>
            <w:tcW w:w="1093" w:type="dxa"/>
            <w:tcBorders>
              <w:top w:val="nil"/>
              <w:left w:val="nil"/>
              <w:bottom w:val="nil"/>
              <w:right w:val="nil"/>
            </w:tcBorders>
            <w:shd w:val="clear" w:color="auto" w:fill="auto"/>
            <w:noWrap/>
            <w:vAlign w:val="center"/>
            <w:hideMark/>
          </w:tcPr>
          <w:p w14:paraId="6D3ED30D"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2.2</w:t>
            </w:r>
          </w:p>
        </w:tc>
      </w:tr>
      <w:tr w:rsidR="00062207" w:rsidRPr="00062207" w14:paraId="5808A583" w14:textId="77777777" w:rsidTr="00A963D6">
        <w:trPr>
          <w:trHeight w:val="228"/>
          <w:jc w:val="center"/>
        </w:trPr>
        <w:tc>
          <w:tcPr>
            <w:tcW w:w="4373" w:type="dxa"/>
            <w:tcBorders>
              <w:top w:val="nil"/>
              <w:left w:val="nil"/>
              <w:bottom w:val="nil"/>
              <w:right w:val="nil"/>
            </w:tcBorders>
            <w:shd w:val="clear" w:color="auto" w:fill="auto"/>
            <w:noWrap/>
            <w:vAlign w:val="center"/>
            <w:hideMark/>
          </w:tcPr>
          <w:p w14:paraId="38271E93" w14:textId="77777777" w:rsidR="00467307" w:rsidRPr="00062207" w:rsidRDefault="00467307" w:rsidP="00A963D6">
            <w:pPr>
              <w:jc w:val="both"/>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Erogación</w:t>
            </w:r>
          </w:p>
        </w:tc>
        <w:tc>
          <w:tcPr>
            <w:tcW w:w="1212" w:type="dxa"/>
            <w:tcBorders>
              <w:top w:val="nil"/>
              <w:left w:val="nil"/>
              <w:bottom w:val="nil"/>
              <w:right w:val="nil"/>
            </w:tcBorders>
            <w:shd w:val="clear" w:color="auto" w:fill="auto"/>
            <w:noWrap/>
            <w:vAlign w:val="center"/>
            <w:hideMark/>
          </w:tcPr>
          <w:p w14:paraId="4FCCCC90"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107,704.7</w:t>
            </w:r>
          </w:p>
        </w:tc>
        <w:tc>
          <w:tcPr>
            <w:tcW w:w="1212" w:type="dxa"/>
            <w:tcBorders>
              <w:top w:val="nil"/>
              <w:left w:val="nil"/>
              <w:bottom w:val="nil"/>
              <w:right w:val="nil"/>
            </w:tcBorders>
            <w:shd w:val="clear" w:color="auto" w:fill="auto"/>
            <w:noWrap/>
            <w:vAlign w:val="center"/>
            <w:hideMark/>
          </w:tcPr>
          <w:p w14:paraId="7ED07E02"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111,319.5</w:t>
            </w:r>
          </w:p>
        </w:tc>
        <w:tc>
          <w:tcPr>
            <w:tcW w:w="1093" w:type="dxa"/>
            <w:tcBorders>
              <w:top w:val="nil"/>
              <w:left w:val="dotDash" w:sz="4" w:space="0" w:color="auto"/>
              <w:bottom w:val="nil"/>
              <w:right w:val="nil"/>
            </w:tcBorders>
            <w:shd w:val="clear" w:color="auto" w:fill="auto"/>
            <w:noWrap/>
            <w:vAlign w:val="center"/>
            <w:hideMark/>
          </w:tcPr>
          <w:p w14:paraId="1F7F20CB"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18.0</w:t>
            </w:r>
          </w:p>
        </w:tc>
        <w:tc>
          <w:tcPr>
            <w:tcW w:w="1093" w:type="dxa"/>
            <w:tcBorders>
              <w:top w:val="nil"/>
              <w:left w:val="nil"/>
              <w:bottom w:val="nil"/>
              <w:right w:val="nil"/>
            </w:tcBorders>
            <w:shd w:val="clear" w:color="auto" w:fill="auto"/>
            <w:noWrap/>
            <w:vAlign w:val="center"/>
            <w:hideMark/>
          </w:tcPr>
          <w:p w14:paraId="6B19CE35"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16.7</w:t>
            </w:r>
          </w:p>
        </w:tc>
      </w:tr>
      <w:tr w:rsidR="00062207" w:rsidRPr="00062207" w14:paraId="079B1298" w14:textId="77777777" w:rsidTr="00A963D6">
        <w:trPr>
          <w:trHeight w:val="228"/>
          <w:jc w:val="center"/>
        </w:trPr>
        <w:tc>
          <w:tcPr>
            <w:tcW w:w="4373" w:type="dxa"/>
            <w:tcBorders>
              <w:top w:val="nil"/>
              <w:left w:val="nil"/>
              <w:bottom w:val="nil"/>
              <w:right w:val="nil"/>
            </w:tcBorders>
            <w:shd w:val="clear" w:color="auto" w:fill="auto"/>
            <w:noWrap/>
            <w:vAlign w:val="center"/>
            <w:hideMark/>
          </w:tcPr>
          <w:p w14:paraId="5EC27FE9" w14:textId="77777777" w:rsidR="00467307" w:rsidRPr="00062207" w:rsidRDefault="00467307" w:rsidP="00A963D6">
            <w:pPr>
              <w:jc w:val="both"/>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Resultado Primario</w:t>
            </w:r>
          </w:p>
        </w:tc>
        <w:tc>
          <w:tcPr>
            <w:tcW w:w="1212" w:type="dxa"/>
            <w:tcBorders>
              <w:top w:val="nil"/>
              <w:left w:val="nil"/>
              <w:bottom w:val="nil"/>
              <w:right w:val="nil"/>
            </w:tcBorders>
            <w:shd w:val="clear" w:color="auto" w:fill="auto"/>
            <w:noWrap/>
            <w:vAlign w:val="center"/>
            <w:hideMark/>
          </w:tcPr>
          <w:p w14:paraId="66B1E802"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-12,353.5</w:t>
            </w:r>
          </w:p>
        </w:tc>
        <w:tc>
          <w:tcPr>
            <w:tcW w:w="1212" w:type="dxa"/>
            <w:tcBorders>
              <w:top w:val="nil"/>
              <w:left w:val="nil"/>
              <w:bottom w:val="nil"/>
              <w:right w:val="nil"/>
            </w:tcBorders>
            <w:shd w:val="clear" w:color="auto" w:fill="auto"/>
            <w:noWrap/>
            <w:vAlign w:val="center"/>
            <w:hideMark/>
          </w:tcPr>
          <w:p w14:paraId="521E70D0"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6,206.7</w:t>
            </w:r>
          </w:p>
        </w:tc>
        <w:tc>
          <w:tcPr>
            <w:tcW w:w="1093" w:type="dxa"/>
            <w:tcBorders>
              <w:top w:val="nil"/>
              <w:left w:val="dotDash" w:sz="4" w:space="0" w:color="auto"/>
              <w:bottom w:val="nil"/>
              <w:right w:val="nil"/>
            </w:tcBorders>
            <w:shd w:val="clear" w:color="auto" w:fill="auto"/>
            <w:noWrap/>
            <w:vAlign w:val="center"/>
            <w:hideMark/>
          </w:tcPr>
          <w:p w14:paraId="74DABE77"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-2.1</w:t>
            </w:r>
          </w:p>
        </w:tc>
        <w:tc>
          <w:tcPr>
            <w:tcW w:w="1093" w:type="dxa"/>
            <w:tcBorders>
              <w:top w:val="nil"/>
              <w:left w:val="nil"/>
              <w:bottom w:val="nil"/>
              <w:right w:val="nil"/>
            </w:tcBorders>
            <w:shd w:val="clear" w:color="auto" w:fill="auto"/>
            <w:noWrap/>
            <w:vAlign w:val="center"/>
            <w:hideMark/>
          </w:tcPr>
          <w:p w14:paraId="06C9D272"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0.9</w:t>
            </w:r>
          </w:p>
        </w:tc>
      </w:tr>
      <w:tr w:rsidR="00062207" w:rsidRPr="00062207" w14:paraId="7D721FE4" w14:textId="77777777" w:rsidTr="00A963D6">
        <w:trPr>
          <w:trHeight w:val="228"/>
          <w:jc w:val="center"/>
        </w:trPr>
        <w:tc>
          <w:tcPr>
            <w:tcW w:w="4373" w:type="dxa"/>
            <w:tcBorders>
              <w:top w:val="nil"/>
              <w:left w:val="nil"/>
              <w:bottom w:val="nil"/>
              <w:right w:val="nil"/>
            </w:tcBorders>
            <w:shd w:val="clear" w:color="auto" w:fill="auto"/>
            <w:noWrap/>
            <w:vAlign w:val="center"/>
            <w:hideMark/>
          </w:tcPr>
          <w:p w14:paraId="63250704" w14:textId="77777777" w:rsidR="00467307" w:rsidRPr="00062207" w:rsidRDefault="00467307" w:rsidP="00A963D6">
            <w:pPr>
              <w:jc w:val="both"/>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Préstamo (+) / endeudamiento (-)</w:t>
            </w:r>
          </w:p>
        </w:tc>
        <w:tc>
          <w:tcPr>
            <w:tcW w:w="1212" w:type="dxa"/>
            <w:tcBorders>
              <w:top w:val="nil"/>
              <w:left w:val="nil"/>
              <w:bottom w:val="nil"/>
              <w:right w:val="nil"/>
            </w:tcBorders>
            <w:shd w:val="clear" w:color="auto" w:fill="auto"/>
            <w:noWrap/>
            <w:vAlign w:val="center"/>
            <w:hideMark/>
          </w:tcPr>
          <w:p w14:paraId="1E8B0E54"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-21,457.8</w:t>
            </w:r>
          </w:p>
        </w:tc>
        <w:tc>
          <w:tcPr>
            <w:tcW w:w="1212" w:type="dxa"/>
            <w:tcBorders>
              <w:top w:val="nil"/>
              <w:left w:val="nil"/>
              <w:bottom w:val="nil"/>
              <w:right w:val="nil"/>
            </w:tcBorders>
            <w:shd w:val="clear" w:color="auto" w:fill="auto"/>
            <w:noWrap/>
            <w:vAlign w:val="center"/>
            <w:hideMark/>
          </w:tcPr>
          <w:p w14:paraId="57B1793E"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-4,094.6</w:t>
            </w:r>
          </w:p>
        </w:tc>
        <w:tc>
          <w:tcPr>
            <w:tcW w:w="1093" w:type="dxa"/>
            <w:tcBorders>
              <w:top w:val="nil"/>
              <w:left w:val="dotDash" w:sz="4" w:space="0" w:color="auto"/>
              <w:bottom w:val="nil"/>
              <w:right w:val="nil"/>
            </w:tcBorders>
            <w:shd w:val="clear" w:color="auto" w:fill="auto"/>
            <w:noWrap/>
            <w:vAlign w:val="center"/>
            <w:hideMark/>
          </w:tcPr>
          <w:p w14:paraId="4E85195D"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-3.6</w:t>
            </w:r>
          </w:p>
        </w:tc>
        <w:tc>
          <w:tcPr>
            <w:tcW w:w="1093" w:type="dxa"/>
            <w:tcBorders>
              <w:top w:val="nil"/>
              <w:left w:val="nil"/>
              <w:bottom w:val="nil"/>
              <w:right w:val="nil"/>
            </w:tcBorders>
            <w:shd w:val="clear" w:color="auto" w:fill="auto"/>
            <w:noWrap/>
            <w:vAlign w:val="center"/>
            <w:hideMark/>
          </w:tcPr>
          <w:p w14:paraId="632AD675"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-0.6</w:t>
            </w:r>
          </w:p>
        </w:tc>
      </w:tr>
      <w:tr w:rsidR="00062207" w:rsidRPr="00062207" w14:paraId="317B2FEA" w14:textId="77777777" w:rsidTr="00A963D6">
        <w:trPr>
          <w:trHeight w:val="228"/>
          <w:jc w:val="center"/>
        </w:trPr>
        <w:tc>
          <w:tcPr>
            <w:tcW w:w="4373" w:type="dxa"/>
            <w:tcBorders>
              <w:top w:val="nil"/>
              <w:left w:val="nil"/>
              <w:bottom w:val="nil"/>
              <w:right w:val="nil"/>
            </w:tcBorders>
            <w:shd w:val="clear" w:color="auto" w:fill="auto"/>
            <w:noWrap/>
            <w:hideMark/>
          </w:tcPr>
          <w:p w14:paraId="1E3E626B" w14:textId="77777777" w:rsidR="00467307" w:rsidRPr="00062207" w:rsidRDefault="00467307" w:rsidP="00A963D6">
            <w:pPr>
              <w:jc w:val="center"/>
              <w:rPr>
                <w:rFonts w:ascii="Times New Roman" w:eastAsia="Times New Roman" w:hAnsi="Times New Roman" w:cs="Times New Roman"/>
                <w:b/>
                <w:bCs/>
                <w:sz w:val="22"/>
                <w:szCs w:val="22"/>
                <w:lang w:eastAsia="es-GT"/>
              </w:rPr>
            </w:pPr>
          </w:p>
        </w:tc>
        <w:tc>
          <w:tcPr>
            <w:tcW w:w="1212" w:type="dxa"/>
            <w:tcBorders>
              <w:top w:val="nil"/>
              <w:left w:val="nil"/>
              <w:bottom w:val="nil"/>
              <w:right w:val="nil"/>
            </w:tcBorders>
            <w:shd w:val="clear" w:color="auto" w:fill="auto"/>
            <w:noWrap/>
            <w:hideMark/>
          </w:tcPr>
          <w:p w14:paraId="5A526E9F" w14:textId="77777777" w:rsidR="00467307" w:rsidRPr="00062207" w:rsidRDefault="00467307" w:rsidP="00A963D6">
            <w:pPr>
              <w:rPr>
                <w:rFonts w:ascii="Times New Roman" w:eastAsia="Times New Roman" w:hAnsi="Times New Roman" w:cs="Times New Roman"/>
                <w:sz w:val="22"/>
                <w:szCs w:val="22"/>
                <w:lang w:eastAsia="es-GT"/>
              </w:rPr>
            </w:pPr>
          </w:p>
        </w:tc>
        <w:tc>
          <w:tcPr>
            <w:tcW w:w="1212" w:type="dxa"/>
            <w:tcBorders>
              <w:top w:val="nil"/>
              <w:left w:val="nil"/>
              <w:bottom w:val="nil"/>
              <w:right w:val="nil"/>
            </w:tcBorders>
            <w:shd w:val="clear" w:color="auto" w:fill="auto"/>
            <w:noWrap/>
            <w:hideMark/>
          </w:tcPr>
          <w:p w14:paraId="276ABC1B" w14:textId="77777777" w:rsidR="00467307" w:rsidRPr="00062207" w:rsidRDefault="00467307" w:rsidP="00A963D6">
            <w:pPr>
              <w:rPr>
                <w:rFonts w:ascii="Times New Roman" w:eastAsia="Times New Roman" w:hAnsi="Times New Roman" w:cs="Times New Roman"/>
                <w:sz w:val="22"/>
                <w:szCs w:val="22"/>
                <w:lang w:eastAsia="es-GT"/>
              </w:rPr>
            </w:pPr>
          </w:p>
        </w:tc>
        <w:tc>
          <w:tcPr>
            <w:tcW w:w="1093" w:type="dxa"/>
            <w:tcBorders>
              <w:top w:val="nil"/>
              <w:left w:val="dotDash" w:sz="4" w:space="0" w:color="auto"/>
              <w:bottom w:val="single" w:sz="8" w:space="0" w:color="auto"/>
              <w:right w:val="nil"/>
            </w:tcBorders>
            <w:shd w:val="clear" w:color="auto" w:fill="auto"/>
            <w:noWrap/>
            <w:hideMark/>
          </w:tcPr>
          <w:p w14:paraId="44BF1254" w14:textId="77777777" w:rsidR="00467307" w:rsidRPr="00062207" w:rsidRDefault="00467307" w:rsidP="00A963D6">
            <w:pP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 </w:t>
            </w:r>
          </w:p>
        </w:tc>
        <w:tc>
          <w:tcPr>
            <w:tcW w:w="1093" w:type="dxa"/>
            <w:tcBorders>
              <w:top w:val="nil"/>
              <w:left w:val="nil"/>
              <w:bottom w:val="nil"/>
              <w:right w:val="nil"/>
            </w:tcBorders>
            <w:shd w:val="clear" w:color="auto" w:fill="auto"/>
            <w:noWrap/>
            <w:vAlign w:val="center"/>
            <w:hideMark/>
          </w:tcPr>
          <w:p w14:paraId="712EF508" w14:textId="77777777" w:rsidR="00467307" w:rsidRPr="00062207" w:rsidRDefault="00467307" w:rsidP="00A963D6">
            <w:pPr>
              <w:rPr>
                <w:rFonts w:ascii="Times New Roman" w:eastAsia="Times New Roman" w:hAnsi="Times New Roman" w:cs="Times New Roman"/>
                <w:sz w:val="22"/>
                <w:szCs w:val="22"/>
                <w:lang w:eastAsia="es-GT"/>
              </w:rPr>
            </w:pPr>
          </w:p>
        </w:tc>
      </w:tr>
      <w:tr w:rsidR="00062207" w:rsidRPr="00062207" w14:paraId="7288D8D9" w14:textId="77777777" w:rsidTr="00A963D6">
        <w:trPr>
          <w:trHeight w:val="228"/>
          <w:jc w:val="center"/>
        </w:trPr>
        <w:tc>
          <w:tcPr>
            <w:tcW w:w="8984" w:type="dxa"/>
            <w:gridSpan w:val="5"/>
            <w:tcBorders>
              <w:top w:val="single" w:sz="8" w:space="0" w:color="auto"/>
              <w:left w:val="nil"/>
              <w:bottom w:val="double" w:sz="6" w:space="0" w:color="auto"/>
              <w:right w:val="nil"/>
            </w:tcBorders>
            <w:shd w:val="clear" w:color="auto" w:fill="auto"/>
            <w:noWrap/>
            <w:vAlign w:val="center"/>
            <w:hideMark/>
          </w:tcPr>
          <w:p w14:paraId="5DE9EF29" w14:textId="77777777" w:rsidR="00467307" w:rsidRPr="00062207" w:rsidRDefault="00467307" w:rsidP="00A963D6">
            <w:pPr>
              <w:jc w:val="both"/>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TRANSACCIONES EN ACTIVOS Y PASIVOS FINANCIEROS (FINANCIMIENTO)</w:t>
            </w:r>
          </w:p>
        </w:tc>
      </w:tr>
      <w:tr w:rsidR="00062207" w:rsidRPr="00062207" w14:paraId="7F9869A5" w14:textId="77777777" w:rsidTr="00A963D6">
        <w:trPr>
          <w:trHeight w:val="228"/>
          <w:jc w:val="center"/>
        </w:trPr>
        <w:tc>
          <w:tcPr>
            <w:tcW w:w="4373" w:type="dxa"/>
            <w:tcBorders>
              <w:top w:val="nil"/>
              <w:left w:val="nil"/>
              <w:bottom w:val="nil"/>
              <w:right w:val="nil"/>
            </w:tcBorders>
            <w:shd w:val="clear" w:color="auto" w:fill="auto"/>
            <w:noWrap/>
            <w:vAlign w:val="center"/>
            <w:hideMark/>
          </w:tcPr>
          <w:p w14:paraId="06F3FEB0" w14:textId="77777777" w:rsidR="00467307" w:rsidRPr="00062207" w:rsidRDefault="00467307" w:rsidP="00A963D6">
            <w:pPr>
              <w:jc w:val="both"/>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Adquisición neta de activos financieros</w:t>
            </w:r>
          </w:p>
        </w:tc>
        <w:tc>
          <w:tcPr>
            <w:tcW w:w="1212" w:type="dxa"/>
            <w:tcBorders>
              <w:top w:val="nil"/>
              <w:left w:val="nil"/>
              <w:bottom w:val="nil"/>
              <w:right w:val="nil"/>
            </w:tcBorders>
            <w:shd w:val="clear" w:color="auto" w:fill="auto"/>
            <w:noWrap/>
            <w:vAlign w:val="center"/>
            <w:hideMark/>
          </w:tcPr>
          <w:p w14:paraId="597E512B"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11,068.6</w:t>
            </w:r>
          </w:p>
        </w:tc>
        <w:tc>
          <w:tcPr>
            <w:tcW w:w="1212" w:type="dxa"/>
            <w:tcBorders>
              <w:top w:val="nil"/>
              <w:left w:val="nil"/>
              <w:bottom w:val="nil"/>
              <w:right w:val="nil"/>
            </w:tcBorders>
            <w:shd w:val="clear" w:color="auto" w:fill="auto"/>
            <w:noWrap/>
            <w:vAlign w:val="center"/>
            <w:hideMark/>
          </w:tcPr>
          <w:p w14:paraId="5DFCD767"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15,041.0</w:t>
            </w:r>
          </w:p>
        </w:tc>
        <w:tc>
          <w:tcPr>
            <w:tcW w:w="1093" w:type="dxa"/>
            <w:tcBorders>
              <w:top w:val="nil"/>
              <w:left w:val="dotDash" w:sz="4" w:space="0" w:color="auto"/>
              <w:bottom w:val="nil"/>
              <w:right w:val="nil"/>
            </w:tcBorders>
            <w:shd w:val="clear" w:color="auto" w:fill="auto"/>
            <w:noWrap/>
            <w:vAlign w:val="center"/>
            <w:hideMark/>
          </w:tcPr>
          <w:p w14:paraId="47E08321"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1.8</w:t>
            </w:r>
          </w:p>
        </w:tc>
        <w:tc>
          <w:tcPr>
            <w:tcW w:w="1093" w:type="dxa"/>
            <w:tcBorders>
              <w:top w:val="nil"/>
              <w:left w:val="nil"/>
              <w:bottom w:val="nil"/>
              <w:right w:val="nil"/>
            </w:tcBorders>
            <w:shd w:val="clear" w:color="auto" w:fill="auto"/>
            <w:noWrap/>
            <w:vAlign w:val="center"/>
            <w:hideMark/>
          </w:tcPr>
          <w:p w14:paraId="0B13545F"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2.3</w:t>
            </w:r>
          </w:p>
        </w:tc>
      </w:tr>
      <w:tr w:rsidR="00062207" w:rsidRPr="00062207" w14:paraId="053556A4" w14:textId="77777777" w:rsidTr="00A963D6">
        <w:trPr>
          <w:trHeight w:val="228"/>
          <w:jc w:val="center"/>
        </w:trPr>
        <w:tc>
          <w:tcPr>
            <w:tcW w:w="4373" w:type="dxa"/>
            <w:tcBorders>
              <w:top w:val="nil"/>
              <w:left w:val="nil"/>
              <w:bottom w:val="nil"/>
              <w:right w:val="nil"/>
            </w:tcBorders>
            <w:shd w:val="clear" w:color="auto" w:fill="auto"/>
            <w:noWrap/>
            <w:vAlign w:val="center"/>
            <w:hideMark/>
          </w:tcPr>
          <w:p w14:paraId="1519D46F" w14:textId="77777777" w:rsidR="00467307" w:rsidRPr="00062207" w:rsidRDefault="00467307" w:rsidP="00A963D6">
            <w:pPr>
              <w:ind w:firstLineChars="100" w:firstLine="220"/>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Billetes y monedas y depósitos</w:t>
            </w:r>
          </w:p>
        </w:tc>
        <w:tc>
          <w:tcPr>
            <w:tcW w:w="1212" w:type="dxa"/>
            <w:tcBorders>
              <w:top w:val="nil"/>
              <w:left w:val="nil"/>
              <w:bottom w:val="nil"/>
              <w:right w:val="nil"/>
            </w:tcBorders>
            <w:shd w:val="clear" w:color="auto" w:fill="auto"/>
            <w:noWrap/>
            <w:vAlign w:val="center"/>
            <w:hideMark/>
          </w:tcPr>
          <w:p w14:paraId="1AF7529C"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4,799.0</w:t>
            </w:r>
          </w:p>
        </w:tc>
        <w:tc>
          <w:tcPr>
            <w:tcW w:w="1212" w:type="dxa"/>
            <w:tcBorders>
              <w:top w:val="nil"/>
              <w:left w:val="nil"/>
              <w:bottom w:val="nil"/>
              <w:right w:val="nil"/>
            </w:tcBorders>
            <w:shd w:val="clear" w:color="auto" w:fill="auto"/>
            <w:noWrap/>
            <w:vAlign w:val="center"/>
            <w:hideMark/>
          </w:tcPr>
          <w:p w14:paraId="1D28EB90"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11,799.5</w:t>
            </w:r>
          </w:p>
        </w:tc>
        <w:tc>
          <w:tcPr>
            <w:tcW w:w="1093" w:type="dxa"/>
            <w:tcBorders>
              <w:top w:val="nil"/>
              <w:left w:val="dotDash" w:sz="4" w:space="0" w:color="auto"/>
              <w:bottom w:val="nil"/>
              <w:right w:val="nil"/>
            </w:tcBorders>
            <w:shd w:val="clear" w:color="auto" w:fill="auto"/>
            <w:noWrap/>
            <w:vAlign w:val="center"/>
            <w:hideMark/>
          </w:tcPr>
          <w:p w14:paraId="45E1B254"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0.8</w:t>
            </w:r>
          </w:p>
        </w:tc>
        <w:tc>
          <w:tcPr>
            <w:tcW w:w="1093" w:type="dxa"/>
            <w:tcBorders>
              <w:top w:val="nil"/>
              <w:left w:val="nil"/>
              <w:bottom w:val="nil"/>
              <w:right w:val="nil"/>
            </w:tcBorders>
            <w:shd w:val="clear" w:color="auto" w:fill="auto"/>
            <w:noWrap/>
            <w:vAlign w:val="center"/>
            <w:hideMark/>
          </w:tcPr>
          <w:p w14:paraId="7E831123"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1.8</w:t>
            </w:r>
          </w:p>
        </w:tc>
      </w:tr>
      <w:tr w:rsidR="00062207" w:rsidRPr="00062207" w14:paraId="2831993D" w14:textId="77777777" w:rsidTr="00A963D6">
        <w:trPr>
          <w:trHeight w:val="228"/>
          <w:jc w:val="center"/>
        </w:trPr>
        <w:tc>
          <w:tcPr>
            <w:tcW w:w="4373" w:type="dxa"/>
            <w:tcBorders>
              <w:top w:val="nil"/>
              <w:left w:val="nil"/>
              <w:bottom w:val="nil"/>
              <w:right w:val="nil"/>
            </w:tcBorders>
            <w:shd w:val="clear" w:color="auto" w:fill="auto"/>
            <w:noWrap/>
            <w:vAlign w:val="center"/>
            <w:hideMark/>
          </w:tcPr>
          <w:p w14:paraId="6A498CD8" w14:textId="77777777" w:rsidR="00467307" w:rsidRPr="00062207" w:rsidRDefault="00467307" w:rsidP="00A963D6">
            <w:pPr>
              <w:ind w:firstLineChars="100" w:firstLine="220"/>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Préstamos</w:t>
            </w:r>
          </w:p>
        </w:tc>
        <w:tc>
          <w:tcPr>
            <w:tcW w:w="1212" w:type="dxa"/>
            <w:tcBorders>
              <w:top w:val="nil"/>
              <w:left w:val="nil"/>
              <w:bottom w:val="nil"/>
              <w:right w:val="nil"/>
            </w:tcBorders>
            <w:shd w:val="clear" w:color="auto" w:fill="auto"/>
            <w:noWrap/>
            <w:vAlign w:val="center"/>
            <w:hideMark/>
          </w:tcPr>
          <w:p w14:paraId="22AD2E4F"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3,486.1</w:t>
            </w:r>
          </w:p>
        </w:tc>
        <w:tc>
          <w:tcPr>
            <w:tcW w:w="1212" w:type="dxa"/>
            <w:tcBorders>
              <w:top w:val="nil"/>
              <w:left w:val="nil"/>
              <w:bottom w:val="nil"/>
              <w:right w:val="nil"/>
            </w:tcBorders>
            <w:shd w:val="clear" w:color="auto" w:fill="auto"/>
            <w:noWrap/>
            <w:vAlign w:val="center"/>
            <w:hideMark/>
          </w:tcPr>
          <w:p w14:paraId="68D65F7E"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123.8</w:t>
            </w:r>
          </w:p>
        </w:tc>
        <w:tc>
          <w:tcPr>
            <w:tcW w:w="1093" w:type="dxa"/>
            <w:tcBorders>
              <w:top w:val="nil"/>
              <w:left w:val="dotDash" w:sz="4" w:space="0" w:color="auto"/>
              <w:bottom w:val="nil"/>
              <w:right w:val="nil"/>
            </w:tcBorders>
            <w:shd w:val="clear" w:color="auto" w:fill="auto"/>
            <w:noWrap/>
            <w:vAlign w:val="center"/>
            <w:hideMark/>
          </w:tcPr>
          <w:p w14:paraId="031A59F7"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0.6</w:t>
            </w:r>
          </w:p>
        </w:tc>
        <w:tc>
          <w:tcPr>
            <w:tcW w:w="1093" w:type="dxa"/>
            <w:tcBorders>
              <w:top w:val="nil"/>
              <w:left w:val="nil"/>
              <w:bottom w:val="nil"/>
              <w:right w:val="nil"/>
            </w:tcBorders>
            <w:shd w:val="clear" w:color="auto" w:fill="auto"/>
            <w:noWrap/>
            <w:vAlign w:val="center"/>
            <w:hideMark/>
          </w:tcPr>
          <w:p w14:paraId="24FA0F81"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0.0</w:t>
            </w:r>
          </w:p>
        </w:tc>
      </w:tr>
      <w:tr w:rsidR="00062207" w:rsidRPr="00062207" w14:paraId="5D0B7DA5" w14:textId="77777777" w:rsidTr="00A963D6">
        <w:trPr>
          <w:trHeight w:val="228"/>
          <w:jc w:val="center"/>
        </w:trPr>
        <w:tc>
          <w:tcPr>
            <w:tcW w:w="4373" w:type="dxa"/>
            <w:tcBorders>
              <w:top w:val="nil"/>
              <w:left w:val="nil"/>
              <w:bottom w:val="nil"/>
              <w:right w:val="nil"/>
            </w:tcBorders>
            <w:shd w:val="clear" w:color="auto" w:fill="auto"/>
            <w:noWrap/>
            <w:vAlign w:val="center"/>
            <w:hideMark/>
          </w:tcPr>
          <w:p w14:paraId="11D08DAF" w14:textId="77777777" w:rsidR="00467307" w:rsidRPr="00062207" w:rsidRDefault="00467307" w:rsidP="00A963D6">
            <w:pPr>
              <w:ind w:firstLineChars="100" w:firstLine="220"/>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Otros</w:t>
            </w:r>
          </w:p>
        </w:tc>
        <w:tc>
          <w:tcPr>
            <w:tcW w:w="1212" w:type="dxa"/>
            <w:tcBorders>
              <w:top w:val="nil"/>
              <w:left w:val="nil"/>
              <w:bottom w:val="nil"/>
              <w:right w:val="nil"/>
            </w:tcBorders>
            <w:shd w:val="clear" w:color="auto" w:fill="auto"/>
            <w:noWrap/>
            <w:vAlign w:val="center"/>
            <w:hideMark/>
          </w:tcPr>
          <w:p w14:paraId="08D821DC"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2,783.5</w:t>
            </w:r>
          </w:p>
        </w:tc>
        <w:tc>
          <w:tcPr>
            <w:tcW w:w="1212" w:type="dxa"/>
            <w:tcBorders>
              <w:top w:val="nil"/>
              <w:left w:val="nil"/>
              <w:bottom w:val="nil"/>
              <w:right w:val="nil"/>
            </w:tcBorders>
            <w:shd w:val="clear" w:color="auto" w:fill="auto"/>
            <w:noWrap/>
            <w:vAlign w:val="center"/>
            <w:hideMark/>
          </w:tcPr>
          <w:p w14:paraId="669799A2"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3,117.7</w:t>
            </w:r>
          </w:p>
        </w:tc>
        <w:tc>
          <w:tcPr>
            <w:tcW w:w="1093" w:type="dxa"/>
            <w:tcBorders>
              <w:top w:val="nil"/>
              <w:left w:val="dotDash" w:sz="4" w:space="0" w:color="auto"/>
              <w:bottom w:val="nil"/>
              <w:right w:val="nil"/>
            </w:tcBorders>
            <w:shd w:val="clear" w:color="auto" w:fill="auto"/>
            <w:noWrap/>
            <w:vAlign w:val="center"/>
            <w:hideMark/>
          </w:tcPr>
          <w:p w14:paraId="60EDDC34"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0.5</w:t>
            </w:r>
          </w:p>
        </w:tc>
        <w:tc>
          <w:tcPr>
            <w:tcW w:w="1093" w:type="dxa"/>
            <w:tcBorders>
              <w:top w:val="nil"/>
              <w:left w:val="nil"/>
              <w:bottom w:val="nil"/>
              <w:right w:val="nil"/>
            </w:tcBorders>
            <w:shd w:val="clear" w:color="auto" w:fill="auto"/>
            <w:noWrap/>
            <w:vAlign w:val="center"/>
            <w:hideMark/>
          </w:tcPr>
          <w:p w14:paraId="20259680"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0.5</w:t>
            </w:r>
          </w:p>
        </w:tc>
      </w:tr>
      <w:tr w:rsidR="00062207" w:rsidRPr="00062207" w14:paraId="78E8A4B1" w14:textId="77777777" w:rsidTr="00A963D6">
        <w:trPr>
          <w:trHeight w:val="228"/>
          <w:jc w:val="center"/>
        </w:trPr>
        <w:tc>
          <w:tcPr>
            <w:tcW w:w="4373" w:type="dxa"/>
            <w:tcBorders>
              <w:top w:val="nil"/>
              <w:left w:val="nil"/>
              <w:bottom w:val="nil"/>
              <w:right w:val="nil"/>
            </w:tcBorders>
            <w:shd w:val="clear" w:color="auto" w:fill="auto"/>
            <w:noWrap/>
            <w:vAlign w:val="center"/>
            <w:hideMark/>
          </w:tcPr>
          <w:p w14:paraId="1CE01848" w14:textId="77777777" w:rsidR="00467307" w:rsidRPr="00062207" w:rsidRDefault="00467307" w:rsidP="00A963D6">
            <w:pPr>
              <w:jc w:val="both"/>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Incurrimiento neto de pasivos</w:t>
            </w:r>
          </w:p>
        </w:tc>
        <w:tc>
          <w:tcPr>
            <w:tcW w:w="1212" w:type="dxa"/>
            <w:tcBorders>
              <w:top w:val="nil"/>
              <w:left w:val="nil"/>
              <w:bottom w:val="nil"/>
              <w:right w:val="nil"/>
            </w:tcBorders>
            <w:shd w:val="clear" w:color="auto" w:fill="auto"/>
            <w:noWrap/>
            <w:vAlign w:val="center"/>
            <w:hideMark/>
          </w:tcPr>
          <w:p w14:paraId="5C1046DD"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33,097.8</w:t>
            </w:r>
          </w:p>
        </w:tc>
        <w:tc>
          <w:tcPr>
            <w:tcW w:w="1212" w:type="dxa"/>
            <w:tcBorders>
              <w:top w:val="nil"/>
              <w:left w:val="nil"/>
              <w:bottom w:val="nil"/>
              <w:right w:val="nil"/>
            </w:tcBorders>
            <w:shd w:val="clear" w:color="auto" w:fill="auto"/>
            <w:noWrap/>
            <w:vAlign w:val="center"/>
            <w:hideMark/>
          </w:tcPr>
          <w:p w14:paraId="777B7BC7"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18,894.6</w:t>
            </w:r>
          </w:p>
        </w:tc>
        <w:tc>
          <w:tcPr>
            <w:tcW w:w="1093" w:type="dxa"/>
            <w:tcBorders>
              <w:top w:val="nil"/>
              <w:left w:val="dotDash" w:sz="4" w:space="0" w:color="auto"/>
              <w:bottom w:val="nil"/>
              <w:right w:val="nil"/>
            </w:tcBorders>
            <w:shd w:val="clear" w:color="auto" w:fill="auto"/>
            <w:noWrap/>
            <w:vAlign w:val="center"/>
            <w:hideMark/>
          </w:tcPr>
          <w:p w14:paraId="574865EC"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5.5</w:t>
            </w:r>
          </w:p>
        </w:tc>
        <w:tc>
          <w:tcPr>
            <w:tcW w:w="1093" w:type="dxa"/>
            <w:tcBorders>
              <w:top w:val="nil"/>
              <w:left w:val="nil"/>
              <w:bottom w:val="nil"/>
              <w:right w:val="nil"/>
            </w:tcBorders>
            <w:shd w:val="clear" w:color="auto" w:fill="auto"/>
            <w:noWrap/>
            <w:vAlign w:val="center"/>
            <w:hideMark/>
          </w:tcPr>
          <w:p w14:paraId="0F7AE67B"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2.8</w:t>
            </w:r>
          </w:p>
        </w:tc>
      </w:tr>
      <w:tr w:rsidR="00062207" w:rsidRPr="00062207" w14:paraId="32348BFD" w14:textId="77777777" w:rsidTr="00A963D6">
        <w:trPr>
          <w:trHeight w:val="228"/>
          <w:jc w:val="center"/>
        </w:trPr>
        <w:tc>
          <w:tcPr>
            <w:tcW w:w="4373" w:type="dxa"/>
            <w:tcBorders>
              <w:top w:val="nil"/>
              <w:left w:val="nil"/>
              <w:bottom w:val="nil"/>
              <w:right w:val="nil"/>
            </w:tcBorders>
            <w:shd w:val="clear" w:color="auto" w:fill="auto"/>
            <w:noWrap/>
            <w:vAlign w:val="center"/>
            <w:hideMark/>
          </w:tcPr>
          <w:p w14:paraId="10031A5B" w14:textId="77777777" w:rsidR="00467307" w:rsidRPr="00062207" w:rsidRDefault="00467307" w:rsidP="00A963D6">
            <w:pPr>
              <w:ind w:firstLineChars="100" w:firstLine="220"/>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Títulos de deuda</w:t>
            </w:r>
          </w:p>
        </w:tc>
        <w:tc>
          <w:tcPr>
            <w:tcW w:w="1212" w:type="dxa"/>
            <w:tcBorders>
              <w:top w:val="nil"/>
              <w:left w:val="nil"/>
              <w:bottom w:val="nil"/>
              <w:right w:val="nil"/>
            </w:tcBorders>
            <w:shd w:val="clear" w:color="auto" w:fill="auto"/>
            <w:noWrap/>
            <w:vAlign w:val="center"/>
            <w:hideMark/>
          </w:tcPr>
          <w:p w14:paraId="6216D8DE"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31,608.1</w:t>
            </w:r>
          </w:p>
        </w:tc>
        <w:tc>
          <w:tcPr>
            <w:tcW w:w="1212" w:type="dxa"/>
            <w:tcBorders>
              <w:top w:val="nil"/>
              <w:left w:val="nil"/>
              <w:bottom w:val="nil"/>
              <w:right w:val="nil"/>
            </w:tcBorders>
            <w:shd w:val="clear" w:color="auto" w:fill="auto"/>
            <w:noWrap/>
            <w:vAlign w:val="center"/>
            <w:hideMark/>
          </w:tcPr>
          <w:p w14:paraId="218AA540"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21,397.4</w:t>
            </w:r>
          </w:p>
        </w:tc>
        <w:tc>
          <w:tcPr>
            <w:tcW w:w="1093" w:type="dxa"/>
            <w:tcBorders>
              <w:top w:val="nil"/>
              <w:left w:val="dotDash" w:sz="4" w:space="0" w:color="auto"/>
              <w:bottom w:val="nil"/>
              <w:right w:val="nil"/>
            </w:tcBorders>
            <w:shd w:val="clear" w:color="auto" w:fill="auto"/>
            <w:noWrap/>
            <w:vAlign w:val="center"/>
            <w:hideMark/>
          </w:tcPr>
          <w:p w14:paraId="5EF2519A"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5.3</w:t>
            </w:r>
          </w:p>
        </w:tc>
        <w:tc>
          <w:tcPr>
            <w:tcW w:w="1093" w:type="dxa"/>
            <w:tcBorders>
              <w:top w:val="nil"/>
              <w:left w:val="nil"/>
              <w:bottom w:val="nil"/>
              <w:right w:val="nil"/>
            </w:tcBorders>
            <w:shd w:val="clear" w:color="auto" w:fill="auto"/>
            <w:noWrap/>
            <w:vAlign w:val="center"/>
            <w:hideMark/>
          </w:tcPr>
          <w:p w14:paraId="11317A7B"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3.2</w:t>
            </w:r>
          </w:p>
        </w:tc>
      </w:tr>
      <w:tr w:rsidR="00062207" w:rsidRPr="00062207" w14:paraId="76F43525" w14:textId="77777777" w:rsidTr="00A963D6">
        <w:trPr>
          <w:trHeight w:val="228"/>
          <w:jc w:val="center"/>
        </w:trPr>
        <w:tc>
          <w:tcPr>
            <w:tcW w:w="4373" w:type="dxa"/>
            <w:tcBorders>
              <w:top w:val="nil"/>
              <w:left w:val="nil"/>
              <w:bottom w:val="nil"/>
              <w:right w:val="nil"/>
            </w:tcBorders>
            <w:shd w:val="clear" w:color="auto" w:fill="auto"/>
            <w:noWrap/>
            <w:vAlign w:val="center"/>
            <w:hideMark/>
          </w:tcPr>
          <w:p w14:paraId="24EB3171" w14:textId="77777777" w:rsidR="00467307" w:rsidRPr="00062207" w:rsidRDefault="00467307" w:rsidP="00A963D6">
            <w:pPr>
              <w:ind w:firstLineChars="100" w:firstLine="220"/>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Préstamos</w:t>
            </w:r>
          </w:p>
        </w:tc>
        <w:tc>
          <w:tcPr>
            <w:tcW w:w="1212" w:type="dxa"/>
            <w:tcBorders>
              <w:top w:val="nil"/>
              <w:left w:val="nil"/>
              <w:bottom w:val="nil"/>
              <w:right w:val="nil"/>
            </w:tcBorders>
            <w:shd w:val="clear" w:color="auto" w:fill="auto"/>
            <w:noWrap/>
            <w:vAlign w:val="center"/>
            <w:hideMark/>
          </w:tcPr>
          <w:p w14:paraId="6DD48F4B"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1,334.3</w:t>
            </w:r>
          </w:p>
        </w:tc>
        <w:tc>
          <w:tcPr>
            <w:tcW w:w="1212" w:type="dxa"/>
            <w:tcBorders>
              <w:top w:val="nil"/>
              <w:left w:val="nil"/>
              <w:bottom w:val="nil"/>
              <w:right w:val="nil"/>
            </w:tcBorders>
            <w:shd w:val="clear" w:color="auto" w:fill="auto"/>
            <w:noWrap/>
            <w:vAlign w:val="center"/>
            <w:hideMark/>
          </w:tcPr>
          <w:p w14:paraId="0E8A28E2"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-2,348.2</w:t>
            </w:r>
          </w:p>
        </w:tc>
        <w:tc>
          <w:tcPr>
            <w:tcW w:w="1093" w:type="dxa"/>
            <w:tcBorders>
              <w:top w:val="nil"/>
              <w:left w:val="dotDash" w:sz="4" w:space="0" w:color="auto"/>
              <w:bottom w:val="nil"/>
              <w:right w:val="nil"/>
            </w:tcBorders>
            <w:shd w:val="clear" w:color="auto" w:fill="auto"/>
            <w:noWrap/>
            <w:vAlign w:val="center"/>
            <w:hideMark/>
          </w:tcPr>
          <w:p w14:paraId="654F2AA9"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0.2</w:t>
            </w:r>
          </w:p>
        </w:tc>
        <w:tc>
          <w:tcPr>
            <w:tcW w:w="1093" w:type="dxa"/>
            <w:tcBorders>
              <w:top w:val="nil"/>
              <w:left w:val="nil"/>
              <w:bottom w:val="nil"/>
              <w:right w:val="nil"/>
            </w:tcBorders>
            <w:shd w:val="clear" w:color="auto" w:fill="auto"/>
            <w:noWrap/>
            <w:vAlign w:val="center"/>
            <w:hideMark/>
          </w:tcPr>
          <w:p w14:paraId="292476F4"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-0.4</w:t>
            </w:r>
          </w:p>
        </w:tc>
      </w:tr>
      <w:tr w:rsidR="00062207" w:rsidRPr="00062207" w14:paraId="421C3830" w14:textId="77777777" w:rsidTr="00A963D6">
        <w:trPr>
          <w:trHeight w:val="228"/>
          <w:jc w:val="center"/>
        </w:trPr>
        <w:tc>
          <w:tcPr>
            <w:tcW w:w="4373" w:type="dxa"/>
            <w:tcBorders>
              <w:top w:val="nil"/>
              <w:left w:val="nil"/>
              <w:bottom w:val="nil"/>
              <w:right w:val="nil"/>
            </w:tcBorders>
            <w:shd w:val="clear" w:color="auto" w:fill="auto"/>
            <w:noWrap/>
            <w:vAlign w:val="center"/>
            <w:hideMark/>
          </w:tcPr>
          <w:p w14:paraId="11A7C9BA" w14:textId="77777777" w:rsidR="00467307" w:rsidRPr="00062207" w:rsidRDefault="00467307" w:rsidP="00A963D6">
            <w:pPr>
              <w:ind w:firstLineChars="100" w:firstLine="220"/>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Otros</w:t>
            </w:r>
          </w:p>
        </w:tc>
        <w:tc>
          <w:tcPr>
            <w:tcW w:w="1212" w:type="dxa"/>
            <w:tcBorders>
              <w:top w:val="nil"/>
              <w:left w:val="nil"/>
              <w:bottom w:val="nil"/>
              <w:right w:val="nil"/>
            </w:tcBorders>
            <w:shd w:val="clear" w:color="auto" w:fill="auto"/>
            <w:noWrap/>
            <w:vAlign w:val="center"/>
            <w:hideMark/>
          </w:tcPr>
          <w:p w14:paraId="6CF28CA8"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155.3</w:t>
            </w:r>
          </w:p>
        </w:tc>
        <w:tc>
          <w:tcPr>
            <w:tcW w:w="1212" w:type="dxa"/>
            <w:tcBorders>
              <w:top w:val="nil"/>
              <w:left w:val="nil"/>
              <w:bottom w:val="nil"/>
              <w:right w:val="nil"/>
            </w:tcBorders>
            <w:shd w:val="clear" w:color="auto" w:fill="auto"/>
            <w:noWrap/>
            <w:vAlign w:val="center"/>
            <w:hideMark/>
          </w:tcPr>
          <w:p w14:paraId="300AE9B1"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-154.6</w:t>
            </w:r>
          </w:p>
        </w:tc>
        <w:tc>
          <w:tcPr>
            <w:tcW w:w="1093" w:type="dxa"/>
            <w:tcBorders>
              <w:top w:val="nil"/>
              <w:left w:val="dotDash" w:sz="4" w:space="0" w:color="auto"/>
              <w:bottom w:val="nil"/>
              <w:right w:val="nil"/>
            </w:tcBorders>
            <w:shd w:val="clear" w:color="auto" w:fill="auto"/>
            <w:noWrap/>
            <w:vAlign w:val="center"/>
            <w:hideMark/>
          </w:tcPr>
          <w:p w14:paraId="2DB3EB11"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0.0</w:t>
            </w:r>
          </w:p>
        </w:tc>
        <w:tc>
          <w:tcPr>
            <w:tcW w:w="1093" w:type="dxa"/>
            <w:tcBorders>
              <w:top w:val="nil"/>
              <w:left w:val="nil"/>
              <w:bottom w:val="nil"/>
              <w:right w:val="nil"/>
            </w:tcBorders>
            <w:shd w:val="clear" w:color="auto" w:fill="auto"/>
            <w:noWrap/>
            <w:vAlign w:val="center"/>
            <w:hideMark/>
          </w:tcPr>
          <w:p w14:paraId="6A4DB4C1" w14:textId="77777777" w:rsidR="00467307" w:rsidRPr="00062207" w:rsidRDefault="00467307" w:rsidP="00A963D6">
            <w:pPr>
              <w:jc w:val="center"/>
              <w:rPr>
                <w:rFonts w:ascii="Times New Roman" w:eastAsia="Times New Roman" w:hAnsi="Times New Roman" w:cs="Times New Roman"/>
                <w:sz w:val="22"/>
                <w:szCs w:val="22"/>
                <w:lang w:eastAsia="es-GT"/>
              </w:rPr>
            </w:pPr>
            <w:r w:rsidRPr="00062207">
              <w:rPr>
                <w:rFonts w:ascii="Times New Roman" w:eastAsia="Times New Roman" w:hAnsi="Times New Roman" w:cs="Times New Roman"/>
                <w:sz w:val="22"/>
                <w:szCs w:val="22"/>
                <w:lang w:eastAsia="es-GT"/>
              </w:rPr>
              <w:t>0.0</w:t>
            </w:r>
          </w:p>
        </w:tc>
      </w:tr>
      <w:tr w:rsidR="00062207" w:rsidRPr="00062207" w14:paraId="7460D259" w14:textId="77777777" w:rsidTr="00A963D6">
        <w:trPr>
          <w:trHeight w:val="228"/>
          <w:jc w:val="center"/>
        </w:trPr>
        <w:tc>
          <w:tcPr>
            <w:tcW w:w="4373" w:type="dxa"/>
            <w:tcBorders>
              <w:top w:val="nil"/>
              <w:left w:val="nil"/>
              <w:bottom w:val="nil"/>
              <w:right w:val="nil"/>
            </w:tcBorders>
            <w:shd w:val="clear" w:color="auto" w:fill="auto"/>
            <w:noWrap/>
            <w:vAlign w:val="center"/>
            <w:hideMark/>
          </w:tcPr>
          <w:p w14:paraId="4FA46EBD" w14:textId="77777777" w:rsidR="00467307" w:rsidRPr="00062207" w:rsidRDefault="00467307" w:rsidP="00A963D6">
            <w:pPr>
              <w:jc w:val="both"/>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Discrepancia estadística global</w:t>
            </w:r>
          </w:p>
        </w:tc>
        <w:tc>
          <w:tcPr>
            <w:tcW w:w="1212" w:type="dxa"/>
            <w:tcBorders>
              <w:top w:val="nil"/>
              <w:left w:val="nil"/>
              <w:bottom w:val="nil"/>
              <w:right w:val="nil"/>
            </w:tcBorders>
            <w:shd w:val="clear" w:color="auto" w:fill="auto"/>
            <w:noWrap/>
            <w:vAlign w:val="center"/>
            <w:hideMark/>
          </w:tcPr>
          <w:p w14:paraId="723938AD"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-571.3</w:t>
            </w:r>
          </w:p>
        </w:tc>
        <w:tc>
          <w:tcPr>
            <w:tcW w:w="1212" w:type="dxa"/>
            <w:tcBorders>
              <w:top w:val="nil"/>
              <w:left w:val="nil"/>
              <w:bottom w:val="nil"/>
              <w:right w:val="nil"/>
            </w:tcBorders>
            <w:shd w:val="clear" w:color="auto" w:fill="auto"/>
            <w:noWrap/>
            <w:vAlign w:val="center"/>
            <w:hideMark/>
          </w:tcPr>
          <w:p w14:paraId="184033E5"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241.0</w:t>
            </w:r>
          </w:p>
        </w:tc>
        <w:tc>
          <w:tcPr>
            <w:tcW w:w="1093" w:type="dxa"/>
            <w:tcBorders>
              <w:top w:val="nil"/>
              <w:left w:val="dotDash" w:sz="4" w:space="0" w:color="auto"/>
              <w:bottom w:val="nil"/>
              <w:right w:val="nil"/>
            </w:tcBorders>
            <w:shd w:val="clear" w:color="auto" w:fill="auto"/>
            <w:noWrap/>
            <w:vAlign w:val="center"/>
            <w:hideMark/>
          </w:tcPr>
          <w:p w14:paraId="72139328"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-0.1</w:t>
            </w:r>
          </w:p>
        </w:tc>
        <w:tc>
          <w:tcPr>
            <w:tcW w:w="1093" w:type="dxa"/>
            <w:tcBorders>
              <w:top w:val="nil"/>
              <w:left w:val="nil"/>
              <w:bottom w:val="nil"/>
              <w:right w:val="nil"/>
            </w:tcBorders>
            <w:shd w:val="clear" w:color="auto" w:fill="auto"/>
            <w:noWrap/>
            <w:vAlign w:val="center"/>
            <w:hideMark/>
          </w:tcPr>
          <w:p w14:paraId="740163DC" w14:textId="77777777" w:rsidR="00467307" w:rsidRPr="00062207" w:rsidRDefault="00467307" w:rsidP="00A963D6">
            <w:pPr>
              <w:jc w:val="center"/>
              <w:rPr>
                <w:rFonts w:ascii="Times New Roman" w:eastAsia="Times New Roman" w:hAnsi="Times New Roman" w:cs="Times New Roman"/>
                <w:b/>
                <w:bCs/>
                <w:sz w:val="22"/>
                <w:szCs w:val="22"/>
                <w:lang w:eastAsia="es-GT"/>
              </w:rPr>
            </w:pPr>
            <w:r w:rsidRPr="00062207">
              <w:rPr>
                <w:rFonts w:ascii="Times New Roman" w:eastAsia="Times New Roman" w:hAnsi="Times New Roman" w:cs="Times New Roman"/>
                <w:b/>
                <w:bCs/>
                <w:sz w:val="22"/>
                <w:szCs w:val="22"/>
                <w:lang w:eastAsia="es-GT"/>
              </w:rPr>
              <w:t>0.0</w:t>
            </w:r>
          </w:p>
        </w:tc>
      </w:tr>
    </w:tbl>
    <w:p w14:paraId="4172A208" w14:textId="77777777" w:rsidR="00467307" w:rsidRPr="00062207" w:rsidRDefault="00467307" w:rsidP="00467307">
      <w:pPr>
        <w:rPr>
          <w:rFonts w:ascii="Times New Roman" w:hAnsi="Times New Roman" w:cs="Times New Roman"/>
          <w:bCs/>
          <w:sz w:val="18"/>
          <w:szCs w:val="18"/>
        </w:rPr>
      </w:pPr>
      <w:r w:rsidRPr="00062207">
        <w:rPr>
          <w:rFonts w:ascii="Times New Roman" w:hAnsi="Times New Roman" w:cs="Times New Roman"/>
          <w:bCs/>
          <w:sz w:val="18"/>
          <w:szCs w:val="18"/>
        </w:rPr>
        <w:t>*Cifras preliminares</w:t>
      </w:r>
    </w:p>
    <w:p w14:paraId="33098B54" w14:textId="3CB10008" w:rsidR="0076275A" w:rsidRPr="00062207" w:rsidRDefault="005B5E8B" w:rsidP="00467307">
      <w:pPr>
        <w:jc w:val="both"/>
        <w:rPr>
          <w:rFonts w:ascii="Times New Roman" w:hAnsi="Times New Roman" w:cs="Times New Roman"/>
          <w:bCs/>
          <w:sz w:val="18"/>
          <w:szCs w:val="18"/>
        </w:rPr>
      </w:pPr>
      <w:r w:rsidRPr="00062207">
        <w:rPr>
          <w:rFonts w:ascii="Times New Roman" w:hAnsi="Times New Roman" w:cs="Times New Roman"/>
          <w:bCs/>
          <w:sz w:val="18"/>
          <w:szCs w:val="18"/>
        </w:rPr>
        <w:t>Fuente: Dirección de Análisis y Política Fiscal</w:t>
      </w:r>
      <w:r w:rsidR="006B53F4" w:rsidRPr="00062207">
        <w:rPr>
          <w:rFonts w:ascii="Times New Roman" w:hAnsi="Times New Roman" w:cs="Times New Roman"/>
          <w:bCs/>
          <w:sz w:val="18"/>
          <w:szCs w:val="18"/>
        </w:rPr>
        <w:t>.</w:t>
      </w:r>
    </w:p>
    <w:p w14:paraId="34F9099E" w14:textId="2856D3C3" w:rsidR="006D725A" w:rsidRPr="00062207" w:rsidRDefault="006D725A" w:rsidP="00467307">
      <w:pPr>
        <w:jc w:val="both"/>
        <w:rPr>
          <w:rFonts w:ascii="Times New Roman" w:hAnsi="Times New Roman" w:cs="Times New Roman"/>
          <w:sz w:val="22"/>
          <w:szCs w:val="22"/>
        </w:rPr>
      </w:pPr>
    </w:p>
    <w:p w14:paraId="2606B8EE" w14:textId="19A8E48D" w:rsidR="007E5F5C" w:rsidRPr="00062207" w:rsidRDefault="007E5F5C" w:rsidP="00467307">
      <w:pPr>
        <w:jc w:val="both"/>
        <w:rPr>
          <w:rFonts w:ascii="Times New Roman" w:hAnsi="Times New Roman" w:cs="Times New Roman"/>
          <w:sz w:val="22"/>
          <w:szCs w:val="22"/>
        </w:rPr>
      </w:pPr>
    </w:p>
    <w:p w14:paraId="7F54AD6A" w14:textId="77777777" w:rsidR="007E5F5C" w:rsidRPr="00062207" w:rsidRDefault="007E5F5C" w:rsidP="00467307">
      <w:pPr>
        <w:jc w:val="both"/>
        <w:rPr>
          <w:rFonts w:ascii="Times New Roman" w:hAnsi="Times New Roman" w:cs="Times New Roman"/>
          <w:sz w:val="22"/>
          <w:szCs w:val="22"/>
        </w:rPr>
      </w:pPr>
    </w:p>
    <w:p w14:paraId="65BEF6EE" w14:textId="0461BF6A" w:rsidR="00467307" w:rsidRPr="00062207" w:rsidRDefault="00467307" w:rsidP="00467307">
      <w:pPr>
        <w:jc w:val="both"/>
        <w:rPr>
          <w:rFonts w:ascii="Times New Roman" w:hAnsi="Times New Roman" w:cs="Times New Roman"/>
          <w:sz w:val="22"/>
          <w:szCs w:val="22"/>
        </w:rPr>
      </w:pPr>
      <w:r w:rsidRPr="00062207">
        <w:rPr>
          <w:rFonts w:ascii="Times New Roman" w:hAnsi="Times New Roman" w:cs="Times New Roman"/>
          <w:sz w:val="22"/>
          <w:szCs w:val="22"/>
        </w:rPr>
        <w:lastRenderedPageBreak/>
        <w:t>En cuanto al Gasto del Gobierno General Consolidado, este asciende a 14.5% del PIB (Q96,574.2 millones) observando una disminución interanual de 1.5 puntos porcentuales y que cabe mencionar esta disminución interanual es menor a la observada en el Gobierno Central Presupuestaria gracias a la inclusión de los demás subsectores.</w:t>
      </w:r>
      <w:r w:rsidR="0076275A" w:rsidRPr="00062207">
        <w:rPr>
          <w:rFonts w:ascii="Times New Roman" w:hAnsi="Times New Roman" w:cs="Times New Roman"/>
          <w:sz w:val="22"/>
          <w:szCs w:val="22"/>
        </w:rPr>
        <w:t xml:space="preserve"> </w:t>
      </w:r>
    </w:p>
    <w:p w14:paraId="67ADCDBA" w14:textId="77777777" w:rsidR="0076275A" w:rsidRPr="00062207" w:rsidRDefault="0076275A" w:rsidP="00467307">
      <w:pPr>
        <w:jc w:val="both"/>
        <w:rPr>
          <w:rFonts w:ascii="Times New Roman" w:hAnsi="Times New Roman" w:cs="Times New Roman"/>
          <w:sz w:val="22"/>
          <w:szCs w:val="22"/>
        </w:rPr>
      </w:pPr>
    </w:p>
    <w:p w14:paraId="6A13E31F" w14:textId="77777777" w:rsidR="00467307" w:rsidRPr="00062207" w:rsidRDefault="00467307" w:rsidP="00467307">
      <w:pPr>
        <w:jc w:val="both"/>
        <w:rPr>
          <w:rFonts w:ascii="Times New Roman" w:hAnsi="Times New Roman" w:cs="Times New Roman"/>
          <w:sz w:val="22"/>
          <w:szCs w:val="22"/>
        </w:rPr>
      </w:pPr>
      <w:r w:rsidRPr="00062207">
        <w:rPr>
          <w:rFonts w:ascii="Times New Roman" w:hAnsi="Times New Roman" w:cs="Times New Roman"/>
          <w:sz w:val="22"/>
          <w:szCs w:val="22"/>
        </w:rPr>
        <w:t>En la adquisición bruta en activos no financieros, esta cuenta económica asciende a 2.2% del PIB (Q14,745.3 millones) con un incremento de 0.3 puntos porcentuales con respecto al 2020. El 71.9% del total de esta cuenta se produce por los gobiernos locales, seguido por el 25.5% del Gobierno Central Presupuestario, un 4.5% por el Gobierno Central Extrapresupuestario y una reducción que experimento los Fondos de Seguridad Social (en la cuenta de variación de existencias) del -1.9%.</w:t>
      </w:r>
    </w:p>
    <w:p w14:paraId="6D950D7C" w14:textId="77777777" w:rsidR="0076275A" w:rsidRPr="00062207" w:rsidRDefault="0076275A" w:rsidP="00467307">
      <w:pPr>
        <w:jc w:val="both"/>
        <w:rPr>
          <w:rFonts w:ascii="Times New Roman" w:hAnsi="Times New Roman" w:cs="Times New Roman"/>
          <w:sz w:val="22"/>
          <w:szCs w:val="22"/>
        </w:rPr>
      </w:pPr>
    </w:p>
    <w:p w14:paraId="17FD143A" w14:textId="77777777" w:rsidR="00467307" w:rsidRPr="00062207" w:rsidRDefault="00467307" w:rsidP="00467307">
      <w:pPr>
        <w:jc w:val="both"/>
        <w:rPr>
          <w:rFonts w:ascii="Times New Roman" w:hAnsi="Times New Roman" w:cs="Times New Roman"/>
          <w:sz w:val="22"/>
          <w:szCs w:val="22"/>
        </w:rPr>
      </w:pPr>
      <w:r w:rsidRPr="00062207">
        <w:rPr>
          <w:rFonts w:ascii="Times New Roman" w:hAnsi="Times New Roman" w:cs="Times New Roman"/>
          <w:sz w:val="22"/>
          <w:szCs w:val="22"/>
        </w:rPr>
        <w:t xml:space="preserve">El resultado operativo para 2021 a nivel del Gobierno General Consolidado, es positivo por 1.6% del PIB (Q10,650.7 millones) y esto es una mejora respecto a lo observado en 2020 que fue negativo por el equivalente al 1.7% del PIB (Q9,984.1 millones). </w:t>
      </w:r>
    </w:p>
    <w:p w14:paraId="26551492" w14:textId="77777777" w:rsidR="0076275A" w:rsidRPr="00062207" w:rsidRDefault="0076275A" w:rsidP="00467307">
      <w:pPr>
        <w:jc w:val="both"/>
        <w:rPr>
          <w:rFonts w:ascii="Times New Roman" w:hAnsi="Times New Roman" w:cs="Times New Roman"/>
          <w:sz w:val="22"/>
          <w:szCs w:val="22"/>
        </w:rPr>
      </w:pPr>
    </w:p>
    <w:p w14:paraId="2261B13A" w14:textId="77777777" w:rsidR="00761241" w:rsidRPr="00062207" w:rsidRDefault="00467307" w:rsidP="00467307">
      <w:pPr>
        <w:jc w:val="both"/>
        <w:rPr>
          <w:rFonts w:ascii="Times New Roman" w:hAnsi="Times New Roman" w:cs="Times New Roman"/>
          <w:sz w:val="22"/>
          <w:szCs w:val="22"/>
        </w:rPr>
      </w:pPr>
      <w:r w:rsidRPr="00062207">
        <w:rPr>
          <w:rFonts w:ascii="Times New Roman" w:hAnsi="Times New Roman" w:cs="Times New Roman"/>
          <w:sz w:val="22"/>
          <w:szCs w:val="22"/>
        </w:rPr>
        <w:t>En cuanto al nivel de Endeudamiento (o déficit), para 2021 el resultado observado fue de 0.6% del PIB (Q4,094.6 millones) siendo menor a lo observado el año previo del 3.6% del PIB (Q21,457.8 millones) y su financiamiento se divide en un incremento de los activos financieros por 2.3% del PIB (Q15,041.0 millones), un aumento de los pasivos financieros por 2.8% del PIB (Q18,894.6 millones) y una discrepancia estadística de 0.04% del PIB (Q241.0 millones).</w:t>
      </w:r>
      <w:r w:rsidR="00136A35" w:rsidRPr="00062207">
        <w:rPr>
          <w:rFonts w:ascii="Times New Roman" w:hAnsi="Times New Roman" w:cs="Times New Roman"/>
          <w:sz w:val="22"/>
          <w:szCs w:val="22"/>
        </w:rPr>
        <w:t xml:space="preserve">  </w:t>
      </w:r>
    </w:p>
    <w:p w14:paraId="4E5C1FCB" w14:textId="77777777" w:rsidR="00761241" w:rsidRPr="00062207" w:rsidRDefault="00761241" w:rsidP="00467307">
      <w:pPr>
        <w:jc w:val="both"/>
        <w:rPr>
          <w:rFonts w:ascii="Times New Roman" w:hAnsi="Times New Roman" w:cs="Times New Roman"/>
          <w:sz w:val="22"/>
          <w:szCs w:val="22"/>
        </w:rPr>
      </w:pPr>
    </w:p>
    <w:p w14:paraId="62FDA120" w14:textId="504D3DE7" w:rsidR="00467307" w:rsidRPr="00062207" w:rsidRDefault="004F11E5" w:rsidP="00467307">
      <w:pPr>
        <w:jc w:val="both"/>
        <w:rPr>
          <w:rFonts w:ascii="Times New Roman" w:hAnsi="Times New Roman" w:cs="Times New Roman"/>
          <w:sz w:val="22"/>
          <w:szCs w:val="22"/>
        </w:rPr>
      </w:pPr>
      <w:r w:rsidRPr="00062207">
        <w:rPr>
          <w:rFonts w:ascii="Times New Roman" w:hAnsi="Times New Roman" w:cs="Times New Roman"/>
          <w:sz w:val="22"/>
          <w:szCs w:val="22"/>
        </w:rPr>
        <w:t>El superávit del seguro social, de</w:t>
      </w:r>
      <w:r w:rsidR="003D452A" w:rsidRPr="00062207">
        <w:rPr>
          <w:rFonts w:ascii="Times New Roman" w:hAnsi="Times New Roman" w:cs="Times New Roman"/>
          <w:sz w:val="22"/>
          <w:szCs w:val="22"/>
        </w:rPr>
        <w:t xml:space="preserve"> los</w:t>
      </w:r>
      <w:r w:rsidRPr="00062207">
        <w:rPr>
          <w:rFonts w:ascii="Times New Roman" w:hAnsi="Times New Roman" w:cs="Times New Roman"/>
          <w:sz w:val="22"/>
          <w:szCs w:val="22"/>
        </w:rPr>
        <w:t xml:space="preserve"> gobiernos locales en su conjunto y de algunas</w:t>
      </w:r>
      <w:r w:rsidR="003D452A" w:rsidRPr="00062207">
        <w:rPr>
          <w:rFonts w:ascii="Times New Roman" w:hAnsi="Times New Roman" w:cs="Times New Roman"/>
          <w:sz w:val="22"/>
          <w:szCs w:val="22"/>
        </w:rPr>
        <w:t xml:space="preserve"> entidades extrapresupuestarias (descentralizadas y autónomas) permiten reducir </w:t>
      </w:r>
      <w:r w:rsidR="00372105" w:rsidRPr="00062207">
        <w:rPr>
          <w:rFonts w:ascii="Times New Roman" w:hAnsi="Times New Roman" w:cs="Times New Roman"/>
          <w:sz w:val="22"/>
          <w:szCs w:val="22"/>
        </w:rPr>
        <w:t>el endeudamiento neto originado por el gobierno central presupuestario, el cual se ubicó en 1.2% del PIB</w:t>
      </w:r>
      <w:r w:rsidR="00E238BD" w:rsidRPr="00062207">
        <w:rPr>
          <w:rFonts w:ascii="Times New Roman" w:hAnsi="Times New Roman" w:cs="Times New Roman"/>
          <w:sz w:val="22"/>
          <w:szCs w:val="22"/>
        </w:rPr>
        <w:t>, mientras</w:t>
      </w:r>
      <w:r w:rsidR="00145631" w:rsidRPr="00062207">
        <w:rPr>
          <w:rFonts w:ascii="Times New Roman" w:hAnsi="Times New Roman" w:cs="Times New Roman"/>
          <w:sz w:val="22"/>
          <w:szCs w:val="22"/>
        </w:rPr>
        <w:t xml:space="preserve"> que</w:t>
      </w:r>
      <w:r w:rsidR="00E238BD" w:rsidRPr="00062207">
        <w:rPr>
          <w:rFonts w:ascii="Times New Roman" w:hAnsi="Times New Roman" w:cs="Times New Roman"/>
          <w:sz w:val="22"/>
          <w:szCs w:val="22"/>
        </w:rPr>
        <w:t xml:space="preserve"> el endeudamiento neto de </w:t>
      </w:r>
      <w:r w:rsidR="001572C8" w:rsidRPr="00062207">
        <w:rPr>
          <w:rFonts w:ascii="Times New Roman" w:hAnsi="Times New Roman" w:cs="Times New Roman"/>
          <w:sz w:val="22"/>
          <w:szCs w:val="22"/>
        </w:rPr>
        <w:t>todo el gobierno general fue de</w:t>
      </w:r>
      <w:r w:rsidR="00372105" w:rsidRPr="00062207">
        <w:rPr>
          <w:rFonts w:ascii="Times New Roman" w:hAnsi="Times New Roman" w:cs="Times New Roman"/>
          <w:sz w:val="22"/>
          <w:szCs w:val="22"/>
        </w:rPr>
        <w:t xml:space="preserve"> </w:t>
      </w:r>
      <w:r w:rsidR="00761241" w:rsidRPr="00062207">
        <w:rPr>
          <w:rFonts w:ascii="Times New Roman" w:hAnsi="Times New Roman" w:cs="Times New Roman"/>
          <w:sz w:val="22"/>
          <w:szCs w:val="22"/>
        </w:rPr>
        <w:t xml:space="preserve">0.6% del PIB </w:t>
      </w:r>
      <w:r w:rsidR="001572C8" w:rsidRPr="00062207">
        <w:rPr>
          <w:rFonts w:ascii="Times New Roman" w:hAnsi="Times New Roman" w:cs="Times New Roman"/>
          <w:sz w:val="22"/>
          <w:szCs w:val="22"/>
        </w:rPr>
        <w:t>en 2021.</w:t>
      </w:r>
      <w:r w:rsidR="003D452A" w:rsidRPr="00062207">
        <w:rPr>
          <w:rFonts w:ascii="Times New Roman" w:hAnsi="Times New Roman" w:cs="Times New Roman"/>
          <w:sz w:val="22"/>
          <w:szCs w:val="22"/>
        </w:rPr>
        <w:t xml:space="preserve"> </w:t>
      </w:r>
    </w:p>
    <w:p w14:paraId="6061FF92" w14:textId="77777777" w:rsidR="00A5679C" w:rsidRPr="00062207" w:rsidRDefault="00A5679C" w:rsidP="00467307">
      <w:pPr>
        <w:rPr>
          <w:rFonts w:ascii="Times New Roman" w:hAnsi="Times New Roman" w:cs="Times New Roman"/>
          <w:sz w:val="22"/>
          <w:szCs w:val="22"/>
          <w:lang w:val="es-GT"/>
        </w:rPr>
      </w:pPr>
    </w:p>
    <w:sectPr w:rsidR="00A5679C" w:rsidRPr="00062207" w:rsidSect="008B619B">
      <w:type w:val="continuous"/>
      <w:pgSz w:w="12240" w:h="15840" w:code="1"/>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44C17D7" w14:textId="77777777" w:rsidR="00271944" w:rsidRDefault="00271944" w:rsidP="000B5E1C">
      <w:r>
        <w:separator/>
      </w:r>
    </w:p>
  </w:endnote>
  <w:endnote w:type="continuationSeparator" w:id="0">
    <w:p w14:paraId="54E5A296" w14:textId="77777777" w:rsidR="00271944" w:rsidRDefault="00271944" w:rsidP="000B5E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color w:val="4F81BD" w:themeColor="accent1"/>
        <w:sz w:val="16"/>
        <w:szCs w:val="20"/>
        <w:lang w:val="es-ES"/>
      </w:rPr>
      <w:id w:val="1089358670"/>
      <w:docPartObj>
        <w:docPartGallery w:val="Page Numbers (Bottom of Page)"/>
        <w:docPartUnique/>
      </w:docPartObj>
    </w:sdtPr>
    <w:sdtEndPr/>
    <w:sdtContent>
      <w:p w14:paraId="451283FA" w14:textId="156302F9" w:rsidR="00062207" w:rsidRPr="00F55D6E" w:rsidRDefault="00062207">
        <w:pPr>
          <w:pStyle w:val="Piedepgina"/>
          <w:jc w:val="right"/>
          <w:rPr>
            <w:rFonts w:ascii="Times New Roman" w:hAnsi="Times New Roman" w:cs="Times New Roman"/>
            <w:color w:val="4F81BD" w:themeColor="accent1"/>
            <w:sz w:val="16"/>
            <w:szCs w:val="20"/>
            <w:lang w:val="es-ES"/>
          </w:rPr>
        </w:pPr>
        <w:r w:rsidRPr="00F55D6E">
          <w:rPr>
            <w:rFonts w:ascii="Times New Roman" w:hAnsi="Times New Roman" w:cs="Times New Roman"/>
            <w:noProof/>
            <w:color w:val="4F81BD" w:themeColor="accent1"/>
            <w:sz w:val="12"/>
            <w:szCs w:val="16"/>
            <w:lang w:val="es-GT" w:eastAsia="es-GT"/>
          </w:rPr>
          <mc:AlternateContent>
            <mc:Choice Requires="wps">
              <w:drawing>
                <wp:anchor distT="0" distB="0" distL="114300" distR="114300" simplePos="0" relativeHeight="251684864" behindDoc="0" locked="0" layoutInCell="1" allowOverlap="1" wp14:anchorId="1275BC10" wp14:editId="2AF1E63A">
                  <wp:simplePos x="0" y="0"/>
                  <wp:positionH relativeFrom="column">
                    <wp:posOffset>-195579</wp:posOffset>
                  </wp:positionH>
                  <wp:positionV relativeFrom="paragraph">
                    <wp:posOffset>12066</wp:posOffset>
                  </wp:positionV>
                  <wp:extent cx="7071360" cy="45719"/>
                  <wp:effectExtent l="38100" t="38100" r="53340" b="88265"/>
                  <wp:wrapNone/>
                  <wp:docPr id="226" name="Rectángulo 226"/>
                  <wp:cNvGraphicFramePr/>
                  <a:graphic xmlns:a="http://schemas.openxmlformats.org/drawingml/2006/main">
                    <a:graphicData uri="http://schemas.microsoft.com/office/word/2010/wordprocessingShape">
                      <wps:wsp>
                        <wps:cNvSpPr/>
                        <wps:spPr>
                          <a:xfrm>
                            <a:off x="0" y="0"/>
                            <a:ext cx="7071360" cy="45719"/>
                          </a:xfrm>
                          <a:prstGeom prst="rect">
                            <a:avLst/>
                          </a:prstGeom>
                          <a:gradFill flip="none" rotWithShape="1">
                            <a:gsLst>
                              <a:gs pos="0">
                                <a:schemeClr val="accent1">
                                  <a:lumMod val="67000"/>
                                </a:schemeClr>
                              </a:gs>
                              <a:gs pos="48000">
                                <a:schemeClr val="accent1">
                                  <a:lumMod val="97000"/>
                                  <a:lumOff val="3000"/>
                                </a:schemeClr>
                              </a:gs>
                              <a:gs pos="100000">
                                <a:schemeClr val="accent1">
                                  <a:lumMod val="60000"/>
                                  <a:lumOff val="40000"/>
                                </a:schemeClr>
                              </a:gs>
                            </a:gsLst>
                            <a:path path="circle">
                              <a:fillToRect l="100000" t="100000"/>
                            </a:path>
                            <a:tileRect r="-100000" b="-100000"/>
                          </a:gradFill>
                          <a:ln w="3175">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373B56" id="Rectángulo 226" o:spid="_x0000_s1026" style="position:absolute;margin-left:-15.4pt;margin-top:.95pt;width:556.8pt;height:3.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" fillcolor="#305581 [2148]" stroked="f" strokeweight=".25pt">
                  <v:fill color2="#95b3d7 [1940]" rotate="t" focusposition="1,1" focussize="" colors="0 #315683;31457f #5485bf;1 #95b3d7" focus="100%" type="gradientRadial"/>
                  <v:shadow on="t" color="black" opacity="26214f" origin="-.5,-.5" offset=".74836mm,.74836mm"/>
                </v:rect>
              </w:pict>
            </mc:Fallback>
          </mc:AlternateContent>
        </w:r>
      </w:p>
    </w:sdtContent>
  </w:sdt>
  <w:p w14:paraId="725DD992" w14:textId="70A1A0D5" w:rsidR="00062207" w:rsidRDefault="00062207" w:rsidP="00F55D6E">
    <w:pPr>
      <w:jc w:val="right"/>
    </w:pPr>
    <w:r w:rsidRPr="00F55D6E">
      <w:rPr>
        <w:rFonts w:ascii="Times New Roman" w:hAnsi="Times New Roman" w:cs="Times New Roman"/>
        <w:color w:val="4F81BD" w:themeColor="accent1"/>
        <w:sz w:val="16"/>
        <w:szCs w:val="20"/>
        <w:lang w:val="es-ES"/>
      </w:rPr>
      <w:t xml:space="preserve">pág. </w:t>
    </w:r>
    <w:r w:rsidRPr="00F55D6E">
      <w:rPr>
        <w:rFonts w:ascii="Times New Roman" w:hAnsi="Times New Roman" w:cs="Times New Roman"/>
        <w:color w:val="4F81BD" w:themeColor="accent1"/>
        <w:sz w:val="16"/>
        <w:szCs w:val="20"/>
      </w:rPr>
      <w:fldChar w:fldCharType="begin"/>
    </w:r>
    <w:r w:rsidRPr="00F55D6E">
      <w:rPr>
        <w:rFonts w:ascii="Times New Roman" w:hAnsi="Times New Roman" w:cs="Times New Roman"/>
        <w:color w:val="4F81BD" w:themeColor="accent1"/>
        <w:sz w:val="16"/>
        <w:szCs w:val="20"/>
      </w:rPr>
      <w:instrText>PAGE  \* Arabic</w:instrText>
    </w:r>
    <w:r w:rsidRPr="00F55D6E">
      <w:rPr>
        <w:rFonts w:ascii="Times New Roman" w:hAnsi="Times New Roman" w:cs="Times New Roman"/>
        <w:color w:val="4F81BD" w:themeColor="accent1"/>
        <w:sz w:val="16"/>
        <w:szCs w:val="20"/>
      </w:rPr>
      <w:fldChar w:fldCharType="separate"/>
    </w:r>
    <w:r w:rsidR="003367BA">
      <w:rPr>
        <w:rFonts w:ascii="Times New Roman" w:hAnsi="Times New Roman" w:cs="Times New Roman"/>
        <w:noProof/>
        <w:color w:val="4F81BD" w:themeColor="accent1"/>
        <w:sz w:val="16"/>
        <w:szCs w:val="20"/>
      </w:rPr>
      <w:t>2</w:t>
    </w:r>
    <w:r w:rsidRPr="00F55D6E">
      <w:rPr>
        <w:rFonts w:ascii="Times New Roman" w:hAnsi="Times New Roman" w:cs="Times New Roman"/>
        <w:color w:val="4F81BD" w:themeColor="accent1"/>
        <w:sz w:val="16"/>
        <w:szCs w:val="20"/>
      </w:rPr>
      <w:fldChar w:fldCharType="end"/>
    </w:r>
  </w:p>
  <w:p w14:paraId="1570A862" w14:textId="77777777" w:rsidR="00062207" w:rsidRDefault="00062207"/>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C90674" w14:textId="0F4F12FD" w:rsidR="00062207" w:rsidRPr="00F55D6E" w:rsidRDefault="00062207" w:rsidP="006223D4">
    <w:pPr>
      <w:pStyle w:val="Piedepgina"/>
      <w:jc w:val="center"/>
      <w:rPr>
        <w:rFonts w:ascii="Times New Roman" w:hAnsi="Times New Roman" w:cs="Times New Roman"/>
        <w:sz w:val="20"/>
      </w:rPr>
    </w:pPr>
  </w:p>
  <w:p w14:paraId="54098973" w14:textId="77777777" w:rsidR="00062207" w:rsidRDefault="00062207">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C86740D" w14:textId="77777777" w:rsidR="00271944" w:rsidRDefault="00271944" w:rsidP="000B5E1C">
      <w:r>
        <w:separator/>
      </w:r>
    </w:p>
  </w:footnote>
  <w:footnote w:type="continuationSeparator" w:id="0">
    <w:p w14:paraId="2A862D74" w14:textId="77777777" w:rsidR="00271944" w:rsidRDefault="00271944" w:rsidP="000B5E1C">
      <w:r>
        <w:continuationSeparator/>
      </w:r>
    </w:p>
  </w:footnote>
  <w:footnote w:id="1">
    <w:p w14:paraId="18212443" w14:textId="77777777" w:rsidR="00062207" w:rsidRPr="00DB5405" w:rsidRDefault="00062207" w:rsidP="00062207">
      <w:pPr>
        <w:pStyle w:val="Textonotapie"/>
        <w:rPr>
          <w:lang w:val="es-US"/>
        </w:rPr>
      </w:pPr>
      <w:r>
        <w:rPr>
          <w:rStyle w:val="Refdenotaalpie"/>
        </w:rPr>
        <w:footnoteRef/>
      </w:r>
      <w:r>
        <w:t xml:space="preserve"> </w:t>
      </w:r>
      <w:r w:rsidRPr="00DB5405">
        <w:rPr>
          <w:rFonts w:ascii="Times New Roman" w:hAnsi="Times New Roman" w:cs="Times New Roman"/>
        </w:rPr>
        <w:t>La meta de recaudación tributaria anual se revisó con información proporcionada por el BANGUAT respecto a las expectativas macroeconómicas de cierre, estimándose que, con el nuevo entorno, la recaudación observada superó el nuevo valor de la meta indicativa en 4.5%, generando una brecha positiva de Q3,204.0 millones asociadas a dichas variables.  Adicionalmente, se registró un pago atípico en el régimen de rentas no domiciliados por poco más de Q1,400 millones.</w:t>
      </w:r>
    </w:p>
  </w:footnote>
  <w:footnote w:id="2">
    <w:p w14:paraId="75AD8098" w14:textId="77777777" w:rsidR="00062207" w:rsidRPr="00496542" w:rsidRDefault="00062207" w:rsidP="00062207">
      <w:pPr>
        <w:pStyle w:val="Textonotapie"/>
        <w:rPr>
          <w:lang w:val="es-US"/>
        </w:rPr>
      </w:pPr>
      <w:r>
        <w:rPr>
          <w:rStyle w:val="Refdenotaalpie"/>
        </w:rPr>
        <w:footnoteRef/>
      </w:r>
      <w:r>
        <w:t xml:space="preserve"> </w:t>
      </w:r>
      <w:r w:rsidRPr="005D35C9">
        <w:rPr>
          <w:rFonts w:ascii="Times New Roman" w:hAnsi="Times New Roman" w:cs="Times New Roman"/>
          <w:sz w:val="16"/>
          <w:szCs w:val="18"/>
        </w:rPr>
        <w:t>TEUS: Capacidad de carga de un contenedor de 20 pies</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97249D" w14:textId="77777777" w:rsidR="00062207" w:rsidRPr="00F55D6E" w:rsidRDefault="00062207" w:rsidP="00AC45C7">
    <w:pPr>
      <w:pStyle w:val="Encabezado"/>
      <w:jc w:val="right"/>
      <w:rPr>
        <w:rFonts w:ascii="Times New Roman" w:hAnsi="Times New Roman" w:cs="Times New Roman"/>
        <w:i/>
        <w:color w:val="1F497D" w:themeColor="text2"/>
        <w:sz w:val="28"/>
      </w:rPr>
    </w:pPr>
    <w:r w:rsidRPr="0061510B">
      <w:rPr>
        <w:noProof/>
        <w:sz w:val="22"/>
        <w:lang w:val="es-GT" w:eastAsia="es-GT"/>
      </w:rPr>
      <w:drawing>
        <wp:anchor distT="0" distB="0" distL="114300" distR="114300" simplePos="0" relativeHeight="251670528" behindDoc="0" locked="0" layoutInCell="1" allowOverlap="1" wp14:anchorId="27A579B5" wp14:editId="123AD6D8">
          <wp:simplePos x="0" y="0"/>
          <wp:positionH relativeFrom="column">
            <wp:posOffset>-63611</wp:posOffset>
          </wp:positionH>
          <wp:positionV relativeFrom="paragraph">
            <wp:posOffset>-286882</wp:posOffset>
          </wp:positionV>
          <wp:extent cx="1598212" cy="723976"/>
          <wp:effectExtent l="0" t="0" r="2540" b="0"/>
          <wp:wrapNone/>
          <wp:docPr id="5" name="Imagen 5" descr="Resultado de imagen para gobierno de guatemal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gobierno de guatemala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98212" cy="72397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510B">
      <w:rPr>
        <w:rFonts w:ascii="Times New Roman" w:hAnsi="Times New Roman" w:cs="Times New Roman"/>
        <w:i/>
        <w:color w:val="1F497D" w:themeColor="text2"/>
        <w:sz w:val="22"/>
      </w:rPr>
      <w:t>Dirección de Análisis y Política Fiscal</w:t>
    </w:r>
  </w:p>
  <w:p w14:paraId="396474E0" w14:textId="77777777" w:rsidR="00062207" w:rsidRDefault="00062207">
    <w:r w:rsidRPr="00F55D6E">
      <w:rPr>
        <w:rFonts w:ascii="Times New Roman" w:hAnsi="Times New Roman" w:cs="Times New Roman"/>
        <w:noProof/>
        <w:color w:val="4F81BD" w:themeColor="accent1"/>
        <w:sz w:val="12"/>
        <w:szCs w:val="16"/>
        <w:lang w:val="es-GT" w:eastAsia="es-GT"/>
      </w:rPr>
      <mc:AlternateContent>
        <mc:Choice Requires="wps">
          <w:drawing>
            <wp:anchor distT="0" distB="0" distL="114300" distR="114300" simplePos="0" relativeHeight="251682816" behindDoc="0" locked="0" layoutInCell="1" allowOverlap="1" wp14:anchorId="7650D7E2" wp14:editId="5DAC062F">
              <wp:simplePos x="0" y="0"/>
              <wp:positionH relativeFrom="column">
                <wp:posOffset>1890395</wp:posOffset>
              </wp:positionH>
              <wp:positionV relativeFrom="paragraph">
                <wp:posOffset>83821</wp:posOffset>
              </wp:positionV>
              <wp:extent cx="4985468" cy="45719"/>
              <wp:effectExtent l="38100" t="38100" r="62865" b="88265"/>
              <wp:wrapNone/>
              <wp:docPr id="23" name="Rectángulo 23"/>
              <wp:cNvGraphicFramePr/>
              <a:graphic xmlns:a="http://schemas.openxmlformats.org/drawingml/2006/main">
                <a:graphicData uri="http://schemas.microsoft.com/office/word/2010/wordprocessingShape">
                  <wps:wsp>
                    <wps:cNvSpPr/>
                    <wps:spPr>
                      <a:xfrm>
                        <a:off x="0" y="0"/>
                        <a:ext cx="4985468" cy="45719"/>
                      </a:xfrm>
                      <a:prstGeom prst="rect">
                        <a:avLst/>
                      </a:prstGeom>
                      <a:gradFill flip="none" rotWithShape="1">
                        <a:gsLst>
                          <a:gs pos="0">
                            <a:schemeClr val="accent1">
                              <a:lumMod val="67000"/>
                            </a:schemeClr>
                          </a:gs>
                          <a:gs pos="48000">
                            <a:schemeClr val="accent1">
                              <a:lumMod val="97000"/>
                              <a:lumOff val="3000"/>
                            </a:schemeClr>
                          </a:gs>
                          <a:gs pos="100000">
                            <a:schemeClr val="accent1">
                              <a:lumMod val="60000"/>
                              <a:lumOff val="40000"/>
                            </a:schemeClr>
                          </a:gs>
                        </a:gsLst>
                        <a:path path="circle">
                          <a:fillToRect l="100000" t="100000"/>
                        </a:path>
                        <a:tileRect r="-100000" b="-100000"/>
                      </a:gradFill>
                      <a:ln w="3175">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7264BF2" id="Rectángulo 23" o:spid="_x0000_s1026" style="position:absolute;margin-left:148.85pt;margin-top:6.6pt;width:392.55pt;height:3.6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" fillcolor="#305581 [2148]" stroked="f" strokeweight=".25pt">
              <v:fill color2="#95b3d7 [1940]" rotate="t" focusposition="1,1" focussize="" colors="0 #315683;31457f #5485bf;1 #95b3d7" focus="100%" type="gradientRadial"/>
              <v:shadow on="t" color="black" opacity="26214f" origin="-.5,-.5" offset=".74836mm,.74836mm"/>
            </v:rect>
          </w:pict>
        </mc:Fallback>
      </mc:AlternateContent>
    </w:r>
  </w:p>
  <w:p w14:paraId="5DE4870C" w14:textId="77777777" w:rsidR="00062207" w:rsidRDefault="00062207"/>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F3A7D94"/>
    <w:multiLevelType w:val="hybridMultilevel"/>
    <w:tmpl w:val="D4A44934"/>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 w15:restartNumberingAfterBreak="0">
    <w:nsid w:val="31A24AD2"/>
    <w:multiLevelType w:val="multilevel"/>
    <w:tmpl w:val="0C0A0025"/>
    <w:lvl w:ilvl="0">
      <w:start w:val="1"/>
      <w:numFmt w:val="decimal"/>
      <w:pStyle w:val="Ttulo11"/>
      <w:lvlText w:val="%1"/>
      <w:lvlJc w:val="left"/>
      <w:pPr>
        <w:ind w:left="432" w:hanging="432"/>
      </w:pPr>
    </w:lvl>
    <w:lvl w:ilvl="1">
      <w:start w:val="1"/>
      <w:numFmt w:val="decimal"/>
      <w:pStyle w:val="Ttulo21"/>
      <w:lvlText w:val="%1.%2"/>
      <w:lvlJc w:val="left"/>
      <w:pPr>
        <w:ind w:left="576" w:hanging="576"/>
      </w:pPr>
    </w:lvl>
    <w:lvl w:ilvl="2">
      <w:start w:val="1"/>
      <w:numFmt w:val="decimal"/>
      <w:pStyle w:val="Ttulo31"/>
      <w:lvlText w:val="%1.%2.%3"/>
      <w:lvlJc w:val="left"/>
      <w:pPr>
        <w:ind w:left="720" w:hanging="720"/>
      </w:pPr>
    </w:lvl>
    <w:lvl w:ilvl="3">
      <w:start w:val="1"/>
      <w:numFmt w:val="decimal"/>
      <w:pStyle w:val="Ttulo41"/>
      <w:lvlText w:val="%1.%2.%3.%4"/>
      <w:lvlJc w:val="left"/>
      <w:pPr>
        <w:ind w:left="864" w:hanging="864"/>
      </w:pPr>
    </w:lvl>
    <w:lvl w:ilvl="4">
      <w:start w:val="1"/>
      <w:numFmt w:val="decimal"/>
      <w:pStyle w:val="Ttulo51"/>
      <w:lvlText w:val="%1.%2.%3.%4.%5"/>
      <w:lvlJc w:val="left"/>
      <w:pPr>
        <w:ind w:left="1008" w:hanging="1008"/>
      </w:pPr>
    </w:lvl>
    <w:lvl w:ilvl="5">
      <w:start w:val="1"/>
      <w:numFmt w:val="decimal"/>
      <w:pStyle w:val="Ttulo61"/>
      <w:lvlText w:val="%1.%2.%3.%4.%5.%6"/>
      <w:lvlJc w:val="left"/>
      <w:pPr>
        <w:ind w:left="1152" w:hanging="1152"/>
      </w:pPr>
    </w:lvl>
    <w:lvl w:ilvl="6">
      <w:start w:val="1"/>
      <w:numFmt w:val="decimal"/>
      <w:pStyle w:val="Ttulo71"/>
      <w:lvlText w:val="%1.%2.%3.%4.%5.%6.%7"/>
      <w:lvlJc w:val="left"/>
      <w:pPr>
        <w:ind w:left="1296" w:hanging="1296"/>
      </w:pPr>
    </w:lvl>
    <w:lvl w:ilvl="7">
      <w:start w:val="1"/>
      <w:numFmt w:val="decimal"/>
      <w:pStyle w:val="Ttulo81"/>
      <w:lvlText w:val="%1.%2.%3.%4.%5.%6.%7.%8"/>
      <w:lvlJc w:val="left"/>
      <w:pPr>
        <w:ind w:left="1440" w:hanging="1440"/>
      </w:pPr>
    </w:lvl>
    <w:lvl w:ilvl="8">
      <w:start w:val="1"/>
      <w:numFmt w:val="decimal"/>
      <w:pStyle w:val="Ttulo91"/>
      <w:lvlText w:val="%1.%2.%3.%4.%5.%6.%7.%8.%9"/>
      <w:lvlJc w:val="left"/>
      <w:pPr>
        <w:ind w:left="1584" w:hanging="1584"/>
      </w:pPr>
    </w:lvl>
  </w:abstractNum>
  <w:abstractNum w:abstractNumId="2" w15:restartNumberingAfterBreak="0">
    <w:nsid w:val="32756BFE"/>
    <w:multiLevelType w:val="hybridMultilevel"/>
    <w:tmpl w:val="A0EC13DE"/>
    <w:lvl w:ilvl="0" w:tplc="100A000D">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 w15:restartNumberingAfterBreak="0">
    <w:nsid w:val="33922573"/>
    <w:multiLevelType w:val="hybridMultilevel"/>
    <w:tmpl w:val="F15AD442"/>
    <w:lvl w:ilvl="0" w:tplc="100A000B">
      <w:start w:val="1"/>
      <w:numFmt w:val="bullet"/>
      <w:lvlText w:val=""/>
      <w:lvlJc w:val="left"/>
      <w:pPr>
        <w:ind w:left="720" w:hanging="360"/>
      </w:pPr>
      <w:rPr>
        <w:rFonts w:ascii="Wingdings" w:hAnsi="Wingdings" w:hint="default"/>
      </w:rPr>
    </w:lvl>
    <w:lvl w:ilvl="1" w:tplc="100A0003">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4" w15:restartNumberingAfterBreak="0">
    <w:nsid w:val="41F878AD"/>
    <w:multiLevelType w:val="multilevel"/>
    <w:tmpl w:val="6BE6BB4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color w:val="auto"/>
        <w:sz w:val="22"/>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423772FF"/>
    <w:multiLevelType w:val="multilevel"/>
    <w:tmpl w:val="8960C11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4BD44D8F"/>
    <w:multiLevelType w:val="hybridMultilevel"/>
    <w:tmpl w:val="27205566"/>
    <w:lvl w:ilvl="0" w:tplc="98EC0856">
      <w:start w:val="1"/>
      <w:numFmt w:val="lowerLetter"/>
      <w:lvlText w:val="%1)"/>
      <w:lvlJc w:val="left"/>
      <w:pPr>
        <w:ind w:left="644" w:hanging="360"/>
      </w:pPr>
      <w:rPr>
        <w:rFonts w:hint="default"/>
      </w:rPr>
    </w:lvl>
    <w:lvl w:ilvl="1" w:tplc="100A0019">
      <w:start w:val="1"/>
      <w:numFmt w:val="lowerLetter"/>
      <w:lvlText w:val="%2."/>
      <w:lvlJc w:val="left"/>
      <w:pPr>
        <w:ind w:left="1364" w:hanging="360"/>
      </w:pPr>
    </w:lvl>
    <w:lvl w:ilvl="2" w:tplc="100A001B" w:tentative="1">
      <w:start w:val="1"/>
      <w:numFmt w:val="lowerRoman"/>
      <w:lvlText w:val="%3."/>
      <w:lvlJc w:val="right"/>
      <w:pPr>
        <w:ind w:left="2084" w:hanging="180"/>
      </w:pPr>
    </w:lvl>
    <w:lvl w:ilvl="3" w:tplc="100A000F" w:tentative="1">
      <w:start w:val="1"/>
      <w:numFmt w:val="decimal"/>
      <w:lvlText w:val="%4."/>
      <w:lvlJc w:val="left"/>
      <w:pPr>
        <w:ind w:left="2804" w:hanging="360"/>
      </w:pPr>
    </w:lvl>
    <w:lvl w:ilvl="4" w:tplc="100A0019" w:tentative="1">
      <w:start w:val="1"/>
      <w:numFmt w:val="lowerLetter"/>
      <w:lvlText w:val="%5."/>
      <w:lvlJc w:val="left"/>
      <w:pPr>
        <w:ind w:left="3524" w:hanging="360"/>
      </w:pPr>
    </w:lvl>
    <w:lvl w:ilvl="5" w:tplc="100A001B" w:tentative="1">
      <w:start w:val="1"/>
      <w:numFmt w:val="lowerRoman"/>
      <w:lvlText w:val="%6."/>
      <w:lvlJc w:val="right"/>
      <w:pPr>
        <w:ind w:left="4244" w:hanging="180"/>
      </w:pPr>
    </w:lvl>
    <w:lvl w:ilvl="6" w:tplc="100A000F" w:tentative="1">
      <w:start w:val="1"/>
      <w:numFmt w:val="decimal"/>
      <w:lvlText w:val="%7."/>
      <w:lvlJc w:val="left"/>
      <w:pPr>
        <w:ind w:left="4964" w:hanging="360"/>
      </w:pPr>
    </w:lvl>
    <w:lvl w:ilvl="7" w:tplc="100A0019" w:tentative="1">
      <w:start w:val="1"/>
      <w:numFmt w:val="lowerLetter"/>
      <w:lvlText w:val="%8."/>
      <w:lvlJc w:val="left"/>
      <w:pPr>
        <w:ind w:left="5684" w:hanging="360"/>
      </w:pPr>
    </w:lvl>
    <w:lvl w:ilvl="8" w:tplc="100A001B" w:tentative="1">
      <w:start w:val="1"/>
      <w:numFmt w:val="lowerRoman"/>
      <w:lvlText w:val="%9."/>
      <w:lvlJc w:val="right"/>
      <w:pPr>
        <w:ind w:left="6404" w:hanging="180"/>
      </w:pPr>
    </w:lvl>
  </w:abstractNum>
  <w:abstractNum w:abstractNumId="7" w15:restartNumberingAfterBreak="0">
    <w:nsid w:val="4DF212FC"/>
    <w:multiLevelType w:val="multilevel"/>
    <w:tmpl w:val="AEDA7B2C"/>
    <w:lvl w:ilvl="0">
      <w:start w:val="1"/>
      <w:numFmt w:val="upperRoman"/>
      <w:lvlText w:val="%1."/>
      <w:lvlJc w:val="left"/>
      <w:pPr>
        <w:ind w:left="720" w:hanging="72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8" w15:restartNumberingAfterBreak="0">
    <w:nsid w:val="523C077D"/>
    <w:multiLevelType w:val="multilevel"/>
    <w:tmpl w:val="4322046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color w:val="auto"/>
        <w:sz w:val="24"/>
        <w:szCs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58741E90"/>
    <w:multiLevelType w:val="multilevel"/>
    <w:tmpl w:val="58DEA22A"/>
    <w:lvl w:ilvl="0">
      <w:start w:val="1"/>
      <w:numFmt w:val="upperRoman"/>
      <w:lvlText w:val="%1."/>
      <w:lvlJc w:val="left"/>
      <w:pPr>
        <w:ind w:left="810" w:hanging="720"/>
      </w:pPr>
      <w:rPr>
        <w:rFonts w:hint="default"/>
      </w:rPr>
    </w:lvl>
    <w:lvl w:ilvl="1">
      <w:start w:val="3"/>
      <w:numFmt w:val="decimal"/>
      <w:isLgl/>
      <w:lvlText w:val="%1.%2"/>
      <w:lvlJc w:val="left"/>
      <w:pPr>
        <w:ind w:left="660" w:hanging="660"/>
      </w:pPr>
      <w:rPr>
        <w:rFonts w:hint="default"/>
      </w:rPr>
    </w:lvl>
    <w:lvl w:ilvl="2">
      <w:start w:val="3"/>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0" w15:restartNumberingAfterBreak="0">
    <w:nsid w:val="61E30484"/>
    <w:multiLevelType w:val="hybridMultilevel"/>
    <w:tmpl w:val="EDC2AD44"/>
    <w:lvl w:ilvl="0" w:tplc="100A0003">
      <w:start w:val="1"/>
      <w:numFmt w:val="bullet"/>
      <w:lvlText w:val="o"/>
      <w:lvlJc w:val="left"/>
      <w:pPr>
        <w:ind w:left="720" w:hanging="360"/>
      </w:pPr>
      <w:rPr>
        <w:rFonts w:ascii="Courier New" w:hAnsi="Courier New" w:cs="Courier New"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1" w15:restartNumberingAfterBreak="0">
    <w:nsid w:val="627D15BE"/>
    <w:multiLevelType w:val="multilevel"/>
    <w:tmpl w:val="E6A2508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color w:val="auto"/>
        <w:sz w:val="22"/>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65FB276D"/>
    <w:multiLevelType w:val="multilevel"/>
    <w:tmpl w:val="E0B2BB44"/>
    <w:lvl w:ilvl="0">
      <w:start w:val="5"/>
      <w:numFmt w:val="upperRoman"/>
      <w:lvlText w:val="%1."/>
      <w:lvlJc w:val="left"/>
      <w:pPr>
        <w:ind w:left="720" w:hanging="720"/>
      </w:pPr>
      <w:rPr>
        <w:rFonts w:hint="default"/>
      </w:r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3" w15:restartNumberingAfterBreak="0">
    <w:nsid w:val="6B810201"/>
    <w:multiLevelType w:val="hybridMultilevel"/>
    <w:tmpl w:val="11902E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A57400F"/>
    <w:multiLevelType w:val="hybridMultilevel"/>
    <w:tmpl w:val="86E8E904"/>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5" w15:restartNumberingAfterBreak="0">
    <w:nsid w:val="7AB00F91"/>
    <w:multiLevelType w:val="hybridMultilevel"/>
    <w:tmpl w:val="A398AE5C"/>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6" w15:restartNumberingAfterBreak="0">
    <w:nsid w:val="7F134448"/>
    <w:multiLevelType w:val="hybridMultilevel"/>
    <w:tmpl w:val="8F288D72"/>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num w:numId="1">
    <w:abstractNumId w:val="8"/>
  </w:num>
  <w:num w:numId="2">
    <w:abstractNumId w:val="1"/>
  </w:num>
  <w:num w:numId="3">
    <w:abstractNumId w:val="11"/>
  </w:num>
  <w:num w:numId="4">
    <w:abstractNumId w:val="15"/>
  </w:num>
  <w:num w:numId="5">
    <w:abstractNumId w:val="2"/>
  </w:num>
  <w:num w:numId="6">
    <w:abstractNumId w:val="10"/>
  </w:num>
  <w:num w:numId="7">
    <w:abstractNumId w:val="6"/>
  </w:num>
  <w:num w:numId="8">
    <w:abstractNumId w:val="16"/>
  </w:num>
  <w:num w:numId="9">
    <w:abstractNumId w:val="3"/>
  </w:num>
  <w:num w:numId="10">
    <w:abstractNumId w:val="12"/>
  </w:num>
  <w:num w:numId="11">
    <w:abstractNumId w:val="9"/>
  </w:num>
  <w:num w:numId="12">
    <w:abstractNumId w:val="5"/>
  </w:num>
  <w:num w:numId="13">
    <w:abstractNumId w:val="14"/>
  </w:num>
  <w:num w:numId="14">
    <w:abstractNumId w:val="13"/>
  </w:num>
  <w:num w:numId="15">
    <w:abstractNumId w:val="7"/>
  </w:num>
  <w:num w:numId="16">
    <w:abstractNumId w:val="4"/>
  </w:num>
  <w:num w:numId="17">
    <w:abstractNumId w:val="0"/>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43598"/>
    <w:rsid w:val="00000530"/>
    <w:rsid w:val="000059AF"/>
    <w:rsid w:val="00006D41"/>
    <w:rsid w:val="00010EE9"/>
    <w:rsid w:val="00011685"/>
    <w:rsid w:val="000144D5"/>
    <w:rsid w:val="00016DF6"/>
    <w:rsid w:val="00023DC8"/>
    <w:rsid w:val="00031A96"/>
    <w:rsid w:val="00032756"/>
    <w:rsid w:val="00033312"/>
    <w:rsid w:val="00037DDD"/>
    <w:rsid w:val="000405E1"/>
    <w:rsid w:val="00045570"/>
    <w:rsid w:val="000500ED"/>
    <w:rsid w:val="00054C47"/>
    <w:rsid w:val="00062207"/>
    <w:rsid w:val="00066773"/>
    <w:rsid w:val="000674D4"/>
    <w:rsid w:val="000676DE"/>
    <w:rsid w:val="0007165D"/>
    <w:rsid w:val="00071AD9"/>
    <w:rsid w:val="00076512"/>
    <w:rsid w:val="0008282D"/>
    <w:rsid w:val="00084C3C"/>
    <w:rsid w:val="000869A1"/>
    <w:rsid w:val="0008775B"/>
    <w:rsid w:val="00090AF4"/>
    <w:rsid w:val="000968E3"/>
    <w:rsid w:val="0009761F"/>
    <w:rsid w:val="000A5D59"/>
    <w:rsid w:val="000A715B"/>
    <w:rsid w:val="000B42E5"/>
    <w:rsid w:val="000B5E1C"/>
    <w:rsid w:val="000C0470"/>
    <w:rsid w:val="000C3148"/>
    <w:rsid w:val="000C5BDD"/>
    <w:rsid w:val="000D29F4"/>
    <w:rsid w:val="000D2F4D"/>
    <w:rsid w:val="000D42A8"/>
    <w:rsid w:val="000D4668"/>
    <w:rsid w:val="000D525A"/>
    <w:rsid w:val="000D58D6"/>
    <w:rsid w:val="000D5E74"/>
    <w:rsid w:val="000D6D69"/>
    <w:rsid w:val="000F0DA3"/>
    <w:rsid w:val="001030D1"/>
    <w:rsid w:val="00104354"/>
    <w:rsid w:val="001111A3"/>
    <w:rsid w:val="001118EA"/>
    <w:rsid w:val="00112A52"/>
    <w:rsid w:val="00113A1E"/>
    <w:rsid w:val="001142E4"/>
    <w:rsid w:val="00116445"/>
    <w:rsid w:val="00117846"/>
    <w:rsid w:val="001238C6"/>
    <w:rsid w:val="00125C0D"/>
    <w:rsid w:val="0012656D"/>
    <w:rsid w:val="00130716"/>
    <w:rsid w:val="00134CEB"/>
    <w:rsid w:val="00136A35"/>
    <w:rsid w:val="001401B2"/>
    <w:rsid w:val="001444E8"/>
    <w:rsid w:val="00145631"/>
    <w:rsid w:val="00146E39"/>
    <w:rsid w:val="0015140B"/>
    <w:rsid w:val="001572C8"/>
    <w:rsid w:val="001577E6"/>
    <w:rsid w:val="0016266C"/>
    <w:rsid w:val="001654A0"/>
    <w:rsid w:val="00181C9E"/>
    <w:rsid w:val="00194B84"/>
    <w:rsid w:val="00195B95"/>
    <w:rsid w:val="00196774"/>
    <w:rsid w:val="001A0AC9"/>
    <w:rsid w:val="001B0A72"/>
    <w:rsid w:val="001B2958"/>
    <w:rsid w:val="001B44B0"/>
    <w:rsid w:val="001C135D"/>
    <w:rsid w:val="001C184E"/>
    <w:rsid w:val="001D08EE"/>
    <w:rsid w:val="001D1E9F"/>
    <w:rsid w:val="001D2C47"/>
    <w:rsid w:val="001D4B49"/>
    <w:rsid w:val="001E1053"/>
    <w:rsid w:val="001E1A93"/>
    <w:rsid w:val="001E4E19"/>
    <w:rsid w:val="001E7182"/>
    <w:rsid w:val="001E7890"/>
    <w:rsid w:val="001F67A2"/>
    <w:rsid w:val="00206BA3"/>
    <w:rsid w:val="002171B6"/>
    <w:rsid w:val="0021786D"/>
    <w:rsid w:val="00227D46"/>
    <w:rsid w:val="00231C81"/>
    <w:rsid w:val="00233476"/>
    <w:rsid w:val="00240FF1"/>
    <w:rsid w:val="00241428"/>
    <w:rsid w:val="00243DA8"/>
    <w:rsid w:val="00244A1B"/>
    <w:rsid w:val="00246573"/>
    <w:rsid w:val="00257574"/>
    <w:rsid w:val="002610C9"/>
    <w:rsid w:val="002651F8"/>
    <w:rsid w:val="002663D9"/>
    <w:rsid w:val="00271944"/>
    <w:rsid w:val="0027525C"/>
    <w:rsid w:val="00275AEC"/>
    <w:rsid w:val="00282A45"/>
    <w:rsid w:val="00283EA8"/>
    <w:rsid w:val="002A34E0"/>
    <w:rsid w:val="002B098A"/>
    <w:rsid w:val="002B7133"/>
    <w:rsid w:val="002B7931"/>
    <w:rsid w:val="002C4A92"/>
    <w:rsid w:val="002C757E"/>
    <w:rsid w:val="002D48F3"/>
    <w:rsid w:val="002D5796"/>
    <w:rsid w:val="002E7AAA"/>
    <w:rsid w:val="002F419E"/>
    <w:rsid w:val="002F45D3"/>
    <w:rsid w:val="00300F2D"/>
    <w:rsid w:val="00303B38"/>
    <w:rsid w:val="00305BC5"/>
    <w:rsid w:val="00310CF0"/>
    <w:rsid w:val="003245E4"/>
    <w:rsid w:val="0032588B"/>
    <w:rsid w:val="00325A88"/>
    <w:rsid w:val="0033184E"/>
    <w:rsid w:val="00333087"/>
    <w:rsid w:val="00333816"/>
    <w:rsid w:val="003350FB"/>
    <w:rsid w:val="003367BA"/>
    <w:rsid w:val="00337720"/>
    <w:rsid w:val="00341033"/>
    <w:rsid w:val="00342995"/>
    <w:rsid w:val="00350960"/>
    <w:rsid w:val="00351803"/>
    <w:rsid w:val="00355FC2"/>
    <w:rsid w:val="00356391"/>
    <w:rsid w:val="00360874"/>
    <w:rsid w:val="0036149D"/>
    <w:rsid w:val="00364844"/>
    <w:rsid w:val="00367243"/>
    <w:rsid w:val="00372105"/>
    <w:rsid w:val="003730D1"/>
    <w:rsid w:val="003810EA"/>
    <w:rsid w:val="00383208"/>
    <w:rsid w:val="00390E93"/>
    <w:rsid w:val="003946A2"/>
    <w:rsid w:val="003A3D61"/>
    <w:rsid w:val="003A41DF"/>
    <w:rsid w:val="003B560F"/>
    <w:rsid w:val="003B5A04"/>
    <w:rsid w:val="003B7FAD"/>
    <w:rsid w:val="003C0FB9"/>
    <w:rsid w:val="003C2C64"/>
    <w:rsid w:val="003C338B"/>
    <w:rsid w:val="003D1F6D"/>
    <w:rsid w:val="003D2A2A"/>
    <w:rsid w:val="003D452A"/>
    <w:rsid w:val="003D7510"/>
    <w:rsid w:val="003E4169"/>
    <w:rsid w:val="003E4961"/>
    <w:rsid w:val="003E6905"/>
    <w:rsid w:val="003F15FF"/>
    <w:rsid w:val="003F28D0"/>
    <w:rsid w:val="003F5841"/>
    <w:rsid w:val="003F6C74"/>
    <w:rsid w:val="00404B85"/>
    <w:rsid w:val="00406A74"/>
    <w:rsid w:val="00406E52"/>
    <w:rsid w:val="00411D04"/>
    <w:rsid w:val="004139E4"/>
    <w:rsid w:val="00421AD9"/>
    <w:rsid w:val="00421BF6"/>
    <w:rsid w:val="00432E87"/>
    <w:rsid w:val="00436454"/>
    <w:rsid w:val="00436782"/>
    <w:rsid w:val="00443624"/>
    <w:rsid w:val="0044706E"/>
    <w:rsid w:val="00457E5B"/>
    <w:rsid w:val="00463E5D"/>
    <w:rsid w:val="00465D69"/>
    <w:rsid w:val="004665F9"/>
    <w:rsid w:val="00467307"/>
    <w:rsid w:val="004675CE"/>
    <w:rsid w:val="004678EC"/>
    <w:rsid w:val="00473867"/>
    <w:rsid w:val="004751C3"/>
    <w:rsid w:val="00476B36"/>
    <w:rsid w:val="0048090F"/>
    <w:rsid w:val="004954E2"/>
    <w:rsid w:val="004B5580"/>
    <w:rsid w:val="004B7E1B"/>
    <w:rsid w:val="004C07BF"/>
    <w:rsid w:val="004C1A75"/>
    <w:rsid w:val="004C321C"/>
    <w:rsid w:val="004C7721"/>
    <w:rsid w:val="004E5DBF"/>
    <w:rsid w:val="004F11E5"/>
    <w:rsid w:val="004F1695"/>
    <w:rsid w:val="004F2A43"/>
    <w:rsid w:val="004F3AAA"/>
    <w:rsid w:val="004F4021"/>
    <w:rsid w:val="004F692E"/>
    <w:rsid w:val="004F6E40"/>
    <w:rsid w:val="00500BE2"/>
    <w:rsid w:val="00502DF2"/>
    <w:rsid w:val="0050318F"/>
    <w:rsid w:val="00504015"/>
    <w:rsid w:val="00504C85"/>
    <w:rsid w:val="00513A4A"/>
    <w:rsid w:val="00515C74"/>
    <w:rsid w:val="005176B4"/>
    <w:rsid w:val="00521C49"/>
    <w:rsid w:val="00522E54"/>
    <w:rsid w:val="00524390"/>
    <w:rsid w:val="0053131C"/>
    <w:rsid w:val="00532772"/>
    <w:rsid w:val="005329C2"/>
    <w:rsid w:val="00534328"/>
    <w:rsid w:val="005360E7"/>
    <w:rsid w:val="005367C4"/>
    <w:rsid w:val="00541296"/>
    <w:rsid w:val="00545196"/>
    <w:rsid w:val="005456BF"/>
    <w:rsid w:val="00545F8F"/>
    <w:rsid w:val="005460B1"/>
    <w:rsid w:val="00547B82"/>
    <w:rsid w:val="00551A24"/>
    <w:rsid w:val="00556E54"/>
    <w:rsid w:val="00557356"/>
    <w:rsid w:val="005639BA"/>
    <w:rsid w:val="00563EE2"/>
    <w:rsid w:val="00574C98"/>
    <w:rsid w:val="00575B63"/>
    <w:rsid w:val="00575C86"/>
    <w:rsid w:val="005808C5"/>
    <w:rsid w:val="00584C35"/>
    <w:rsid w:val="005859D4"/>
    <w:rsid w:val="0059289A"/>
    <w:rsid w:val="005A17D8"/>
    <w:rsid w:val="005A2D59"/>
    <w:rsid w:val="005A309C"/>
    <w:rsid w:val="005A49AA"/>
    <w:rsid w:val="005A7DC2"/>
    <w:rsid w:val="005B38A5"/>
    <w:rsid w:val="005B5816"/>
    <w:rsid w:val="005B5E8B"/>
    <w:rsid w:val="005C101E"/>
    <w:rsid w:val="005C1549"/>
    <w:rsid w:val="005C2BD0"/>
    <w:rsid w:val="005C5656"/>
    <w:rsid w:val="005D0275"/>
    <w:rsid w:val="005D1707"/>
    <w:rsid w:val="005D2E3D"/>
    <w:rsid w:val="005D391E"/>
    <w:rsid w:val="005D52AC"/>
    <w:rsid w:val="005D6E65"/>
    <w:rsid w:val="005E08BE"/>
    <w:rsid w:val="005E0BD5"/>
    <w:rsid w:val="005E6093"/>
    <w:rsid w:val="005F4645"/>
    <w:rsid w:val="00601FD8"/>
    <w:rsid w:val="00607C6C"/>
    <w:rsid w:val="006140EA"/>
    <w:rsid w:val="0061510B"/>
    <w:rsid w:val="006151D7"/>
    <w:rsid w:val="006223D4"/>
    <w:rsid w:val="006227DA"/>
    <w:rsid w:val="00624E2C"/>
    <w:rsid w:val="006301C4"/>
    <w:rsid w:val="0063193D"/>
    <w:rsid w:val="006341CD"/>
    <w:rsid w:val="0063472E"/>
    <w:rsid w:val="00634A13"/>
    <w:rsid w:val="00640FCE"/>
    <w:rsid w:val="0064104D"/>
    <w:rsid w:val="00645A42"/>
    <w:rsid w:val="006465E1"/>
    <w:rsid w:val="00647B44"/>
    <w:rsid w:val="00650C62"/>
    <w:rsid w:val="00651FD7"/>
    <w:rsid w:val="00653100"/>
    <w:rsid w:val="006541AA"/>
    <w:rsid w:val="00660FB3"/>
    <w:rsid w:val="006632BF"/>
    <w:rsid w:val="0066445B"/>
    <w:rsid w:val="00666786"/>
    <w:rsid w:val="00674759"/>
    <w:rsid w:val="006772B1"/>
    <w:rsid w:val="00684691"/>
    <w:rsid w:val="00685D46"/>
    <w:rsid w:val="006907C5"/>
    <w:rsid w:val="00690CCA"/>
    <w:rsid w:val="006914EB"/>
    <w:rsid w:val="006924C1"/>
    <w:rsid w:val="00694C06"/>
    <w:rsid w:val="00694C5F"/>
    <w:rsid w:val="006A1EAE"/>
    <w:rsid w:val="006A3007"/>
    <w:rsid w:val="006A5725"/>
    <w:rsid w:val="006A66B2"/>
    <w:rsid w:val="006A7A0B"/>
    <w:rsid w:val="006A7C9D"/>
    <w:rsid w:val="006B00A8"/>
    <w:rsid w:val="006B0BA8"/>
    <w:rsid w:val="006B1BB6"/>
    <w:rsid w:val="006B486E"/>
    <w:rsid w:val="006B53F4"/>
    <w:rsid w:val="006C0BD1"/>
    <w:rsid w:val="006C2158"/>
    <w:rsid w:val="006C2939"/>
    <w:rsid w:val="006C58E3"/>
    <w:rsid w:val="006D1884"/>
    <w:rsid w:val="006D42BB"/>
    <w:rsid w:val="006D5726"/>
    <w:rsid w:val="006D725A"/>
    <w:rsid w:val="006E0CFB"/>
    <w:rsid w:val="006E1820"/>
    <w:rsid w:val="006F2314"/>
    <w:rsid w:val="00705989"/>
    <w:rsid w:val="0071171A"/>
    <w:rsid w:val="00713598"/>
    <w:rsid w:val="00714864"/>
    <w:rsid w:val="00716783"/>
    <w:rsid w:val="00724C04"/>
    <w:rsid w:val="00725702"/>
    <w:rsid w:val="00726496"/>
    <w:rsid w:val="00730E3F"/>
    <w:rsid w:val="00731678"/>
    <w:rsid w:val="00737989"/>
    <w:rsid w:val="00741476"/>
    <w:rsid w:val="0074529E"/>
    <w:rsid w:val="007514F9"/>
    <w:rsid w:val="00751A2C"/>
    <w:rsid w:val="00754057"/>
    <w:rsid w:val="00761241"/>
    <w:rsid w:val="0076275A"/>
    <w:rsid w:val="00766903"/>
    <w:rsid w:val="00770433"/>
    <w:rsid w:val="00775ECC"/>
    <w:rsid w:val="0077611E"/>
    <w:rsid w:val="0078057B"/>
    <w:rsid w:val="00785371"/>
    <w:rsid w:val="00785922"/>
    <w:rsid w:val="00792384"/>
    <w:rsid w:val="00795274"/>
    <w:rsid w:val="00795D62"/>
    <w:rsid w:val="00796C04"/>
    <w:rsid w:val="007A0740"/>
    <w:rsid w:val="007A47E6"/>
    <w:rsid w:val="007B34EE"/>
    <w:rsid w:val="007C04D7"/>
    <w:rsid w:val="007C418C"/>
    <w:rsid w:val="007C5F83"/>
    <w:rsid w:val="007C6EE7"/>
    <w:rsid w:val="007D29A4"/>
    <w:rsid w:val="007D5FA6"/>
    <w:rsid w:val="007E3BA0"/>
    <w:rsid w:val="007E3EAA"/>
    <w:rsid w:val="007E5F5C"/>
    <w:rsid w:val="007E7F22"/>
    <w:rsid w:val="007F10D0"/>
    <w:rsid w:val="007F4A25"/>
    <w:rsid w:val="007F64FD"/>
    <w:rsid w:val="007F6D2F"/>
    <w:rsid w:val="00801935"/>
    <w:rsid w:val="008031C0"/>
    <w:rsid w:val="00804125"/>
    <w:rsid w:val="0080424E"/>
    <w:rsid w:val="00804904"/>
    <w:rsid w:val="00804B79"/>
    <w:rsid w:val="008072D9"/>
    <w:rsid w:val="00811C41"/>
    <w:rsid w:val="0081305A"/>
    <w:rsid w:val="00815E84"/>
    <w:rsid w:val="008421D8"/>
    <w:rsid w:val="00847B8D"/>
    <w:rsid w:val="00850CFF"/>
    <w:rsid w:val="00851668"/>
    <w:rsid w:val="00864A8B"/>
    <w:rsid w:val="008739E3"/>
    <w:rsid w:val="00874721"/>
    <w:rsid w:val="00884123"/>
    <w:rsid w:val="00892DE1"/>
    <w:rsid w:val="0089460D"/>
    <w:rsid w:val="00895C38"/>
    <w:rsid w:val="008A3B13"/>
    <w:rsid w:val="008A6320"/>
    <w:rsid w:val="008B13E3"/>
    <w:rsid w:val="008B619B"/>
    <w:rsid w:val="008B6764"/>
    <w:rsid w:val="008B6DDB"/>
    <w:rsid w:val="008C07AA"/>
    <w:rsid w:val="008C0B31"/>
    <w:rsid w:val="008C3540"/>
    <w:rsid w:val="008C3B61"/>
    <w:rsid w:val="008C5A14"/>
    <w:rsid w:val="008D10A8"/>
    <w:rsid w:val="008D1935"/>
    <w:rsid w:val="008E09D6"/>
    <w:rsid w:val="008E3986"/>
    <w:rsid w:val="008F29E8"/>
    <w:rsid w:val="008F473F"/>
    <w:rsid w:val="00905BB5"/>
    <w:rsid w:val="00913E3C"/>
    <w:rsid w:val="0091511B"/>
    <w:rsid w:val="00917901"/>
    <w:rsid w:val="00920C04"/>
    <w:rsid w:val="009273D9"/>
    <w:rsid w:val="00930FEE"/>
    <w:rsid w:val="00941EAB"/>
    <w:rsid w:val="009421FB"/>
    <w:rsid w:val="00943985"/>
    <w:rsid w:val="00943DE6"/>
    <w:rsid w:val="00945B32"/>
    <w:rsid w:val="00954A13"/>
    <w:rsid w:val="00961634"/>
    <w:rsid w:val="00966A51"/>
    <w:rsid w:val="009707B9"/>
    <w:rsid w:val="009708F8"/>
    <w:rsid w:val="009717F7"/>
    <w:rsid w:val="00972718"/>
    <w:rsid w:val="00974495"/>
    <w:rsid w:val="009758DB"/>
    <w:rsid w:val="00977BE7"/>
    <w:rsid w:val="00980981"/>
    <w:rsid w:val="00984A5F"/>
    <w:rsid w:val="00985B25"/>
    <w:rsid w:val="0099452D"/>
    <w:rsid w:val="009A2F32"/>
    <w:rsid w:val="009A43A6"/>
    <w:rsid w:val="009B6215"/>
    <w:rsid w:val="009C497E"/>
    <w:rsid w:val="009D1489"/>
    <w:rsid w:val="009D1F8C"/>
    <w:rsid w:val="009D45C9"/>
    <w:rsid w:val="009D5007"/>
    <w:rsid w:val="009D6295"/>
    <w:rsid w:val="009D769A"/>
    <w:rsid w:val="009E0D8B"/>
    <w:rsid w:val="009E5EEE"/>
    <w:rsid w:val="009F1CF4"/>
    <w:rsid w:val="009F2118"/>
    <w:rsid w:val="00A020E2"/>
    <w:rsid w:val="00A06445"/>
    <w:rsid w:val="00A27335"/>
    <w:rsid w:val="00A426AC"/>
    <w:rsid w:val="00A42E84"/>
    <w:rsid w:val="00A43B20"/>
    <w:rsid w:val="00A43CC4"/>
    <w:rsid w:val="00A527A2"/>
    <w:rsid w:val="00A556AF"/>
    <w:rsid w:val="00A5679C"/>
    <w:rsid w:val="00A609C7"/>
    <w:rsid w:val="00A616BC"/>
    <w:rsid w:val="00A631D0"/>
    <w:rsid w:val="00A64199"/>
    <w:rsid w:val="00A71639"/>
    <w:rsid w:val="00A74565"/>
    <w:rsid w:val="00A74F00"/>
    <w:rsid w:val="00A75A8C"/>
    <w:rsid w:val="00A77AD3"/>
    <w:rsid w:val="00A80029"/>
    <w:rsid w:val="00A80087"/>
    <w:rsid w:val="00A82646"/>
    <w:rsid w:val="00A82674"/>
    <w:rsid w:val="00A84E2D"/>
    <w:rsid w:val="00A86B20"/>
    <w:rsid w:val="00A963D6"/>
    <w:rsid w:val="00AA1A61"/>
    <w:rsid w:val="00AA224F"/>
    <w:rsid w:val="00AA50BC"/>
    <w:rsid w:val="00AA5569"/>
    <w:rsid w:val="00AB13A0"/>
    <w:rsid w:val="00AB2EE3"/>
    <w:rsid w:val="00AC2EA5"/>
    <w:rsid w:val="00AC45C7"/>
    <w:rsid w:val="00AD3678"/>
    <w:rsid w:val="00AD458F"/>
    <w:rsid w:val="00AD4A33"/>
    <w:rsid w:val="00AD5040"/>
    <w:rsid w:val="00AD6137"/>
    <w:rsid w:val="00AD6E9A"/>
    <w:rsid w:val="00AD7B47"/>
    <w:rsid w:val="00AE00A2"/>
    <w:rsid w:val="00AE3BB3"/>
    <w:rsid w:val="00AF3235"/>
    <w:rsid w:val="00AF53F8"/>
    <w:rsid w:val="00AF765F"/>
    <w:rsid w:val="00B005AB"/>
    <w:rsid w:val="00B04E1E"/>
    <w:rsid w:val="00B05B5C"/>
    <w:rsid w:val="00B10811"/>
    <w:rsid w:val="00B161F8"/>
    <w:rsid w:val="00B2083B"/>
    <w:rsid w:val="00B226AE"/>
    <w:rsid w:val="00B228D4"/>
    <w:rsid w:val="00B22C3E"/>
    <w:rsid w:val="00B24C98"/>
    <w:rsid w:val="00B2798D"/>
    <w:rsid w:val="00B30758"/>
    <w:rsid w:val="00B40FD8"/>
    <w:rsid w:val="00B46A75"/>
    <w:rsid w:val="00B63DA6"/>
    <w:rsid w:val="00B7396A"/>
    <w:rsid w:val="00B73E2A"/>
    <w:rsid w:val="00B90A48"/>
    <w:rsid w:val="00B91D9A"/>
    <w:rsid w:val="00BA0E4C"/>
    <w:rsid w:val="00BA48DF"/>
    <w:rsid w:val="00BA51FA"/>
    <w:rsid w:val="00BA57FB"/>
    <w:rsid w:val="00BB0EF5"/>
    <w:rsid w:val="00BC01B9"/>
    <w:rsid w:val="00BC3210"/>
    <w:rsid w:val="00BC48EA"/>
    <w:rsid w:val="00BC58B4"/>
    <w:rsid w:val="00BD28F0"/>
    <w:rsid w:val="00BE7739"/>
    <w:rsid w:val="00BE7C94"/>
    <w:rsid w:val="00BF05F0"/>
    <w:rsid w:val="00C043AB"/>
    <w:rsid w:val="00C046B9"/>
    <w:rsid w:val="00C115D6"/>
    <w:rsid w:val="00C21EC0"/>
    <w:rsid w:val="00C27B77"/>
    <w:rsid w:val="00C32EF3"/>
    <w:rsid w:val="00C33BA3"/>
    <w:rsid w:val="00C348C6"/>
    <w:rsid w:val="00C34B32"/>
    <w:rsid w:val="00C52E3A"/>
    <w:rsid w:val="00C57274"/>
    <w:rsid w:val="00C57558"/>
    <w:rsid w:val="00C72862"/>
    <w:rsid w:val="00C76899"/>
    <w:rsid w:val="00C84436"/>
    <w:rsid w:val="00C84639"/>
    <w:rsid w:val="00C864CF"/>
    <w:rsid w:val="00C879A4"/>
    <w:rsid w:val="00C96D04"/>
    <w:rsid w:val="00CA2AD8"/>
    <w:rsid w:val="00CA7EF3"/>
    <w:rsid w:val="00CB1204"/>
    <w:rsid w:val="00CB5F58"/>
    <w:rsid w:val="00CC14E4"/>
    <w:rsid w:val="00CC230C"/>
    <w:rsid w:val="00CC4A96"/>
    <w:rsid w:val="00CD22B8"/>
    <w:rsid w:val="00CD68C8"/>
    <w:rsid w:val="00CE2E48"/>
    <w:rsid w:val="00CE7862"/>
    <w:rsid w:val="00CE7FEB"/>
    <w:rsid w:val="00CF0F9F"/>
    <w:rsid w:val="00CF4EF0"/>
    <w:rsid w:val="00D0088A"/>
    <w:rsid w:val="00D0506C"/>
    <w:rsid w:val="00D10EFC"/>
    <w:rsid w:val="00D16D34"/>
    <w:rsid w:val="00D171C4"/>
    <w:rsid w:val="00D17CCF"/>
    <w:rsid w:val="00D17DBA"/>
    <w:rsid w:val="00D23E26"/>
    <w:rsid w:val="00D25947"/>
    <w:rsid w:val="00D342B6"/>
    <w:rsid w:val="00D34EF5"/>
    <w:rsid w:val="00D37DA7"/>
    <w:rsid w:val="00D40B20"/>
    <w:rsid w:val="00D428D4"/>
    <w:rsid w:val="00D43598"/>
    <w:rsid w:val="00D45B7A"/>
    <w:rsid w:val="00D54885"/>
    <w:rsid w:val="00D5619D"/>
    <w:rsid w:val="00D57AEC"/>
    <w:rsid w:val="00D57B82"/>
    <w:rsid w:val="00D60D5B"/>
    <w:rsid w:val="00D60FED"/>
    <w:rsid w:val="00D63D13"/>
    <w:rsid w:val="00D6696D"/>
    <w:rsid w:val="00D66D34"/>
    <w:rsid w:val="00D75312"/>
    <w:rsid w:val="00D7626D"/>
    <w:rsid w:val="00D76C00"/>
    <w:rsid w:val="00D80107"/>
    <w:rsid w:val="00D8436C"/>
    <w:rsid w:val="00D85289"/>
    <w:rsid w:val="00D85325"/>
    <w:rsid w:val="00D8619A"/>
    <w:rsid w:val="00D94989"/>
    <w:rsid w:val="00D97543"/>
    <w:rsid w:val="00DA27E0"/>
    <w:rsid w:val="00DA2B77"/>
    <w:rsid w:val="00DB1B67"/>
    <w:rsid w:val="00DB1B6E"/>
    <w:rsid w:val="00DB1D90"/>
    <w:rsid w:val="00DB2D0A"/>
    <w:rsid w:val="00DB4145"/>
    <w:rsid w:val="00DC07DD"/>
    <w:rsid w:val="00DC3569"/>
    <w:rsid w:val="00DC48F9"/>
    <w:rsid w:val="00DD1859"/>
    <w:rsid w:val="00DD5841"/>
    <w:rsid w:val="00DE3D45"/>
    <w:rsid w:val="00DF3EEF"/>
    <w:rsid w:val="00DF4CB1"/>
    <w:rsid w:val="00DF78E8"/>
    <w:rsid w:val="00E012F8"/>
    <w:rsid w:val="00E06FE0"/>
    <w:rsid w:val="00E115F9"/>
    <w:rsid w:val="00E11F2E"/>
    <w:rsid w:val="00E14CCD"/>
    <w:rsid w:val="00E2009B"/>
    <w:rsid w:val="00E20277"/>
    <w:rsid w:val="00E20F9B"/>
    <w:rsid w:val="00E238BD"/>
    <w:rsid w:val="00E263F5"/>
    <w:rsid w:val="00E353E5"/>
    <w:rsid w:val="00E36922"/>
    <w:rsid w:val="00E3771E"/>
    <w:rsid w:val="00E4611D"/>
    <w:rsid w:val="00E50994"/>
    <w:rsid w:val="00E520CE"/>
    <w:rsid w:val="00E56779"/>
    <w:rsid w:val="00E56C87"/>
    <w:rsid w:val="00E6019E"/>
    <w:rsid w:val="00E607C4"/>
    <w:rsid w:val="00E64612"/>
    <w:rsid w:val="00E648CB"/>
    <w:rsid w:val="00E64F93"/>
    <w:rsid w:val="00E72A57"/>
    <w:rsid w:val="00E74DA7"/>
    <w:rsid w:val="00E77EDB"/>
    <w:rsid w:val="00E81351"/>
    <w:rsid w:val="00E83714"/>
    <w:rsid w:val="00E86FD3"/>
    <w:rsid w:val="00E91509"/>
    <w:rsid w:val="00E91B86"/>
    <w:rsid w:val="00EA34D1"/>
    <w:rsid w:val="00EA37AC"/>
    <w:rsid w:val="00EA6D3C"/>
    <w:rsid w:val="00EB05B6"/>
    <w:rsid w:val="00EB2532"/>
    <w:rsid w:val="00EB44BD"/>
    <w:rsid w:val="00EC0821"/>
    <w:rsid w:val="00EC155C"/>
    <w:rsid w:val="00ED51A6"/>
    <w:rsid w:val="00EE3A5F"/>
    <w:rsid w:val="00EE52DF"/>
    <w:rsid w:val="00EF3343"/>
    <w:rsid w:val="00EF5CE1"/>
    <w:rsid w:val="00F00B41"/>
    <w:rsid w:val="00F01513"/>
    <w:rsid w:val="00F0432F"/>
    <w:rsid w:val="00F11AFE"/>
    <w:rsid w:val="00F13AE2"/>
    <w:rsid w:val="00F15F18"/>
    <w:rsid w:val="00F3006C"/>
    <w:rsid w:val="00F34A58"/>
    <w:rsid w:val="00F35856"/>
    <w:rsid w:val="00F359EA"/>
    <w:rsid w:val="00F413B9"/>
    <w:rsid w:val="00F45C11"/>
    <w:rsid w:val="00F474A5"/>
    <w:rsid w:val="00F50C33"/>
    <w:rsid w:val="00F51181"/>
    <w:rsid w:val="00F53CDB"/>
    <w:rsid w:val="00F55D6E"/>
    <w:rsid w:val="00F57DB3"/>
    <w:rsid w:val="00F70884"/>
    <w:rsid w:val="00F75211"/>
    <w:rsid w:val="00F76322"/>
    <w:rsid w:val="00F94256"/>
    <w:rsid w:val="00FA3597"/>
    <w:rsid w:val="00FA7929"/>
    <w:rsid w:val="00FB3824"/>
    <w:rsid w:val="00FB5BA0"/>
    <w:rsid w:val="00FC3307"/>
    <w:rsid w:val="00FC4984"/>
    <w:rsid w:val="00FC61AD"/>
    <w:rsid w:val="00FD05D9"/>
    <w:rsid w:val="00FD2B37"/>
    <w:rsid w:val="00FD31D6"/>
    <w:rsid w:val="00FD6475"/>
    <w:rsid w:val="00FD68CD"/>
    <w:rsid w:val="00FE4D86"/>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F7C437E"/>
  <w15:docId w15:val="{1420BC9E-96F7-4A26-AAED-B920DC812F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GT"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43598"/>
    <w:pPr>
      <w:spacing w:after="0" w:line="240" w:lineRule="auto"/>
    </w:pPr>
    <w:rPr>
      <w:rFonts w:eastAsiaTheme="minorEastAsia"/>
      <w:sz w:val="24"/>
      <w:szCs w:val="24"/>
      <w:lang w:val="es-ES_tradnl" w:eastAsia="es-ES"/>
    </w:rPr>
  </w:style>
  <w:style w:type="paragraph" w:styleId="Ttulo1">
    <w:name w:val="heading 1"/>
    <w:basedOn w:val="Normal"/>
    <w:next w:val="Normal"/>
    <w:link w:val="Ttulo1Car"/>
    <w:uiPriority w:val="9"/>
    <w:qFormat/>
    <w:rsid w:val="0032588B"/>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D4359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semiHidden/>
    <w:unhideWhenUsed/>
    <w:qFormat/>
    <w:rsid w:val="000C0470"/>
    <w:pPr>
      <w:keepNext/>
      <w:keepLines/>
      <w:spacing w:before="40"/>
      <w:outlineLvl w:val="2"/>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D43598"/>
    <w:rPr>
      <w:rFonts w:asciiTheme="majorHAnsi" w:eastAsiaTheme="majorEastAsia" w:hAnsiTheme="majorHAnsi" w:cstheme="majorBidi"/>
      <w:b/>
      <w:bCs/>
      <w:color w:val="4F81BD" w:themeColor="accent1"/>
      <w:sz w:val="26"/>
      <w:szCs w:val="26"/>
      <w:lang w:val="es-ES_tradnl" w:eastAsia="es-ES"/>
    </w:rPr>
  </w:style>
  <w:style w:type="paragraph" w:styleId="Prrafodelista">
    <w:name w:val="List Paragraph"/>
    <w:basedOn w:val="Normal"/>
    <w:uiPriority w:val="34"/>
    <w:qFormat/>
    <w:rsid w:val="00D43598"/>
    <w:pPr>
      <w:ind w:left="720"/>
      <w:contextualSpacing/>
    </w:pPr>
    <w:rPr>
      <w:rFonts w:eastAsiaTheme="minorHAnsi"/>
      <w:sz w:val="22"/>
      <w:szCs w:val="22"/>
      <w:lang w:val="es-GT" w:eastAsia="en-US"/>
    </w:rPr>
  </w:style>
  <w:style w:type="paragraph" w:customStyle="1" w:styleId="Default">
    <w:name w:val="Default"/>
    <w:rsid w:val="00D43598"/>
    <w:pPr>
      <w:autoSpaceDE w:val="0"/>
      <w:autoSpaceDN w:val="0"/>
      <w:adjustRightInd w:val="0"/>
      <w:spacing w:after="0" w:line="240" w:lineRule="auto"/>
    </w:pPr>
    <w:rPr>
      <w:rFonts w:ascii="Times New Roman" w:hAnsi="Times New Roman" w:cs="Times New Roman"/>
      <w:color w:val="000000"/>
      <w:sz w:val="24"/>
      <w:szCs w:val="24"/>
    </w:rPr>
  </w:style>
  <w:style w:type="table" w:styleId="Tablaconcuadrcula">
    <w:name w:val="Table Grid"/>
    <w:basedOn w:val="Tablanormal"/>
    <w:uiPriority w:val="39"/>
    <w:rsid w:val="00D435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FD68CD"/>
    <w:pPr>
      <w:spacing w:before="100" w:beforeAutospacing="1" w:after="100" w:afterAutospacing="1"/>
    </w:pPr>
    <w:rPr>
      <w:rFonts w:ascii="Times New Roman" w:hAnsi="Times New Roman" w:cs="Times New Roman"/>
      <w:lang w:val="es-GT" w:eastAsia="es-GT"/>
    </w:rPr>
  </w:style>
  <w:style w:type="paragraph" w:styleId="Textonotapie">
    <w:name w:val="footnote text"/>
    <w:aliases w:val="Texto nota pie Car Car Car Car Car Car,Texto nota pie Car Car Car Car Car Car Car,Texto nota pie Car Car Car Car Car Car Ca"/>
    <w:basedOn w:val="Normal"/>
    <w:link w:val="TextonotapieCar"/>
    <w:uiPriority w:val="99"/>
    <w:unhideWhenUsed/>
    <w:rsid w:val="000B5E1C"/>
    <w:rPr>
      <w:rFonts w:eastAsiaTheme="minorHAnsi"/>
      <w:sz w:val="20"/>
      <w:szCs w:val="20"/>
      <w:lang w:val="es-GT" w:eastAsia="en-US"/>
    </w:rPr>
  </w:style>
  <w:style w:type="character" w:customStyle="1" w:styleId="TextonotapieCar">
    <w:name w:val="Texto nota pie Car"/>
    <w:aliases w:val="Texto nota pie Car Car Car Car Car Car Car1,Texto nota pie Car Car Car Car Car Car Car Car,Texto nota pie Car Car Car Car Car Car Ca Car"/>
    <w:basedOn w:val="Fuentedeprrafopredeter"/>
    <w:link w:val="Textonotapie"/>
    <w:uiPriority w:val="99"/>
    <w:rsid w:val="000B5E1C"/>
    <w:rPr>
      <w:sz w:val="20"/>
      <w:szCs w:val="20"/>
    </w:rPr>
  </w:style>
  <w:style w:type="character" w:styleId="Refdenotaalpie">
    <w:name w:val="footnote reference"/>
    <w:basedOn w:val="Fuentedeprrafopredeter"/>
    <w:uiPriority w:val="99"/>
    <w:semiHidden/>
    <w:unhideWhenUsed/>
    <w:rsid w:val="000B5E1C"/>
    <w:rPr>
      <w:vertAlign w:val="superscript"/>
    </w:rPr>
  </w:style>
  <w:style w:type="table" w:styleId="Cuadrculaclara-nfasis1">
    <w:name w:val="Light Grid Accent 1"/>
    <w:basedOn w:val="Tablanormal"/>
    <w:uiPriority w:val="62"/>
    <w:rsid w:val="000B5E1C"/>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Sombreadoclaro-nfasis5">
    <w:name w:val="Light Shading Accent 5"/>
    <w:basedOn w:val="Tablanormal"/>
    <w:uiPriority w:val="60"/>
    <w:rsid w:val="000B5E1C"/>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styleId="Sinespaciado">
    <w:name w:val="No Spacing"/>
    <w:link w:val="SinespaciadoCar"/>
    <w:uiPriority w:val="1"/>
    <w:qFormat/>
    <w:rsid w:val="000B5E1C"/>
    <w:pPr>
      <w:spacing w:after="0" w:line="240" w:lineRule="auto"/>
    </w:pPr>
  </w:style>
  <w:style w:type="character" w:customStyle="1" w:styleId="SinespaciadoCar">
    <w:name w:val="Sin espaciado Car"/>
    <w:basedOn w:val="Fuentedeprrafopredeter"/>
    <w:link w:val="Sinespaciado"/>
    <w:uiPriority w:val="1"/>
    <w:locked/>
    <w:rsid w:val="000B5E1C"/>
  </w:style>
  <w:style w:type="paragraph" w:styleId="Ttulo">
    <w:name w:val="Title"/>
    <w:basedOn w:val="Normal"/>
    <w:next w:val="Normal"/>
    <w:link w:val="TtuloCar"/>
    <w:uiPriority w:val="10"/>
    <w:qFormat/>
    <w:rsid w:val="0032588B"/>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val="es-GT" w:eastAsia="es-GT"/>
    </w:rPr>
  </w:style>
  <w:style w:type="character" w:customStyle="1" w:styleId="TtuloCar">
    <w:name w:val="Título Car"/>
    <w:basedOn w:val="Fuentedeprrafopredeter"/>
    <w:link w:val="Ttulo"/>
    <w:uiPriority w:val="10"/>
    <w:rsid w:val="0032588B"/>
    <w:rPr>
      <w:rFonts w:asciiTheme="majorHAnsi" w:eastAsiaTheme="majorEastAsia" w:hAnsiTheme="majorHAnsi" w:cstheme="majorBidi"/>
      <w:color w:val="17365D" w:themeColor="text2" w:themeShade="BF"/>
      <w:spacing w:val="5"/>
      <w:kern w:val="28"/>
      <w:sz w:val="52"/>
      <w:szCs w:val="52"/>
      <w:lang w:eastAsia="es-GT"/>
    </w:rPr>
  </w:style>
  <w:style w:type="paragraph" w:styleId="Subttulo">
    <w:name w:val="Subtitle"/>
    <w:basedOn w:val="Normal"/>
    <w:next w:val="Normal"/>
    <w:link w:val="SubttuloCar"/>
    <w:uiPriority w:val="11"/>
    <w:qFormat/>
    <w:rsid w:val="0032588B"/>
    <w:pPr>
      <w:numPr>
        <w:ilvl w:val="1"/>
      </w:numPr>
      <w:spacing w:after="200" w:line="276" w:lineRule="auto"/>
    </w:pPr>
    <w:rPr>
      <w:rFonts w:asciiTheme="majorHAnsi" w:eastAsiaTheme="majorEastAsia" w:hAnsiTheme="majorHAnsi" w:cstheme="majorBidi"/>
      <w:i/>
      <w:iCs/>
      <w:color w:val="4F81BD" w:themeColor="accent1"/>
      <w:spacing w:val="15"/>
      <w:lang w:val="es-GT" w:eastAsia="es-GT"/>
    </w:rPr>
  </w:style>
  <w:style w:type="character" w:customStyle="1" w:styleId="SubttuloCar">
    <w:name w:val="Subtítulo Car"/>
    <w:basedOn w:val="Fuentedeprrafopredeter"/>
    <w:link w:val="Subttulo"/>
    <w:uiPriority w:val="11"/>
    <w:rsid w:val="0032588B"/>
    <w:rPr>
      <w:rFonts w:asciiTheme="majorHAnsi" w:eastAsiaTheme="majorEastAsia" w:hAnsiTheme="majorHAnsi" w:cstheme="majorBidi"/>
      <w:i/>
      <w:iCs/>
      <w:color w:val="4F81BD" w:themeColor="accent1"/>
      <w:spacing w:val="15"/>
      <w:sz w:val="24"/>
      <w:szCs w:val="24"/>
      <w:lang w:eastAsia="es-GT"/>
    </w:rPr>
  </w:style>
  <w:style w:type="character" w:customStyle="1" w:styleId="Ttulo1Car">
    <w:name w:val="Título 1 Car"/>
    <w:basedOn w:val="Fuentedeprrafopredeter"/>
    <w:link w:val="Ttulo1"/>
    <w:uiPriority w:val="9"/>
    <w:rsid w:val="0032588B"/>
    <w:rPr>
      <w:rFonts w:asciiTheme="majorHAnsi" w:eastAsiaTheme="majorEastAsia" w:hAnsiTheme="majorHAnsi" w:cstheme="majorBidi"/>
      <w:b/>
      <w:bCs/>
      <w:color w:val="365F91" w:themeColor="accent1" w:themeShade="BF"/>
      <w:sz w:val="28"/>
      <w:szCs w:val="28"/>
      <w:lang w:val="es-ES_tradnl" w:eastAsia="es-ES"/>
    </w:rPr>
  </w:style>
  <w:style w:type="paragraph" w:styleId="TtuloTDC">
    <w:name w:val="TOC Heading"/>
    <w:basedOn w:val="Ttulo1"/>
    <w:next w:val="Normal"/>
    <w:uiPriority w:val="39"/>
    <w:unhideWhenUsed/>
    <w:qFormat/>
    <w:rsid w:val="0032588B"/>
    <w:pPr>
      <w:spacing w:line="276" w:lineRule="auto"/>
      <w:outlineLvl w:val="9"/>
    </w:pPr>
    <w:rPr>
      <w:lang w:val="es-GT" w:eastAsia="es-GT"/>
    </w:rPr>
  </w:style>
  <w:style w:type="paragraph" w:styleId="TDC1">
    <w:name w:val="toc 1"/>
    <w:basedOn w:val="Normal"/>
    <w:next w:val="Normal"/>
    <w:autoRedefine/>
    <w:uiPriority w:val="39"/>
    <w:unhideWhenUsed/>
    <w:rsid w:val="0080424E"/>
    <w:pPr>
      <w:tabs>
        <w:tab w:val="left" w:pos="440"/>
        <w:tab w:val="right" w:leader="dot" w:pos="9394"/>
      </w:tabs>
    </w:pPr>
    <w:rPr>
      <w:rFonts w:ascii="Times New Roman" w:eastAsiaTheme="majorEastAsia" w:hAnsi="Times New Roman" w:cs="Times New Roman"/>
      <w:b/>
      <w:bCs/>
      <w:noProof/>
      <w:lang w:val="es-MX"/>
    </w:rPr>
  </w:style>
  <w:style w:type="paragraph" w:styleId="TDC2">
    <w:name w:val="toc 2"/>
    <w:basedOn w:val="Normal"/>
    <w:next w:val="Normal"/>
    <w:autoRedefine/>
    <w:uiPriority w:val="39"/>
    <w:unhideWhenUsed/>
    <w:rsid w:val="00BF05F0"/>
    <w:pPr>
      <w:tabs>
        <w:tab w:val="left" w:pos="880"/>
        <w:tab w:val="right" w:leader="dot" w:pos="9394"/>
      </w:tabs>
      <w:ind w:left="709" w:hanging="567"/>
    </w:pPr>
  </w:style>
  <w:style w:type="character" w:styleId="Hipervnculo">
    <w:name w:val="Hyperlink"/>
    <w:basedOn w:val="Fuentedeprrafopredeter"/>
    <w:uiPriority w:val="99"/>
    <w:unhideWhenUsed/>
    <w:rsid w:val="0032588B"/>
    <w:rPr>
      <w:color w:val="0000FF" w:themeColor="hyperlink"/>
      <w:u w:val="single"/>
    </w:rPr>
  </w:style>
  <w:style w:type="paragraph" w:styleId="Encabezado">
    <w:name w:val="header"/>
    <w:basedOn w:val="Normal"/>
    <w:link w:val="EncabezadoCar"/>
    <w:uiPriority w:val="99"/>
    <w:unhideWhenUsed/>
    <w:rsid w:val="00AC45C7"/>
    <w:pPr>
      <w:tabs>
        <w:tab w:val="center" w:pos="4419"/>
        <w:tab w:val="right" w:pos="8838"/>
      </w:tabs>
    </w:pPr>
  </w:style>
  <w:style w:type="character" w:customStyle="1" w:styleId="EncabezadoCar">
    <w:name w:val="Encabezado Car"/>
    <w:basedOn w:val="Fuentedeprrafopredeter"/>
    <w:link w:val="Encabezado"/>
    <w:uiPriority w:val="99"/>
    <w:rsid w:val="00AC45C7"/>
    <w:rPr>
      <w:rFonts w:eastAsiaTheme="minorEastAsia"/>
      <w:sz w:val="24"/>
      <w:szCs w:val="24"/>
      <w:lang w:val="es-ES_tradnl" w:eastAsia="es-ES"/>
    </w:rPr>
  </w:style>
  <w:style w:type="paragraph" w:styleId="Piedepgina">
    <w:name w:val="footer"/>
    <w:basedOn w:val="Normal"/>
    <w:link w:val="PiedepginaCar"/>
    <w:uiPriority w:val="99"/>
    <w:unhideWhenUsed/>
    <w:rsid w:val="00AC45C7"/>
    <w:pPr>
      <w:tabs>
        <w:tab w:val="center" w:pos="4419"/>
        <w:tab w:val="right" w:pos="8838"/>
      </w:tabs>
    </w:pPr>
  </w:style>
  <w:style w:type="character" w:customStyle="1" w:styleId="PiedepginaCar">
    <w:name w:val="Pie de página Car"/>
    <w:basedOn w:val="Fuentedeprrafopredeter"/>
    <w:link w:val="Piedepgina"/>
    <w:uiPriority w:val="99"/>
    <w:rsid w:val="00AC45C7"/>
    <w:rPr>
      <w:rFonts w:eastAsiaTheme="minorEastAsia"/>
      <w:sz w:val="24"/>
      <w:szCs w:val="24"/>
      <w:lang w:val="es-ES_tradnl" w:eastAsia="es-ES"/>
    </w:rPr>
  </w:style>
  <w:style w:type="paragraph" w:styleId="Textodeglobo">
    <w:name w:val="Balloon Text"/>
    <w:basedOn w:val="Normal"/>
    <w:link w:val="TextodegloboCar"/>
    <w:uiPriority w:val="99"/>
    <w:semiHidden/>
    <w:unhideWhenUsed/>
    <w:rsid w:val="002B7931"/>
    <w:rPr>
      <w:rFonts w:ascii="Tahoma" w:hAnsi="Tahoma" w:cs="Tahoma"/>
      <w:sz w:val="16"/>
      <w:szCs w:val="16"/>
    </w:rPr>
  </w:style>
  <w:style w:type="character" w:customStyle="1" w:styleId="TextodegloboCar">
    <w:name w:val="Texto de globo Car"/>
    <w:basedOn w:val="Fuentedeprrafopredeter"/>
    <w:link w:val="Textodeglobo"/>
    <w:uiPriority w:val="99"/>
    <w:semiHidden/>
    <w:rsid w:val="002B7931"/>
    <w:rPr>
      <w:rFonts w:ascii="Tahoma" w:eastAsiaTheme="minorEastAsia" w:hAnsi="Tahoma" w:cs="Tahoma"/>
      <w:sz w:val="16"/>
      <w:szCs w:val="16"/>
      <w:lang w:val="es-ES_tradnl" w:eastAsia="es-ES"/>
    </w:rPr>
  </w:style>
  <w:style w:type="character" w:customStyle="1" w:styleId="Ttulo3Car">
    <w:name w:val="Título 3 Car"/>
    <w:basedOn w:val="Fuentedeprrafopredeter"/>
    <w:link w:val="Ttulo3"/>
    <w:uiPriority w:val="9"/>
    <w:semiHidden/>
    <w:rsid w:val="000C0470"/>
    <w:rPr>
      <w:rFonts w:asciiTheme="majorHAnsi" w:eastAsiaTheme="majorEastAsia" w:hAnsiTheme="majorHAnsi" w:cstheme="majorBidi"/>
      <w:color w:val="243F60" w:themeColor="accent1" w:themeShade="7F"/>
      <w:sz w:val="24"/>
      <w:szCs w:val="24"/>
      <w:lang w:val="es-ES_tradnl" w:eastAsia="es-ES"/>
    </w:rPr>
  </w:style>
  <w:style w:type="paragraph" w:customStyle="1" w:styleId="Ttulo11">
    <w:name w:val="Título 11"/>
    <w:basedOn w:val="Normal"/>
    <w:rsid w:val="000C0470"/>
    <w:pPr>
      <w:numPr>
        <w:numId w:val="2"/>
      </w:numPr>
    </w:pPr>
  </w:style>
  <w:style w:type="paragraph" w:customStyle="1" w:styleId="Ttulo21">
    <w:name w:val="Título 21"/>
    <w:basedOn w:val="Normal"/>
    <w:rsid w:val="000C0470"/>
    <w:pPr>
      <w:numPr>
        <w:ilvl w:val="1"/>
        <w:numId w:val="2"/>
      </w:numPr>
    </w:pPr>
  </w:style>
  <w:style w:type="paragraph" w:customStyle="1" w:styleId="Ttulo31">
    <w:name w:val="Título 31"/>
    <w:basedOn w:val="Normal"/>
    <w:rsid w:val="000C0470"/>
    <w:pPr>
      <w:numPr>
        <w:ilvl w:val="2"/>
        <w:numId w:val="2"/>
      </w:numPr>
    </w:pPr>
  </w:style>
  <w:style w:type="paragraph" w:customStyle="1" w:styleId="Ttulo41">
    <w:name w:val="Título 41"/>
    <w:basedOn w:val="Normal"/>
    <w:rsid w:val="000C0470"/>
    <w:pPr>
      <w:numPr>
        <w:ilvl w:val="3"/>
        <w:numId w:val="2"/>
      </w:numPr>
    </w:pPr>
  </w:style>
  <w:style w:type="paragraph" w:customStyle="1" w:styleId="Ttulo51">
    <w:name w:val="Título 51"/>
    <w:basedOn w:val="Normal"/>
    <w:rsid w:val="000C0470"/>
    <w:pPr>
      <w:numPr>
        <w:ilvl w:val="4"/>
        <w:numId w:val="2"/>
      </w:numPr>
    </w:pPr>
  </w:style>
  <w:style w:type="paragraph" w:customStyle="1" w:styleId="Ttulo61">
    <w:name w:val="Título 61"/>
    <w:basedOn w:val="Normal"/>
    <w:rsid w:val="000C0470"/>
    <w:pPr>
      <w:numPr>
        <w:ilvl w:val="5"/>
        <w:numId w:val="2"/>
      </w:numPr>
    </w:pPr>
  </w:style>
  <w:style w:type="paragraph" w:customStyle="1" w:styleId="Ttulo71">
    <w:name w:val="Título 71"/>
    <w:basedOn w:val="Normal"/>
    <w:rsid w:val="000C0470"/>
    <w:pPr>
      <w:numPr>
        <w:ilvl w:val="6"/>
        <w:numId w:val="2"/>
      </w:numPr>
    </w:pPr>
  </w:style>
  <w:style w:type="paragraph" w:customStyle="1" w:styleId="Ttulo81">
    <w:name w:val="Título 81"/>
    <w:basedOn w:val="Normal"/>
    <w:rsid w:val="000C0470"/>
    <w:pPr>
      <w:numPr>
        <w:ilvl w:val="7"/>
        <w:numId w:val="2"/>
      </w:numPr>
    </w:pPr>
  </w:style>
  <w:style w:type="paragraph" w:customStyle="1" w:styleId="Ttulo91">
    <w:name w:val="Título 91"/>
    <w:basedOn w:val="Normal"/>
    <w:rsid w:val="000C0470"/>
    <w:pPr>
      <w:numPr>
        <w:ilvl w:val="8"/>
        <w:numId w:val="2"/>
      </w:numPr>
    </w:pPr>
  </w:style>
  <w:style w:type="paragraph" w:styleId="TDC3">
    <w:name w:val="toc 3"/>
    <w:basedOn w:val="Normal"/>
    <w:next w:val="Normal"/>
    <w:autoRedefine/>
    <w:uiPriority w:val="39"/>
    <w:unhideWhenUsed/>
    <w:rsid w:val="0080424E"/>
    <w:pPr>
      <w:tabs>
        <w:tab w:val="left" w:pos="1320"/>
        <w:tab w:val="right" w:leader="dot" w:pos="8828"/>
        <w:tab w:val="left" w:pos="9214"/>
      </w:tabs>
      <w:ind w:left="480"/>
    </w:pPr>
  </w:style>
  <w:style w:type="paragraph" w:customStyle="1" w:styleId="BodyText2Sgl">
    <w:name w:val="Body Text 2 Sgl"/>
    <w:basedOn w:val="Normal"/>
    <w:qFormat/>
    <w:rsid w:val="00EE52DF"/>
    <w:pPr>
      <w:spacing w:after="240"/>
      <w:ind w:firstLine="720"/>
    </w:pPr>
    <w:rPr>
      <w:rFonts w:ascii="Times New Roman" w:eastAsiaTheme="minorHAnsi" w:hAnsi="Times New Roman"/>
      <w:sz w:val="20"/>
      <w:lang w:val="en-US" w:eastAsia="en-US"/>
    </w:rPr>
  </w:style>
  <w:style w:type="paragraph" w:styleId="Textoindependiente">
    <w:name w:val="Body Text"/>
    <w:basedOn w:val="Normal"/>
    <w:link w:val="TextoindependienteCar"/>
    <w:uiPriority w:val="99"/>
    <w:unhideWhenUsed/>
    <w:rsid w:val="00EE52DF"/>
    <w:pPr>
      <w:spacing w:after="120" w:line="259" w:lineRule="auto"/>
    </w:pPr>
    <w:rPr>
      <w:rFonts w:eastAsiaTheme="minorHAnsi"/>
      <w:sz w:val="22"/>
      <w:szCs w:val="22"/>
      <w:lang w:val="es-GT" w:eastAsia="en-US"/>
    </w:rPr>
  </w:style>
  <w:style w:type="character" w:customStyle="1" w:styleId="TextoindependienteCar">
    <w:name w:val="Texto independiente Car"/>
    <w:basedOn w:val="Fuentedeprrafopredeter"/>
    <w:link w:val="Textoindependiente"/>
    <w:uiPriority w:val="99"/>
    <w:rsid w:val="00EE52DF"/>
  </w:style>
  <w:style w:type="character" w:styleId="nfasis">
    <w:name w:val="Emphasis"/>
    <w:basedOn w:val="Fuentedeprrafopredeter"/>
    <w:uiPriority w:val="20"/>
    <w:qFormat/>
    <w:rsid w:val="00557356"/>
    <w:rPr>
      <w:i/>
      <w:iCs/>
    </w:rPr>
  </w:style>
  <w:style w:type="paragraph" w:styleId="Descripcin">
    <w:name w:val="caption"/>
    <w:basedOn w:val="Normal"/>
    <w:next w:val="Normal"/>
    <w:uiPriority w:val="35"/>
    <w:unhideWhenUsed/>
    <w:qFormat/>
    <w:rsid w:val="009D1F8C"/>
    <w:pPr>
      <w:spacing w:after="200"/>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3990555">
      <w:bodyDiv w:val="1"/>
      <w:marLeft w:val="0"/>
      <w:marRight w:val="0"/>
      <w:marTop w:val="0"/>
      <w:marBottom w:val="0"/>
      <w:divBdr>
        <w:top w:val="none" w:sz="0" w:space="0" w:color="auto"/>
        <w:left w:val="none" w:sz="0" w:space="0" w:color="auto"/>
        <w:bottom w:val="none" w:sz="0" w:space="0" w:color="auto"/>
        <w:right w:val="none" w:sz="0" w:space="0" w:color="auto"/>
      </w:divBdr>
    </w:div>
    <w:div w:id="417141378">
      <w:bodyDiv w:val="1"/>
      <w:marLeft w:val="0"/>
      <w:marRight w:val="0"/>
      <w:marTop w:val="0"/>
      <w:marBottom w:val="0"/>
      <w:divBdr>
        <w:top w:val="none" w:sz="0" w:space="0" w:color="auto"/>
        <w:left w:val="none" w:sz="0" w:space="0" w:color="auto"/>
        <w:bottom w:val="none" w:sz="0" w:space="0" w:color="auto"/>
        <w:right w:val="none" w:sz="0" w:space="0" w:color="auto"/>
      </w:divBdr>
      <w:divsChild>
        <w:div w:id="1126387454">
          <w:marLeft w:val="446"/>
          <w:marRight w:val="0"/>
          <w:marTop w:val="0"/>
          <w:marBottom w:val="0"/>
          <w:divBdr>
            <w:top w:val="none" w:sz="0" w:space="0" w:color="auto"/>
            <w:left w:val="none" w:sz="0" w:space="0" w:color="auto"/>
            <w:bottom w:val="none" w:sz="0" w:space="0" w:color="auto"/>
            <w:right w:val="none" w:sz="0" w:space="0" w:color="auto"/>
          </w:divBdr>
        </w:div>
      </w:divsChild>
    </w:div>
    <w:div w:id="499585208">
      <w:bodyDiv w:val="1"/>
      <w:marLeft w:val="0"/>
      <w:marRight w:val="0"/>
      <w:marTop w:val="0"/>
      <w:marBottom w:val="0"/>
      <w:divBdr>
        <w:top w:val="none" w:sz="0" w:space="0" w:color="auto"/>
        <w:left w:val="none" w:sz="0" w:space="0" w:color="auto"/>
        <w:bottom w:val="none" w:sz="0" w:space="0" w:color="auto"/>
        <w:right w:val="none" w:sz="0" w:space="0" w:color="auto"/>
      </w:divBdr>
      <w:divsChild>
        <w:div w:id="616722895">
          <w:marLeft w:val="446"/>
          <w:marRight w:val="0"/>
          <w:marTop w:val="0"/>
          <w:marBottom w:val="0"/>
          <w:divBdr>
            <w:top w:val="none" w:sz="0" w:space="0" w:color="auto"/>
            <w:left w:val="none" w:sz="0" w:space="0" w:color="auto"/>
            <w:bottom w:val="none" w:sz="0" w:space="0" w:color="auto"/>
            <w:right w:val="none" w:sz="0" w:space="0" w:color="auto"/>
          </w:divBdr>
        </w:div>
        <w:div w:id="1462965003">
          <w:marLeft w:val="446"/>
          <w:marRight w:val="0"/>
          <w:marTop w:val="0"/>
          <w:marBottom w:val="0"/>
          <w:divBdr>
            <w:top w:val="none" w:sz="0" w:space="0" w:color="auto"/>
            <w:left w:val="none" w:sz="0" w:space="0" w:color="auto"/>
            <w:bottom w:val="none" w:sz="0" w:space="0" w:color="auto"/>
            <w:right w:val="none" w:sz="0" w:space="0" w:color="auto"/>
          </w:divBdr>
        </w:div>
      </w:divsChild>
    </w:div>
    <w:div w:id="534392389">
      <w:bodyDiv w:val="1"/>
      <w:marLeft w:val="0"/>
      <w:marRight w:val="0"/>
      <w:marTop w:val="0"/>
      <w:marBottom w:val="0"/>
      <w:divBdr>
        <w:top w:val="none" w:sz="0" w:space="0" w:color="auto"/>
        <w:left w:val="none" w:sz="0" w:space="0" w:color="auto"/>
        <w:bottom w:val="none" w:sz="0" w:space="0" w:color="auto"/>
        <w:right w:val="none" w:sz="0" w:space="0" w:color="auto"/>
      </w:divBdr>
    </w:div>
    <w:div w:id="539172149">
      <w:bodyDiv w:val="1"/>
      <w:marLeft w:val="0"/>
      <w:marRight w:val="0"/>
      <w:marTop w:val="0"/>
      <w:marBottom w:val="0"/>
      <w:divBdr>
        <w:top w:val="none" w:sz="0" w:space="0" w:color="auto"/>
        <w:left w:val="none" w:sz="0" w:space="0" w:color="auto"/>
        <w:bottom w:val="none" w:sz="0" w:space="0" w:color="auto"/>
        <w:right w:val="none" w:sz="0" w:space="0" w:color="auto"/>
      </w:divBdr>
    </w:div>
    <w:div w:id="568659422">
      <w:bodyDiv w:val="1"/>
      <w:marLeft w:val="0"/>
      <w:marRight w:val="0"/>
      <w:marTop w:val="0"/>
      <w:marBottom w:val="0"/>
      <w:divBdr>
        <w:top w:val="none" w:sz="0" w:space="0" w:color="auto"/>
        <w:left w:val="none" w:sz="0" w:space="0" w:color="auto"/>
        <w:bottom w:val="none" w:sz="0" w:space="0" w:color="auto"/>
        <w:right w:val="none" w:sz="0" w:space="0" w:color="auto"/>
      </w:divBdr>
    </w:div>
    <w:div w:id="586156469">
      <w:bodyDiv w:val="1"/>
      <w:marLeft w:val="0"/>
      <w:marRight w:val="0"/>
      <w:marTop w:val="0"/>
      <w:marBottom w:val="0"/>
      <w:divBdr>
        <w:top w:val="none" w:sz="0" w:space="0" w:color="auto"/>
        <w:left w:val="none" w:sz="0" w:space="0" w:color="auto"/>
        <w:bottom w:val="none" w:sz="0" w:space="0" w:color="auto"/>
        <w:right w:val="none" w:sz="0" w:space="0" w:color="auto"/>
      </w:divBdr>
    </w:div>
    <w:div w:id="773591794">
      <w:bodyDiv w:val="1"/>
      <w:marLeft w:val="0"/>
      <w:marRight w:val="0"/>
      <w:marTop w:val="0"/>
      <w:marBottom w:val="0"/>
      <w:divBdr>
        <w:top w:val="none" w:sz="0" w:space="0" w:color="auto"/>
        <w:left w:val="none" w:sz="0" w:space="0" w:color="auto"/>
        <w:bottom w:val="none" w:sz="0" w:space="0" w:color="auto"/>
        <w:right w:val="none" w:sz="0" w:space="0" w:color="auto"/>
      </w:divBdr>
    </w:div>
    <w:div w:id="802844622">
      <w:bodyDiv w:val="1"/>
      <w:marLeft w:val="0"/>
      <w:marRight w:val="0"/>
      <w:marTop w:val="0"/>
      <w:marBottom w:val="0"/>
      <w:divBdr>
        <w:top w:val="none" w:sz="0" w:space="0" w:color="auto"/>
        <w:left w:val="none" w:sz="0" w:space="0" w:color="auto"/>
        <w:bottom w:val="none" w:sz="0" w:space="0" w:color="auto"/>
        <w:right w:val="none" w:sz="0" w:space="0" w:color="auto"/>
      </w:divBdr>
    </w:div>
    <w:div w:id="1036812108">
      <w:bodyDiv w:val="1"/>
      <w:marLeft w:val="0"/>
      <w:marRight w:val="0"/>
      <w:marTop w:val="0"/>
      <w:marBottom w:val="0"/>
      <w:divBdr>
        <w:top w:val="none" w:sz="0" w:space="0" w:color="auto"/>
        <w:left w:val="none" w:sz="0" w:space="0" w:color="auto"/>
        <w:bottom w:val="none" w:sz="0" w:space="0" w:color="auto"/>
        <w:right w:val="none" w:sz="0" w:space="0" w:color="auto"/>
      </w:divBdr>
    </w:div>
    <w:div w:id="1091123780">
      <w:bodyDiv w:val="1"/>
      <w:marLeft w:val="0"/>
      <w:marRight w:val="0"/>
      <w:marTop w:val="0"/>
      <w:marBottom w:val="0"/>
      <w:divBdr>
        <w:top w:val="none" w:sz="0" w:space="0" w:color="auto"/>
        <w:left w:val="none" w:sz="0" w:space="0" w:color="auto"/>
        <w:bottom w:val="none" w:sz="0" w:space="0" w:color="auto"/>
        <w:right w:val="none" w:sz="0" w:space="0" w:color="auto"/>
      </w:divBdr>
    </w:div>
    <w:div w:id="1148786281">
      <w:bodyDiv w:val="1"/>
      <w:marLeft w:val="0"/>
      <w:marRight w:val="0"/>
      <w:marTop w:val="0"/>
      <w:marBottom w:val="0"/>
      <w:divBdr>
        <w:top w:val="none" w:sz="0" w:space="0" w:color="auto"/>
        <w:left w:val="none" w:sz="0" w:space="0" w:color="auto"/>
        <w:bottom w:val="none" w:sz="0" w:space="0" w:color="auto"/>
        <w:right w:val="none" w:sz="0" w:space="0" w:color="auto"/>
      </w:divBdr>
    </w:div>
    <w:div w:id="1156186323">
      <w:bodyDiv w:val="1"/>
      <w:marLeft w:val="0"/>
      <w:marRight w:val="0"/>
      <w:marTop w:val="0"/>
      <w:marBottom w:val="0"/>
      <w:divBdr>
        <w:top w:val="none" w:sz="0" w:space="0" w:color="auto"/>
        <w:left w:val="none" w:sz="0" w:space="0" w:color="auto"/>
        <w:bottom w:val="none" w:sz="0" w:space="0" w:color="auto"/>
        <w:right w:val="none" w:sz="0" w:space="0" w:color="auto"/>
      </w:divBdr>
    </w:div>
    <w:div w:id="1318345729">
      <w:bodyDiv w:val="1"/>
      <w:marLeft w:val="0"/>
      <w:marRight w:val="0"/>
      <w:marTop w:val="0"/>
      <w:marBottom w:val="0"/>
      <w:divBdr>
        <w:top w:val="none" w:sz="0" w:space="0" w:color="auto"/>
        <w:left w:val="none" w:sz="0" w:space="0" w:color="auto"/>
        <w:bottom w:val="none" w:sz="0" w:space="0" w:color="auto"/>
        <w:right w:val="none" w:sz="0" w:space="0" w:color="auto"/>
      </w:divBdr>
    </w:div>
    <w:div w:id="1377391345">
      <w:bodyDiv w:val="1"/>
      <w:marLeft w:val="0"/>
      <w:marRight w:val="0"/>
      <w:marTop w:val="0"/>
      <w:marBottom w:val="0"/>
      <w:divBdr>
        <w:top w:val="none" w:sz="0" w:space="0" w:color="auto"/>
        <w:left w:val="none" w:sz="0" w:space="0" w:color="auto"/>
        <w:bottom w:val="none" w:sz="0" w:space="0" w:color="auto"/>
        <w:right w:val="none" w:sz="0" w:space="0" w:color="auto"/>
      </w:divBdr>
    </w:div>
    <w:div w:id="1697657722">
      <w:bodyDiv w:val="1"/>
      <w:marLeft w:val="0"/>
      <w:marRight w:val="0"/>
      <w:marTop w:val="0"/>
      <w:marBottom w:val="0"/>
      <w:divBdr>
        <w:top w:val="none" w:sz="0" w:space="0" w:color="auto"/>
        <w:left w:val="none" w:sz="0" w:space="0" w:color="auto"/>
        <w:bottom w:val="none" w:sz="0" w:space="0" w:color="auto"/>
        <w:right w:val="none" w:sz="0" w:space="0" w:color="auto"/>
      </w:divBdr>
    </w:div>
    <w:div w:id="1731222267">
      <w:bodyDiv w:val="1"/>
      <w:marLeft w:val="0"/>
      <w:marRight w:val="0"/>
      <w:marTop w:val="0"/>
      <w:marBottom w:val="0"/>
      <w:divBdr>
        <w:top w:val="none" w:sz="0" w:space="0" w:color="auto"/>
        <w:left w:val="none" w:sz="0" w:space="0" w:color="auto"/>
        <w:bottom w:val="none" w:sz="0" w:space="0" w:color="auto"/>
        <w:right w:val="none" w:sz="0" w:space="0" w:color="auto"/>
      </w:divBdr>
    </w:div>
    <w:div w:id="1901869259">
      <w:bodyDiv w:val="1"/>
      <w:marLeft w:val="0"/>
      <w:marRight w:val="0"/>
      <w:marTop w:val="0"/>
      <w:marBottom w:val="0"/>
      <w:divBdr>
        <w:top w:val="none" w:sz="0" w:space="0" w:color="auto"/>
        <w:left w:val="none" w:sz="0" w:space="0" w:color="auto"/>
        <w:bottom w:val="none" w:sz="0" w:space="0" w:color="auto"/>
        <w:right w:val="none" w:sz="0" w:space="0" w:color="auto"/>
      </w:divBdr>
    </w:div>
    <w:div w:id="1905945296">
      <w:bodyDiv w:val="1"/>
      <w:marLeft w:val="0"/>
      <w:marRight w:val="0"/>
      <w:marTop w:val="0"/>
      <w:marBottom w:val="0"/>
      <w:divBdr>
        <w:top w:val="none" w:sz="0" w:space="0" w:color="auto"/>
        <w:left w:val="none" w:sz="0" w:space="0" w:color="auto"/>
        <w:bottom w:val="none" w:sz="0" w:space="0" w:color="auto"/>
        <w:right w:val="none" w:sz="0" w:space="0" w:color="auto"/>
      </w:divBdr>
    </w:div>
    <w:div w:id="2043047858">
      <w:bodyDiv w:val="1"/>
      <w:marLeft w:val="0"/>
      <w:marRight w:val="0"/>
      <w:marTop w:val="0"/>
      <w:marBottom w:val="0"/>
      <w:divBdr>
        <w:top w:val="none" w:sz="0" w:space="0" w:color="auto"/>
        <w:left w:val="none" w:sz="0" w:space="0" w:color="auto"/>
        <w:bottom w:val="none" w:sz="0" w:space="0" w:color="auto"/>
        <w:right w:val="none" w:sz="0" w:space="0" w:color="auto"/>
      </w:divBdr>
    </w:div>
    <w:div w:id="21323598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5.xml"/><Relationship Id="rId18" Type="http://schemas.openxmlformats.org/officeDocument/2006/relationships/image" Target="media/image3.emf"/><Relationship Id="rId26" Type="http://schemas.openxmlformats.org/officeDocument/2006/relationships/chart" Target="charts/chart15.xml"/><Relationship Id="rId39" Type="http://schemas.openxmlformats.org/officeDocument/2006/relationships/image" Target="media/image8.png"/><Relationship Id="rId21" Type="http://schemas.openxmlformats.org/officeDocument/2006/relationships/chart" Target="charts/chart11.xml"/><Relationship Id="rId34" Type="http://schemas.openxmlformats.org/officeDocument/2006/relationships/image" Target="media/image5.png"/><Relationship Id="rId42" Type="http://schemas.openxmlformats.org/officeDocument/2006/relationships/image" Target="media/image13.svg"/><Relationship Id="rId47" Type="http://schemas.openxmlformats.org/officeDocument/2006/relationships/image" Target="media/image18.png"/><Relationship Id="rId50" Type="http://schemas.openxmlformats.org/officeDocument/2006/relationships/image" Target="media/image11.png"/><Relationship Id="rId55" Type="http://schemas.openxmlformats.org/officeDocument/2006/relationships/chart" Target="charts/chart28.xml"/><Relationship Id="rId63" Type="http://schemas.openxmlformats.org/officeDocument/2006/relationships/chart" Target="charts/chart33.xml"/><Relationship Id="rId68" Type="http://schemas.openxmlformats.org/officeDocument/2006/relationships/image" Target="media/image13.emf"/><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chart" Target="charts/chart8.xml"/><Relationship Id="rId29" Type="http://schemas.openxmlformats.org/officeDocument/2006/relationships/chart" Target="charts/chart18.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3.xml"/><Relationship Id="rId24" Type="http://schemas.openxmlformats.org/officeDocument/2006/relationships/chart" Target="charts/chart13.xml"/><Relationship Id="rId32" Type="http://schemas.openxmlformats.org/officeDocument/2006/relationships/chart" Target="charts/chart21.xml"/><Relationship Id="rId37" Type="http://schemas.openxmlformats.org/officeDocument/2006/relationships/image" Target="media/image7.png"/><Relationship Id="rId40" Type="http://schemas.openxmlformats.org/officeDocument/2006/relationships/image" Target="media/image11.svg"/><Relationship Id="rId45" Type="http://schemas.openxmlformats.org/officeDocument/2006/relationships/image" Target="media/image16.png"/><Relationship Id="rId53" Type="http://schemas.openxmlformats.org/officeDocument/2006/relationships/chart" Target="charts/chart26.xml"/><Relationship Id="rId58" Type="http://schemas.openxmlformats.org/officeDocument/2006/relationships/footer" Target="footer1.xml"/><Relationship Id="rId66" Type="http://schemas.openxmlformats.org/officeDocument/2006/relationships/chart" Target="charts/chart36.xml"/><Relationship Id="rId5" Type="http://schemas.openxmlformats.org/officeDocument/2006/relationships/webSettings" Target="webSettings.xml"/><Relationship Id="rId15" Type="http://schemas.openxmlformats.org/officeDocument/2006/relationships/chart" Target="charts/chart7.xml"/><Relationship Id="rId23" Type="http://schemas.openxmlformats.org/officeDocument/2006/relationships/image" Target="media/image4.emf"/><Relationship Id="rId28" Type="http://schemas.openxmlformats.org/officeDocument/2006/relationships/chart" Target="charts/chart17.xml"/><Relationship Id="rId36" Type="http://schemas.openxmlformats.org/officeDocument/2006/relationships/image" Target="media/image7.svg"/><Relationship Id="rId49" Type="http://schemas.openxmlformats.org/officeDocument/2006/relationships/image" Target="media/image10.png"/><Relationship Id="rId57" Type="http://schemas.openxmlformats.org/officeDocument/2006/relationships/header" Target="header1.xml"/><Relationship Id="rId61" Type="http://schemas.openxmlformats.org/officeDocument/2006/relationships/chart" Target="charts/chart31.xml"/><Relationship Id="rId10" Type="http://schemas.openxmlformats.org/officeDocument/2006/relationships/chart" Target="charts/chart2.xml"/><Relationship Id="rId19" Type="http://schemas.openxmlformats.org/officeDocument/2006/relationships/chart" Target="charts/chart9.xml"/><Relationship Id="rId31" Type="http://schemas.openxmlformats.org/officeDocument/2006/relationships/chart" Target="charts/chart20.xml"/><Relationship Id="rId44" Type="http://schemas.openxmlformats.org/officeDocument/2006/relationships/image" Target="media/image15.png"/><Relationship Id="rId52" Type="http://schemas.openxmlformats.org/officeDocument/2006/relationships/chart" Target="charts/chart25.xml"/><Relationship Id="rId60" Type="http://schemas.openxmlformats.org/officeDocument/2006/relationships/chart" Target="charts/chart30.xml"/><Relationship Id="rId65" Type="http://schemas.openxmlformats.org/officeDocument/2006/relationships/chart" Target="charts/chart35.xm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chart" Target="charts/chart6.xml"/><Relationship Id="rId22" Type="http://schemas.openxmlformats.org/officeDocument/2006/relationships/chart" Target="charts/chart12.xml"/><Relationship Id="rId27" Type="http://schemas.openxmlformats.org/officeDocument/2006/relationships/chart" Target="charts/chart16.xml"/><Relationship Id="rId30" Type="http://schemas.openxmlformats.org/officeDocument/2006/relationships/chart" Target="charts/chart19.xml"/><Relationship Id="rId35" Type="http://schemas.openxmlformats.org/officeDocument/2006/relationships/image" Target="media/image6.png"/><Relationship Id="rId43" Type="http://schemas.openxmlformats.org/officeDocument/2006/relationships/image" Target="media/image14.png"/><Relationship Id="rId48" Type="http://schemas.openxmlformats.org/officeDocument/2006/relationships/chart" Target="charts/chart23.xml"/><Relationship Id="rId56" Type="http://schemas.openxmlformats.org/officeDocument/2006/relationships/chart" Target="charts/chart29.xml"/><Relationship Id="rId64" Type="http://schemas.openxmlformats.org/officeDocument/2006/relationships/chart" Target="charts/chart34.xml"/><Relationship Id="rId69" Type="http://schemas.openxmlformats.org/officeDocument/2006/relationships/image" Target="media/image19.png"/><Relationship Id="rId8" Type="http://schemas.openxmlformats.org/officeDocument/2006/relationships/image" Target="media/image1.jpeg"/><Relationship Id="rId51" Type="http://schemas.openxmlformats.org/officeDocument/2006/relationships/chart" Target="charts/chart24.xml"/><Relationship Id="rId3" Type="http://schemas.openxmlformats.org/officeDocument/2006/relationships/styles" Target="styles.xml"/><Relationship Id="rId12" Type="http://schemas.openxmlformats.org/officeDocument/2006/relationships/chart" Target="charts/chart4.xml"/><Relationship Id="rId17" Type="http://schemas.openxmlformats.org/officeDocument/2006/relationships/image" Target="media/image2.png"/><Relationship Id="rId25" Type="http://schemas.openxmlformats.org/officeDocument/2006/relationships/chart" Target="charts/chart14.xml"/><Relationship Id="rId33" Type="http://schemas.openxmlformats.org/officeDocument/2006/relationships/chart" Target="charts/chart22.xml"/><Relationship Id="rId38" Type="http://schemas.openxmlformats.org/officeDocument/2006/relationships/image" Target="media/image9.svg"/><Relationship Id="rId46" Type="http://schemas.openxmlformats.org/officeDocument/2006/relationships/image" Target="media/image17.png"/><Relationship Id="rId59" Type="http://schemas.openxmlformats.org/officeDocument/2006/relationships/footer" Target="footer2.xml"/><Relationship Id="rId67" Type="http://schemas.openxmlformats.org/officeDocument/2006/relationships/chart" Target="charts/chart37.xml"/><Relationship Id="rId20" Type="http://schemas.openxmlformats.org/officeDocument/2006/relationships/chart" Target="charts/chart10.xml"/><Relationship Id="rId41" Type="http://schemas.openxmlformats.org/officeDocument/2006/relationships/image" Target="media/image9.png"/><Relationship Id="rId54" Type="http://schemas.openxmlformats.org/officeDocument/2006/relationships/chart" Target="charts/chart27.xml"/><Relationship Id="rId62" Type="http://schemas.openxmlformats.org/officeDocument/2006/relationships/chart" Target="charts/chart32.xml"/><Relationship Id="rId7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2.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3.xml"/><Relationship Id="rId1" Type="http://schemas.microsoft.com/office/2011/relationships/chartStyle" Target="style3.xml"/></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4.xml"/><Relationship Id="rId1" Type="http://schemas.microsoft.com/office/2011/relationships/chartStyle" Target="style4.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5.xml"/><Relationship Id="rId1" Type="http://schemas.microsoft.com/office/2011/relationships/chartStyle" Target="style5.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6.xml"/><Relationship Id="rId1" Type="http://schemas.microsoft.com/office/2011/relationships/chartStyle" Target="style6.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7.xml"/><Relationship Id="rId1" Type="http://schemas.microsoft.com/office/2011/relationships/chartStyle" Target="style7.xml"/></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2.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Microsoft_Excel_Worksheet21.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8.xml"/><Relationship Id="rId1" Type="http://schemas.microsoft.com/office/2011/relationships/chartStyle" Target="style8.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9.xml"/><Relationship Id="rId1" Type="http://schemas.microsoft.com/office/2011/relationships/chartStyle" Target="style9.xm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25.xlsx"/></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3.xml"/></Relationships>
</file>

<file path=word/charts/_rels/chart28.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embeddings/oleObject1.bin"/></Relationships>
</file>

<file path=word/charts/_rels/chart29.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embeddings/oleObject2.bin"/></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2.xlsx"/></Relationships>
</file>

<file path=word/charts/_rels/chart30.xml.rels><?xml version="1.0" encoding="UTF-8" standalone="yes"?>
<Relationships xmlns="http://schemas.openxmlformats.org/package/2006/relationships"><Relationship Id="rId3" Type="http://schemas.openxmlformats.org/officeDocument/2006/relationships/oleObject" Target="file:///C:\Users\edeleon\Desktop\cuadro%20indicadores%20mercados%20burs&#225;tiles.xlsx" TargetMode="External"/><Relationship Id="rId2" Type="http://schemas.microsoft.com/office/2011/relationships/chartColorStyle" Target="colors11.xml"/><Relationship Id="rId1" Type="http://schemas.microsoft.com/office/2011/relationships/chartStyle" Target="style11.xml"/></Relationships>
</file>

<file path=word/charts/_rels/chart31.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2.xml"/><Relationship Id="rId1" Type="http://schemas.microsoft.com/office/2011/relationships/chartStyle" Target="style12.xml"/></Relationships>
</file>

<file path=word/charts/_rels/chart32.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3.xml"/><Relationship Id="rId1" Type="http://schemas.microsoft.com/office/2011/relationships/chartStyle" Target="style13.xml"/></Relationships>
</file>

<file path=word/charts/_rels/chart33.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4.xml"/><Relationship Id="rId1" Type="http://schemas.microsoft.com/office/2011/relationships/chartStyle" Target="style14.xml"/></Relationships>
</file>

<file path=word/charts/_rels/chart34.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15.xml"/><Relationship Id="rId1" Type="http://schemas.microsoft.com/office/2011/relationships/chartStyle" Target="style15.xml"/></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Worksheet28.xlsx"/><Relationship Id="rId2" Type="http://schemas.microsoft.com/office/2011/relationships/chartColorStyle" Target="colors16.xml"/><Relationship Id="rId1" Type="http://schemas.microsoft.com/office/2011/relationships/chartStyle" Target="style16.xml"/></Relationships>
</file>

<file path=word/charts/_rels/chart36.xml.rels><?xml version="1.0" encoding="UTF-8" standalone="yes"?>
<Relationships xmlns="http://schemas.openxmlformats.org/package/2006/relationships"><Relationship Id="rId3" Type="http://schemas.openxmlformats.org/officeDocument/2006/relationships/package" Target="../embeddings/Microsoft_Excel_Worksheet29.xlsx"/><Relationship Id="rId2" Type="http://schemas.microsoft.com/office/2011/relationships/chartColorStyle" Target="colors17.xml"/><Relationship Id="rId1" Type="http://schemas.microsoft.com/office/2011/relationships/chartStyle" Target="style17.xml"/></Relationships>
</file>

<file path=word/charts/_rels/chart37.xml.rels><?xml version="1.0" encoding="UTF-8" standalone="yes"?>
<Relationships xmlns="http://schemas.openxmlformats.org/package/2006/relationships"><Relationship Id="rId3" Type="http://schemas.openxmlformats.org/officeDocument/2006/relationships/package" Target="../embeddings/Microsoft_Excel_Worksheet30.xlsx"/><Relationship Id="rId2" Type="http://schemas.microsoft.com/office/2011/relationships/chartColorStyle" Target="colors18.xml"/><Relationship Id="rId1" Type="http://schemas.microsoft.com/office/2011/relationships/chartStyle" Target="style18.xm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2.xml"/><Relationship Id="rId1" Type="http://schemas.microsoft.com/office/2011/relationships/chartStyle" Target="style2.xml"/></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6599542078516773E-2"/>
          <c:y val="3.1475757507388943E-2"/>
          <c:w val="0.88861852906684524"/>
          <c:h val="0.77837133282621662"/>
        </c:manualLayout>
      </c:layout>
      <c:barChart>
        <c:barDir val="col"/>
        <c:grouping val="stacked"/>
        <c:varyColors val="0"/>
        <c:ser>
          <c:idx val="0"/>
          <c:order val="0"/>
          <c:tx>
            <c:strRef>
              <c:f>Hoja1!$B$1</c:f>
              <c:strCache>
                <c:ptCount val="1"/>
                <c:pt idx="0">
                  <c:v>SAT</c:v>
                </c:pt>
              </c:strCache>
            </c:strRef>
          </c:tx>
          <c:spPr>
            <a:solidFill>
              <a:schemeClr val="accent1"/>
            </a:solidFill>
            <a:ln>
              <a:noFill/>
            </a:ln>
            <a:effectLst/>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14F-450D-BEB3-94EC1CBF9FA7}"/>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14F-450D-BEB3-94EC1CBF9FA7}"/>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14F-450D-BEB3-94EC1CBF9FA7}"/>
                </c:ext>
              </c:extLst>
            </c:dLbl>
            <c:numFmt formatCode="#,##0.0" sourceLinked="0"/>
            <c:spPr>
              <a:noFill/>
              <a:ln>
                <a:noFill/>
              </a:ln>
              <a:effectLst/>
            </c:spPr>
            <c:txPr>
              <a:bodyPr rot="0" spcFirstLastPara="1" vertOverflow="ellipsis" vert="horz" wrap="square" anchor="ctr" anchorCtr="1"/>
              <a:lstStyle/>
              <a:p>
                <a:pPr>
                  <a:defRPr sz="105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Hoja1!$A$2:$A$4</c:f>
              <c:strCache>
                <c:ptCount val="3"/>
                <c:pt idx="0">
                  <c:v>Observado 20</c:v>
                </c:pt>
                <c:pt idx="1">
                  <c:v>Observado 21</c:v>
                </c:pt>
                <c:pt idx="2">
                  <c:v>Meta </c:v>
                </c:pt>
              </c:strCache>
            </c:strRef>
          </c:cat>
          <c:val>
            <c:numRef>
              <c:f>Hoja1!$B$2:$B$4</c:f>
              <c:numCache>
                <c:formatCode>#,##0.0</c:formatCode>
                <c:ptCount val="3"/>
                <c:pt idx="0">
                  <c:v>28263.384073820005</c:v>
                </c:pt>
                <c:pt idx="1">
                  <c:v>35855.622922689996</c:v>
                </c:pt>
                <c:pt idx="2">
                  <c:v>30382.788430149998</c:v>
                </c:pt>
              </c:numCache>
            </c:numRef>
          </c:val>
          <c:extLst>
            <c:ext xmlns:c16="http://schemas.microsoft.com/office/drawing/2014/chart" uri="{C3380CC4-5D6E-409C-BE32-E72D297353CC}">
              <c16:uniqueId val="{00000003-714F-450D-BEB3-94EC1CBF9FA7}"/>
            </c:ext>
          </c:extLst>
        </c:ser>
        <c:ser>
          <c:idx val="1"/>
          <c:order val="1"/>
          <c:tx>
            <c:strRef>
              <c:f>Hoja1!$C$1</c:f>
              <c:strCache>
                <c:ptCount val="1"/>
                <c:pt idx="0">
                  <c:v>No administrado por SAT</c:v>
                </c:pt>
              </c:strCache>
            </c:strRef>
          </c:tx>
          <c:spPr>
            <a:solidFill>
              <a:srgbClr val="FF0000"/>
            </a:solidFill>
            <a:ln>
              <a:noFill/>
            </a:ln>
            <a:effectLst/>
          </c:spPr>
          <c:invertIfNegative val="0"/>
          <c:dLbls>
            <c:dLbl>
              <c:idx val="0"/>
              <c:layout>
                <c:manualLayout>
                  <c:x val="0"/>
                  <c:y val="-4.01146131805157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14F-450D-BEB3-94EC1CBF9FA7}"/>
                </c:ext>
              </c:extLst>
            </c:dLbl>
            <c:dLbl>
              <c:idx val="1"/>
              <c:layout>
                <c:manualLayout>
                  <c:x val="-9.0333193138944519E-17"/>
                  <c:y val="-5.15759312320916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14F-450D-BEB3-94EC1CBF9FA7}"/>
                </c:ext>
              </c:extLst>
            </c:dLbl>
            <c:dLbl>
              <c:idx val="2"/>
              <c:layout>
                <c:manualLayout>
                  <c:x val="0"/>
                  <c:y val="-5.15759312320916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14F-450D-BEB3-94EC1CBF9FA7}"/>
                </c:ext>
              </c:extLst>
            </c:dLbl>
            <c:numFmt formatCode="#,##0.0" sourceLinked="0"/>
            <c:spPr>
              <a:noFill/>
              <a:ln>
                <a:noFill/>
              </a:ln>
              <a:effectLst/>
            </c:spPr>
            <c:txPr>
              <a:bodyPr rot="0" spcFirstLastPara="1" vertOverflow="ellipsis" vert="horz" wrap="square" anchor="ctr" anchorCtr="1"/>
              <a:lstStyle/>
              <a:p>
                <a:pPr>
                  <a:defRPr sz="9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Hoja1!$A$2:$A$4</c:f>
              <c:strCache>
                <c:ptCount val="3"/>
                <c:pt idx="0">
                  <c:v>Observado 20</c:v>
                </c:pt>
                <c:pt idx="1">
                  <c:v>Observado 21</c:v>
                </c:pt>
                <c:pt idx="2">
                  <c:v>Meta </c:v>
                </c:pt>
              </c:strCache>
            </c:strRef>
          </c:cat>
          <c:val>
            <c:numRef>
              <c:f>Hoja1!$C$2:$C$4</c:f>
              <c:numCache>
                <c:formatCode>#,##0.0</c:formatCode>
                <c:ptCount val="3"/>
                <c:pt idx="0">
                  <c:v>201.67924748000002</c:v>
                </c:pt>
                <c:pt idx="1">
                  <c:v>163.66019180000001</c:v>
                </c:pt>
                <c:pt idx="2">
                  <c:v>287.71174417160762</c:v>
                </c:pt>
              </c:numCache>
            </c:numRef>
          </c:val>
          <c:extLst>
            <c:ext xmlns:c16="http://schemas.microsoft.com/office/drawing/2014/chart" uri="{C3380CC4-5D6E-409C-BE32-E72D297353CC}">
              <c16:uniqueId val="{00000007-714F-450D-BEB3-94EC1CBF9FA7}"/>
            </c:ext>
          </c:extLst>
        </c:ser>
        <c:dLbls>
          <c:showLegendKey val="0"/>
          <c:showVal val="0"/>
          <c:showCatName val="0"/>
          <c:showSerName val="0"/>
          <c:showPercent val="0"/>
          <c:showBubbleSize val="0"/>
        </c:dLbls>
        <c:gapWidth val="25"/>
        <c:overlap val="100"/>
        <c:axId val="401013392"/>
        <c:axId val="401013720"/>
      </c:barChart>
      <c:catAx>
        <c:axId val="401013392"/>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401013720"/>
        <c:crosses val="autoZero"/>
        <c:auto val="1"/>
        <c:lblAlgn val="ctr"/>
        <c:lblOffset val="100"/>
        <c:noMultiLvlLbl val="0"/>
      </c:catAx>
      <c:valAx>
        <c:axId val="401013720"/>
        <c:scaling>
          <c:orientation val="minMax"/>
          <c:min val="10000"/>
        </c:scaling>
        <c:delete val="0"/>
        <c:axPos val="l"/>
        <c:majorGridlines>
          <c:spPr>
            <a:ln w="9525" cap="flat" cmpd="sng" algn="ctr">
              <a:solidFill>
                <a:schemeClr val="dk1">
                  <a:lumMod val="15000"/>
                  <a:lumOff val="85000"/>
                </a:schemeClr>
              </a:solidFill>
              <a:round/>
            </a:ln>
            <a:effectLst/>
          </c:spPr>
        </c:majorGridlines>
        <c:numFmt formatCode="#,##0" sourceLinked="0"/>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401013392"/>
        <c:crosses val="autoZero"/>
        <c:crossBetween val="between"/>
      </c:valAx>
      <c:spPr>
        <a:pattFill prst="ltDnDiag">
          <a:fgClr>
            <a:schemeClr val="dk1">
              <a:lumMod val="15000"/>
              <a:lumOff val="85000"/>
            </a:schemeClr>
          </a:fgClr>
          <a:bgClr>
            <a:schemeClr val="lt1"/>
          </a:bgClr>
        </a:pattFill>
        <a:ln>
          <a:noFill/>
        </a:ln>
        <a:effectLst/>
      </c:spPr>
    </c:plotArea>
    <c:legend>
      <c:legendPos val="b"/>
      <c:layout>
        <c:manualLayout>
          <c:xMode val="edge"/>
          <c:yMode val="edge"/>
          <c:x val="0.15198972468866923"/>
          <c:y val="0.94907259307991199"/>
          <c:w val="0.67661287350167698"/>
          <c:h val="4.6017146029070123E-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chart>
  <c:spPr>
    <a:solidFill>
      <a:schemeClr val="lt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857513918026683"/>
          <c:y val="6.168066491688539E-2"/>
          <c:w val="0.85127977742685235"/>
          <c:h val="0.82004374453193363"/>
        </c:manualLayout>
      </c:layout>
      <c:lineChart>
        <c:grouping val="standard"/>
        <c:varyColors val="0"/>
        <c:ser>
          <c:idx val="0"/>
          <c:order val="0"/>
          <c:tx>
            <c:strRef>
              <c:f>Hoja1!$B$1</c:f>
              <c:strCache>
                <c:ptCount val="1"/>
                <c:pt idx="0">
                  <c:v>ISR total</c:v>
                </c:pt>
              </c:strCache>
            </c:strRef>
          </c:tx>
          <c:marker>
            <c:symbol val="circle"/>
            <c:size val="5"/>
          </c:marker>
          <c:dLbls>
            <c:dLbl>
              <c:idx val="0"/>
              <c:layout>
                <c:manualLayout>
                  <c:x val="-1.1529536190851749E-2"/>
                  <c:y val="9.9440487710919425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0FE-4523-8642-D9DBCB7414A6}"/>
                </c:ext>
              </c:extLst>
            </c:dLbl>
            <c:dLbl>
              <c:idx val="1"/>
              <c:layout>
                <c:manualLayout>
                  <c:x val="-7.154650902885927E-2"/>
                  <c:y val="-5.888888888888888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0FE-4523-8642-D9DBCB7414A6}"/>
                </c:ext>
              </c:extLst>
            </c:dLbl>
            <c:dLbl>
              <c:idx val="2"/>
              <c:layout>
                <c:manualLayout>
                  <c:x val="-0.1638587583660282"/>
                  <c:y val="1.888888888888888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0FE-4523-8642-D9DBCB7414A6}"/>
                </c:ext>
              </c:extLst>
            </c:dLbl>
            <c:dLbl>
              <c:idx val="3"/>
              <c:layout>
                <c:manualLayout>
                  <c:x val="-0.11000179904814003"/>
                  <c:y val="0.11740057691727515"/>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0FE-4523-8642-D9DBCB7414A6}"/>
                </c:ext>
              </c:extLst>
            </c:dLbl>
            <c:dLbl>
              <c:idx val="4"/>
              <c:layout>
                <c:manualLayout>
                  <c:x val="-9.0006923609508502E-2"/>
                  <c:y val="-0.1096374889478338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0FE-4523-8642-D9DBCB7414A6}"/>
                </c:ext>
              </c:extLst>
            </c:dLbl>
            <c:dLbl>
              <c:idx val="5"/>
              <c:layout>
                <c:manualLayout>
                  <c:x val="-6.2304853250371169E-2"/>
                  <c:y val="-6.85115952017934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0FE-4523-8642-D9DBCB7414A6}"/>
                </c:ext>
              </c:extLst>
            </c:dLbl>
            <c:dLbl>
              <c:idx val="6"/>
              <c:layout>
                <c:manualLayout>
                  <c:x val="-0.10073724629332481"/>
                  <c:y val="9.28057069789353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0FE-4523-8642-D9DBCB7414A6}"/>
                </c:ext>
              </c:extLst>
            </c:dLbl>
            <c:dLbl>
              <c:idx val="7"/>
              <c:layout>
                <c:manualLayout>
                  <c:x val="-9.9238402954073393E-2"/>
                  <c:y val="-6.837606837606838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0FE-4523-8642-D9DBCB7414A6}"/>
                </c:ext>
              </c:extLst>
            </c:dLbl>
            <c:dLbl>
              <c:idx val="8"/>
              <c:layout>
                <c:manualLayout>
                  <c:x val="-1.2829575624533202E-3"/>
                  <c:y val="-6.566738839342695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0FE-4523-8642-D9DBCB7414A6}"/>
                </c:ext>
              </c:extLst>
            </c:dLbl>
            <c:spPr>
              <a:noFill/>
              <a:ln>
                <a:noFill/>
              </a:ln>
              <a:effectLst/>
            </c:spPr>
            <c:txPr>
              <a:bodyPr/>
              <a:lstStyle/>
              <a:p>
                <a:pPr>
                  <a:defRPr sz="800" b="1">
                    <a:solidFill>
                      <a:srgbClr val="0070C0"/>
                    </a:solidFill>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a:solidFill>
                        <a:schemeClr val="bg1">
                          <a:lumMod val="85000"/>
                        </a:schemeClr>
                      </a:solidFill>
                    </a:ln>
                  </c:spPr>
                </c15:leaderLines>
              </c:ext>
            </c:extLst>
          </c:dLbls>
          <c:cat>
            <c:numRef>
              <c:f>Hoja1!$A$2:$A$10</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Hoja1!$B$2:$B$10</c:f>
              <c:numCache>
                <c:formatCode>0.0%</c:formatCode>
                <c:ptCount val="9"/>
                <c:pt idx="0">
                  <c:v>-0.33917614112894334</c:v>
                </c:pt>
                <c:pt idx="1">
                  <c:v>0.85281985764791068</c:v>
                </c:pt>
                <c:pt idx="2">
                  <c:v>0.18548892364460179</c:v>
                </c:pt>
                <c:pt idx="3">
                  <c:v>0.11112083253632776</c:v>
                </c:pt>
                <c:pt idx="4">
                  <c:v>0.15094938761491861</c:v>
                </c:pt>
                <c:pt idx="5">
                  <c:v>9.8080840175943651E-2</c:v>
                </c:pt>
                <c:pt idx="6">
                  <c:v>0.11320366937658299</c:v>
                </c:pt>
                <c:pt idx="7">
                  <c:v>5.7821494293180953E-2</c:v>
                </c:pt>
                <c:pt idx="8">
                  <c:v>0.12157928580618371</c:v>
                </c:pt>
              </c:numCache>
            </c:numRef>
          </c:val>
          <c:smooth val="1"/>
          <c:extLst>
            <c:ext xmlns:c16="http://schemas.microsoft.com/office/drawing/2014/chart" uri="{C3380CC4-5D6E-409C-BE32-E72D297353CC}">
              <c16:uniqueId val="{00000009-60FE-4523-8642-D9DBCB7414A6}"/>
            </c:ext>
          </c:extLst>
        </c:ser>
        <c:dLbls>
          <c:showLegendKey val="0"/>
          <c:showVal val="0"/>
          <c:showCatName val="0"/>
          <c:showSerName val="0"/>
          <c:showPercent val="0"/>
          <c:showBubbleSize val="0"/>
        </c:dLbls>
        <c:marker val="1"/>
        <c:smooth val="0"/>
        <c:axId val="198023424"/>
        <c:axId val="198037504"/>
      </c:lineChart>
      <c:catAx>
        <c:axId val="198023424"/>
        <c:scaling>
          <c:orientation val="minMax"/>
        </c:scaling>
        <c:delete val="0"/>
        <c:axPos val="b"/>
        <c:numFmt formatCode="General" sourceLinked="1"/>
        <c:majorTickMark val="out"/>
        <c:minorTickMark val="none"/>
        <c:tickLblPos val="low"/>
        <c:txPr>
          <a:bodyPr/>
          <a:lstStyle/>
          <a:p>
            <a:pPr>
              <a:defRPr sz="800" b="0"/>
            </a:pPr>
            <a:endParaRPr lang="es-GT"/>
          </a:p>
        </c:txPr>
        <c:crossAx val="198037504"/>
        <c:crosses val="autoZero"/>
        <c:auto val="1"/>
        <c:lblAlgn val="ctr"/>
        <c:lblOffset val="100"/>
        <c:noMultiLvlLbl val="0"/>
      </c:catAx>
      <c:valAx>
        <c:axId val="198037504"/>
        <c:scaling>
          <c:orientation val="minMax"/>
        </c:scaling>
        <c:delete val="0"/>
        <c:axPos val="l"/>
        <c:numFmt formatCode="0%" sourceLinked="0"/>
        <c:majorTickMark val="out"/>
        <c:minorTickMark val="none"/>
        <c:tickLblPos val="nextTo"/>
        <c:txPr>
          <a:bodyPr/>
          <a:lstStyle/>
          <a:p>
            <a:pPr>
              <a:defRPr sz="800" b="0"/>
            </a:pPr>
            <a:endParaRPr lang="es-GT"/>
          </a:p>
        </c:txPr>
        <c:crossAx val="198023424"/>
        <c:crosses val="autoZero"/>
        <c:crossBetween val="between"/>
      </c:valAx>
    </c:plotArea>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es-GT"/>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4125540645447486E-2"/>
          <c:y val="7.7511746876854248E-2"/>
          <c:w val="0.89739085431222509"/>
          <c:h val="0.83653238609939551"/>
        </c:manualLayout>
      </c:layout>
      <c:barChart>
        <c:barDir val="col"/>
        <c:grouping val="clustered"/>
        <c:varyColors val="0"/>
        <c:ser>
          <c:idx val="0"/>
          <c:order val="0"/>
          <c:tx>
            <c:strRef>
              <c:f>Hoja1!$B$1</c:f>
              <c:strCache>
                <c:ptCount val="1"/>
                <c:pt idx="0">
                  <c:v>Obs21-Pres</c:v>
                </c:pt>
              </c:strCache>
            </c:strRef>
          </c:tx>
          <c:spPr>
            <a:solidFill>
              <a:schemeClr val="accent1"/>
            </a:solidFill>
            <a:ln>
              <a:noFill/>
            </a:ln>
            <a:effectLst/>
          </c:spPr>
          <c:invertIfNegative val="0"/>
          <c:dLbls>
            <c:dLbl>
              <c:idx val="2"/>
              <c:layout>
                <c:manualLayout>
                  <c:x val="-4.516659656947226E-17"/>
                  <c:y val="1.6380016380016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B87-47AF-8B0F-5E4A2D276C50}"/>
                </c:ext>
              </c:extLst>
            </c:dLbl>
            <c:dLbl>
              <c:idx val="3"/>
              <c:layout>
                <c:manualLayout>
                  <c:x val="0"/>
                  <c:y val="-1.27307447485677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B87-47AF-8B0F-5E4A2D276C50}"/>
                </c:ext>
              </c:extLst>
            </c:dLbl>
            <c:dLbl>
              <c:idx val="4"/>
              <c:layout>
                <c:manualLayout>
                  <c:x val="-9.4073377234243569E-3"/>
                  <c:y val="1.63799530832318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B87-47AF-8B0F-5E4A2D276C50}"/>
                </c:ext>
              </c:extLst>
            </c:dLbl>
            <c:dLbl>
              <c:idx val="5"/>
              <c:layout>
                <c:manualLayout>
                  <c:x val="2.35183443085605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B87-47AF-8B0F-5E4A2D276C50}"/>
                </c:ext>
              </c:extLst>
            </c:dLbl>
            <c:dLbl>
              <c:idx val="7"/>
              <c:layout>
                <c:manualLayout>
                  <c:x val="-8.7676334517210861E-17"/>
                  <c:y val="-3.18268618714194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B87-47AF-8B0F-5E4A2D276C50}"/>
                </c:ext>
              </c:extLst>
            </c:dLbl>
            <c:dLbl>
              <c:idx val="9"/>
              <c:layout>
                <c:manualLayout>
                  <c:x val="0"/>
                  <c:y val="8.190008190008190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B87-47AF-8B0F-5E4A2D276C50}"/>
                </c:ext>
              </c:extLst>
            </c:dLbl>
            <c:numFmt formatCode="#,##0.0" sourceLinked="0"/>
            <c:spPr>
              <a:noFill/>
              <a:ln>
                <a:noFill/>
              </a:ln>
              <a:effectLst/>
            </c:spPr>
            <c:txPr>
              <a:bodyPr rot="0" spcFirstLastPara="1" vertOverflow="ellipsis" vert="horz" wrap="square" anchor="ctr" anchorCtr="1"/>
              <a:lstStyle/>
              <a:p>
                <a:pPr>
                  <a:defRPr sz="800" b="1"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Hoja1!$A$2:$A$13</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Hoja1!$B$2:$B$13</c:f>
              <c:numCache>
                <c:formatCode>0.0</c:formatCode>
                <c:ptCount val="12"/>
                <c:pt idx="0">
                  <c:v>69.45493179999994</c:v>
                </c:pt>
                <c:pt idx="1">
                  <c:v>49.331967139999961</c:v>
                </c:pt>
                <c:pt idx="2">
                  <c:v>-28.778871321311954</c:v>
                </c:pt>
                <c:pt idx="3">
                  <c:v>175.57319428647793</c:v>
                </c:pt>
                <c:pt idx="4">
                  <c:v>256.31831503483431</c:v>
                </c:pt>
                <c:pt idx="5">
                  <c:v>245.9969491899999</c:v>
                </c:pt>
                <c:pt idx="6">
                  <c:v>160.38195810000002</c:v>
                </c:pt>
                <c:pt idx="7">
                  <c:v>65.036105840000118</c:v>
                </c:pt>
                <c:pt idx="8">
                  <c:v>23.762332949999973</c:v>
                </c:pt>
                <c:pt idx="9">
                  <c:v>-39.508872280000105</c:v>
                </c:pt>
                <c:pt idx="10">
                  <c:v>-82.894425059999776</c:v>
                </c:pt>
                <c:pt idx="11">
                  <c:v>-85.635791060000429</c:v>
                </c:pt>
              </c:numCache>
            </c:numRef>
          </c:val>
          <c:extLst>
            <c:ext xmlns:c16="http://schemas.microsoft.com/office/drawing/2014/chart" uri="{C3380CC4-5D6E-409C-BE32-E72D297353CC}">
              <c16:uniqueId val="{00000006-CB87-47AF-8B0F-5E4A2D276C50}"/>
            </c:ext>
          </c:extLst>
        </c:ser>
        <c:dLbls>
          <c:showLegendKey val="0"/>
          <c:showVal val="0"/>
          <c:showCatName val="0"/>
          <c:showSerName val="0"/>
          <c:showPercent val="0"/>
          <c:showBubbleSize val="0"/>
        </c:dLbls>
        <c:gapWidth val="20"/>
        <c:overlap val="-27"/>
        <c:axId val="564470416"/>
        <c:axId val="564468448"/>
      </c:barChart>
      <c:lineChart>
        <c:grouping val="standard"/>
        <c:varyColors val="0"/>
        <c:ser>
          <c:idx val="1"/>
          <c:order val="1"/>
          <c:tx>
            <c:strRef>
              <c:f>Hoja1!$C$1</c:f>
              <c:strCache>
                <c:ptCount val="1"/>
                <c:pt idx="0">
                  <c:v>Obs21-Obs19</c:v>
                </c:pt>
              </c:strCache>
            </c:strRef>
          </c:tx>
          <c:spPr>
            <a:ln w="12700" cap="rnd">
              <a:solidFill>
                <a:srgbClr val="FF0000"/>
              </a:solidFill>
              <a:prstDash val="sysDot"/>
              <a:round/>
            </a:ln>
            <a:effectLst/>
          </c:spPr>
          <c:marker>
            <c:symbol val="circle"/>
            <c:size val="3"/>
            <c:spPr>
              <a:solidFill>
                <a:schemeClr val="bg1"/>
              </a:solidFill>
              <a:ln w="9525">
                <a:solidFill>
                  <a:srgbClr val="FF0000"/>
                </a:solidFill>
              </a:ln>
              <a:effectLst/>
            </c:spPr>
          </c:marker>
          <c:dLbls>
            <c:dLbl>
              <c:idx val="1"/>
              <c:layout>
                <c:manualLayout>
                  <c:x val="-4.1303373663657897E-2"/>
                  <c:y val="-0.12008615630662879"/>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B87-47AF-8B0F-5E4A2D276C50}"/>
                </c:ext>
              </c:extLst>
            </c:dLbl>
            <c:dLbl>
              <c:idx val="2"/>
              <c:layout>
                <c:manualLayout>
                  <c:x val="-5.1158017664643403E-2"/>
                  <c:y val="-0.1364661726866451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B87-47AF-8B0F-5E4A2D276C50}"/>
                </c:ext>
              </c:extLst>
            </c:dLbl>
            <c:dLbl>
              <c:idx val="3"/>
              <c:layout>
                <c:manualLayout>
                  <c:x val="-6.5939983666121513E-2"/>
                  <c:y val="0.2484642122437398"/>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B87-47AF-8B0F-5E4A2D276C50}"/>
                </c:ext>
              </c:extLst>
            </c:dLbl>
            <c:dLbl>
              <c:idx val="4"/>
              <c:layout>
                <c:manualLayout>
                  <c:x val="-6.5939983666121652E-2"/>
                  <c:y val="0.20751417129369901"/>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B87-47AF-8B0F-5E4A2D276C50}"/>
                </c:ext>
              </c:extLst>
            </c:dLbl>
            <c:dLbl>
              <c:idx val="5"/>
              <c:layout>
                <c:manualLayout>
                  <c:x val="-6.1012661665628916E-2"/>
                  <c:y val="0.28122424500377258"/>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B87-47AF-8B0F-5E4A2D276C50}"/>
                </c:ext>
              </c:extLst>
            </c:dLbl>
            <c:dLbl>
              <c:idx val="6"/>
              <c:layout>
                <c:manualLayout>
                  <c:x val="-5.8450454225372601E-2"/>
                  <c:y val="0.1501841139636415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CB87-47AF-8B0F-5E4A2D276C50}"/>
                </c:ext>
              </c:extLst>
            </c:dLbl>
            <c:dLbl>
              <c:idx val="7"/>
              <c:layout>
                <c:manualLayout>
                  <c:x val="-6.5939983666121554E-2"/>
                  <c:y val="0.1501841139636415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CB87-47AF-8B0F-5E4A2D276C50}"/>
                </c:ext>
              </c:extLst>
            </c:dLbl>
            <c:dLbl>
              <c:idx val="8"/>
              <c:layout>
                <c:manualLayout>
                  <c:x val="-8.6430100517773945E-2"/>
                  <c:y val="-5.78808350457348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CB87-47AF-8B0F-5E4A2D276C50}"/>
                </c:ext>
              </c:extLst>
            </c:dLbl>
            <c:dLbl>
              <c:idx val="9"/>
              <c:layout>
                <c:manualLayout>
                  <c:x val="-7.7022762794349678E-2"/>
                  <c:y val="-5.788083504573475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CB87-47AF-8B0F-5E4A2D276C50}"/>
                </c:ext>
              </c:extLst>
            </c:dLbl>
            <c:dLbl>
              <c:idx val="10"/>
              <c:layout>
                <c:manualLayout>
                  <c:x val="-4.3431262241910185E-2"/>
                  <c:y val="-6.783092411955968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CB87-47AF-8B0F-5E4A2D276C50}"/>
                </c:ext>
              </c:extLst>
            </c:dLbl>
            <c:dLbl>
              <c:idx val="11"/>
              <c:layout>
                <c:manualLayout>
                  <c:x val="-4.0354497996843514E-2"/>
                  <c:y val="-5.91170133584048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CB87-47AF-8B0F-5E4A2D276C50}"/>
                </c:ext>
              </c:extLst>
            </c:dLbl>
            <c:numFmt formatCode="#,##0.0" sourceLinked="0"/>
            <c:spPr>
              <a:noFill/>
              <a:ln>
                <a:noFill/>
              </a:ln>
              <a:effectLst/>
            </c:spPr>
            <c:txPr>
              <a:bodyPr rot="0" spcFirstLastPara="1" vertOverflow="ellipsis" vert="horz" wrap="square" anchor="ctr" anchorCtr="1"/>
              <a:lstStyle/>
              <a:p>
                <a:pPr>
                  <a:defRPr sz="800" b="0"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3175" cap="flat" cmpd="sng" algn="ctr">
                      <a:solidFill>
                        <a:srgbClr val="FF0000"/>
                      </a:solidFill>
                      <a:prstDash val="sysDash"/>
                      <a:round/>
                    </a:ln>
                    <a:effectLst/>
                  </c:spPr>
                </c15:leaderLines>
              </c:ext>
            </c:extLst>
          </c:dLbls>
          <c:cat>
            <c:strRef>
              <c:f>Hoja1!$A$2:$A$13</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Hoja1!$C$2:$C$13</c:f>
              <c:numCache>
                <c:formatCode>0.0</c:formatCode>
                <c:ptCount val="12"/>
                <c:pt idx="0">
                  <c:v>411.57787566000002</c:v>
                </c:pt>
                <c:pt idx="1">
                  <c:v>227.48059463999994</c:v>
                </c:pt>
                <c:pt idx="2">
                  <c:v>174.07122125000001</c:v>
                </c:pt>
                <c:pt idx="3">
                  <c:v>206.11858329000006</c:v>
                </c:pt>
                <c:pt idx="4">
                  <c:v>124.18946142000004</c:v>
                </c:pt>
                <c:pt idx="5">
                  <c:v>185.84631783000009</c:v>
                </c:pt>
                <c:pt idx="6">
                  <c:v>89.584891319999997</c:v>
                </c:pt>
                <c:pt idx="7">
                  <c:v>105.89436840000008</c:v>
                </c:pt>
                <c:pt idx="8">
                  <c:v>175.28470663999997</c:v>
                </c:pt>
                <c:pt idx="9">
                  <c:v>147.17482384000004</c:v>
                </c:pt>
                <c:pt idx="10">
                  <c:v>170.05623992000005</c:v>
                </c:pt>
                <c:pt idx="11">
                  <c:v>122.49958655</c:v>
                </c:pt>
              </c:numCache>
            </c:numRef>
          </c:val>
          <c:smooth val="0"/>
          <c:extLst>
            <c:ext xmlns:c16="http://schemas.microsoft.com/office/drawing/2014/chart" uri="{C3380CC4-5D6E-409C-BE32-E72D297353CC}">
              <c16:uniqueId val="{00000012-CB87-47AF-8B0F-5E4A2D276C50}"/>
            </c:ext>
          </c:extLst>
        </c:ser>
        <c:dLbls>
          <c:showLegendKey val="0"/>
          <c:showVal val="0"/>
          <c:showCatName val="0"/>
          <c:showSerName val="0"/>
          <c:showPercent val="0"/>
          <c:showBubbleSize val="0"/>
        </c:dLbls>
        <c:marker val="1"/>
        <c:smooth val="0"/>
        <c:axId val="564470416"/>
        <c:axId val="564468448"/>
      </c:lineChart>
      <c:catAx>
        <c:axId val="56447041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564468448"/>
        <c:crosses val="autoZero"/>
        <c:auto val="1"/>
        <c:lblAlgn val="ctr"/>
        <c:lblOffset val="100"/>
        <c:noMultiLvlLbl val="0"/>
      </c:catAx>
      <c:valAx>
        <c:axId val="56446844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564470416"/>
        <c:crosses val="autoZero"/>
        <c:crossBetween val="between"/>
      </c:valAx>
      <c:spPr>
        <a:noFill/>
        <a:ln>
          <a:noFill/>
        </a:ln>
        <a:effectLst/>
      </c:spPr>
    </c:plotArea>
    <c:legend>
      <c:legendPos val="t"/>
      <c:layout>
        <c:manualLayout>
          <c:xMode val="edge"/>
          <c:yMode val="edge"/>
          <c:x val="0.26023936268529813"/>
          <c:y val="0"/>
          <c:w val="0.47952108979335328"/>
          <c:h val="8.6375627435572588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000"/>
      </a:pPr>
      <a:endParaRPr lang="es-GT"/>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4599700627972684E-2"/>
          <c:y val="3.082080649009783E-2"/>
          <c:w val="0.93540029937202729"/>
          <c:h val="0.83374015748031494"/>
        </c:manualLayout>
      </c:layout>
      <c:lineChart>
        <c:grouping val="standard"/>
        <c:varyColors val="0"/>
        <c:ser>
          <c:idx val="0"/>
          <c:order val="0"/>
          <c:tx>
            <c:strRef>
              <c:f>Hoja1!$B$1</c:f>
              <c:strCache>
                <c:ptCount val="1"/>
                <c:pt idx="0">
                  <c:v>Productividad IVA A junio</c:v>
                </c:pt>
              </c:strCache>
            </c:strRef>
          </c:tx>
          <c:marker>
            <c:symbol val="circle"/>
            <c:size val="7"/>
          </c:marker>
          <c:dLbls>
            <c:dLbl>
              <c:idx val="0"/>
              <c:layout>
                <c:manualLayout>
                  <c:x val="9.628495895366608E-3"/>
                  <c:y val="2.77547524132706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D6D-4CD8-8042-457A45723A1A}"/>
                </c:ext>
              </c:extLst>
            </c:dLbl>
            <c:dLbl>
              <c:idx val="1"/>
              <c:layout>
                <c:manualLayout>
                  <c:x val="1.2870350994632698E-2"/>
                  <c:y val="-1.687565204976992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D6D-4CD8-8042-457A45723A1A}"/>
                </c:ext>
              </c:extLst>
            </c:dLbl>
            <c:dLbl>
              <c:idx val="2"/>
              <c:layout>
                <c:manualLayout>
                  <c:x val="-0.10887724883839917"/>
                  <c:y val="-3.361205372341009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D6D-4CD8-8042-457A45723A1A}"/>
                </c:ext>
              </c:extLst>
            </c:dLbl>
            <c:dLbl>
              <c:idx val="5"/>
              <c:layout>
                <c:manualLayout>
                  <c:x val="-3.0958784945258774E-2"/>
                  <c:y val="7.2385156876310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D6D-4CD8-8042-457A45723A1A}"/>
                </c:ext>
              </c:extLst>
            </c:dLbl>
            <c:dLbl>
              <c:idx val="7"/>
              <c:layout>
                <c:manualLayout>
                  <c:x val="-0.11166005112029703"/>
                  <c:y val="1.659715129751040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D6D-4CD8-8042-457A45723A1A}"/>
                </c:ext>
              </c:extLst>
            </c:dLbl>
            <c:dLbl>
              <c:idx val="9"/>
              <c:layout>
                <c:manualLayout>
                  <c:x val="-3.2657609046956054E-2"/>
                  <c:y val="-8.820347247389055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D6D-4CD8-8042-457A45723A1A}"/>
                </c:ext>
              </c:extLst>
            </c:dLbl>
            <c:dLbl>
              <c:idx val="11"/>
              <c:layout>
                <c:manualLayout>
                  <c:x val="-8.2826713587196476E-5"/>
                  <c:y val="-7.266365762857049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D6D-4CD8-8042-457A45723A1A}"/>
                </c:ext>
              </c:extLst>
            </c:dLbl>
            <c:numFmt formatCode="0.0%" sourceLinked="0"/>
            <c:spPr>
              <a:noFill/>
              <a:ln>
                <a:noFill/>
              </a:ln>
              <a:effectLst/>
            </c:spPr>
            <c:txPr>
              <a:bodyPr/>
              <a:lstStyle/>
              <a:p>
                <a:pPr>
                  <a:defRPr sz="900" b="1">
                    <a:solidFill>
                      <a:srgbClr val="0070C0"/>
                    </a:solidFill>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Hoja1!$A$2:$A$13</c:f>
              <c:numCache>
                <c:formatCode>mmm\-yy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numRef>
          </c:cat>
          <c:val>
            <c:numRef>
              <c:f>Hoja1!$B$2:$B$13</c:f>
              <c:numCache>
                <c:formatCode>0.0%</c:formatCode>
                <c:ptCount val="12"/>
                <c:pt idx="0">
                  <c:v>-4.6780433389504592E-2</c:v>
                </c:pt>
                <c:pt idx="1">
                  <c:v>3.985686080947673E-2</c:v>
                </c:pt>
                <c:pt idx="2">
                  <c:v>0.2890238206445585</c:v>
                </c:pt>
                <c:pt idx="3">
                  <c:v>0.33254705268907997</c:v>
                </c:pt>
                <c:pt idx="4">
                  <c:v>0.21916702284275999</c:v>
                </c:pt>
                <c:pt idx="5">
                  <c:v>0.32560247387502672</c:v>
                </c:pt>
                <c:pt idx="6">
                  <c:v>0.38514496809582455</c:v>
                </c:pt>
                <c:pt idx="7">
                  <c:v>0.10642272903328703</c:v>
                </c:pt>
                <c:pt idx="8">
                  <c:v>0.25351241871868679</c:v>
                </c:pt>
                <c:pt idx="9">
                  <c:v>6.2699713232281906E-2</c:v>
                </c:pt>
                <c:pt idx="10">
                  <c:v>0.16476415625351806</c:v>
                </c:pt>
                <c:pt idx="11">
                  <c:v>5.6556014994010015E-2</c:v>
                </c:pt>
              </c:numCache>
            </c:numRef>
          </c:val>
          <c:smooth val="1"/>
          <c:extLst>
            <c:ext xmlns:c16="http://schemas.microsoft.com/office/drawing/2014/chart" uri="{C3380CC4-5D6E-409C-BE32-E72D297353CC}">
              <c16:uniqueId val="{00000007-FD6D-4CD8-8042-457A45723A1A}"/>
            </c:ext>
          </c:extLst>
        </c:ser>
        <c:dLbls>
          <c:showLegendKey val="0"/>
          <c:showVal val="0"/>
          <c:showCatName val="0"/>
          <c:showSerName val="0"/>
          <c:showPercent val="0"/>
          <c:showBubbleSize val="0"/>
        </c:dLbls>
        <c:marker val="1"/>
        <c:smooth val="0"/>
        <c:axId val="186331904"/>
        <c:axId val="186333440"/>
      </c:lineChart>
      <c:dateAx>
        <c:axId val="186331904"/>
        <c:scaling>
          <c:orientation val="minMax"/>
        </c:scaling>
        <c:delete val="0"/>
        <c:axPos val="b"/>
        <c:numFmt formatCode="mmm\-yy" sourceLinked="1"/>
        <c:majorTickMark val="out"/>
        <c:minorTickMark val="none"/>
        <c:tickLblPos val="low"/>
        <c:spPr>
          <a:ln>
            <a:solidFill>
              <a:srgbClr val="FF0000"/>
            </a:solidFill>
          </a:ln>
        </c:spPr>
        <c:txPr>
          <a:bodyPr rot="-5400000" vert="horz"/>
          <a:lstStyle/>
          <a:p>
            <a:pPr>
              <a:defRPr sz="800" b="0"/>
            </a:pPr>
            <a:endParaRPr lang="es-GT"/>
          </a:p>
        </c:txPr>
        <c:crossAx val="186333440"/>
        <c:crosses val="autoZero"/>
        <c:auto val="1"/>
        <c:lblOffset val="100"/>
        <c:baseTimeUnit val="months"/>
      </c:dateAx>
      <c:valAx>
        <c:axId val="186333440"/>
        <c:scaling>
          <c:orientation val="minMax"/>
        </c:scaling>
        <c:delete val="0"/>
        <c:axPos val="l"/>
        <c:numFmt formatCode="0%" sourceLinked="0"/>
        <c:majorTickMark val="out"/>
        <c:minorTickMark val="none"/>
        <c:tickLblPos val="nextTo"/>
        <c:txPr>
          <a:bodyPr/>
          <a:lstStyle/>
          <a:p>
            <a:pPr>
              <a:defRPr sz="800"/>
            </a:pPr>
            <a:endParaRPr lang="es-GT"/>
          </a:p>
        </c:txPr>
        <c:crossAx val="186331904"/>
        <c:crosses val="autoZero"/>
        <c:crossBetween val="between"/>
      </c:valAx>
    </c:plotArea>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es-GT"/>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425232439165441"/>
          <c:y val="3.082080649009783E-2"/>
          <c:w val="0.87766857956314781"/>
          <c:h val="0.83374015748031494"/>
        </c:manualLayout>
      </c:layout>
      <c:lineChart>
        <c:grouping val="standard"/>
        <c:varyColors val="0"/>
        <c:ser>
          <c:idx val="0"/>
          <c:order val="0"/>
          <c:tx>
            <c:strRef>
              <c:f>Hoja1!$B$1</c:f>
              <c:strCache>
                <c:ptCount val="1"/>
                <c:pt idx="0">
                  <c:v>Productividad IVA A junio</c:v>
                </c:pt>
              </c:strCache>
            </c:strRef>
          </c:tx>
          <c:marker>
            <c:symbol val="circle"/>
            <c:size val="7"/>
          </c:marker>
          <c:dLbls>
            <c:dLbl>
              <c:idx val="0"/>
              <c:layout>
                <c:manualLayout>
                  <c:x val="-2.4858757062146894E-2"/>
                  <c:y val="-9.238155197741575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536-4BDA-ADA6-6C2A0DDFCFBD}"/>
                </c:ext>
              </c:extLst>
            </c:dLbl>
            <c:dLbl>
              <c:idx val="1"/>
              <c:layout>
                <c:manualLayout>
                  <c:x val="-2.4858757062146894E-2"/>
                  <c:y val="-3.402701715954731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536-4BDA-ADA6-6C2A0DDFCFBD}"/>
                </c:ext>
              </c:extLst>
            </c:dLbl>
            <c:dLbl>
              <c:idx val="2"/>
              <c:layout>
                <c:manualLayout>
                  <c:x val="-2.259887005649676E-3"/>
                  <c:y val="-1.32165023731288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536-4BDA-ADA6-6C2A0DDFCFBD}"/>
                </c:ext>
              </c:extLst>
            </c:dLbl>
            <c:dLbl>
              <c:idx val="3"/>
              <c:layout>
                <c:manualLayout>
                  <c:x val="-0.19209039548022602"/>
                  <c:y val="-1.212121212121212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536-4BDA-ADA6-6C2A0DDFCFBD}"/>
                </c:ext>
              </c:extLst>
            </c:dLbl>
            <c:dLbl>
              <c:idx val="4"/>
              <c:layout>
                <c:manualLayout>
                  <c:x val="-0.1604519774011299"/>
                  <c:y val="6.649647983487277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536-4BDA-ADA6-6C2A0DDFCFBD}"/>
                </c:ext>
              </c:extLst>
            </c:dLbl>
            <c:dLbl>
              <c:idx val="5"/>
              <c:layout>
                <c:manualLayout>
                  <c:x val="-6.553672316384189E-2"/>
                  <c:y val="9.959839357429718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536-4BDA-ADA6-6C2A0DDFCFBD}"/>
                </c:ext>
              </c:extLst>
            </c:dLbl>
            <c:dLbl>
              <c:idx val="6"/>
              <c:layout>
                <c:manualLayout>
                  <c:x val="-0.13785310734463277"/>
                  <c:y val="-0.10872638729578299"/>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536-4BDA-ADA6-6C2A0DDFCFBD}"/>
                </c:ext>
              </c:extLst>
            </c:dLbl>
            <c:dLbl>
              <c:idx val="7"/>
              <c:layout>
                <c:manualLayout>
                  <c:x val="-5.19774011299435E-2"/>
                  <c:y val="-7.241277206176172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536-4BDA-ADA6-6C2A0DDFCFBD}"/>
                </c:ext>
              </c:extLst>
            </c:dLbl>
            <c:dLbl>
              <c:idx val="8"/>
              <c:layout>
                <c:manualLayout>
                  <c:x val="-2.0755371680236541E-3"/>
                  <c:y val="-5.757575757575757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536-4BDA-ADA6-6C2A0DDFCFBD}"/>
                </c:ext>
              </c:extLst>
            </c:dLbl>
            <c:dLbl>
              <c:idx val="9"/>
              <c:layout>
                <c:manualLayout>
                  <c:x val="-0.11055011343920992"/>
                  <c:y val="4.381161007667023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536-4BDA-ADA6-6C2A0DDFCFBD}"/>
                </c:ext>
              </c:extLst>
            </c:dLbl>
            <c:numFmt formatCode="0.0%" sourceLinked="0"/>
            <c:spPr>
              <a:noFill/>
              <a:ln>
                <a:noFill/>
              </a:ln>
              <a:effectLst/>
            </c:spPr>
            <c:txPr>
              <a:bodyPr/>
              <a:lstStyle/>
              <a:p>
                <a:pPr>
                  <a:defRPr sz="800" b="1">
                    <a:solidFill>
                      <a:srgbClr val="0070C0"/>
                    </a:solidFill>
                  </a:defRPr>
                </a:pPr>
                <a:endParaRPr lang="es-G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Hoja1!$A$2:$A$11</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Hoja1!$B$2:$B$11</c:f>
              <c:numCache>
                <c:formatCode>0.0%</c:formatCode>
                <c:ptCount val="10"/>
                <c:pt idx="0">
                  <c:v>0.44579238963386064</c:v>
                </c:pt>
                <c:pt idx="1">
                  <c:v>0.43777545071428492</c:v>
                </c:pt>
                <c:pt idx="2">
                  <c:v>0.43132037598123218</c:v>
                </c:pt>
                <c:pt idx="3">
                  <c:v>0.40739195009431622</c:v>
                </c:pt>
                <c:pt idx="4">
                  <c:v>0.40197818366380406</c:v>
                </c:pt>
                <c:pt idx="5">
                  <c:v>0.41471415207290102</c:v>
                </c:pt>
                <c:pt idx="6">
                  <c:v>0.42035043304096126</c:v>
                </c:pt>
                <c:pt idx="7">
                  <c:v>0.42230081777426604</c:v>
                </c:pt>
                <c:pt idx="8">
                  <c:v>0.39994953107635878</c:v>
                </c:pt>
                <c:pt idx="9">
                  <c:v>0.46343841585575207</c:v>
                </c:pt>
              </c:numCache>
            </c:numRef>
          </c:val>
          <c:smooth val="1"/>
          <c:extLst>
            <c:ext xmlns:c16="http://schemas.microsoft.com/office/drawing/2014/chart" uri="{C3380CC4-5D6E-409C-BE32-E72D297353CC}">
              <c16:uniqueId val="{0000000A-F536-4BDA-ADA6-6C2A0DDFCFBD}"/>
            </c:ext>
          </c:extLst>
        </c:ser>
        <c:dLbls>
          <c:showLegendKey val="0"/>
          <c:showVal val="0"/>
          <c:showCatName val="0"/>
          <c:showSerName val="0"/>
          <c:showPercent val="0"/>
          <c:showBubbleSize val="0"/>
        </c:dLbls>
        <c:marker val="1"/>
        <c:smooth val="0"/>
        <c:axId val="197789568"/>
        <c:axId val="197791104"/>
      </c:lineChart>
      <c:catAx>
        <c:axId val="197789568"/>
        <c:scaling>
          <c:orientation val="minMax"/>
        </c:scaling>
        <c:delete val="0"/>
        <c:axPos val="b"/>
        <c:numFmt formatCode="General" sourceLinked="1"/>
        <c:majorTickMark val="out"/>
        <c:minorTickMark val="none"/>
        <c:tickLblPos val="low"/>
        <c:txPr>
          <a:bodyPr rot="-5400000" vert="horz"/>
          <a:lstStyle/>
          <a:p>
            <a:pPr>
              <a:defRPr sz="600" b="0"/>
            </a:pPr>
            <a:endParaRPr lang="es-GT"/>
          </a:p>
        </c:txPr>
        <c:crossAx val="197791104"/>
        <c:crosses val="autoZero"/>
        <c:auto val="1"/>
        <c:lblAlgn val="ctr"/>
        <c:lblOffset val="100"/>
        <c:noMultiLvlLbl val="0"/>
      </c:catAx>
      <c:valAx>
        <c:axId val="197791104"/>
        <c:scaling>
          <c:orientation val="minMax"/>
          <c:min val="0.35000000000000003"/>
        </c:scaling>
        <c:delete val="0"/>
        <c:axPos val="l"/>
        <c:numFmt formatCode="0%" sourceLinked="0"/>
        <c:majorTickMark val="out"/>
        <c:minorTickMark val="none"/>
        <c:tickLblPos val="nextTo"/>
        <c:txPr>
          <a:bodyPr/>
          <a:lstStyle/>
          <a:p>
            <a:pPr>
              <a:defRPr sz="700"/>
            </a:pPr>
            <a:endParaRPr lang="es-GT"/>
          </a:p>
        </c:txPr>
        <c:crossAx val="197789568"/>
        <c:crosses val="autoZero"/>
        <c:crossBetween val="between"/>
      </c:valAx>
    </c:plotArea>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es-GT"/>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986040304283999"/>
          <c:y val="3.082080649009783E-2"/>
          <c:w val="0.87461755416166198"/>
          <c:h val="0.82266882587952372"/>
        </c:manualLayout>
      </c:layout>
      <c:lineChart>
        <c:grouping val="standard"/>
        <c:varyColors val="0"/>
        <c:ser>
          <c:idx val="0"/>
          <c:order val="0"/>
          <c:tx>
            <c:strRef>
              <c:f>Hoja1!$B$1</c:f>
              <c:strCache>
                <c:ptCount val="1"/>
                <c:pt idx="0">
                  <c:v>IVA dom</c:v>
                </c:pt>
              </c:strCache>
            </c:strRef>
          </c:tx>
          <c:marker>
            <c:symbol val="circle"/>
            <c:size val="7"/>
          </c:marker>
          <c:dLbls>
            <c:dLbl>
              <c:idx val="0"/>
              <c:layout>
                <c:manualLayout>
                  <c:x val="-8.3924349881796687E-2"/>
                  <c:y val="9.809523809523798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F8D-4ADD-9F59-16982F2A972B}"/>
                </c:ext>
              </c:extLst>
            </c:dLbl>
            <c:dLbl>
              <c:idx val="1"/>
              <c:layout>
                <c:manualLayout>
                  <c:x val="-8.8652482269503563E-2"/>
                  <c:y val="5.999999999999988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F8D-4ADD-9F59-16982F2A972B}"/>
                </c:ext>
              </c:extLst>
            </c:dLbl>
            <c:dLbl>
              <c:idx val="2"/>
              <c:layout>
                <c:manualLayout>
                  <c:x val="-8.3924349881796687E-2"/>
                  <c:y val="5.365079365079376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F8D-4ADD-9F59-16982F2A972B}"/>
                </c:ext>
              </c:extLst>
            </c:dLbl>
            <c:dLbl>
              <c:idx val="6"/>
              <c:layout>
                <c:manualLayout>
                  <c:x val="-7.9196217494089921E-2"/>
                  <c:y val="0.10444444444444438"/>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F8D-4ADD-9F59-16982F2A972B}"/>
                </c:ext>
              </c:extLst>
            </c:dLbl>
            <c:dLbl>
              <c:idx val="8"/>
              <c:layout>
                <c:manualLayout>
                  <c:x val="-9.3380614657210398E-2"/>
                  <c:y val="0.1107936507936507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F8D-4ADD-9F59-16982F2A972B}"/>
                </c:ext>
              </c:extLst>
            </c:dLbl>
            <c:dLbl>
              <c:idx val="9"/>
              <c:layout>
                <c:manualLayout>
                  <c:x val="-9.9700303419519376E-4"/>
                  <c:y val="5.768378952630921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C8C-4005-8AA5-50FB45740D54}"/>
                </c:ext>
              </c:extLst>
            </c:dLbl>
            <c:spPr>
              <a:noFill/>
              <a:ln>
                <a:noFill/>
              </a:ln>
              <a:effectLst/>
            </c:spPr>
            <c:txPr>
              <a:bodyPr/>
              <a:lstStyle/>
              <a:p>
                <a:pPr>
                  <a:defRPr sz="600" b="1">
                    <a:solidFill>
                      <a:srgbClr val="0070C0"/>
                    </a:solidFill>
                  </a:defRPr>
                </a:pPr>
                <a:endParaRPr lang="es-G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Hoja1!$A$2:$A$11</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Hoja1!$B$2:$B$11</c:f>
              <c:numCache>
                <c:formatCode>0.0%</c:formatCode>
                <c:ptCount val="10"/>
                <c:pt idx="0">
                  <c:v>0.17790142934391079</c:v>
                </c:pt>
                <c:pt idx="1">
                  <c:v>0.18545434250444362</c:v>
                </c:pt>
                <c:pt idx="2">
                  <c:v>0.1880550497079311</c:v>
                </c:pt>
                <c:pt idx="3">
                  <c:v>0.18717649418733315</c:v>
                </c:pt>
                <c:pt idx="4">
                  <c:v>0.19768839857445863</c:v>
                </c:pt>
                <c:pt idx="5">
                  <c:v>0.20541461239471651</c:v>
                </c:pt>
                <c:pt idx="6">
                  <c:v>0.20103799372168107</c:v>
                </c:pt>
                <c:pt idx="7">
                  <c:v>0.20622660760170622</c:v>
                </c:pt>
                <c:pt idx="8">
                  <c:v>0.20403446359513233</c:v>
                </c:pt>
                <c:pt idx="9">
                  <c:v>0.20989521457959051</c:v>
                </c:pt>
              </c:numCache>
            </c:numRef>
          </c:val>
          <c:smooth val="1"/>
          <c:extLst>
            <c:ext xmlns:c16="http://schemas.microsoft.com/office/drawing/2014/chart" uri="{C3380CC4-5D6E-409C-BE32-E72D297353CC}">
              <c16:uniqueId val="{00000001-1C8C-4005-8AA5-50FB45740D54}"/>
            </c:ext>
          </c:extLst>
        </c:ser>
        <c:ser>
          <c:idx val="1"/>
          <c:order val="1"/>
          <c:tx>
            <c:strRef>
              <c:f>Hoja1!$C$1</c:f>
              <c:strCache>
                <c:ptCount val="1"/>
                <c:pt idx="0">
                  <c:v>IVA imp</c:v>
                </c:pt>
              </c:strCache>
            </c:strRef>
          </c:tx>
          <c:spPr>
            <a:ln>
              <a:solidFill>
                <a:srgbClr val="FF0000"/>
              </a:solidFill>
            </a:ln>
          </c:spPr>
          <c:marker>
            <c:symbol val="circle"/>
            <c:size val="6"/>
            <c:spPr>
              <a:solidFill>
                <a:srgbClr val="FF0000"/>
              </a:solidFill>
            </c:spPr>
          </c:marker>
          <c:dLbls>
            <c:dLbl>
              <c:idx val="6"/>
              <c:layout>
                <c:manualLayout>
                  <c:x val="-8.6288416075650201E-2"/>
                  <c:y val="-0.11396825396825397"/>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F8D-4ADD-9F59-16982F2A972B}"/>
                </c:ext>
              </c:extLst>
            </c:dLbl>
            <c:dLbl>
              <c:idx val="8"/>
              <c:layout>
                <c:manualLayout>
                  <c:x val="-9.101654846335698E-2"/>
                  <c:y val="-0.10761904761904761"/>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F8D-4ADD-9F59-16982F2A972B}"/>
                </c:ext>
              </c:extLst>
            </c:dLbl>
            <c:dLbl>
              <c:idx val="9"/>
              <c:layout>
                <c:manualLayout>
                  <c:x val="-9.9700303419519376E-4"/>
                  <c:y val="-9.570707070707065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C8C-4005-8AA5-50FB45740D54}"/>
                </c:ext>
              </c:extLst>
            </c:dLbl>
            <c:spPr>
              <a:noFill/>
              <a:ln>
                <a:noFill/>
              </a:ln>
              <a:effectLst/>
            </c:spPr>
            <c:txPr>
              <a:bodyPr/>
              <a:lstStyle/>
              <a:p>
                <a:pPr>
                  <a:defRPr sz="600" b="1">
                    <a:solidFill>
                      <a:srgbClr val="FF0000"/>
                    </a:solidFill>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Hoja1!$A$2:$A$11</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Hoja1!$C$2:$C$11</c:f>
              <c:numCache>
                <c:formatCode>0.0%</c:formatCode>
                <c:ptCount val="10"/>
                <c:pt idx="0">
                  <c:v>0.2678909602899498</c:v>
                </c:pt>
                <c:pt idx="1">
                  <c:v>0.25232110820984122</c:v>
                </c:pt>
                <c:pt idx="2">
                  <c:v>0.24326532627330111</c:v>
                </c:pt>
                <c:pt idx="3">
                  <c:v>0.2202154559069831</c:v>
                </c:pt>
                <c:pt idx="4">
                  <c:v>0.20428978508934542</c:v>
                </c:pt>
                <c:pt idx="5">
                  <c:v>0.20929953967818446</c:v>
                </c:pt>
                <c:pt idx="6">
                  <c:v>0.21931243931928032</c:v>
                </c:pt>
                <c:pt idx="7">
                  <c:v>0.2160742101725599</c:v>
                </c:pt>
                <c:pt idx="8">
                  <c:v>0.19591506748122633</c:v>
                </c:pt>
                <c:pt idx="9">
                  <c:v>0.25354320127616164</c:v>
                </c:pt>
              </c:numCache>
            </c:numRef>
          </c:val>
          <c:smooth val="0"/>
          <c:extLst>
            <c:ext xmlns:c16="http://schemas.microsoft.com/office/drawing/2014/chart" uri="{C3380CC4-5D6E-409C-BE32-E72D297353CC}">
              <c16:uniqueId val="{00000003-1C8C-4005-8AA5-50FB45740D54}"/>
            </c:ext>
          </c:extLst>
        </c:ser>
        <c:dLbls>
          <c:showLegendKey val="0"/>
          <c:showVal val="0"/>
          <c:showCatName val="0"/>
          <c:showSerName val="0"/>
          <c:showPercent val="0"/>
          <c:showBubbleSize val="0"/>
        </c:dLbls>
        <c:marker val="1"/>
        <c:smooth val="0"/>
        <c:axId val="197834624"/>
        <c:axId val="197836160"/>
      </c:lineChart>
      <c:catAx>
        <c:axId val="197834624"/>
        <c:scaling>
          <c:orientation val="minMax"/>
        </c:scaling>
        <c:delete val="0"/>
        <c:axPos val="b"/>
        <c:numFmt formatCode="General" sourceLinked="1"/>
        <c:majorTickMark val="out"/>
        <c:minorTickMark val="none"/>
        <c:tickLblPos val="nextTo"/>
        <c:txPr>
          <a:bodyPr rot="-5400000" vert="horz"/>
          <a:lstStyle/>
          <a:p>
            <a:pPr>
              <a:defRPr sz="700" b="0"/>
            </a:pPr>
            <a:endParaRPr lang="es-GT"/>
          </a:p>
        </c:txPr>
        <c:crossAx val="197836160"/>
        <c:crosses val="autoZero"/>
        <c:auto val="1"/>
        <c:lblAlgn val="ctr"/>
        <c:lblOffset val="100"/>
        <c:noMultiLvlLbl val="0"/>
      </c:catAx>
      <c:valAx>
        <c:axId val="197836160"/>
        <c:scaling>
          <c:orientation val="minMax"/>
          <c:min val="0.12000000000000001"/>
        </c:scaling>
        <c:delete val="0"/>
        <c:axPos val="l"/>
        <c:numFmt formatCode="0%" sourceLinked="0"/>
        <c:majorTickMark val="out"/>
        <c:minorTickMark val="none"/>
        <c:tickLblPos val="nextTo"/>
        <c:txPr>
          <a:bodyPr/>
          <a:lstStyle/>
          <a:p>
            <a:pPr>
              <a:defRPr sz="700" b="0"/>
            </a:pPr>
            <a:endParaRPr lang="es-GT"/>
          </a:p>
        </c:txPr>
        <c:crossAx val="197834624"/>
        <c:crosses val="autoZero"/>
        <c:crossBetween val="between"/>
      </c:valAx>
    </c:plotArea>
    <c:legend>
      <c:legendPos val="b"/>
      <c:layout>
        <c:manualLayout>
          <c:xMode val="edge"/>
          <c:yMode val="edge"/>
          <c:x val="0.27030732860520096"/>
          <c:y val="0.76785771096794708"/>
          <c:w val="0.65507789492415147"/>
          <c:h val="8.5677642567406342E-2"/>
        </c:manualLayout>
      </c:layout>
      <c:overlay val="0"/>
      <c:txPr>
        <a:bodyPr/>
        <a:lstStyle/>
        <a:p>
          <a:pPr>
            <a:defRPr sz="900" b="1"/>
          </a:pPr>
          <a:endParaRPr lang="es-GT"/>
        </a:p>
      </c:txPr>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es-GT"/>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224776427833399"/>
          <c:y val="0.16722033711413062"/>
          <c:w val="0.87428795382477642"/>
          <c:h val="0.66274803650816738"/>
        </c:manualLayout>
      </c:layout>
      <c:lineChart>
        <c:grouping val="standard"/>
        <c:varyColors val="0"/>
        <c:ser>
          <c:idx val="0"/>
          <c:order val="0"/>
          <c:tx>
            <c:strRef>
              <c:f>Hoja1!$B$1</c:f>
              <c:strCache>
                <c:ptCount val="1"/>
                <c:pt idx="0">
                  <c:v>Carga Trib</c:v>
                </c:pt>
              </c:strCache>
            </c:strRef>
          </c:tx>
          <c:spPr>
            <a:ln>
              <a:solidFill>
                <a:schemeClr val="tx1"/>
              </a:solidFill>
            </a:ln>
          </c:spPr>
          <c:marker>
            <c:symbol val="circle"/>
            <c:size val="5"/>
            <c:spPr>
              <a:solidFill>
                <a:schemeClr val="tx1"/>
              </a:solidFill>
            </c:spPr>
          </c:marker>
          <c:dLbls>
            <c:dLbl>
              <c:idx val="0"/>
              <c:layout>
                <c:manualLayout>
                  <c:x val="-4.1835699797160245E-2"/>
                  <c:y val="5.205295041507736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95C-4655-94D3-218E22365653}"/>
                </c:ext>
              </c:extLst>
            </c:dLbl>
            <c:dLbl>
              <c:idx val="1"/>
              <c:layout>
                <c:manualLayout>
                  <c:x val="-5.4513184584178496E-2"/>
                  <c:y val="-5.115548575274848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95C-4655-94D3-218E22365653}"/>
                </c:ext>
              </c:extLst>
            </c:dLbl>
            <c:dLbl>
              <c:idx val="2"/>
              <c:layout>
                <c:manualLayout>
                  <c:x val="-3.8032454361054766E-3"/>
                  <c:y val="-2.871886919452546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95C-4655-94D3-218E22365653}"/>
                </c:ext>
              </c:extLst>
            </c:dLbl>
            <c:dLbl>
              <c:idx val="4"/>
              <c:layout>
                <c:manualLayout>
                  <c:x val="-4.9442190669371194E-2"/>
                  <c:y val="-5.564280906439308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95C-4655-94D3-218E22365653}"/>
                </c:ext>
              </c:extLst>
            </c:dLbl>
            <c:dLbl>
              <c:idx val="6"/>
              <c:layout>
                <c:manualLayout>
                  <c:x val="-4.9327354260089683E-2"/>
                  <c:y val="-4.577656675749323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95C-4655-94D3-218E22365653}"/>
                </c:ext>
              </c:extLst>
            </c:dLbl>
            <c:dLbl>
              <c:idx val="7"/>
              <c:layout>
                <c:manualLayout>
                  <c:x val="-2.6883861633959255E-2"/>
                  <c:y val="-5.418075570742345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95C-4655-94D3-218E22365653}"/>
                </c:ext>
              </c:extLst>
            </c:dLbl>
            <c:dLbl>
              <c:idx val="8"/>
              <c:layout>
                <c:manualLayout>
                  <c:x val="-0.12966228356929449"/>
                  <c:y val="-1.14063289258654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95C-4655-94D3-218E22365653}"/>
                </c:ext>
              </c:extLst>
            </c:dLbl>
            <c:dLbl>
              <c:idx val="9"/>
              <c:layout>
                <c:manualLayout>
                  <c:x val="-6.8402052061561844E-2"/>
                  <c:y val="-7.0440251572327275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95C-4655-94D3-218E22365653}"/>
                </c:ext>
              </c:extLst>
            </c:dLbl>
            <c:numFmt formatCode="0.0%" sourceLinked="0"/>
            <c:spPr>
              <a:noFill/>
              <a:ln>
                <a:noFill/>
              </a:ln>
              <a:effectLst/>
            </c:spPr>
            <c:txPr>
              <a:bodyPr/>
              <a:lstStyle/>
              <a:p>
                <a:pPr>
                  <a:defRPr sz="800" b="1"/>
                </a:pPr>
                <a:endParaRPr lang="es-G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Hoja1!$A$2:$A$11</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Hoja1!$B$2:$B$11</c:f>
              <c:numCache>
                <c:formatCode>0.00%</c:formatCode>
                <c:ptCount val="10"/>
                <c:pt idx="0">
                  <c:v>0.10953264737896941</c:v>
                </c:pt>
                <c:pt idx="1">
                  <c:v>0.11128101557307478</c:v>
                </c:pt>
                <c:pt idx="2">
                  <c:v>0.10975635860671257</c:v>
                </c:pt>
                <c:pt idx="3">
                  <c:v>0.10447132107290816</c:v>
                </c:pt>
                <c:pt idx="4">
                  <c:v>0.10778739581375095</c:v>
                </c:pt>
                <c:pt idx="5">
                  <c:v>0.10772335588957116</c:v>
                </c:pt>
                <c:pt idx="6">
                  <c:v>0.10701466812499047</c:v>
                </c:pt>
                <c:pt idx="7">
                  <c:v>0.10601587719705946</c:v>
                </c:pt>
                <c:pt idx="8">
                  <c:v>0.10100000000000001</c:v>
                </c:pt>
                <c:pt idx="9">
                  <c:v>0.11700000000000001</c:v>
                </c:pt>
              </c:numCache>
            </c:numRef>
          </c:val>
          <c:smooth val="0"/>
          <c:extLst>
            <c:ext xmlns:c16="http://schemas.microsoft.com/office/drawing/2014/chart" uri="{C3380CC4-5D6E-409C-BE32-E72D297353CC}">
              <c16:uniqueId val="{00000008-095C-4655-94D3-218E22365653}"/>
            </c:ext>
          </c:extLst>
        </c:ser>
        <c:dLbls>
          <c:showLegendKey val="0"/>
          <c:showVal val="0"/>
          <c:showCatName val="0"/>
          <c:showSerName val="0"/>
          <c:showPercent val="0"/>
          <c:showBubbleSize val="0"/>
        </c:dLbls>
        <c:marker val="1"/>
        <c:smooth val="0"/>
        <c:axId val="198052480"/>
        <c:axId val="197730688"/>
      </c:lineChart>
      <c:catAx>
        <c:axId val="198052480"/>
        <c:scaling>
          <c:orientation val="minMax"/>
        </c:scaling>
        <c:delete val="0"/>
        <c:axPos val="b"/>
        <c:numFmt formatCode="General" sourceLinked="1"/>
        <c:majorTickMark val="out"/>
        <c:minorTickMark val="none"/>
        <c:tickLblPos val="low"/>
        <c:txPr>
          <a:bodyPr/>
          <a:lstStyle/>
          <a:p>
            <a:pPr>
              <a:defRPr sz="800" b="0"/>
            </a:pPr>
            <a:endParaRPr lang="es-GT"/>
          </a:p>
        </c:txPr>
        <c:crossAx val="197730688"/>
        <c:crosses val="autoZero"/>
        <c:auto val="1"/>
        <c:lblAlgn val="ctr"/>
        <c:lblOffset val="100"/>
        <c:noMultiLvlLbl val="0"/>
      </c:catAx>
      <c:valAx>
        <c:axId val="197730688"/>
        <c:scaling>
          <c:orientation val="minMax"/>
          <c:min val="0.1"/>
        </c:scaling>
        <c:delete val="0"/>
        <c:axPos val="l"/>
        <c:numFmt formatCode="0.0%" sourceLinked="0"/>
        <c:majorTickMark val="out"/>
        <c:minorTickMark val="none"/>
        <c:tickLblPos val="nextTo"/>
        <c:txPr>
          <a:bodyPr/>
          <a:lstStyle/>
          <a:p>
            <a:pPr>
              <a:defRPr sz="800" b="0"/>
            </a:pPr>
            <a:endParaRPr lang="es-GT"/>
          </a:p>
        </c:txPr>
        <c:crossAx val="198052480"/>
        <c:crosses val="autoZero"/>
        <c:crossBetween val="between"/>
      </c:valAx>
    </c:plotArea>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es-GT"/>
    </a:p>
  </c:txPr>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10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3601642303559872"/>
          <c:y val="0.28034105204305076"/>
          <c:w val="0.65718461362207825"/>
          <c:h val="0.54506641303847581"/>
        </c:manualLayout>
      </c:layout>
      <c:pie3DChart>
        <c:varyColors val="1"/>
        <c:ser>
          <c:idx val="0"/>
          <c:order val="0"/>
          <c:tx>
            <c:strRef>
              <c:f>Hoja1!$B$1</c:f>
              <c:strCache>
                <c:ptCount val="1"/>
                <c:pt idx="0">
                  <c:v>Ventas</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74EE-49A7-9C00-B9E1FC57EE9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74EE-49A7-9C00-B9E1FC57EE99}"/>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74EE-49A7-9C00-B9E1FC57EE99}"/>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74EE-49A7-9C00-B9E1FC57EE99}"/>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74EE-49A7-9C00-B9E1FC57EE99}"/>
              </c:ext>
            </c:extLst>
          </c:dPt>
          <c:dLbls>
            <c:dLbl>
              <c:idx val="0"/>
              <c:layout>
                <c:manualLayout>
                  <c:x val="-1.3289484447379893E-2"/>
                  <c:y val="0.16170873127551061"/>
                </c:manualLayout>
              </c:layout>
              <c:numFmt formatCode="0.0%" sourceLinked="0"/>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1"/>
              <c:showSerName val="0"/>
              <c:showPercent val="1"/>
              <c:showBubbleSize val="0"/>
              <c:extLst>
                <c:ext xmlns:c15="http://schemas.microsoft.com/office/drawing/2012/chart" uri="{CE6537A1-D6FC-4f65-9D91-7224C49458BB}">
                  <c15:layout>
                    <c:manualLayout>
                      <c:w val="0.46394524847533725"/>
                      <c:h val="0.17303024859535143"/>
                    </c:manualLayout>
                  </c15:layout>
                </c:ext>
                <c:ext xmlns:c16="http://schemas.microsoft.com/office/drawing/2014/chart" uri="{C3380CC4-5D6E-409C-BE32-E72D297353CC}">
                  <c16:uniqueId val="{00000001-74EE-49A7-9C00-B9E1FC57EE99}"/>
                </c:ext>
              </c:extLst>
            </c:dLbl>
            <c:dLbl>
              <c:idx val="1"/>
              <c:layout>
                <c:manualLayout>
                  <c:x val="1.9238168526356291E-3"/>
                  <c:y val="-0.2809304678302364"/>
                </c:manualLayout>
              </c:layout>
              <c:numFmt formatCode="0.0%" sourceLinked="0"/>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1"/>
              <c:showSerName val="0"/>
              <c:showPercent val="1"/>
              <c:showBubbleSize val="0"/>
              <c:extLst>
                <c:ext xmlns:c15="http://schemas.microsoft.com/office/drawing/2012/chart" uri="{CE6537A1-D6FC-4f65-9D91-7224C49458BB}">
                  <c15:layout>
                    <c:manualLayout>
                      <c:w val="0.46263765894211278"/>
                      <c:h val="0.22157319163984551"/>
                    </c:manualLayout>
                  </c15:layout>
                </c:ext>
                <c:ext xmlns:c16="http://schemas.microsoft.com/office/drawing/2014/chart" uri="{C3380CC4-5D6E-409C-BE32-E72D297353CC}">
                  <c16:uniqueId val="{00000003-74EE-49A7-9C00-B9E1FC57EE99}"/>
                </c:ext>
              </c:extLst>
            </c:dLbl>
            <c:dLbl>
              <c:idx val="2"/>
              <c:layout>
                <c:manualLayout>
                  <c:x val="-2.5644933090558916E-2"/>
                  <c:y val="-0.1708974766442995"/>
                </c:manualLayout>
              </c:layout>
              <c:numFmt formatCode="0.0%" sourceLinked="0"/>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1"/>
              <c:showSerName val="0"/>
              <c:showPercent val="1"/>
              <c:showBubbleSize val="0"/>
              <c:extLst>
                <c:ext xmlns:c15="http://schemas.microsoft.com/office/drawing/2012/chart" uri="{CE6537A1-D6FC-4f65-9D91-7224C49458BB}">
                  <c15:layout>
                    <c:manualLayout>
                      <c:w val="0.41713469444638002"/>
                      <c:h val="0.21439928735457245"/>
                    </c:manualLayout>
                  </c15:layout>
                </c:ext>
                <c:ext xmlns:c16="http://schemas.microsoft.com/office/drawing/2014/chart" uri="{C3380CC4-5D6E-409C-BE32-E72D297353CC}">
                  <c16:uniqueId val="{00000005-74EE-49A7-9C00-B9E1FC57EE99}"/>
                </c:ext>
              </c:extLst>
            </c:dLbl>
            <c:dLbl>
              <c:idx val="3"/>
              <c:layout>
                <c:manualLayout>
                  <c:x val="1.923816852635615E-2"/>
                  <c:y val="-3.6306195807388773E-2"/>
                </c:manualLayout>
              </c:layout>
              <c:numFmt formatCode="0.0%" sourceLinked="0"/>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1"/>
              <c:showSerName val="0"/>
              <c:showPercent val="1"/>
              <c:showBubbleSize val="0"/>
              <c:extLst>
                <c:ext xmlns:c15="http://schemas.microsoft.com/office/drawing/2012/chart" uri="{CE6537A1-D6FC-4f65-9D91-7224C49458BB}">
                  <c15:layout>
                    <c:manualLayout>
                      <c:w val="0.18606671857437598"/>
                      <c:h val="0.24765100070279725"/>
                    </c:manualLayout>
                  </c15:layout>
                </c:ext>
                <c:ext xmlns:c16="http://schemas.microsoft.com/office/drawing/2014/chart" uri="{C3380CC4-5D6E-409C-BE32-E72D297353CC}">
                  <c16:uniqueId val="{00000007-74EE-49A7-9C00-B9E1FC57EE99}"/>
                </c:ext>
              </c:extLst>
            </c:dLbl>
            <c:dLbl>
              <c:idx val="4"/>
              <c:layout>
                <c:manualLayout>
                  <c:x val="1.1201764458165174E-2"/>
                  <c:y val="5.3964761653229956E-2"/>
                </c:manualLayout>
              </c:layout>
              <c:numFmt formatCode="0.0%" sourceLinked="0"/>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1"/>
              <c:showSerName val="0"/>
              <c:showPercent val="1"/>
              <c:showBubbleSize val="0"/>
              <c:extLst>
                <c:ext xmlns:c15="http://schemas.microsoft.com/office/drawing/2012/chart" uri="{CE6537A1-D6FC-4f65-9D91-7224C49458BB}">
                  <c15:layout>
                    <c:manualLayout>
                      <c:w val="0.20936459510471925"/>
                      <c:h val="0.2474338945266861"/>
                    </c:manualLayout>
                  </c15:layout>
                </c:ext>
                <c:ext xmlns:c16="http://schemas.microsoft.com/office/drawing/2014/chart" uri="{C3380CC4-5D6E-409C-BE32-E72D297353CC}">
                  <c16:uniqueId val="{00000009-74EE-49A7-9C00-B9E1FC57EE99}"/>
                </c:ext>
              </c:extLst>
            </c:dLbl>
            <c:numFmt formatCode="0.0%" sourceLinked="0"/>
            <c:spPr>
              <a:noFill/>
              <a:ln>
                <a:noFill/>
              </a:ln>
              <a:effectLst/>
            </c:spPr>
            <c:txPr>
              <a:bodyPr rot="0" spcFirstLastPara="1" vertOverflow="ellipsis" vert="horz" wrap="square" anchor="ctr" anchorCtr="1"/>
              <a:lstStyle/>
              <a:p>
                <a:pPr>
                  <a:defRPr sz="7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Hoja1!$A$2:$A$6</c:f>
              <c:strCache>
                <c:ptCount val="5"/>
                <c:pt idx="0">
                  <c:v>Ingresos no Tributarios</c:v>
                </c:pt>
                <c:pt idx="1">
                  <c:v>Contribuciones a la Seguridad y Previsión Social</c:v>
                </c:pt>
                <c:pt idx="2">
                  <c:v>Venta de Bienes y Servicios de la Administración Pública</c:v>
                </c:pt>
                <c:pt idx="3">
                  <c:v>Rentas de la Propiedad</c:v>
                </c:pt>
                <c:pt idx="4">
                  <c:v>Transferencias Corrientes</c:v>
                </c:pt>
              </c:strCache>
            </c:strRef>
          </c:cat>
          <c:val>
            <c:numRef>
              <c:f>Hoja1!$B$2:$B$6</c:f>
              <c:numCache>
                <c:formatCode>General</c:formatCode>
                <c:ptCount val="5"/>
                <c:pt idx="0">
                  <c:v>689.32516083999997</c:v>
                </c:pt>
                <c:pt idx="1">
                  <c:v>2669.70488535</c:v>
                </c:pt>
                <c:pt idx="2">
                  <c:v>431.00525536999999</c:v>
                </c:pt>
                <c:pt idx="3">
                  <c:v>167.33098195999997</c:v>
                </c:pt>
                <c:pt idx="4">
                  <c:v>130.94978046</c:v>
                </c:pt>
              </c:numCache>
            </c:numRef>
          </c:val>
          <c:extLst>
            <c:ext xmlns:c16="http://schemas.microsoft.com/office/drawing/2014/chart" uri="{C3380CC4-5D6E-409C-BE32-E72D297353CC}">
              <c16:uniqueId val="{0000000A-74EE-49A7-9C00-B9E1FC57EE99}"/>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031552507549461"/>
          <c:y val="7.3341362833624579E-2"/>
          <c:w val="0.74124548736462093"/>
          <c:h val="1"/>
        </c:manualLayout>
      </c:layout>
      <c:pieChart>
        <c:varyColors val="1"/>
        <c:ser>
          <c:idx val="0"/>
          <c:order val="0"/>
          <c:tx>
            <c:strRef>
              <c:f>Sheet1!$B$1</c:f>
              <c:strCache>
                <c:ptCount val="1"/>
                <c:pt idx="0">
                  <c:v>Sales</c:v>
                </c:pt>
              </c:strCache>
            </c:strRef>
          </c:tx>
          <c:dPt>
            <c:idx val="0"/>
            <c:bubble3D val="0"/>
            <c:explosion val="1"/>
            <c:spPr>
              <a:solidFill>
                <a:schemeClr val="accent1">
                  <a:lumMod val="50000"/>
                </a:schemeClr>
              </a:solidFill>
              <a:ln w="12700">
                <a:solidFill>
                  <a:schemeClr val="tx1"/>
                </a:solidFill>
              </a:ln>
              <a:effectLst/>
            </c:spPr>
            <c:extLst>
              <c:ext xmlns:c16="http://schemas.microsoft.com/office/drawing/2014/chart" uri="{C3380CC4-5D6E-409C-BE32-E72D297353CC}">
                <c16:uniqueId val="{00000001-E124-4DC1-9597-4A9844FB939C}"/>
              </c:ext>
            </c:extLst>
          </c:dPt>
          <c:dPt>
            <c:idx val="1"/>
            <c:bubble3D val="0"/>
            <c:spPr>
              <a:solidFill>
                <a:schemeClr val="accent3">
                  <a:lumMod val="50000"/>
                </a:schemeClr>
              </a:solidFill>
              <a:ln w="12700">
                <a:solidFill>
                  <a:schemeClr val="tx1"/>
                </a:solidFill>
              </a:ln>
              <a:effectLst/>
            </c:spPr>
            <c:extLst>
              <c:ext xmlns:c16="http://schemas.microsoft.com/office/drawing/2014/chart" uri="{C3380CC4-5D6E-409C-BE32-E72D297353CC}">
                <c16:uniqueId val="{00000003-E124-4DC1-9597-4A9844FB939C}"/>
              </c:ext>
            </c:extLst>
          </c:dPt>
          <c:dPt>
            <c:idx val="2"/>
            <c:bubble3D val="0"/>
            <c:spPr>
              <a:solidFill>
                <a:schemeClr val="accent5">
                  <a:lumMod val="75000"/>
                </a:schemeClr>
              </a:solidFill>
              <a:ln w="12700">
                <a:solidFill>
                  <a:schemeClr val="tx1"/>
                </a:solidFill>
              </a:ln>
              <a:effectLst/>
            </c:spPr>
            <c:extLst>
              <c:ext xmlns:c16="http://schemas.microsoft.com/office/drawing/2014/chart" uri="{C3380CC4-5D6E-409C-BE32-E72D297353CC}">
                <c16:uniqueId val="{00000005-E124-4DC1-9597-4A9844FB939C}"/>
              </c:ext>
            </c:extLst>
          </c:dPt>
          <c:dLbls>
            <c:dLbl>
              <c:idx val="0"/>
              <c:layout>
                <c:manualLayout>
                  <c:x val="-0.12544802867383514"/>
                  <c:y val="-0.24741211062145085"/>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1"/>
              <c:showSerName val="0"/>
              <c:showPercent val="1"/>
              <c:showBubbleSize val="0"/>
              <c:extLst>
                <c:ext xmlns:c15="http://schemas.microsoft.com/office/drawing/2012/chart" uri="{CE6537A1-D6FC-4f65-9D91-7224C49458BB}">
                  <c15:layout>
                    <c:manualLayout>
                      <c:w val="0.36610343061955963"/>
                      <c:h val="0.29619805481874445"/>
                    </c:manualLayout>
                  </c15:layout>
                </c:ext>
                <c:ext xmlns:c16="http://schemas.microsoft.com/office/drawing/2014/chart" uri="{C3380CC4-5D6E-409C-BE32-E72D297353CC}">
                  <c16:uniqueId val="{00000001-E124-4DC1-9597-4A9844FB939C}"/>
                </c:ext>
              </c:extLst>
            </c:dLbl>
            <c:dLbl>
              <c:idx val="1"/>
              <c:layout>
                <c:manualLayout>
                  <c:x val="0.12800819252432155"/>
                  <c:y val="-9.8461167155166618E-3"/>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1"/>
              <c:showSerName val="0"/>
              <c:showPercent val="1"/>
              <c:showBubbleSize val="0"/>
              <c:extLst>
                <c:ext xmlns:c15="http://schemas.microsoft.com/office/drawing/2012/chart" uri="{CE6537A1-D6FC-4f65-9D91-7224C49458BB}">
                  <c15:layout>
                    <c:manualLayout>
                      <c:w val="0.32770097286226318"/>
                      <c:h val="0.19893899204244031"/>
                    </c:manualLayout>
                  </c15:layout>
                </c:ext>
                <c:ext xmlns:c16="http://schemas.microsoft.com/office/drawing/2014/chart" uri="{C3380CC4-5D6E-409C-BE32-E72D297353CC}">
                  <c16:uniqueId val="{00000003-E124-4DC1-9597-4A9844FB939C}"/>
                </c:ext>
              </c:extLst>
            </c:dLbl>
            <c:dLbl>
              <c:idx val="2"/>
              <c:layout>
                <c:manualLayout>
                  <c:x val="0.24065580512113399"/>
                  <c:y val="6.9260241674034773E-2"/>
                </c:manualLayout>
              </c:layout>
              <c:tx>
                <c:rich>
                  <a:bodyPr rot="0" spcFirstLastPara="1" vertOverflow="ellipsis" vert="horz" wrap="square" lIns="38100" tIns="19050" rIns="38100" bIns="19050" anchor="ctr" anchorCtr="1">
                    <a:spAutoFit/>
                  </a:bodyPr>
                  <a:lstStyle/>
                  <a:p>
                    <a:pPr>
                      <a:defRPr sz="850" b="1" i="0" u="none" strike="noStrike" kern="1200" baseline="0">
                        <a:solidFill>
                          <a:schemeClr val="bg1"/>
                        </a:solidFill>
                        <a:latin typeface="Times New Roman" panose="02020603050405020304" pitchFamily="18" charset="0"/>
                        <a:ea typeface="+mn-ea"/>
                        <a:cs typeface="Times New Roman" panose="02020603050405020304" pitchFamily="18" charset="0"/>
                      </a:defRPr>
                    </a:pPr>
                    <a:fld id="{916E2FBA-A824-4567-81D5-8563BC3D0101}" type="CATEGORYNAME">
                      <a:rPr lang="en-US" sz="850" b="1">
                        <a:solidFill>
                          <a:schemeClr val="bg1"/>
                        </a:solidFill>
                      </a:rPr>
                      <a:pPr>
                        <a:defRPr sz="850" b="1">
                          <a:solidFill>
                            <a:schemeClr val="bg1"/>
                          </a:solidFill>
                          <a:latin typeface="Times New Roman" panose="02020603050405020304" pitchFamily="18" charset="0"/>
                          <a:cs typeface="Times New Roman" panose="02020603050405020304" pitchFamily="18" charset="0"/>
                        </a:defRPr>
                      </a:pPr>
                      <a:t>[NOMBRE DE CATEGORÍA]</a:t>
                    </a:fld>
                    <a:r>
                      <a:rPr lang="en-US" sz="850" b="1" baseline="0">
                        <a:solidFill>
                          <a:schemeClr val="bg1"/>
                        </a:solidFill>
                      </a:rPr>
                      <a:t>; </a:t>
                    </a:r>
                    <a:fld id="{F9913B2A-F2B8-4308-856E-49FE75CB19F9}" type="VALUE">
                      <a:rPr lang="en-US" sz="850" b="1" baseline="0">
                        <a:solidFill>
                          <a:schemeClr val="bg1"/>
                        </a:solidFill>
                      </a:rPr>
                      <a:pPr>
                        <a:defRPr sz="850" b="1">
                          <a:solidFill>
                            <a:schemeClr val="bg1"/>
                          </a:solidFill>
                          <a:latin typeface="Times New Roman" panose="02020603050405020304" pitchFamily="18" charset="0"/>
                          <a:cs typeface="Times New Roman" panose="02020603050405020304" pitchFamily="18" charset="0"/>
                        </a:defRPr>
                      </a:pPr>
                      <a:t>[VALOR]</a:t>
                    </a:fld>
                    <a:r>
                      <a:rPr lang="en-US" sz="850" b="1" baseline="0">
                        <a:solidFill>
                          <a:schemeClr val="bg1"/>
                        </a:solidFill>
                      </a:rPr>
                      <a:t>; </a:t>
                    </a:r>
                  </a:p>
                  <a:p>
                    <a:pPr>
                      <a:defRPr sz="850" b="1">
                        <a:solidFill>
                          <a:schemeClr val="bg1"/>
                        </a:solidFill>
                        <a:latin typeface="Times New Roman" panose="02020603050405020304" pitchFamily="18" charset="0"/>
                        <a:cs typeface="Times New Roman" panose="02020603050405020304" pitchFamily="18" charset="0"/>
                      </a:defRPr>
                    </a:pPr>
                    <a:fld id="{A51AC403-AF3C-405A-85C8-9E3C1DCE340B}" type="PERCENTAGE">
                      <a:rPr lang="en-US" sz="850" b="1" baseline="0">
                        <a:solidFill>
                          <a:schemeClr val="bg1"/>
                        </a:solidFill>
                      </a:rPr>
                      <a:pPr>
                        <a:defRPr sz="850" b="1">
                          <a:solidFill>
                            <a:schemeClr val="bg1"/>
                          </a:solidFill>
                          <a:latin typeface="Times New Roman" panose="02020603050405020304" pitchFamily="18" charset="0"/>
                          <a:cs typeface="Times New Roman" panose="02020603050405020304" pitchFamily="18" charset="0"/>
                        </a:defRPr>
                      </a:pPr>
                      <a:t>[PORCENTAJE]</a:t>
                    </a:fld>
                    <a:endParaRPr lang="es-GT"/>
                  </a:p>
                </c:rich>
              </c:tx>
              <c:spPr>
                <a:noFill/>
                <a:ln>
                  <a:noFill/>
                </a:ln>
                <a:effectLst/>
              </c:spPr>
              <c:txPr>
                <a:bodyPr rot="0" spcFirstLastPara="1" vertOverflow="ellipsis" vert="horz" wrap="square" lIns="38100" tIns="19050" rIns="38100" bIns="19050" anchor="ctr" anchorCtr="1">
                  <a:spAutoFit/>
                </a:bodyPr>
                <a:lstStyle/>
                <a:p>
                  <a:pPr>
                    <a:defRPr sz="85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1"/>
              <c:showSerName val="0"/>
              <c:showPercent val="1"/>
              <c:showBubbleSize val="0"/>
              <c:extLst>
                <c:ext xmlns:c15="http://schemas.microsoft.com/office/drawing/2012/chart" uri="{CE6537A1-D6FC-4f65-9D91-7224C49458BB}">
                  <c15:layout>
                    <c:manualLayout>
                      <c:w val="0.32642089093701998"/>
                      <c:h val="0.38461538461538464"/>
                    </c:manualLayout>
                  </c15:layout>
                  <c15:dlblFieldTable/>
                  <c15:showDataLabelsRange val="0"/>
                </c:ext>
                <c:ext xmlns:c16="http://schemas.microsoft.com/office/drawing/2014/chart" uri="{C3380CC4-5D6E-409C-BE32-E72D297353CC}">
                  <c16:uniqueId val="{00000005-E124-4DC1-9597-4A9844FB939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Funcionamiento</c:v>
                </c:pt>
                <c:pt idx="1">
                  <c:v>Inversión</c:v>
                </c:pt>
                <c:pt idx="2">
                  <c:v>Deuda Pública</c:v>
                </c:pt>
              </c:strCache>
            </c:strRef>
          </c:cat>
          <c:val>
            <c:numRef>
              <c:f>Sheet1!$B$2:$B$4</c:f>
              <c:numCache>
                <c:formatCode>#,##0.0</c:formatCode>
                <c:ptCount val="3"/>
                <c:pt idx="0">
                  <c:v>61879.1</c:v>
                </c:pt>
                <c:pt idx="1">
                  <c:v>17863.900000000001</c:v>
                </c:pt>
                <c:pt idx="2">
                  <c:v>14611</c:v>
                </c:pt>
              </c:numCache>
            </c:numRef>
          </c:val>
          <c:extLst>
            <c:ext xmlns:c16="http://schemas.microsoft.com/office/drawing/2014/chart" uri="{C3380CC4-5D6E-409C-BE32-E72D297353CC}">
              <c16:uniqueId val="{00000006-E124-4DC1-9597-4A9844FB939C}"/>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051884647090593"/>
          <c:y val="0.24375476179005831"/>
          <c:w val="0.8116031633151406"/>
          <c:h val="0.72619047619047616"/>
        </c:manualLayout>
      </c:layout>
      <c:barChart>
        <c:barDir val="col"/>
        <c:grouping val="stacked"/>
        <c:varyColors val="0"/>
        <c:ser>
          <c:idx val="0"/>
          <c:order val="0"/>
          <c:tx>
            <c:strRef>
              <c:f>Sheet1!$B$1</c:f>
              <c:strCache>
                <c:ptCount val="1"/>
                <c:pt idx="0">
                  <c:v>Ingresos Tributarios</c:v>
                </c:pt>
              </c:strCache>
            </c:strRef>
          </c:tx>
          <c:spPr>
            <a:solidFill>
              <a:schemeClr val="accent2">
                <a:lumMod val="50000"/>
              </a:schemeClr>
            </a:solidFill>
            <a:ln>
              <a:solidFill>
                <a:schemeClr val="tx1"/>
              </a:solidFill>
            </a:ln>
            <a:effectLst/>
          </c:spPr>
          <c:invertIfNegative val="0"/>
          <c:dLbls>
            <c:dLbl>
              <c:idx val="0"/>
              <c:layout>
                <c:manualLayout>
                  <c:x val="0"/>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1"/>
              <c:showPercent val="0"/>
              <c:showBubbleSize val="0"/>
              <c:extLst>
                <c:ext xmlns:c15="http://schemas.microsoft.com/office/drawing/2012/chart" uri="{CE6537A1-D6FC-4f65-9D91-7224C49458BB}">
                  <c15:layout>
                    <c:manualLayout>
                      <c:w val="0.29027509309531258"/>
                      <c:h val="0.21273510083843192"/>
                    </c:manualLayout>
                  </c15:layout>
                </c:ext>
                <c:ext xmlns:c16="http://schemas.microsoft.com/office/drawing/2014/chart" uri="{C3380CC4-5D6E-409C-BE32-E72D297353CC}">
                  <c16:uniqueId val="{00000005-3884-4C15-ADE1-60B8818EE21D}"/>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Sheet1!$A$2</c:f>
              <c:numCache>
                <c:formatCode>General</c:formatCode>
                <c:ptCount val="1"/>
                <c:pt idx="0">
                  <c:v>2021</c:v>
                </c:pt>
              </c:numCache>
            </c:numRef>
          </c:cat>
          <c:val>
            <c:numRef>
              <c:f>Sheet1!$B$2</c:f>
              <c:numCache>
                <c:formatCode>#,##0.0</c:formatCode>
                <c:ptCount val="1"/>
                <c:pt idx="0">
                  <c:v>64027.1</c:v>
                </c:pt>
              </c:numCache>
            </c:numRef>
          </c:val>
          <c:extLst>
            <c:ext xmlns:c16="http://schemas.microsoft.com/office/drawing/2014/chart" uri="{C3380CC4-5D6E-409C-BE32-E72D297353CC}">
              <c16:uniqueId val="{00000000-3884-4C15-ADE1-60B8818EE21D}"/>
            </c:ext>
          </c:extLst>
        </c:ser>
        <c:ser>
          <c:idx val="1"/>
          <c:order val="1"/>
          <c:tx>
            <c:strRef>
              <c:f>Sheet1!$C$1</c:f>
              <c:strCache>
                <c:ptCount val="1"/>
                <c:pt idx="0">
                  <c:v>Ingresos No Trib. y Donaciones</c:v>
                </c:pt>
              </c:strCache>
            </c:strRef>
          </c:tx>
          <c:spPr>
            <a:solidFill>
              <a:schemeClr val="accent2"/>
            </a:solidFill>
            <a:ln>
              <a:solidFill>
                <a:schemeClr val="tx1"/>
              </a:solidFill>
            </a:ln>
            <a:effectLst/>
          </c:spPr>
          <c:invertIfNegative val="0"/>
          <c:dLbls>
            <c:dLbl>
              <c:idx val="0"/>
              <c:layout>
                <c:manualLayout>
                  <c:x val="0.2865527018960175"/>
                  <c:y val="5.4384772263766146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1"/>
              <c:showPercent val="0"/>
              <c:showBubbleSize val="0"/>
              <c:extLst>
                <c:ext xmlns:c15="http://schemas.microsoft.com/office/drawing/2012/chart" uri="{CE6537A1-D6FC-4f65-9D91-7224C49458BB}">
                  <c15:layout>
                    <c:manualLayout>
                      <c:w val="0.2947877284743739"/>
                      <c:h val="0.29864055912113635"/>
                    </c:manualLayout>
                  </c15:layout>
                </c:ext>
                <c:ext xmlns:c16="http://schemas.microsoft.com/office/drawing/2014/chart" uri="{C3380CC4-5D6E-409C-BE32-E72D297353CC}">
                  <c16:uniqueId val="{00000004-3884-4C15-ADE1-60B8818EE21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Sheet1!$A$2</c:f>
              <c:numCache>
                <c:formatCode>General</c:formatCode>
                <c:ptCount val="1"/>
                <c:pt idx="0">
                  <c:v>2021</c:v>
                </c:pt>
              </c:numCache>
            </c:numRef>
          </c:cat>
          <c:val>
            <c:numRef>
              <c:f>Sheet1!$C$2</c:f>
              <c:numCache>
                <c:formatCode>#,##0.0</c:formatCode>
                <c:ptCount val="1"/>
                <c:pt idx="0">
                  <c:v>4799.1000000000004</c:v>
                </c:pt>
              </c:numCache>
            </c:numRef>
          </c:val>
          <c:extLst>
            <c:ext xmlns:c16="http://schemas.microsoft.com/office/drawing/2014/chart" uri="{C3380CC4-5D6E-409C-BE32-E72D297353CC}">
              <c16:uniqueId val="{00000001-3884-4C15-ADE1-60B8818EE21D}"/>
            </c:ext>
          </c:extLst>
        </c:ser>
        <c:ser>
          <c:idx val="2"/>
          <c:order val="2"/>
          <c:tx>
            <c:strRef>
              <c:f>Sheet1!$D$1</c:f>
              <c:strCache>
                <c:ptCount val="1"/>
                <c:pt idx="0">
                  <c:v>Emisión de Bonos y Préstamos</c:v>
                </c:pt>
              </c:strCache>
            </c:strRef>
          </c:tx>
          <c:spPr>
            <a:solidFill>
              <a:schemeClr val="accent6">
                <a:lumMod val="50000"/>
              </a:schemeClr>
            </a:solidFill>
            <a:ln>
              <a:solidFill>
                <a:schemeClr val="tx1"/>
              </a:solidFill>
            </a:ln>
            <a:effectLst/>
          </c:spPr>
          <c:invertIfNegative val="0"/>
          <c:dLbls>
            <c:dLbl>
              <c:idx val="0"/>
              <c:layout>
                <c:manualLayout>
                  <c:x val="-4.5126353790614134E-3"/>
                  <c:y val="1.3596371493672061E-2"/>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fld id="{B50277CB-3011-401C-BD3C-E1661CC5A8CF}" type="SERIESNAME">
                      <a:rPr lang="en-US" b="0">
                        <a:solidFill>
                          <a:schemeClr val="bg1"/>
                        </a:solidFill>
                        <a:latin typeface="Times New Roman" panose="02020603050405020304" pitchFamily="18" charset="0"/>
                        <a:cs typeface="Times New Roman" panose="02020603050405020304" pitchFamily="18" charset="0"/>
                      </a:rPr>
                      <a:pPr>
                        <a:defRPr>
                          <a:solidFill>
                            <a:sysClr val="windowText" lastClr="000000"/>
                          </a:solidFill>
                          <a:latin typeface="Times New Roman" panose="02020603050405020304" pitchFamily="18" charset="0"/>
                          <a:cs typeface="Times New Roman" panose="02020603050405020304" pitchFamily="18" charset="0"/>
                        </a:defRPr>
                      </a:pPr>
                      <a:t>[NOMBRE DE LA SERIE]</a:t>
                    </a:fld>
                    <a:r>
                      <a:rPr lang="en-US" b="0" baseline="0">
                        <a:solidFill>
                          <a:schemeClr val="bg1"/>
                        </a:solidFill>
                        <a:latin typeface="Times New Roman" panose="02020603050405020304" pitchFamily="18" charset="0"/>
                        <a:cs typeface="Times New Roman" panose="02020603050405020304" pitchFamily="18" charset="0"/>
                      </a:rPr>
                      <a:t>; </a:t>
                    </a:r>
                    <a:fld id="{CB2F0587-AB00-41BF-825C-B3AE080C8D26}" type="VALUE">
                      <a:rPr lang="en-US" b="0" baseline="0">
                        <a:solidFill>
                          <a:schemeClr val="bg1"/>
                        </a:solidFill>
                        <a:latin typeface="Times New Roman" panose="02020603050405020304" pitchFamily="18" charset="0"/>
                        <a:cs typeface="Times New Roman" panose="02020603050405020304" pitchFamily="18" charset="0"/>
                      </a:rPr>
                      <a:pPr>
                        <a:defRPr>
                          <a:solidFill>
                            <a:sysClr val="windowText" lastClr="000000"/>
                          </a:solidFill>
                          <a:latin typeface="Times New Roman" panose="02020603050405020304" pitchFamily="18" charset="0"/>
                          <a:cs typeface="Times New Roman" panose="02020603050405020304" pitchFamily="18" charset="0"/>
                        </a:defRPr>
                      </a:pPr>
                      <a:t>[VALOR]</a:t>
                    </a:fld>
                    <a:endParaRPr lang="en-US" b="0" baseline="0">
                      <a:solidFill>
                        <a:schemeClr val="bg1"/>
                      </a:solidFill>
                      <a:latin typeface="Times New Roman" panose="02020603050405020304" pitchFamily="18" charset="0"/>
                      <a:cs typeface="Times New Roman" panose="02020603050405020304" pitchFamily="18" charset="0"/>
                    </a:endParaRP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1"/>
              <c:showPercent val="0"/>
              <c:showBubbleSize val="0"/>
              <c:extLst>
                <c:ext xmlns:c15="http://schemas.microsoft.com/office/drawing/2012/chart" uri="{CE6537A1-D6FC-4f65-9D91-7224C49458BB}">
                  <c15:layout>
                    <c:manualLayout>
                      <c:w val="0.33867328519855594"/>
                      <c:h val="0.20353501019714476"/>
                    </c:manualLayout>
                  </c15:layout>
                  <c15:dlblFieldTable/>
                  <c15:showDataLabelsRange val="0"/>
                </c:ext>
                <c:ext xmlns:c16="http://schemas.microsoft.com/office/drawing/2014/chart" uri="{C3380CC4-5D6E-409C-BE32-E72D297353CC}">
                  <c16:uniqueId val="{00000006-3884-4C15-ADE1-60B8818EE21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Sheet1!$A$2</c:f>
              <c:numCache>
                <c:formatCode>General</c:formatCode>
                <c:ptCount val="1"/>
                <c:pt idx="0">
                  <c:v>2021</c:v>
                </c:pt>
              </c:numCache>
            </c:numRef>
          </c:cat>
          <c:val>
            <c:numRef>
              <c:f>Sheet1!$D$2</c:f>
              <c:numCache>
                <c:formatCode>#,##0.0</c:formatCode>
                <c:ptCount val="1"/>
                <c:pt idx="0">
                  <c:v>22147.9</c:v>
                </c:pt>
              </c:numCache>
            </c:numRef>
          </c:val>
          <c:extLst>
            <c:ext xmlns:c16="http://schemas.microsoft.com/office/drawing/2014/chart" uri="{C3380CC4-5D6E-409C-BE32-E72D297353CC}">
              <c16:uniqueId val="{00000002-3884-4C15-ADE1-60B8818EE21D}"/>
            </c:ext>
          </c:extLst>
        </c:ser>
        <c:ser>
          <c:idx val="3"/>
          <c:order val="3"/>
          <c:tx>
            <c:strRef>
              <c:f>Sheet1!$E$1</c:f>
              <c:strCache>
                <c:ptCount val="1"/>
                <c:pt idx="0">
                  <c:v>Saldo de Caja y Otros</c:v>
                </c:pt>
              </c:strCache>
            </c:strRef>
          </c:tx>
          <c:spPr>
            <a:solidFill>
              <a:schemeClr val="accent6">
                <a:lumMod val="75000"/>
              </a:schemeClr>
            </a:solidFill>
            <a:ln>
              <a:solidFill>
                <a:schemeClr val="tx1"/>
              </a:solidFill>
            </a:ln>
            <a:effectLst/>
          </c:spPr>
          <c:invertIfNegative val="0"/>
          <c:dLbls>
            <c:dLbl>
              <c:idx val="0"/>
              <c:layout>
                <c:manualLayout>
                  <c:x val="-0.28880848659711761"/>
                  <c:y val="4.8976377952755903E-2"/>
                </c:manualLayout>
              </c:layout>
              <c:showLegendKey val="0"/>
              <c:showVal val="1"/>
              <c:showCatName val="0"/>
              <c:showSerName val="1"/>
              <c:showPercent val="0"/>
              <c:showBubbleSize val="0"/>
              <c:extLst>
                <c:ext xmlns:c15="http://schemas.microsoft.com/office/drawing/2012/chart" uri="{CE6537A1-D6FC-4f65-9D91-7224C49458BB}">
                  <c15:layout>
                    <c:manualLayout>
                      <c:w val="0.2717960288808664"/>
                      <c:h val="0.21273510083843192"/>
                    </c:manualLayout>
                  </c15:layout>
                </c:ext>
                <c:ext xmlns:c16="http://schemas.microsoft.com/office/drawing/2014/chart" uri="{C3380CC4-5D6E-409C-BE32-E72D297353CC}">
                  <c16:uniqueId val="{00000007-3884-4C15-ADE1-60B8818EE21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Sheet1!$A$2</c:f>
              <c:numCache>
                <c:formatCode>General</c:formatCode>
                <c:ptCount val="1"/>
                <c:pt idx="0">
                  <c:v>2021</c:v>
                </c:pt>
              </c:numCache>
            </c:numRef>
          </c:cat>
          <c:val>
            <c:numRef>
              <c:f>Sheet1!$E$2</c:f>
              <c:numCache>
                <c:formatCode>#,##0.0</c:formatCode>
                <c:ptCount val="1"/>
                <c:pt idx="0">
                  <c:v>3380</c:v>
                </c:pt>
              </c:numCache>
            </c:numRef>
          </c:val>
          <c:extLst>
            <c:ext xmlns:c16="http://schemas.microsoft.com/office/drawing/2014/chart" uri="{C3380CC4-5D6E-409C-BE32-E72D297353CC}">
              <c16:uniqueId val="{00000003-3884-4C15-ADE1-60B8818EE21D}"/>
            </c:ext>
          </c:extLst>
        </c:ser>
        <c:dLbls>
          <c:showLegendKey val="0"/>
          <c:showVal val="0"/>
          <c:showCatName val="0"/>
          <c:showSerName val="0"/>
          <c:showPercent val="0"/>
          <c:showBubbleSize val="0"/>
        </c:dLbls>
        <c:gapWidth val="150"/>
        <c:overlap val="100"/>
        <c:axId val="626170512"/>
        <c:axId val="626166576"/>
      </c:barChart>
      <c:catAx>
        <c:axId val="626170512"/>
        <c:scaling>
          <c:orientation val="minMax"/>
        </c:scaling>
        <c:delete val="1"/>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crossAx val="626166576"/>
        <c:crosses val="autoZero"/>
        <c:auto val="1"/>
        <c:lblAlgn val="ctr"/>
        <c:lblOffset val="100"/>
        <c:noMultiLvlLbl val="0"/>
      </c:catAx>
      <c:valAx>
        <c:axId val="626166576"/>
        <c:scaling>
          <c:orientation val="minMax"/>
        </c:scaling>
        <c:delete val="0"/>
        <c:axPos val="l"/>
        <c:majorGridlines>
          <c:spPr>
            <a:ln w="9525" cap="flat" cmpd="sng" algn="ctr">
              <a:solidFill>
                <a:schemeClr val="dk1">
                  <a:lumMod val="15000"/>
                  <a:lumOff val="85000"/>
                </a:schemeClr>
              </a:solidFill>
              <a:round/>
            </a:ln>
            <a:effectLst/>
          </c:spPr>
        </c:majorGridlines>
        <c:numFmt formatCode="#,##0.0"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626170512"/>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es-GT"/>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0065637857482358E-2"/>
          <c:y val="2.0876531573986806E-2"/>
          <c:w val="0.98993436214251762"/>
          <c:h val="0.72083682753604905"/>
        </c:manualLayout>
      </c:layout>
      <c:barChart>
        <c:barDir val="col"/>
        <c:grouping val="clustered"/>
        <c:varyColors val="0"/>
        <c:ser>
          <c:idx val="4"/>
          <c:order val="4"/>
          <c:tx>
            <c:strRef>
              <c:f>Sheet1!$F$1</c:f>
              <c:strCache>
                <c:ptCount val="1"/>
                <c:pt idx="0">
                  <c:v>2021</c:v>
                </c:pt>
              </c:strCache>
            </c:strRef>
          </c:tx>
          <c:spPr>
            <a:solidFill>
              <a:schemeClr val="accent5">
                <a:lumMod val="60000"/>
              </a:schemeClr>
            </a:solidFill>
            <a:ln w="12700">
              <a:solidFill>
                <a:schemeClr val="tx1"/>
              </a:solidFill>
            </a:ln>
            <a:effectLst/>
            <a:scene3d>
              <a:camera prst="orthographicFront"/>
              <a:lightRig rig="threePt" dir="t"/>
            </a:scene3d>
            <a:sp3d/>
          </c:spPr>
          <c:invertIfNegative val="0"/>
          <c:dPt>
            <c:idx val="12"/>
            <c:invertIfNegative val="0"/>
            <c:bubble3D val="0"/>
            <c:spPr>
              <a:solidFill>
                <a:srgbClr val="C00000"/>
              </a:solidFill>
              <a:ln w="12700">
                <a:solidFill>
                  <a:schemeClr val="tx1"/>
                </a:solidFill>
              </a:ln>
              <a:effectLst/>
              <a:scene3d>
                <a:camera prst="orthographicFront"/>
                <a:lightRig rig="threePt" dir="t"/>
              </a:scene3d>
              <a:sp3d/>
            </c:spPr>
            <c:extLst>
              <c:ext xmlns:c16="http://schemas.microsoft.com/office/drawing/2014/chart" uri="{C3380CC4-5D6E-409C-BE32-E72D297353CC}">
                <c16:uniqueId val="{00000001-974E-411A-B9E7-374D2300E2C7}"/>
              </c:ext>
            </c:extLst>
          </c:dPt>
          <c:dLbls>
            <c:dLbl>
              <c:idx val="0"/>
              <c:layout>
                <c:manualLayout>
                  <c:x val="0"/>
                  <c:y val="1.19047619047619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74E-411A-B9E7-374D2300E2C7}"/>
                </c:ext>
              </c:extLst>
            </c:dLbl>
            <c:dLbl>
              <c:idx val="1"/>
              <c:layout>
                <c:manualLayout>
                  <c:x val="2.3148148148148147E-3"/>
                  <c:y val="1.58730158730157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74E-411A-B9E7-374D2300E2C7}"/>
                </c:ext>
              </c:extLst>
            </c:dLbl>
            <c:dLbl>
              <c:idx val="2"/>
              <c:layout>
                <c:manualLayout>
                  <c:x val="0"/>
                  <c:y val="-1.9841269841269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74E-411A-B9E7-374D2300E2C7}"/>
                </c:ext>
              </c:extLst>
            </c:dLbl>
            <c:dLbl>
              <c:idx val="4"/>
              <c:layout>
                <c:manualLayout>
                  <c:x val="-2.468831008517467E-3"/>
                  <c:y val="1.40944326990838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2C4-46F6-B95D-FF3F29D8D8CF}"/>
                </c:ext>
              </c:extLst>
            </c:dLbl>
            <c:dLbl>
              <c:idx val="12"/>
              <c:layout>
                <c:manualLayout>
                  <c:x val="-1.6975112544026657E-16"/>
                  <c:y val="-1.1904761904761977E-2"/>
                </c:manualLayout>
              </c:layout>
              <c:spPr>
                <a:solidFill>
                  <a:srgbClr val="C00000"/>
                </a:solidFill>
                <a:ln>
                  <a:noFill/>
                </a:ln>
                <a:effectLst/>
              </c:spPr>
              <c:txPr>
                <a:bodyPr rot="0" spcFirstLastPara="1" vertOverflow="ellipsis" vert="horz" wrap="square" anchor="ctr" anchorCtr="1"/>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74E-411A-B9E7-374D2300E2C7}"/>
                </c:ext>
              </c:extLst>
            </c:dLbl>
            <c:spPr>
              <a:noFill/>
              <a:ln>
                <a:noFill/>
              </a:ln>
              <a:effectLst/>
            </c:spPr>
            <c:txPr>
              <a:bodyPr rot="0" spcFirstLastPara="1" vertOverflow="ellipsis" vert="horz" wrap="square" anchor="ctr" anchorCtr="1"/>
              <a:lstStyle/>
              <a:p>
                <a:pPr>
                  <a:defRPr sz="900" b="1" i="0" u="none" strike="noStrike" kern="1200" baseline="0">
                    <a:solidFill>
                      <a:schemeClr val="accent5">
                        <a:lumMod val="7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Sheet1!$A$2:$A$14</c:f>
              <c:strCache>
                <c:ptCount val="13"/>
                <c:pt idx="0">
                  <c:v>Ene</c:v>
                </c:pt>
                <c:pt idx="1">
                  <c:v>Feb</c:v>
                </c:pt>
                <c:pt idx="2">
                  <c:v>Mar</c:v>
                </c:pt>
                <c:pt idx="3">
                  <c:v>Abr</c:v>
                </c:pt>
                <c:pt idx="4">
                  <c:v>May</c:v>
                </c:pt>
                <c:pt idx="5">
                  <c:v>Jun</c:v>
                </c:pt>
                <c:pt idx="6">
                  <c:v>Jul</c:v>
                </c:pt>
                <c:pt idx="7">
                  <c:v>Ago</c:v>
                </c:pt>
                <c:pt idx="8">
                  <c:v>Sep</c:v>
                </c:pt>
                <c:pt idx="9">
                  <c:v>Oct</c:v>
                </c:pt>
                <c:pt idx="10">
                  <c:v>Nov</c:v>
                </c:pt>
                <c:pt idx="11">
                  <c:v>Dic</c:v>
                </c:pt>
                <c:pt idx="12">
                  <c:v>Sin COVID-19</c:v>
                </c:pt>
              </c:strCache>
            </c:strRef>
          </c:cat>
          <c:val>
            <c:numRef>
              <c:f>Sheet1!$F$2:$F$14</c:f>
              <c:numCache>
                <c:formatCode>0.0</c:formatCode>
                <c:ptCount val="13"/>
                <c:pt idx="0">
                  <c:v>3.7189413058487304</c:v>
                </c:pt>
                <c:pt idx="1">
                  <c:v>6.1267370575853732</c:v>
                </c:pt>
                <c:pt idx="2">
                  <c:v>1.9518107242856928</c:v>
                </c:pt>
                <c:pt idx="3">
                  <c:v>11.31040113518587</c:v>
                </c:pt>
                <c:pt idx="4">
                  <c:v>6.3930371872600773</c:v>
                </c:pt>
                <c:pt idx="5">
                  <c:v>0.38854905082506264</c:v>
                </c:pt>
                <c:pt idx="6">
                  <c:v>1.4992457432228861</c:v>
                </c:pt>
                <c:pt idx="7">
                  <c:v>-1.4193223500163015</c:v>
                </c:pt>
                <c:pt idx="8">
                  <c:v>-4.3420352501965027</c:v>
                </c:pt>
                <c:pt idx="9">
                  <c:v>-5.6943807513343216</c:v>
                </c:pt>
                <c:pt idx="10">
                  <c:v>-3.3547814445017821</c:v>
                </c:pt>
                <c:pt idx="11">
                  <c:v>-3.7028426386675619</c:v>
                </c:pt>
                <c:pt idx="12">
                  <c:v>8.5500000000000007</c:v>
                </c:pt>
              </c:numCache>
            </c:numRef>
          </c:val>
          <c:extLst>
            <c:ext xmlns:c16="http://schemas.microsoft.com/office/drawing/2014/chart" uri="{C3380CC4-5D6E-409C-BE32-E72D297353CC}">
              <c16:uniqueId val="{00000005-974E-411A-B9E7-374D2300E2C7}"/>
            </c:ext>
          </c:extLst>
        </c:ser>
        <c:dLbls>
          <c:showLegendKey val="0"/>
          <c:showVal val="0"/>
          <c:showCatName val="0"/>
          <c:showSerName val="0"/>
          <c:showPercent val="0"/>
          <c:showBubbleSize val="0"/>
        </c:dLbls>
        <c:gapWidth val="84"/>
        <c:axId val="176204032"/>
        <c:axId val="203491200"/>
      </c:barChart>
      <c:lineChart>
        <c:grouping val="standard"/>
        <c:varyColors val="0"/>
        <c:ser>
          <c:idx val="0"/>
          <c:order val="0"/>
          <c:tx>
            <c:strRef>
              <c:f>Sheet1!$B$1</c:f>
              <c:strCache>
                <c:ptCount val="1"/>
                <c:pt idx="0">
                  <c:v>2017</c:v>
                </c:pt>
              </c:strCache>
            </c:strRef>
          </c:tx>
          <c:spPr>
            <a:ln w="28575" cap="rnd" cmpd="sng" algn="ctr">
              <a:solidFill>
                <a:schemeClr val="accent6">
                  <a:shade val="95000"/>
                  <a:satMod val="105000"/>
                </a:schemeClr>
              </a:solidFill>
              <a:prstDash val="solid"/>
              <a:round/>
            </a:ln>
            <a:effectLst/>
          </c:spPr>
          <c:marker>
            <c:symbol val="diamond"/>
            <c:size val="6"/>
            <c:spPr>
              <a:solidFill>
                <a:schemeClr val="accent6"/>
              </a:solidFill>
              <a:ln w="9525" cap="flat" cmpd="sng" algn="ctr">
                <a:solidFill>
                  <a:schemeClr val="accent6">
                    <a:shade val="95000"/>
                    <a:satMod val="105000"/>
                  </a:schemeClr>
                </a:solidFill>
                <a:prstDash val="solid"/>
                <a:round/>
              </a:ln>
              <a:effectLst/>
            </c:spPr>
          </c:marker>
          <c:cat>
            <c:strRef>
              <c:f>Sheet1!$A$2:$A$14</c:f>
              <c:strCache>
                <c:ptCount val="13"/>
                <c:pt idx="0">
                  <c:v>Ene</c:v>
                </c:pt>
                <c:pt idx="1">
                  <c:v>Feb</c:v>
                </c:pt>
                <c:pt idx="2">
                  <c:v>Mar</c:v>
                </c:pt>
                <c:pt idx="3">
                  <c:v>Abr</c:v>
                </c:pt>
                <c:pt idx="4">
                  <c:v>May</c:v>
                </c:pt>
                <c:pt idx="5">
                  <c:v>Jun</c:v>
                </c:pt>
                <c:pt idx="6">
                  <c:v>Jul</c:v>
                </c:pt>
                <c:pt idx="7">
                  <c:v>Ago</c:v>
                </c:pt>
                <c:pt idx="8">
                  <c:v>Sep</c:v>
                </c:pt>
                <c:pt idx="9">
                  <c:v>Oct</c:v>
                </c:pt>
                <c:pt idx="10">
                  <c:v>Nov</c:v>
                </c:pt>
                <c:pt idx="11">
                  <c:v>Dic</c:v>
                </c:pt>
                <c:pt idx="12">
                  <c:v>Sin COVID-19</c:v>
                </c:pt>
              </c:strCache>
            </c:strRef>
          </c:cat>
          <c:val>
            <c:numRef>
              <c:f>Sheet1!$B$2:$B$14</c:f>
              <c:numCache>
                <c:formatCode>General</c:formatCode>
                <c:ptCount val="13"/>
                <c:pt idx="0">
                  <c:v>8.1</c:v>
                </c:pt>
                <c:pt idx="1">
                  <c:v>4.2</c:v>
                </c:pt>
                <c:pt idx="2">
                  <c:v>2.7</c:v>
                </c:pt>
                <c:pt idx="3">
                  <c:v>7.5</c:v>
                </c:pt>
                <c:pt idx="4">
                  <c:v>9.1999999999999993</c:v>
                </c:pt>
                <c:pt idx="5">
                  <c:v>6.9</c:v>
                </c:pt>
                <c:pt idx="6">
                  <c:v>5.7</c:v>
                </c:pt>
                <c:pt idx="7">
                  <c:v>5.2</c:v>
                </c:pt>
                <c:pt idx="8">
                  <c:v>5.2</c:v>
                </c:pt>
                <c:pt idx="9">
                  <c:v>4.8</c:v>
                </c:pt>
                <c:pt idx="10">
                  <c:v>4.0999999999999996</c:v>
                </c:pt>
                <c:pt idx="11">
                  <c:v>6.6</c:v>
                </c:pt>
              </c:numCache>
            </c:numRef>
          </c:val>
          <c:smooth val="1"/>
          <c:extLst>
            <c:ext xmlns:c16="http://schemas.microsoft.com/office/drawing/2014/chart" uri="{C3380CC4-5D6E-409C-BE32-E72D297353CC}">
              <c16:uniqueId val="{00000006-974E-411A-B9E7-374D2300E2C7}"/>
            </c:ext>
          </c:extLst>
        </c:ser>
        <c:ser>
          <c:idx val="1"/>
          <c:order val="1"/>
          <c:tx>
            <c:strRef>
              <c:f>Sheet1!$C$1</c:f>
              <c:strCache>
                <c:ptCount val="1"/>
                <c:pt idx="0">
                  <c:v>2018</c:v>
                </c:pt>
              </c:strCache>
            </c:strRef>
          </c:tx>
          <c:spPr>
            <a:ln w="28575" cap="rnd" cmpd="sng" algn="ctr">
              <a:solidFill>
                <a:schemeClr val="accent1">
                  <a:lumMod val="75000"/>
                </a:schemeClr>
              </a:solidFill>
              <a:prstDash val="dash"/>
              <a:round/>
            </a:ln>
            <a:effectLst/>
          </c:spPr>
          <c:marker>
            <c:symbol val="none"/>
          </c:marker>
          <c:cat>
            <c:strRef>
              <c:f>Sheet1!$A$2:$A$14</c:f>
              <c:strCache>
                <c:ptCount val="13"/>
                <c:pt idx="0">
                  <c:v>Ene</c:v>
                </c:pt>
                <c:pt idx="1">
                  <c:v>Feb</c:v>
                </c:pt>
                <c:pt idx="2">
                  <c:v>Mar</c:v>
                </c:pt>
                <c:pt idx="3">
                  <c:v>Abr</c:v>
                </c:pt>
                <c:pt idx="4">
                  <c:v>May</c:v>
                </c:pt>
                <c:pt idx="5">
                  <c:v>Jun</c:v>
                </c:pt>
                <c:pt idx="6">
                  <c:v>Jul</c:v>
                </c:pt>
                <c:pt idx="7">
                  <c:v>Ago</c:v>
                </c:pt>
                <c:pt idx="8">
                  <c:v>Sep</c:v>
                </c:pt>
                <c:pt idx="9">
                  <c:v>Oct</c:v>
                </c:pt>
                <c:pt idx="10">
                  <c:v>Nov</c:v>
                </c:pt>
                <c:pt idx="11">
                  <c:v>Dic</c:v>
                </c:pt>
                <c:pt idx="12">
                  <c:v>Sin COVID-19</c:v>
                </c:pt>
              </c:strCache>
            </c:strRef>
          </c:cat>
          <c:val>
            <c:numRef>
              <c:f>Sheet1!$C$2:$C$14</c:f>
              <c:numCache>
                <c:formatCode>General</c:formatCode>
                <c:ptCount val="13"/>
                <c:pt idx="0">
                  <c:v>1.7</c:v>
                </c:pt>
                <c:pt idx="1">
                  <c:v>3.2</c:v>
                </c:pt>
                <c:pt idx="2">
                  <c:v>3.2</c:v>
                </c:pt>
                <c:pt idx="3">
                  <c:v>3.9</c:v>
                </c:pt>
                <c:pt idx="4">
                  <c:v>3.6</c:v>
                </c:pt>
                <c:pt idx="5">
                  <c:v>7</c:v>
                </c:pt>
                <c:pt idx="6">
                  <c:v>7.4</c:v>
                </c:pt>
                <c:pt idx="7">
                  <c:v>8.5</c:v>
                </c:pt>
                <c:pt idx="8">
                  <c:v>8.4</c:v>
                </c:pt>
                <c:pt idx="9">
                  <c:v>8.6999999999999993</c:v>
                </c:pt>
                <c:pt idx="10">
                  <c:v>9.8000000000000007</c:v>
                </c:pt>
                <c:pt idx="11">
                  <c:v>8.1</c:v>
                </c:pt>
              </c:numCache>
            </c:numRef>
          </c:val>
          <c:smooth val="1"/>
          <c:extLst>
            <c:ext xmlns:c16="http://schemas.microsoft.com/office/drawing/2014/chart" uri="{C3380CC4-5D6E-409C-BE32-E72D297353CC}">
              <c16:uniqueId val="{00000007-974E-411A-B9E7-374D2300E2C7}"/>
            </c:ext>
          </c:extLst>
        </c:ser>
        <c:ser>
          <c:idx val="2"/>
          <c:order val="2"/>
          <c:tx>
            <c:strRef>
              <c:f>Sheet1!$D$1</c:f>
              <c:strCache>
                <c:ptCount val="1"/>
                <c:pt idx="0">
                  <c:v>2019</c:v>
                </c:pt>
              </c:strCache>
            </c:strRef>
          </c:tx>
          <c:spPr>
            <a:ln w="28575" cap="rnd" cmpd="dbl" algn="ctr">
              <a:solidFill>
                <a:schemeClr val="accent4">
                  <a:shade val="95000"/>
                  <a:satMod val="105000"/>
                </a:schemeClr>
              </a:solidFill>
              <a:prstDash val="solid"/>
              <a:round/>
            </a:ln>
            <a:effectLst/>
          </c:spPr>
          <c:marker>
            <c:symbol val="square"/>
            <c:size val="6"/>
            <c:spPr>
              <a:solidFill>
                <a:schemeClr val="accent4"/>
              </a:solidFill>
              <a:ln w="9525" cap="flat" cmpd="sng" algn="ctr">
                <a:solidFill>
                  <a:schemeClr val="accent4">
                    <a:shade val="95000"/>
                    <a:satMod val="105000"/>
                  </a:schemeClr>
                </a:solidFill>
                <a:prstDash val="solid"/>
                <a:round/>
              </a:ln>
              <a:effectLst/>
            </c:spPr>
          </c:marker>
          <c:cat>
            <c:strRef>
              <c:f>Sheet1!$A$2:$A$14</c:f>
              <c:strCache>
                <c:ptCount val="13"/>
                <c:pt idx="0">
                  <c:v>Ene</c:v>
                </c:pt>
                <c:pt idx="1">
                  <c:v>Feb</c:v>
                </c:pt>
                <c:pt idx="2">
                  <c:v>Mar</c:v>
                </c:pt>
                <c:pt idx="3">
                  <c:v>Abr</c:v>
                </c:pt>
                <c:pt idx="4">
                  <c:v>May</c:v>
                </c:pt>
                <c:pt idx="5">
                  <c:v>Jun</c:v>
                </c:pt>
                <c:pt idx="6">
                  <c:v>Jul</c:v>
                </c:pt>
                <c:pt idx="7">
                  <c:v>Ago</c:v>
                </c:pt>
                <c:pt idx="8">
                  <c:v>Sep</c:v>
                </c:pt>
                <c:pt idx="9">
                  <c:v>Oct</c:v>
                </c:pt>
                <c:pt idx="10">
                  <c:v>Nov</c:v>
                </c:pt>
                <c:pt idx="11">
                  <c:v>Dic</c:v>
                </c:pt>
                <c:pt idx="12">
                  <c:v>Sin COVID-19</c:v>
                </c:pt>
              </c:strCache>
            </c:strRef>
          </c:cat>
          <c:val>
            <c:numRef>
              <c:f>Sheet1!$D$2:$D$14</c:f>
              <c:numCache>
                <c:formatCode>General</c:formatCode>
                <c:ptCount val="13"/>
                <c:pt idx="0">
                  <c:v>20.7</c:v>
                </c:pt>
                <c:pt idx="1">
                  <c:v>17.600000000000001</c:v>
                </c:pt>
                <c:pt idx="2">
                  <c:v>18.2</c:v>
                </c:pt>
                <c:pt idx="3">
                  <c:v>20.7</c:v>
                </c:pt>
                <c:pt idx="4">
                  <c:v>17.600000000000001</c:v>
                </c:pt>
                <c:pt idx="5">
                  <c:v>16.5</c:v>
                </c:pt>
                <c:pt idx="6">
                  <c:v>14</c:v>
                </c:pt>
                <c:pt idx="7">
                  <c:v>13.1</c:v>
                </c:pt>
                <c:pt idx="8">
                  <c:v>13.2</c:v>
                </c:pt>
                <c:pt idx="9">
                  <c:v>13.1</c:v>
                </c:pt>
                <c:pt idx="10">
                  <c:v>11.4</c:v>
                </c:pt>
                <c:pt idx="11">
                  <c:v>9.8000000000000007</c:v>
                </c:pt>
              </c:numCache>
            </c:numRef>
          </c:val>
          <c:smooth val="1"/>
          <c:extLst>
            <c:ext xmlns:c16="http://schemas.microsoft.com/office/drawing/2014/chart" uri="{C3380CC4-5D6E-409C-BE32-E72D297353CC}">
              <c16:uniqueId val="{00000008-974E-411A-B9E7-374D2300E2C7}"/>
            </c:ext>
          </c:extLst>
        </c:ser>
        <c:ser>
          <c:idx val="3"/>
          <c:order val="3"/>
          <c:tx>
            <c:strRef>
              <c:f>Sheet1!$E$1</c:f>
              <c:strCache>
                <c:ptCount val="1"/>
                <c:pt idx="0">
                  <c:v>2020</c:v>
                </c:pt>
              </c:strCache>
            </c:strRef>
          </c:tx>
          <c:spPr>
            <a:ln w="28575" cap="rnd" cmpd="sng" algn="ctr">
              <a:solidFill>
                <a:schemeClr val="accent6">
                  <a:lumMod val="60000"/>
                  <a:shade val="95000"/>
                  <a:satMod val="105000"/>
                </a:schemeClr>
              </a:solidFill>
              <a:prstDash val="sysDash"/>
              <a:round/>
            </a:ln>
            <a:effectLst/>
          </c:spPr>
          <c:marker>
            <c:symbol val="none"/>
          </c:marker>
          <c:dLbls>
            <c:dLbl>
              <c:idx val="11"/>
              <c:layout>
                <c:manualLayout>
                  <c:x val="-3.7032465127762003E-2"/>
                  <c:y val="-4.22832980972515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2C4-46F6-B95D-FF3F29D8D8CF}"/>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6">
                        <a:lumMod val="50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Sheet1!$A$2:$A$14</c:f>
              <c:strCache>
                <c:ptCount val="13"/>
                <c:pt idx="0">
                  <c:v>Ene</c:v>
                </c:pt>
                <c:pt idx="1">
                  <c:v>Feb</c:v>
                </c:pt>
                <c:pt idx="2">
                  <c:v>Mar</c:v>
                </c:pt>
                <c:pt idx="3">
                  <c:v>Abr</c:v>
                </c:pt>
                <c:pt idx="4">
                  <c:v>May</c:v>
                </c:pt>
                <c:pt idx="5">
                  <c:v>Jun</c:v>
                </c:pt>
                <c:pt idx="6">
                  <c:v>Jul</c:v>
                </c:pt>
                <c:pt idx="7">
                  <c:v>Ago</c:v>
                </c:pt>
                <c:pt idx="8">
                  <c:v>Sep</c:v>
                </c:pt>
                <c:pt idx="9">
                  <c:v>Oct</c:v>
                </c:pt>
                <c:pt idx="10">
                  <c:v>Nov</c:v>
                </c:pt>
                <c:pt idx="11">
                  <c:v>Dic</c:v>
                </c:pt>
                <c:pt idx="12">
                  <c:v>Sin COVID-19</c:v>
                </c:pt>
              </c:strCache>
            </c:strRef>
          </c:cat>
          <c:val>
            <c:numRef>
              <c:f>Sheet1!$E$2:$E$14</c:f>
              <c:numCache>
                <c:formatCode>0.0</c:formatCode>
                <c:ptCount val="13"/>
                <c:pt idx="0">
                  <c:v>4.8191861258905817</c:v>
                </c:pt>
                <c:pt idx="1">
                  <c:v>9.5655130970186519E-2</c:v>
                </c:pt>
                <c:pt idx="2">
                  <c:v>2.3974325379896584</c:v>
                </c:pt>
                <c:pt idx="3">
                  <c:v>-1.9848700717106169</c:v>
                </c:pt>
                <c:pt idx="4">
                  <c:v>4.2224631181484256</c:v>
                </c:pt>
                <c:pt idx="5">
                  <c:v>9.0680434021580965</c:v>
                </c:pt>
                <c:pt idx="6">
                  <c:v>10.232293442045986</c:v>
                </c:pt>
                <c:pt idx="7">
                  <c:v>12.533229099769343</c:v>
                </c:pt>
                <c:pt idx="8">
                  <c:v>14.872198669992656</c:v>
                </c:pt>
                <c:pt idx="9">
                  <c:v>14.678379762438269</c:v>
                </c:pt>
                <c:pt idx="10">
                  <c:v>15.472802612662733</c:v>
                </c:pt>
                <c:pt idx="11">
                  <c:v>17.151091678742532</c:v>
                </c:pt>
              </c:numCache>
            </c:numRef>
          </c:val>
          <c:smooth val="1"/>
          <c:extLst>
            <c:ext xmlns:c16="http://schemas.microsoft.com/office/drawing/2014/chart" uri="{C3380CC4-5D6E-409C-BE32-E72D297353CC}">
              <c16:uniqueId val="{00000009-974E-411A-B9E7-374D2300E2C7}"/>
            </c:ext>
          </c:extLst>
        </c:ser>
        <c:dLbls>
          <c:showLegendKey val="0"/>
          <c:showVal val="0"/>
          <c:showCatName val="0"/>
          <c:showSerName val="0"/>
          <c:showPercent val="0"/>
          <c:showBubbleSize val="0"/>
        </c:dLbls>
        <c:marker val="1"/>
        <c:smooth val="0"/>
        <c:axId val="176204032"/>
        <c:axId val="203491200"/>
      </c:lineChart>
      <c:catAx>
        <c:axId val="17620403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prstDash val="solid"/>
            <a:round/>
          </a:ln>
          <a:effectLst/>
        </c:spPr>
        <c:txPr>
          <a:bodyPr rot="-1920000" spcFirstLastPara="1" vertOverflow="ellipsis"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03491200"/>
        <c:crosses val="autoZero"/>
        <c:auto val="1"/>
        <c:lblAlgn val="ctr"/>
        <c:lblOffset val="100"/>
        <c:noMultiLvlLbl val="0"/>
      </c:catAx>
      <c:valAx>
        <c:axId val="203491200"/>
        <c:scaling>
          <c:orientation val="minMax"/>
        </c:scaling>
        <c:delete val="1"/>
        <c:axPos val="l"/>
        <c:numFmt formatCode="0.0" sourceLinked="1"/>
        <c:majorTickMark val="none"/>
        <c:minorTickMark val="none"/>
        <c:tickLblPos val="nextTo"/>
        <c:crossAx val="176204032"/>
        <c:crosses val="autoZero"/>
        <c:crossBetween val="between"/>
      </c:valAx>
      <c:spPr>
        <a:noFill/>
        <a:ln>
          <a:noFill/>
        </a:ln>
        <a:effectLst/>
      </c:spPr>
    </c:plotArea>
    <c:legend>
      <c:legendPos val="b"/>
      <c:layout>
        <c:manualLayout>
          <c:xMode val="edge"/>
          <c:yMode val="edge"/>
          <c:x val="7.1657722824148284E-2"/>
          <c:y val="0.89257526741504034"/>
          <c:w val="0.73324280952968768"/>
          <c:h val="7.453772295376397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chart>
  <c:spPr>
    <a:solidFill>
      <a:schemeClr val="bg1"/>
    </a:solidFill>
    <a:ln w="9525" cap="flat" cmpd="sng" algn="ctr">
      <a:noFill/>
      <a:prstDash val="solid"/>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468740023666007E-2"/>
          <c:y val="4.2091905999434798E-2"/>
          <c:w val="0.87748956726366945"/>
          <c:h val="0.786666095697929"/>
        </c:manualLayout>
      </c:layout>
      <c:lineChart>
        <c:grouping val="standard"/>
        <c:varyColors val="0"/>
        <c:ser>
          <c:idx val="0"/>
          <c:order val="0"/>
          <c:tx>
            <c:strRef>
              <c:f>Hoja1!$B$1</c:f>
              <c:strCache>
                <c:ptCount val="1"/>
                <c:pt idx="0">
                  <c:v>Var. Imp</c:v>
                </c:pt>
              </c:strCache>
            </c:strRef>
          </c:tx>
          <c:spPr>
            <a:ln w="22225" cap="rnd">
              <a:solidFill>
                <a:schemeClr val="tx1"/>
              </a:solidFill>
              <a:prstDash val="sysDot"/>
              <a:round/>
            </a:ln>
            <a:effectLst>
              <a:glow rad="38100">
                <a:schemeClr val="accent6">
                  <a:satMod val="175000"/>
                  <a:alpha val="40000"/>
                </a:schemeClr>
              </a:glow>
            </a:effectLst>
          </c:spPr>
          <c:marker>
            <c:symbol val="circle"/>
            <c:size val="5"/>
            <c:spPr>
              <a:solidFill>
                <a:schemeClr val="lt1"/>
              </a:solidFill>
              <a:ln w="15875">
                <a:solidFill>
                  <a:schemeClr val="accent1"/>
                </a:solidFill>
                <a:round/>
              </a:ln>
              <a:effectLst>
                <a:glow rad="38100">
                  <a:schemeClr val="accent6">
                    <a:satMod val="175000"/>
                    <a:alpha val="40000"/>
                  </a:schemeClr>
                </a:glow>
              </a:effectLst>
            </c:spPr>
          </c:marker>
          <c:dLbls>
            <c:dLbl>
              <c:idx val="0"/>
              <c:layout>
                <c:manualLayout>
                  <c:x val="-9.3469288662296673E-2"/>
                  <c:y val="-9.89123045547246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4B2-4A24-8CEA-177A70510DCB}"/>
                </c:ext>
              </c:extLst>
            </c:dLbl>
            <c:dLbl>
              <c:idx val="1"/>
              <c:layout>
                <c:manualLayout>
                  <c:x val="-0.14688031075503769"/>
                  <c:y val="-6.492182188987090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4B2-4A24-8CEA-177A70510DCB}"/>
                </c:ext>
              </c:extLst>
            </c:dLbl>
            <c:dLbl>
              <c:idx val="5"/>
              <c:layout>
                <c:manualLayout>
                  <c:x val="-0.11651861070170308"/>
                  <c:y val="-3.772943575798778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4B2-4A24-8CEA-177A70510DCB}"/>
                </c:ext>
              </c:extLst>
            </c:dLbl>
            <c:numFmt formatCode="0.0%" sourceLinked="0"/>
            <c:spPr>
              <a:noFill/>
              <a:ln>
                <a:noFill/>
              </a:ln>
              <a:effectLst/>
            </c:spPr>
            <c:txPr>
              <a:bodyPr rot="0" spcFirstLastPara="1" vertOverflow="ellipsis" vert="horz" wrap="square" anchor="ctr" anchorCtr="1"/>
              <a:lstStyle/>
              <a:p>
                <a:pPr>
                  <a:defRPr sz="6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Hoja1!$A$2:$A$7</c:f>
              <c:strCache>
                <c:ptCount val="6"/>
                <c:pt idx="0">
                  <c:v>Ene</c:v>
                </c:pt>
                <c:pt idx="1">
                  <c:v>Feb</c:v>
                </c:pt>
                <c:pt idx="2">
                  <c:v>Mar</c:v>
                </c:pt>
                <c:pt idx="3">
                  <c:v>Abr</c:v>
                </c:pt>
                <c:pt idx="4">
                  <c:v>May</c:v>
                </c:pt>
                <c:pt idx="5">
                  <c:v>Jun</c:v>
                </c:pt>
              </c:strCache>
            </c:strRef>
          </c:cat>
          <c:val>
            <c:numRef>
              <c:f>Hoja1!$B$2:$B$7</c:f>
              <c:numCache>
                <c:formatCode>#,##0.000</c:formatCode>
                <c:ptCount val="6"/>
                <c:pt idx="0">
                  <c:v>-1.7493703628071414E-2</c:v>
                </c:pt>
                <c:pt idx="1">
                  <c:v>7.2801799187463698E-2</c:v>
                </c:pt>
                <c:pt idx="2">
                  <c:v>0.19982901254746152</c:v>
                </c:pt>
                <c:pt idx="3">
                  <c:v>0.27335159459988279</c:v>
                </c:pt>
                <c:pt idx="4">
                  <c:v>0.34000096710240002</c:v>
                </c:pt>
                <c:pt idx="5">
                  <c:v>0.37848006019563568</c:v>
                </c:pt>
              </c:numCache>
            </c:numRef>
          </c:val>
          <c:smooth val="1"/>
          <c:extLst>
            <c:ext xmlns:c16="http://schemas.microsoft.com/office/drawing/2014/chart" uri="{C3380CC4-5D6E-409C-BE32-E72D297353CC}">
              <c16:uniqueId val="{00000003-04B2-4A24-8CEA-177A70510DCB}"/>
            </c:ext>
          </c:extLst>
        </c:ser>
        <c:ser>
          <c:idx val="1"/>
          <c:order val="1"/>
          <c:tx>
            <c:strRef>
              <c:f>Hoja1!$C$1</c:f>
              <c:strCache>
                <c:ptCount val="1"/>
                <c:pt idx="0">
                  <c:v>Var. Contenedores</c:v>
                </c:pt>
              </c:strCache>
            </c:strRef>
          </c:tx>
          <c:spPr>
            <a:ln w="15875" cap="rnd">
              <a:solidFill>
                <a:srgbClr val="FF0000"/>
              </a:solidFill>
              <a:prstDash val="sysDash"/>
              <a:round/>
            </a:ln>
            <a:effectLst/>
          </c:spPr>
          <c:marker>
            <c:symbol val="circle"/>
            <c:size val="3"/>
            <c:spPr>
              <a:solidFill>
                <a:schemeClr val="lt1"/>
              </a:solidFill>
              <a:ln w="15875">
                <a:solidFill>
                  <a:srgbClr val="FF0000"/>
                </a:solidFill>
                <a:prstDash val="solid"/>
                <a:round/>
              </a:ln>
              <a:effectLst/>
            </c:spPr>
          </c:marker>
          <c:dLbls>
            <c:dLbl>
              <c:idx val="0"/>
              <c:layout>
                <c:manualLayout>
                  <c:x val="6.7855319978666175E-3"/>
                  <c:y val="3.288565815744819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4B2-4A24-8CEA-177A70510DCB}"/>
                </c:ext>
              </c:extLst>
            </c:dLbl>
            <c:dLbl>
              <c:idx val="1"/>
              <c:layout>
                <c:manualLayout>
                  <c:x val="2.5795191478705366E-2"/>
                  <c:y val="1.249136855853589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4B2-4A24-8CEA-177A70510DCB}"/>
                </c:ext>
              </c:extLst>
            </c:dLbl>
            <c:dLbl>
              <c:idx val="4"/>
              <c:layout>
                <c:manualLayout>
                  <c:x val="-7.3136779242725852E-2"/>
                  <c:y val="4.648185122338973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4B2-4A24-8CEA-177A70510DCB}"/>
                </c:ext>
              </c:extLst>
            </c:dLbl>
            <c:dLbl>
              <c:idx val="5"/>
              <c:layout>
                <c:manualLayout>
                  <c:x val="-2.2745754741327399E-2"/>
                  <c:y val="8.727043042121433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4B2-4A24-8CEA-177A70510DCB}"/>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55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Hoja1!$A$2:$A$7</c:f>
              <c:strCache>
                <c:ptCount val="6"/>
                <c:pt idx="0">
                  <c:v>Ene</c:v>
                </c:pt>
                <c:pt idx="1">
                  <c:v>Feb</c:v>
                </c:pt>
                <c:pt idx="2">
                  <c:v>Mar</c:v>
                </c:pt>
                <c:pt idx="3">
                  <c:v>Abr</c:v>
                </c:pt>
                <c:pt idx="4">
                  <c:v>May</c:v>
                </c:pt>
                <c:pt idx="5">
                  <c:v>Jun</c:v>
                </c:pt>
              </c:strCache>
            </c:strRef>
          </c:cat>
          <c:val>
            <c:numRef>
              <c:f>Hoja1!$C$2:$C$7</c:f>
              <c:numCache>
                <c:formatCode>#,##0.000</c:formatCode>
                <c:ptCount val="6"/>
                <c:pt idx="0">
                  <c:v>-4.6780433389504592E-2</c:v>
                </c:pt>
                <c:pt idx="1">
                  <c:v>3.985686080947673E-2</c:v>
                </c:pt>
                <c:pt idx="2">
                  <c:v>0.2890238206445585</c:v>
                </c:pt>
                <c:pt idx="3">
                  <c:v>0.33254705268907997</c:v>
                </c:pt>
                <c:pt idx="4">
                  <c:v>0.21916702284275999</c:v>
                </c:pt>
                <c:pt idx="5">
                  <c:v>0.32560247387502672</c:v>
                </c:pt>
              </c:numCache>
            </c:numRef>
          </c:val>
          <c:smooth val="1"/>
          <c:extLst>
            <c:ext xmlns:c16="http://schemas.microsoft.com/office/drawing/2014/chart" uri="{C3380CC4-5D6E-409C-BE32-E72D297353CC}">
              <c16:uniqueId val="{00000008-04B2-4A24-8CEA-177A70510DCB}"/>
            </c:ext>
          </c:extLst>
        </c:ser>
        <c:dLbls>
          <c:showLegendKey val="0"/>
          <c:showVal val="0"/>
          <c:showCatName val="0"/>
          <c:showSerName val="0"/>
          <c:showPercent val="0"/>
          <c:showBubbleSize val="0"/>
        </c:dLbls>
        <c:marker val="1"/>
        <c:smooth val="0"/>
        <c:axId val="50513024"/>
        <c:axId val="50514560"/>
      </c:lineChart>
      <c:catAx>
        <c:axId val="50513024"/>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low"/>
        <c:spPr>
          <a:noFill/>
          <a:ln w="9525" cap="flat" cmpd="sng" algn="ctr">
            <a:solidFill>
              <a:srgbClr val="FF0000"/>
            </a:solidFill>
            <a:round/>
          </a:ln>
          <a:effectLst/>
        </c:spPr>
        <c:txPr>
          <a:bodyPr rot="-60000000" spcFirstLastPara="1" vertOverflow="ellipsis" vert="horz" wrap="square" anchor="ctr" anchorCtr="1"/>
          <a:lstStyle/>
          <a:p>
            <a:pPr>
              <a:defRPr sz="700" b="1"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50514560"/>
        <c:crosses val="autoZero"/>
        <c:auto val="1"/>
        <c:lblAlgn val="ctr"/>
        <c:lblOffset val="100"/>
        <c:noMultiLvlLbl val="0"/>
      </c:catAx>
      <c:valAx>
        <c:axId val="50514560"/>
        <c:scaling>
          <c:orientation val="minMax"/>
        </c:scaling>
        <c:delete val="0"/>
        <c:axPos val="l"/>
        <c:majorGridlines>
          <c:spPr>
            <a:ln w="9525" cap="flat" cmpd="sng" algn="ctr">
              <a:solidFill>
                <a:schemeClr val="dk1">
                  <a:lumMod val="15000"/>
                  <a:lumOff val="85000"/>
                  <a:alpha val="54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50513024"/>
        <c:crosses val="autoZero"/>
        <c:crossBetween val="between"/>
      </c:valAx>
      <c:spPr>
        <a:pattFill prst="ltDnDiag">
          <a:fgClr>
            <a:schemeClr val="dk1">
              <a:lumMod val="15000"/>
              <a:lumOff val="85000"/>
            </a:schemeClr>
          </a:fgClr>
          <a:bgClr>
            <a:schemeClr val="lt1"/>
          </a:bgClr>
        </a:pattFill>
        <a:ln>
          <a:noFill/>
        </a:ln>
        <a:effectLst/>
      </c:spPr>
    </c:plotArea>
    <c:legend>
      <c:legendPos val="b"/>
      <c:layout>
        <c:manualLayout>
          <c:xMode val="edge"/>
          <c:yMode val="edge"/>
          <c:x val="0"/>
          <c:y val="0.90955426968637754"/>
          <c:w val="1"/>
          <c:h val="9.0445730313622422E-2"/>
        </c:manualLayout>
      </c:layout>
      <c:overlay val="0"/>
      <c:spPr>
        <a:noFill/>
        <a:ln>
          <a:noFill/>
        </a:ln>
        <a:effectLst/>
      </c:spPr>
      <c:txPr>
        <a:bodyPr rot="0" spcFirstLastPara="1" vertOverflow="ellipsis" vert="horz" wrap="square" anchor="ctr" anchorCtr="1"/>
        <a:lstStyle/>
        <a:p>
          <a:pPr>
            <a:defRPr sz="7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noFill/>
      <a:round/>
    </a:ln>
    <a:effectLst/>
  </c:spPr>
  <c:txPr>
    <a:bodyPr/>
    <a:lstStyle/>
    <a:p>
      <a:pPr>
        <a:defRPr sz="550"/>
      </a:pPr>
      <a:endParaRPr lang="es-GT"/>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930824838341236"/>
          <c:y val="0"/>
          <c:w val="0.71769559864080124"/>
          <c:h val="0.93305279690877119"/>
        </c:manualLayout>
      </c:layout>
      <c:barChart>
        <c:barDir val="bar"/>
        <c:grouping val="clustered"/>
        <c:varyColors val="0"/>
        <c:ser>
          <c:idx val="0"/>
          <c:order val="0"/>
          <c:tx>
            <c:strRef>
              <c:f>Sheet1!$B$1</c:f>
              <c:strCache>
                <c:ptCount val="1"/>
                <c:pt idx="0">
                  <c:v>2020</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10800000" scaled="1"/>
              <a:tileRect/>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2">
                        <a:lumMod val="7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Sheet1!$A$2:$A$9</c:f>
              <c:strCache>
                <c:ptCount val="8"/>
                <c:pt idx="0">
                  <c:v>Trans. Corrientes</c:v>
                </c:pt>
                <c:pt idx="1">
                  <c:v>Inversión Financiera</c:v>
                </c:pt>
                <c:pt idx="2">
                  <c:v>Trans. De Capital</c:v>
                </c:pt>
                <c:pt idx="3">
                  <c:v>Prestaciones a la S.S</c:v>
                </c:pt>
                <c:pt idx="4">
                  <c:v>Inversión Real Directa </c:v>
                </c:pt>
                <c:pt idx="5">
                  <c:v>Remuneraciones </c:v>
                </c:pt>
                <c:pt idx="6">
                  <c:v>Intereses </c:v>
                </c:pt>
                <c:pt idx="7">
                  <c:v>Bienes y servicios </c:v>
                </c:pt>
              </c:strCache>
            </c:strRef>
          </c:cat>
          <c:val>
            <c:numRef>
              <c:f>Sheet1!$B$2:$B$9</c:f>
              <c:numCache>
                <c:formatCode>#,##0.0</c:formatCode>
                <c:ptCount val="8"/>
                <c:pt idx="0">
                  <c:v>8535.43</c:v>
                </c:pt>
                <c:pt idx="1">
                  <c:v>3326.2999999999997</c:v>
                </c:pt>
                <c:pt idx="2">
                  <c:v>387.82000000000153</c:v>
                </c:pt>
                <c:pt idx="3">
                  <c:v>25.769999999999527</c:v>
                </c:pt>
                <c:pt idx="4">
                  <c:v>-2039.7799999999993</c:v>
                </c:pt>
                <c:pt idx="5">
                  <c:v>1641.4600000000028</c:v>
                </c:pt>
                <c:pt idx="6">
                  <c:v>641.61999999999898</c:v>
                </c:pt>
                <c:pt idx="7">
                  <c:v>1240.1200000000008</c:v>
                </c:pt>
              </c:numCache>
            </c:numRef>
          </c:val>
          <c:extLst>
            <c:ext xmlns:c16="http://schemas.microsoft.com/office/drawing/2014/chart" uri="{C3380CC4-5D6E-409C-BE32-E72D297353CC}">
              <c16:uniqueId val="{00000000-BB8F-4769-88D2-F7FEAFA08CCC}"/>
            </c:ext>
          </c:extLst>
        </c:ser>
        <c:ser>
          <c:idx val="1"/>
          <c:order val="1"/>
          <c:tx>
            <c:strRef>
              <c:f>Sheet1!$C$1</c:f>
              <c:strCache>
                <c:ptCount val="1"/>
                <c:pt idx="0">
                  <c:v>2021</c:v>
                </c:pt>
              </c:strCache>
            </c:strRef>
          </c:tx>
          <c:spPr>
            <a:gradFill flip="none" rotWithShape="1">
              <a:gsLst>
                <a:gs pos="0">
                  <a:schemeClr val="accent3"/>
                </a:gs>
                <a:gs pos="75000">
                  <a:schemeClr val="accent3">
                    <a:lumMod val="60000"/>
                    <a:lumOff val="40000"/>
                  </a:schemeClr>
                </a:gs>
                <a:gs pos="51000">
                  <a:schemeClr val="accent3">
                    <a:alpha val="75000"/>
                  </a:schemeClr>
                </a:gs>
                <a:gs pos="100000">
                  <a:schemeClr val="accent3">
                    <a:lumMod val="20000"/>
                    <a:lumOff val="80000"/>
                    <a:alpha val="15000"/>
                  </a:schemeClr>
                </a:gs>
              </a:gsLst>
              <a:lin ang="10800000" scaled="1"/>
              <a:tileRect/>
            </a:gradFill>
            <a:ln>
              <a:noFill/>
            </a:ln>
            <a:effectLst/>
          </c:spPr>
          <c:invertIfNegative val="0"/>
          <c:dLbls>
            <c:dLbl>
              <c:idx val="0"/>
              <c:layout>
                <c:manualLayout>
                  <c:x val="-4.4516889478965378E-3"/>
                  <c:y val="-7.936507936508081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B8F-4769-88D2-F7FEAFA08CCC}"/>
                </c:ext>
              </c:extLst>
            </c:dLbl>
            <c:dLbl>
              <c:idx val="7"/>
              <c:layout>
                <c:manualLayout>
                  <c:x val="-1.131477709889115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B8F-4769-88D2-F7FEAFA08CCC}"/>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3">
                        <a:lumMod val="50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Sheet1!$A$2:$A$9</c:f>
              <c:strCache>
                <c:ptCount val="8"/>
                <c:pt idx="0">
                  <c:v>Trans. Corrientes</c:v>
                </c:pt>
                <c:pt idx="1">
                  <c:v>Inversión Financiera</c:v>
                </c:pt>
                <c:pt idx="2">
                  <c:v>Trans. De Capital</c:v>
                </c:pt>
                <c:pt idx="3">
                  <c:v>Prestaciones a la S.S</c:v>
                </c:pt>
                <c:pt idx="4">
                  <c:v>Inversión Real Directa </c:v>
                </c:pt>
                <c:pt idx="5">
                  <c:v>Remuneraciones </c:v>
                </c:pt>
                <c:pt idx="6">
                  <c:v>Intereses </c:v>
                </c:pt>
                <c:pt idx="7">
                  <c:v>Bienes y servicios </c:v>
                </c:pt>
              </c:strCache>
            </c:strRef>
          </c:cat>
          <c:val>
            <c:numRef>
              <c:f>Sheet1!$C$2:$C$9</c:f>
              <c:numCache>
                <c:formatCode>#,##0.0</c:formatCode>
                <c:ptCount val="8"/>
                <c:pt idx="0">
                  <c:v>-7460.6875973999995</c:v>
                </c:pt>
                <c:pt idx="1">
                  <c:v>-3085.2289436000001</c:v>
                </c:pt>
                <c:pt idx="2">
                  <c:v>138.98567236000054</c:v>
                </c:pt>
                <c:pt idx="3">
                  <c:v>160.20320836999963</c:v>
                </c:pt>
                <c:pt idx="4">
                  <c:v>793.55562563999956</c:v>
                </c:pt>
                <c:pt idx="5">
                  <c:v>998.16079262999483</c:v>
                </c:pt>
                <c:pt idx="6">
                  <c:v>1214.4596611300021</c:v>
                </c:pt>
                <c:pt idx="7">
                  <c:v>3765.8053479699975</c:v>
                </c:pt>
              </c:numCache>
            </c:numRef>
          </c:val>
          <c:extLst>
            <c:ext xmlns:c16="http://schemas.microsoft.com/office/drawing/2014/chart" uri="{C3380CC4-5D6E-409C-BE32-E72D297353CC}">
              <c16:uniqueId val="{00000003-BB8F-4769-88D2-F7FEAFA08CCC}"/>
            </c:ext>
          </c:extLst>
        </c:ser>
        <c:dLbls>
          <c:showLegendKey val="0"/>
          <c:showVal val="0"/>
          <c:showCatName val="0"/>
          <c:showSerName val="0"/>
          <c:showPercent val="0"/>
          <c:showBubbleSize val="0"/>
        </c:dLbls>
        <c:gapWidth val="62"/>
        <c:overlap val="-58"/>
        <c:axId val="168376192"/>
        <c:axId val="168377728"/>
      </c:barChart>
      <c:catAx>
        <c:axId val="168376192"/>
        <c:scaling>
          <c:orientation val="minMax"/>
        </c:scaling>
        <c:delete val="0"/>
        <c:axPos val="l"/>
        <c:numFmt formatCode="General" sourceLinked="1"/>
        <c:majorTickMark val="none"/>
        <c:minorTickMark val="none"/>
        <c:tickLblPos val="low"/>
        <c:spPr>
          <a:noFill/>
          <a:ln w="19050" cap="flat" cmpd="sng" algn="ctr">
            <a:solidFill>
              <a:schemeClr val="tx1">
                <a:lumMod val="15000"/>
                <a:lumOff val="85000"/>
              </a:schemeClr>
            </a:solidFill>
            <a:round/>
            <a:headEnd type="none" w="sm" len="sm"/>
            <a:tailEnd type="none" w="sm" len="sm"/>
          </a:ln>
          <a:effectLst/>
        </c:spPr>
        <c:txPr>
          <a:bodyPr rot="-60000000" spcFirstLastPara="1" vertOverflow="ellipsis" vert="horz" wrap="square" anchor="ctr" anchorCtr="1"/>
          <a:lstStyle/>
          <a:p>
            <a:pPr>
              <a:defRPr sz="800" b="1" i="0" u="none" strike="noStrike" kern="1200" baseline="0">
                <a:solidFill>
                  <a:schemeClr val="tx1">
                    <a:lumMod val="85000"/>
                    <a:lumOff val="15000"/>
                  </a:schemeClr>
                </a:solidFill>
                <a:latin typeface="Times New Roman" panose="02020603050405020304" pitchFamily="18" charset="0"/>
                <a:ea typeface="+mn-ea"/>
                <a:cs typeface="Times New Roman" panose="02020603050405020304" pitchFamily="18" charset="0"/>
              </a:defRPr>
            </a:pPr>
            <a:endParaRPr lang="es-GT"/>
          </a:p>
        </c:txPr>
        <c:crossAx val="168377728"/>
        <c:crosses val="autoZero"/>
        <c:auto val="1"/>
        <c:lblAlgn val="ctr"/>
        <c:lblOffset val="100"/>
        <c:noMultiLvlLbl val="0"/>
      </c:catAx>
      <c:valAx>
        <c:axId val="168377728"/>
        <c:scaling>
          <c:orientation val="minMax"/>
          <c:max val="9500"/>
          <c:min val="-8500"/>
        </c:scaling>
        <c:delete val="0"/>
        <c:axPos val="b"/>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68376192"/>
        <c:crosses val="autoZero"/>
        <c:crossBetween val="between"/>
        <c:majorUnit val="3000"/>
      </c:valAx>
      <c:spPr>
        <a:pattFill prst="lgGrid">
          <a:fgClr>
            <a:schemeClr val="bg1">
              <a:lumMod val="85000"/>
            </a:schemeClr>
          </a:fgClr>
          <a:bgClr>
            <a:schemeClr val="bg1"/>
          </a:bgClr>
        </a:pattFill>
        <a:ln>
          <a:noFill/>
        </a:ln>
        <a:effectLst/>
      </c:spPr>
    </c:plotArea>
    <c:legend>
      <c:legendPos val="b"/>
      <c:layout>
        <c:manualLayout>
          <c:xMode val="edge"/>
          <c:yMode val="edge"/>
          <c:x val="0.74722378134505085"/>
          <c:y val="0.36776574803149598"/>
          <c:w val="0.1708757637474542"/>
          <c:h val="6.7549151842130839E-2"/>
        </c:manualLayout>
      </c:layout>
      <c:overlay val="0"/>
      <c:spPr>
        <a:noFill/>
        <a:ln>
          <a:noFill/>
        </a:ln>
        <a:effectLst/>
      </c:spPr>
      <c:txPr>
        <a:bodyPr rot="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7665588998361684E-2"/>
          <c:y val="4.3650793650793648E-2"/>
          <c:w val="0.8595059591625942"/>
          <c:h val="0.84310647708393693"/>
        </c:manualLayout>
      </c:layout>
      <c:barChart>
        <c:barDir val="col"/>
        <c:grouping val="clustered"/>
        <c:varyColors val="0"/>
        <c:ser>
          <c:idx val="0"/>
          <c:order val="0"/>
          <c:tx>
            <c:strRef>
              <c:f>Sheet1!$B$1</c:f>
              <c:strCache>
                <c:ptCount val="1"/>
                <c:pt idx="0">
                  <c:v>Column2</c:v>
                </c:pt>
              </c:strCache>
            </c:strRef>
          </c:tx>
          <c:spPr>
            <a:solidFill>
              <a:schemeClr val="accent3">
                <a:lumMod val="75000"/>
              </a:schemeClr>
            </a:solidFill>
            <a:ln w="22225">
              <a:solidFill>
                <a:schemeClr val="accent3">
                  <a:lumMod val="50000"/>
                </a:schemeClr>
              </a:solidFill>
            </a:ln>
            <a:effectLst>
              <a:outerShdw blurRad="50800" dist="38100" dir="18900000" algn="bl" rotWithShape="0">
                <a:prstClr val="black">
                  <a:alpha val="40000"/>
                </a:prstClr>
              </a:outerShdw>
            </a:effectLst>
            <a:scene3d>
              <a:camera prst="orthographicFront"/>
              <a:lightRig rig="threePt" dir="t"/>
            </a:scene3d>
            <a:sp3d/>
          </c:spPr>
          <c:invertIfNegative val="0"/>
          <c:dLbls>
            <c:dLbl>
              <c:idx val="3"/>
              <c:layout>
                <c:manualLayout>
                  <c:x val="-8.4533125291291247E-17"/>
                  <c:y val="0.1543043030194117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E55-4E6D-8415-346DC7ADD835}"/>
                </c:ext>
              </c:extLst>
            </c:dLbl>
            <c:dLbl>
              <c:idx val="4"/>
              <c:layout>
                <c:manualLayout>
                  <c:x val="-8.4533125291291247E-17"/>
                  <c:y val="2.11494522663009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3E3-4235-B4F5-6E06DF9BBF16}"/>
                </c:ext>
              </c:extLst>
            </c:dLbl>
            <c:dLbl>
              <c:idx val="5"/>
              <c:layout>
                <c:manualLayout>
                  <c:x val="2.3054755043227667E-3"/>
                  <c:y val="8.205333206195047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3E3-4235-B4F5-6E06DF9BBF16}"/>
                </c:ext>
              </c:extLst>
            </c:dLbl>
            <c:numFmt formatCode="&quot;Q&quot;#,##0.0" sourceLinked="0"/>
            <c:spPr>
              <a:noFill/>
              <a:ln>
                <a:noFill/>
              </a:ln>
              <a:effectLst/>
            </c:spPr>
            <c:txPr>
              <a:bodyPr rot="-5400000" spcFirstLastPara="1" vertOverflow="ellipsis" wrap="square" lIns="38100" tIns="19050" rIns="38100" bIns="19050" anchor="ctr" anchorCtr="1">
                <a:spAutoFit/>
              </a:bodyPr>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Comunicaciones</c:v>
                </c:pt>
                <c:pt idx="1">
                  <c:v>Cultura y Deportes</c:v>
                </c:pt>
                <c:pt idx="2">
                  <c:v>Agricultura </c:v>
                </c:pt>
                <c:pt idx="3">
                  <c:v>Ambiente</c:v>
                </c:pt>
                <c:pt idx="4">
                  <c:v>Gobiernación</c:v>
                </c:pt>
                <c:pt idx="5">
                  <c:v>Secretarías</c:v>
                </c:pt>
              </c:strCache>
            </c:strRef>
          </c:cat>
          <c:val>
            <c:numRef>
              <c:f>Sheet1!$B$2:$B$7</c:f>
              <c:numCache>
                <c:formatCode>#,##0.0</c:formatCode>
                <c:ptCount val="6"/>
                <c:pt idx="0">
                  <c:v>30.401036870000013</c:v>
                </c:pt>
                <c:pt idx="1">
                  <c:v>17.921810950000008</c:v>
                </c:pt>
                <c:pt idx="2">
                  <c:v>11.815030709999974</c:v>
                </c:pt>
                <c:pt idx="3">
                  <c:v>9.9867342900000011</c:v>
                </c:pt>
                <c:pt idx="4">
                  <c:v>-9.7916802800000085</c:v>
                </c:pt>
                <c:pt idx="5">
                  <c:v>-15.545443739999996</c:v>
                </c:pt>
              </c:numCache>
            </c:numRef>
          </c:val>
          <c:extLst>
            <c:ext xmlns:c16="http://schemas.microsoft.com/office/drawing/2014/chart" uri="{C3380CC4-5D6E-409C-BE32-E72D297353CC}">
              <c16:uniqueId val="{00000004-2E55-4E6D-8415-346DC7ADD835}"/>
            </c:ext>
          </c:extLst>
        </c:ser>
        <c:dLbls>
          <c:showLegendKey val="0"/>
          <c:showVal val="0"/>
          <c:showCatName val="0"/>
          <c:showSerName val="0"/>
          <c:showPercent val="0"/>
          <c:showBubbleSize val="0"/>
        </c:dLbls>
        <c:gapWidth val="115"/>
        <c:axId val="168408576"/>
        <c:axId val="168410112"/>
      </c:barChart>
      <c:lineChart>
        <c:grouping val="standard"/>
        <c:varyColors val="0"/>
        <c:ser>
          <c:idx val="1"/>
          <c:order val="1"/>
          <c:tx>
            <c:strRef>
              <c:f>Sheet1!$C$1</c:f>
              <c:strCache>
                <c:ptCount val="1"/>
                <c:pt idx="0">
                  <c:v>%</c:v>
                </c:pt>
              </c:strCache>
            </c:strRef>
          </c:tx>
          <c:spPr>
            <a:ln w="25400" cap="rnd">
              <a:noFill/>
              <a:round/>
            </a:ln>
            <a:effectLst/>
          </c:spPr>
          <c:marker>
            <c:symbol val="dash"/>
            <c:size val="11"/>
            <c:spPr>
              <a:solidFill>
                <a:srgbClr val="92D050"/>
              </a:solidFill>
              <a:ln w="6350">
                <a:solidFill>
                  <a:schemeClr val="tx1"/>
                </a:solidFill>
                <a:round/>
              </a:ln>
              <a:effectLst/>
            </c:spPr>
          </c:marker>
          <c:dLbls>
            <c:dLbl>
              <c:idx val="0"/>
              <c:layout>
                <c:manualLayout>
                  <c:x val="1.3888946878758333E-2"/>
                  <c:y val="-1.6041060773318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E55-4E6D-8415-346DC7ADD835}"/>
                </c:ext>
              </c:extLst>
            </c:dLbl>
            <c:dLbl>
              <c:idx val="1"/>
              <c:layout>
                <c:manualLayout>
                  <c:x val="-2.215820961666338E-3"/>
                  <c:y val="-1.00603621730383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E55-4E6D-8415-346DC7ADD835}"/>
                </c:ext>
              </c:extLst>
            </c:dLbl>
            <c:dLbl>
              <c:idx val="2"/>
              <c:layout>
                <c:manualLayout>
                  <c:x val="1.8379722707572217E-2"/>
                  <c:y val="-4.845068562982957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E55-4E6D-8415-346DC7ADD835}"/>
                </c:ext>
              </c:extLst>
            </c:dLbl>
            <c:dLbl>
              <c:idx val="4"/>
              <c:layout>
                <c:manualLayout>
                  <c:x val="-5.3025936599423548E-2"/>
                  <c:y val="-4.65766185374941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3E3-4235-B4F5-6E06DF9BBF16}"/>
                </c:ext>
              </c:extLst>
            </c:dLbl>
            <c:dLbl>
              <c:idx val="5"/>
              <c:layout>
                <c:manualLayout>
                  <c:x val="-5.5331412103746397E-2"/>
                  <c:y val="-3.72612948299953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D20-4CC3-B8A0-117DBBA1667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Comunicaciones</c:v>
                </c:pt>
                <c:pt idx="1">
                  <c:v>Cultura y Deportes</c:v>
                </c:pt>
                <c:pt idx="2">
                  <c:v>Agricultura </c:v>
                </c:pt>
                <c:pt idx="3">
                  <c:v>Ambiente</c:v>
                </c:pt>
                <c:pt idx="4">
                  <c:v>Gobiernación</c:v>
                </c:pt>
                <c:pt idx="5">
                  <c:v>Secretarías</c:v>
                </c:pt>
              </c:strCache>
            </c:strRef>
          </c:cat>
          <c:val>
            <c:numRef>
              <c:f>Sheet1!$C$2:$C$7</c:f>
              <c:numCache>
                <c:formatCode>0.0%</c:formatCode>
                <c:ptCount val="6"/>
                <c:pt idx="0">
                  <c:v>0.124</c:v>
                </c:pt>
                <c:pt idx="1">
                  <c:v>0.27300000000000002</c:v>
                </c:pt>
                <c:pt idx="2">
                  <c:v>3.9E-2</c:v>
                </c:pt>
                <c:pt idx="3">
                  <c:v>0.29199999999999998</c:v>
                </c:pt>
                <c:pt idx="4">
                  <c:v>-7.2999999999999995E-2</c:v>
                </c:pt>
                <c:pt idx="5">
                  <c:v>-0.107</c:v>
                </c:pt>
              </c:numCache>
            </c:numRef>
          </c:val>
          <c:smooth val="0"/>
          <c:extLst>
            <c:ext xmlns:c16="http://schemas.microsoft.com/office/drawing/2014/chart" uri="{C3380CC4-5D6E-409C-BE32-E72D297353CC}">
              <c16:uniqueId val="{00000008-2E55-4E6D-8415-346DC7ADD835}"/>
            </c:ext>
          </c:extLst>
        </c:ser>
        <c:dLbls>
          <c:showLegendKey val="0"/>
          <c:showVal val="0"/>
          <c:showCatName val="0"/>
          <c:showSerName val="0"/>
          <c:showPercent val="0"/>
          <c:showBubbleSize val="0"/>
        </c:dLbls>
        <c:marker val="1"/>
        <c:smooth val="0"/>
        <c:axId val="168413440"/>
        <c:axId val="168411904"/>
      </c:lineChart>
      <c:catAx>
        <c:axId val="168408576"/>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low"/>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800" b="1"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68410112"/>
        <c:crosses val="autoZero"/>
        <c:auto val="1"/>
        <c:lblAlgn val="ctr"/>
        <c:lblOffset val="100"/>
        <c:noMultiLvlLbl val="0"/>
      </c:catAx>
      <c:valAx>
        <c:axId val="168410112"/>
        <c:scaling>
          <c:orientation val="minMax"/>
          <c:max val="40"/>
          <c:min val="-20"/>
        </c:scaling>
        <c:delete val="0"/>
        <c:axPos val="l"/>
        <c:majorGridlines>
          <c:spPr>
            <a:ln w="9525" cap="flat" cmpd="sng" algn="ctr">
              <a:solidFill>
                <a:schemeClr val="dk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68408576"/>
        <c:crosses val="autoZero"/>
        <c:crossBetween val="between"/>
      </c:valAx>
      <c:valAx>
        <c:axId val="168411904"/>
        <c:scaling>
          <c:orientation val="minMax"/>
          <c:max val="0.4"/>
          <c:min val="-0.2"/>
        </c:scaling>
        <c:delete val="0"/>
        <c:axPos val="r"/>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68413440"/>
        <c:crosses val="max"/>
        <c:crossBetween val="between"/>
      </c:valAx>
      <c:catAx>
        <c:axId val="168413440"/>
        <c:scaling>
          <c:orientation val="minMax"/>
        </c:scaling>
        <c:delete val="1"/>
        <c:axPos val="b"/>
        <c:numFmt formatCode="General" sourceLinked="1"/>
        <c:majorTickMark val="out"/>
        <c:minorTickMark val="none"/>
        <c:tickLblPos val="nextTo"/>
        <c:crossAx val="168411904"/>
        <c:crosses val="autoZero"/>
        <c:auto val="1"/>
        <c:lblAlgn val="ctr"/>
        <c:lblOffset val="100"/>
        <c:noMultiLvlLbl val="0"/>
      </c:catAx>
      <c:spPr>
        <a:pattFill prst="pct90">
          <a:fgClr>
            <a:schemeClr val="accent3">
              <a:lumMod val="20000"/>
              <a:lumOff val="80000"/>
            </a:schemeClr>
          </a:fgClr>
          <a:bgClr>
            <a:schemeClr val="lt1"/>
          </a:bgClr>
        </a:pattFill>
        <a:ln>
          <a:noFill/>
        </a:ln>
        <a:effectLst/>
      </c:spPr>
    </c:plotArea>
    <c:plotVisOnly val="1"/>
    <c:dispBlanksAs val="gap"/>
    <c:showDLblsOverMax val="0"/>
  </c:chart>
  <c:spPr>
    <a:no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7008123475400616E-2"/>
          <c:y val="3.8739572776175256E-2"/>
          <c:w val="0.9090413087366116"/>
          <c:h val="0.66364991814142049"/>
        </c:manualLayout>
      </c:layout>
      <c:barChart>
        <c:barDir val="col"/>
        <c:grouping val="stacked"/>
        <c:varyColors val="0"/>
        <c:ser>
          <c:idx val="0"/>
          <c:order val="0"/>
          <c:tx>
            <c:strRef>
              <c:f>Hoja1!$A$2</c:f>
              <c:strCache>
                <c:ptCount val="1"/>
                <c:pt idx="0">
                  <c:v>Personal 029</c:v>
                </c:pt>
              </c:strCache>
            </c:strRef>
          </c:tx>
          <c:spPr>
            <a:solidFill>
              <a:schemeClr val="tx2">
                <a:lumMod val="50000"/>
              </a:schemeClr>
            </a:solidFill>
            <a:ln>
              <a:solidFill>
                <a:schemeClr val="tx1"/>
              </a:solidFill>
            </a:ln>
            <a:effectLst/>
          </c:spPr>
          <c:invertIfNegative val="0"/>
          <c:dLbls>
            <c:dLbl>
              <c:idx val="2"/>
              <c:layout>
                <c:manualLayout>
                  <c:x val="0"/>
                  <c:y val="-1.23762376237623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404-434F-B6E4-AE294FDC2B5C}"/>
                </c:ext>
              </c:extLst>
            </c:dLbl>
            <c:numFmt formatCode="#,##0.0" sourceLinked="0"/>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Hoja1!$B$1:$E$1</c:f>
              <c:strCache>
                <c:ptCount val="4"/>
                <c:pt idx="0">
                  <c:v>2018</c:v>
                </c:pt>
                <c:pt idx="1">
                  <c:v>2019</c:v>
                </c:pt>
                <c:pt idx="2">
                  <c:v>2020</c:v>
                </c:pt>
                <c:pt idx="3">
                  <c:v>2021</c:v>
                </c:pt>
              </c:strCache>
            </c:strRef>
          </c:cat>
          <c:val>
            <c:numRef>
              <c:f>Hoja1!$B$2:$E$2</c:f>
              <c:numCache>
                <c:formatCode>#,##0.0</c:formatCode>
                <c:ptCount val="4"/>
                <c:pt idx="0">
                  <c:v>1373.54370204</c:v>
                </c:pt>
                <c:pt idx="1">
                  <c:v>1638.8516405700002</c:v>
                </c:pt>
                <c:pt idx="2">
                  <c:v>1401.8059883799999</c:v>
                </c:pt>
                <c:pt idx="3">
                  <c:v>1473.6583225900004</c:v>
                </c:pt>
              </c:numCache>
            </c:numRef>
          </c:val>
          <c:extLst>
            <c:ext xmlns:c16="http://schemas.microsoft.com/office/drawing/2014/chart" uri="{C3380CC4-5D6E-409C-BE32-E72D297353CC}">
              <c16:uniqueId val="{00000001-D404-434F-B6E4-AE294FDC2B5C}"/>
            </c:ext>
          </c:extLst>
        </c:ser>
        <c:ser>
          <c:idx val="1"/>
          <c:order val="1"/>
          <c:tx>
            <c:strRef>
              <c:f>Hoja1!$A$3</c:f>
              <c:strCache>
                <c:ptCount val="1"/>
                <c:pt idx="0">
                  <c:v>Subgrupo 18 (sin incluir salud)</c:v>
                </c:pt>
              </c:strCache>
            </c:strRef>
          </c:tx>
          <c:spPr>
            <a:solidFill>
              <a:schemeClr val="accent5">
                <a:lumMod val="75000"/>
              </a:schemeClr>
            </a:solidFill>
            <a:ln>
              <a:solidFill>
                <a:schemeClr val="tx1"/>
              </a:solid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Hoja1!$B$1:$E$1</c:f>
              <c:strCache>
                <c:ptCount val="4"/>
                <c:pt idx="0">
                  <c:v>2018</c:v>
                </c:pt>
                <c:pt idx="1">
                  <c:v>2019</c:v>
                </c:pt>
                <c:pt idx="2">
                  <c:v>2020</c:v>
                </c:pt>
                <c:pt idx="3">
                  <c:v>2021</c:v>
                </c:pt>
              </c:strCache>
            </c:strRef>
          </c:cat>
          <c:val>
            <c:numRef>
              <c:f>Hoja1!$B$3:$E$3</c:f>
              <c:numCache>
                <c:formatCode>#,##0.0</c:formatCode>
                <c:ptCount val="4"/>
                <c:pt idx="0">
                  <c:v>976.10583787999963</c:v>
                </c:pt>
                <c:pt idx="1">
                  <c:v>1048.0346643100002</c:v>
                </c:pt>
                <c:pt idx="2">
                  <c:v>798.23540684000091</c:v>
                </c:pt>
                <c:pt idx="3">
                  <c:v>1015.7820798300015</c:v>
                </c:pt>
              </c:numCache>
            </c:numRef>
          </c:val>
          <c:extLst>
            <c:ext xmlns:c16="http://schemas.microsoft.com/office/drawing/2014/chart" uri="{C3380CC4-5D6E-409C-BE32-E72D297353CC}">
              <c16:uniqueId val="{00000002-D404-434F-B6E4-AE294FDC2B5C}"/>
            </c:ext>
          </c:extLst>
        </c:ser>
        <c:ser>
          <c:idx val="2"/>
          <c:order val="2"/>
          <c:tx>
            <c:strRef>
              <c:f>Hoja1!$A$4</c:f>
              <c:strCache>
                <c:ptCount val="1"/>
                <c:pt idx="0">
                  <c:v>Combustibles</c:v>
                </c:pt>
              </c:strCache>
            </c:strRef>
          </c:tx>
          <c:spPr>
            <a:solidFill>
              <a:schemeClr val="accent4">
                <a:lumMod val="50000"/>
              </a:schemeClr>
            </a:solidFill>
            <a:ln>
              <a:solidFill>
                <a:schemeClr val="tx1"/>
              </a:solid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Hoja1!$B$1:$E$1</c:f>
              <c:strCache>
                <c:ptCount val="4"/>
                <c:pt idx="0">
                  <c:v>2018</c:v>
                </c:pt>
                <c:pt idx="1">
                  <c:v>2019</c:v>
                </c:pt>
                <c:pt idx="2">
                  <c:v>2020</c:v>
                </c:pt>
                <c:pt idx="3">
                  <c:v>2021</c:v>
                </c:pt>
              </c:strCache>
            </c:strRef>
          </c:cat>
          <c:val>
            <c:numRef>
              <c:f>Hoja1!$B$4:$E$4</c:f>
              <c:numCache>
                <c:formatCode>#,##0.0</c:formatCode>
                <c:ptCount val="4"/>
                <c:pt idx="0">
                  <c:v>263.75067335</c:v>
                </c:pt>
                <c:pt idx="1">
                  <c:v>279.09683970999998</c:v>
                </c:pt>
                <c:pt idx="2">
                  <c:v>281.11694872999999</c:v>
                </c:pt>
                <c:pt idx="3">
                  <c:v>229.89502425000001</c:v>
                </c:pt>
              </c:numCache>
            </c:numRef>
          </c:val>
          <c:extLst>
            <c:ext xmlns:c16="http://schemas.microsoft.com/office/drawing/2014/chart" uri="{C3380CC4-5D6E-409C-BE32-E72D297353CC}">
              <c16:uniqueId val="{00000003-D404-434F-B6E4-AE294FDC2B5C}"/>
            </c:ext>
          </c:extLst>
        </c:ser>
        <c:ser>
          <c:idx val="3"/>
          <c:order val="3"/>
          <c:tx>
            <c:strRef>
              <c:f>Hoja1!$A$5</c:f>
              <c:strCache>
                <c:ptCount val="1"/>
                <c:pt idx="0">
                  <c:v>Viaticos</c:v>
                </c:pt>
              </c:strCache>
            </c:strRef>
          </c:tx>
          <c:spPr>
            <a:solidFill>
              <a:srgbClr val="92D050"/>
            </a:solidFill>
            <a:ln>
              <a:solidFill>
                <a:schemeClr val="tx1"/>
              </a:solidFill>
            </a:ln>
            <a:effectLst>
              <a:outerShdw blurRad="50800" dist="38100" algn="l" rotWithShape="0">
                <a:prstClr val="black">
                  <a:alpha val="40000"/>
                </a:prstClr>
              </a:outerShdw>
            </a:effectLst>
          </c:spPr>
          <c:invertIfNegative val="0"/>
          <c:cat>
            <c:strRef>
              <c:f>Hoja1!$B$1:$E$1</c:f>
              <c:strCache>
                <c:ptCount val="4"/>
                <c:pt idx="0">
                  <c:v>2018</c:v>
                </c:pt>
                <c:pt idx="1">
                  <c:v>2019</c:v>
                </c:pt>
                <c:pt idx="2">
                  <c:v>2020</c:v>
                </c:pt>
                <c:pt idx="3">
                  <c:v>2021</c:v>
                </c:pt>
              </c:strCache>
            </c:strRef>
          </c:cat>
          <c:val>
            <c:numRef>
              <c:f>Hoja1!$B$5:$E$5</c:f>
              <c:numCache>
                <c:formatCode>#,##0.0</c:formatCode>
                <c:ptCount val="4"/>
                <c:pt idx="0">
                  <c:v>93.794948879999993</c:v>
                </c:pt>
                <c:pt idx="1">
                  <c:v>107.42455489</c:v>
                </c:pt>
                <c:pt idx="2">
                  <c:v>45.070503749999993</c:v>
                </c:pt>
                <c:pt idx="3">
                  <c:v>73.80425889</c:v>
                </c:pt>
              </c:numCache>
            </c:numRef>
          </c:val>
          <c:extLst>
            <c:ext xmlns:c16="http://schemas.microsoft.com/office/drawing/2014/chart" uri="{C3380CC4-5D6E-409C-BE32-E72D297353CC}">
              <c16:uniqueId val="{00000004-D404-434F-B6E4-AE294FDC2B5C}"/>
            </c:ext>
          </c:extLst>
        </c:ser>
        <c:ser>
          <c:idx val="4"/>
          <c:order val="4"/>
          <c:tx>
            <c:strRef>
              <c:f>Hoja1!$A$6</c:f>
              <c:strCache>
                <c:ptCount val="1"/>
                <c:pt idx="0">
                  <c:v>Divulgación e información</c:v>
                </c:pt>
              </c:strCache>
            </c:strRef>
          </c:tx>
          <c:spPr>
            <a:solidFill>
              <a:srgbClr val="FF0000"/>
            </a:solidFill>
            <a:ln>
              <a:solidFill>
                <a:schemeClr val="tx1"/>
              </a:solidFill>
            </a:ln>
            <a:effectLst/>
          </c:spPr>
          <c:invertIfNegative val="0"/>
          <c:cat>
            <c:strRef>
              <c:f>Hoja1!$B$1:$E$1</c:f>
              <c:strCache>
                <c:ptCount val="4"/>
                <c:pt idx="0">
                  <c:v>2018</c:v>
                </c:pt>
                <c:pt idx="1">
                  <c:v>2019</c:v>
                </c:pt>
                <c:pt idx="2">
                  <c:v>2020</c:v>
                </c:pt>
                <c:pt idx="3">
                  <c:v>2021</c:v>
                </c:pt>
              </c:strCache>
            </c:strRef>
          </c:cat>
          <c:val>
            <c:numRef>
              <c:f>Hoja1!$B$6:$E$6</c:f>
              <c:numCache>
                <c:formatCode>#,##0.0</c:formatCode>
                <c:ptCount val="4"/>
                <c:pt idx="0">
                  <c:v>10.329214310000001</c:v>
                </c:pt>
                <c:pt idx="1">
                  <c:v>13.665250259999999</c:v>
                </c:pt>
                <c:pt idx="2">
                  <c:v>40.93260686</c:v>
                </c:pt>
                <c:pt idx="3">
                  <c:v>43.5090419</c:v>
                </c:pt>
              </c:numCache>
            </c:numRef>
          </c:val>
          <c:extLst>
            <c:ext xmlns:c16="http://schemas.microsoft.com/office/drawing/2014/chart" uri="{C3380CC4-5D6E-409C-BE32-E72D297353CC}">
              <c16:uniqueId val="{00000005-D404-434F-B6E4-AE294FDC2B5C}"/>
            </c:ext>
          </c:extLst>
        </c:ser>
        <c:dLbls>
          <c:showLegendKey val="0"/>
          <c:showVal val="0"/>
          <c:showCatName val="0"/>
          <c:showSerName val="0"/>
          <c:showPercent val="0"/>
          <c:showBubbleSize val="0"/>
        </c:dLbls>
        <c:gapWidth val="90"/>
        <c:overlap val="100"/>
        <c:axId val="168504704"/>
        <c:axId val="168522880"/>
      </c:barChart>
      <c:lineChart>
        <c:grouping val="standard"/>
        <c:varyColors val="0"/>
        <c:ser>
          <c:idx val="5"/>
          <c:order val="5"/>
          <c:tx>
            <c:strRef>
              <c:f>Hoja1!$A$7</c:f>
              <c:strCache>
                <c:ptCount val="1"/>
                <c:pt idx="0">
                  <c:v>Total</c:v>
                </c:pt>
              </c:strCache>
            </c:strRef>
          </c:tx>
          <c:spPr>
            <a:ln w="41275" cap="rnd" cmpd="sng">
              <a:solidFill>
                <a:srgbClr val="FFC000"/>
              </a:solidFill>
              <a:prstDash val="sysDash"/>
              <a:round/>
            </a:ln>
            <a:effectLst/>
          </c:spPr>
          <c:marker>
            <c:symbol val="none"/>
          </c:marker>
          <c:dPt>
            <c:idx val="3"/>
            <c:bubble3D val="0"/>
            <c:extLst>
              <c:ext xmlns:c16="http://schemas.microsoft.com/office/drawing/2014/chart" uri="{C3380CC4-5D6E-409C-BE32-E72D297353CC}">
                <c16:uniqueId val="{00000006-D404-434F-B6E4-AE294FDC2B5C}"/>
              </c:ext>
            </c:extLst>
          </c:dPt>
          <c:dLbls>
            <c:dLbl>
              <c:idx val="3"/>
              <c:layout>
                <c:manualLayout>
                  <c:x val="-4.5259108395564608E-2"/>
                  <c:y val="-4.196584028481590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404-434F-B6E4-AE294FDC2B5C}"/>
                </c:ext>
              </c:extLst>
            </c:dLbl>
            <c:numFmt formatCode="#,##0.0" sourceLinked="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Hoja1!$B$1:$E$1</c:f>
              <c:strCache>
                <c:ptCount val="4"/>
                <c:pt idx="0">
                  <c:v>2018</c:v>
                </c:pt>
                <c:pt idx="1">
                  <c:v>2019</c:v>
                </c:pt>
                <c:pt idx="2">
                  <c:v>2020</c:v>
                </c:pt>
                <c:pt idx="3">
                  <c:v>2021</c:v>
                </c:pt>
              </c:strCache>
            </c:strRef>
          </c:cat>
          <c:val>
            <c:numRef>
              <c:f>Hoja1!$B$7:$E$7</c:f>
              <c:numCache>
                <c:formatCode>#,##0.0</c:formatCode>
                <c:ptCount val="4"/>
                <c:pt idx="0">
                  <c:v>2717.5243764599995</c:v>
                </c:pt>
                <c:pt idx="1">
                  <c:v>3087.0729497400002</c:v>
                </c:pt>
                <c:pt idx="2">
                  <c:v>2567.1614545600005</c:v>
                </c:pt>
                <c:pt idx="3">
                  <c:v>2836.6487274600017</c:v>
                </c:pt>
              </c:numCache>
            </c:numRef>
          </c:val>
          <c:smooth val="1"/>
          <c:extLst>
            <c:ext xmlns:c16="http://schemas.microsoft.com/office/drawing/2014/chart" uri="{C3380CC4-5D6E-409C-BE32-E72D297353CC}">
              <c16:uniqueId val="{00000007-D404-434F-B6E4-AE294FDC2B5C}"/>
            </c:ext>
          </c:extLst>
        </c:ser>
        <c:dLbls>
          <c:showLegendKey val="0"/>
          <c:showVal val="0"/>
          <c:showCatName val="0"/>
          <c:showSerName val="0"/>
          <c:showPercent val="0"/>
          <c:showBubbleSize val="0"/>
        </c:dLbls>
        <c:marker val="1"/>
        <c:smooth val="0"/>
        <c:axId val="168504704"/>
        <c:axId val="168522880"/>
      </c:lineChart>
      <c:catAx>
        <c:axId val="168504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168522880"/>
        <c:crosses val="autoZero"/>
        <c:auto val="1"/>
        <c:lblAlgn val="ctr"/>
        <c:lblOffset val="100"/>
        <c:noMultiLvlLbl val="0"/>
      </c:catAx>
      <c:valAx>
        <c:axId val="168522880"/>
        <c:scaling>
          <c:orientation val="minMax"/>
          <c:max val="3500"/>
          <c:min val="0"/>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68504704"/>
        <c:crosses val="autoZero"/>
        <c:crossBetween val="between"/>
      </c:valAx>
      <c:spPr>
        <a:noFill/>
        <a:ln>
          <a:noFill/>
        </a:ln>
        <a:effectLst/>
      </c:spPr>
    </c:plotArea>
    <c:legend>
      <c:legendPos val="b"/>
      <c:layout>
        <c:manualLayout>
          <c:xMode val="edge"/>
          <c:yMode val="edge"/>
          <c:x val="5.5385210249940767E-2"/>
          <c:y val="0.80570931108858934"/>
          <c:w val="0.87565184698144916"/>
          <c:h val="0.1695382136638860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1">
    <c:autoUpdate val="0"/>
  </c:externalData>
  <c:userShapes r:id="rId2"/>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273700650699912"/>
          <c:y val="8.3388193987272333E-2"/>
          <c:w val="0.79080202865266847"/>
          <c:h val="0.63656429058813602"/>
        </c:manualLayout>
      </c:layout>
      <c:barChart>
        <c:barDir val="col"/>
        <c:grouping val="clustered"/>
        <c:varyColors val="0"/>
        <c:ser>
          <c:idx val="0"/>
          <c:order val="0"/>
          <c:tx>
            <c:strRef>
              <c:f>Sheet1!$B$1</c:f>
              <c:strCache>
                <c:ptCount val="1"/>
                <c:pt idx="0">
                  <c:v>Monto</c:v>
                </c:pt>
              </c:strCache>
            </c:strRef>
          </c:tx>
          <c:spPr>
            <a:solidFill>
              <a:schemeClr val="accent5">
                <a:lumMod val="60000"/>
                <a:lumOff val="40000"/>
              </a:schemeClr>
            </a:solidFill>
            <a:ln>
              <a:solidFill>
                <a:schemeClr val="tx1"/>
              </a:solidFill>
            </a:ln>
            <a:effectLst/>
          </c:spPr>
          <c:invertIfNegative val="0"/>
          <c:dLbls>
            <c:dLbl>
              <c:idx val="5"/>
              <c:layout>
                <c:manualLayout>
                  <c:x val="0"/>
                  <c:y val="9.975821739245592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DD3-4B86-A298-18C2FC1728A9}"/>
                </c:ext>
              </c:extLst>
            </c:dLbl>
            <c:dLbl>
              <c:idx val="6"/>
              <c:layout>
                <c:manualLayout>
                  <c:x val="0"/>
                  <c:y val="1.075497470552845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DD3-4B86-A298-18C2FC1728A9}"/>
                </c:ext>
              </c:extLst>
            </c:dLbl>
            <c:dLbl>
              <c:idx val="7"/>
              <c:layout>
                <c:manualLayout>
                  <c:x val="-6.9800576994284375E-17"/>
                  <c:y val="8.866119029691206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361-42DF-B0A7-AEB686945559}"/>
                </c:ext>
              </c:extLst>
            </c:dLbl>
            <c:dLbl>
              <c:idx val="8"/>
              <c:layout>
                <c:manualLayout>
                  <c:x val="0"/>
                  <c:y val="1.199680650202242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99D-4641-B5B5-B3C500E652D7}"/>
                </c:ext>
              </c:extLst>
            </c:dLbl>
            <c:dLbl>
              <c:idx val="9"/>
              <c:layout>
                <c:manualLayout>
                  <c:x val="-6.8083266354280157E-17"/>
                  <c:y val="7.580395554832436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99D-4641-B5B5-B3C500E652D7}"/>
                </c:ext>
              </c:extLst>
            </c:dLbl>
            <c:spPr>
              <a:noFill/>
              <a:ln>
                <a:noFill/>
              </a:ln>
              <a:effectLst/>
            </c:spPr>
            <c:txPr>
              <a:bodyPr rot="-5400000" vert="horz" wrap="square" lIns="38100" tIns="19050" rIns="38100" bIns="19050" anchor="ctr">
                <a:spAutoFit/>
              </a:bodyPr>
              <a:lstStyle/>
              <a:p>
                <a:pPr>
                  <a:defRPr sz="800" b="1">
                    <a:latin typeface="Times New Roman" panose="02020603050405020304" pitchFamily="18" charset="0"/>
                    <a:cs typeface="Times New Roman" panose="02020603050405020304" pitchFamily="18" charset="0"/>
                  </a:defRPr>
                </a:pPr>
                <a:endParaRPr lang="es-GT"/>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Sheet1!$A$2:$A$20</c:f>
              <c:strCache>
                <c:ptCount val="19"/>
                <c:pt idx="0">
                  <c:v>Obligaciones </c:v>
                </c:pt>
                <c:pt idx="1">
                  <c:v>Mineduc</c:v>
                </c:pt>
                <c:pt idx="2">
                  <c:v>Deuda Pública</c:v>
                </c:pt>
                <c:pt idx="3">
                  <c:v>MSPAS</c:v>
                </c:pt>
                <c:pt idx="4">
                  <c:v>CIV</c:v>
                </c:pt>
                <c:pt idx="5">
                  <c:v>Mingob</c:v>
                </c:pt>
                <c:pt idx="6">
                  <c:v>Mindef</c:v>
                </c:pt>
                <c:pt idx="7">
                  <c:v>Maga</c:v>
                </c:pt>
                <c:pt idx="8">
                  <c:v>Secretarías</c:v>
                </c:pt>
                <c:pt idx="9">
                  <c:v>Mides</c:v>
                </c:pt>
                <c:pt idx="10">
                  <c:v>Mintrab</c:v>
                </c:pt>
                <c:pt idx="11">
                  <c:v>Minex</c:v>
                </c:pt>
                <c:pt idx="12">
                  <c:v>Micude</c:v>
                </c:pt>
                <c:pt idx="13">
                  <c:v>Mineco</c:v>
                </c:pt>
                <c:pt idx="14">
                  <c:v>Minfin</c:v>
                </c:pt>
                <c:pt idx="15">
                  <c:v>Presidencia</c:v>
                </c:pt>
                <c:pt idx="16">
                  <c:v>Marn</c:v>
                </c:pt>
                <c:pt idx="17">
                  <c:v>PGN</c:v>
                </c:pt>
                <c:pt idx="18">
                  <c:v>Mem</c:v>
                </c:pt>
              </c:strCache>
            </c:strRef>
          </c:cat>
          <c:val>
            <c:numRef>
              <c:f>Sheet1!$B$2:$B$20</c:f>
              <c:numCache>
                <c:formatCode>#,##0.0</c:formatCode>
                <c:ptCount val="19"/>
                <c:pt idx="0">
                  <c:v>28867.874938569999</c:v>
                </c:pt>
                <c:pt idx="1">
                  <c:v>17300.203546180001</c:v>
                </c:pt>
                <c:pt idx="2">
                  <c:v>14485.712664679999</c:v>
                </c:pt>
                <c:pt idx="3">
                  <c:v>11369.47115451</c:v>
                </c:pt>
                <c:pt idx="4">
                  <c:v>6424.5758970100005</c:v>
                </c:pt>
                <c:pt idx="5">
                  <c:v>5699.9638045299998</c:v>
                </c:pt>
                <c:pt idx="6">
                  <c:v>2612.7833535499999</c:v>
                </c:pt>
                <c:pt idx="7">
                  <c:v>1123.92965751</c:v>
                </c:pt>
                <c:pt idx="8">
                  <c:v>1120.1527816</c:v>
                </c:pt>
                <c:pt idx="9">
                  <c:v>1057.28081279</c:v>
                </c:pt>
                <c:pt idx="10">
                  <c:v>675.41738167999995</c:v>
                </c:pt>
                <c:pt idx="11">
                  <c:v>573.57496994999997</c:v>
                </c:pt>
                <c:pt idx="12">
                  <c:v>489.60052542</c:v>
                </c:pt>
                <c:pt idx="13">
                  <c:v>324.99754790999998</c:v>
                </c:pt>
                <c:pt idx="14">
                  <c:v>297.59333471000002</c:v>
                </c:pt>
                <c:pt idx="15">
                  <c:v>191.86946363999999</c:v>
                </c:pt>
                <c:pt idx="16">
                  <c:v>156.90805915000001</c:v>
                </c:pt>
                <c:pt idx="17">
                  <c:v>137.77577590999999</c:v>
                </c:pt>
                <c:pt idx="18">
                  <c:v>96.012373819999993</c:v>
                </c:pt>
              </c:numCache>
            </c:numRef>
          </c:val>
          <c:extLst>
            <c:ext xmlns:c16="http://schemas.microsoft.com/office/drawing/2014/chart" uri="{C3380CC4-5D6E-409C-BE32-E72D297353CC}">
              <c16:uniqueId val="{00000004-0361-42DF-B0A7-AEB686945559}"/>
            </c:ext>
          </c:extLst>
        </c:ser>
        <c:dLbls>
          <c:showLegendKey val="0"/>
          <c:showVal val="0"/>
          <c:showCatName val="0"/>
          <c:showSerName val="0"/>
          <c:showPercent val="0"/>
          <c:showBubbleSize val="0"/>
        </c:dLbls>
        <c:gapWidth val="42"/>
        <c:overlap val="-27"/>
        <c:axId val="175989504"/>
        <c:axId val="175991040"/>
      </c:barChart>
      <c:lineChart>
        <c:grouping val="standard"/>
        <c:varyColors val="0"/>
        <c:ser>
          <c:idx val="1"/>
          <c:order val="1"/>
          <c:tx>
            <c:strRef>
              <c:f>Sheet1!$C$1</c:f>
              <c:strCache>
                <c:ptCount val="1"/>
                <c:pt idx="0">
                  <c:v>% de ejecución</c:v>
                </c:pt>
              </c:strCache>
            </c:strRef>
          </c:tx>
          <c:spPr>
            <a:ln w="25400" cap="rnd">
              <a:noFill/>
              <a:round/>
            </a:ln>
            <a:effectLst/>
          </c:spPr>
          <c:marker>
            <c:symbol val="circle"/>
            <c:size val="6"/>
            <c:spPr>
              <a:solidFill>
                <a:schemeClr val="tx2">
                  <a:lumMod val="50000"/>
                </a:schemeClr>
              </a:solidFill>
              <a:ln w="28575">
                <a:solidFill>
                  <a:schemeClr val="tx2">
                    <a:lumMod val="50000"/>
                  </a:schemeClr>
                </a:solidFill>
                <a:round/>
              </a:ln>
              <a:effectLst/>
            </c:spPr>
          </c:marker>
          <c:dLbls>
            <c:dLbl>
              <c:idx val="0"/>
              <c:layout>
                <c:manualLayout>
                  <c:x val="-3.2552083333333336E-2"/>
                  <c:y val="-5.26662277814351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361-42DF-B0A7-AEB686945559}"/>
                </c:ext>
              </c:extLst>
            </c:dLbl>
            <c:dLbl>
              <c:idx val="1"/>
              <c:layout>
                <c:manualLayout>
                  <c:x val="-3.4722222222222245E-2"/>
                  <c:y val="5.70550800965547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361-42DF-B0A7-AEB686945559}"/>
                </c:ext>
              </c:extLst>
            </c:dLbl>
            <c:dLbl>
              <c:idx val="2"/>
              <c:layout>
                <c:manualLayout>
                  <c:x val="-2.9151768711113319E-2"/>
                  <c:y val="-3.86665506311951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361-42DF-B0A7-AEB686945559}"/>
                </c:ext>
              </c:extLst>
            </c:dLbl>
            <c:dLbl>
              <c:idx val="3"/>
              <c:layout>
                <c:manualLayout>
                  <c:x val="-3.2552083333333336E-2"/>
                  <c:y val="4.82773754663155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361-42DF-B0A7-AEB686945559}"/>
                </c:ext>
              </c:extLst>
            </c:dLbl>
            <c:dLbl>
              <c:idx val="4"/>
              <c:layout>
                <c:manualLayout>
                  <c:x val="-2.9544122518665714E-2"/>
                  <c:y val="-2.26486105382911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361-42DF-B0A7-AEB686945559}"/>
                </c:ext>
              </c:extLst>
            </c:dLbl>
            <c:dLbl>
              <c:idx val="5"/>
              <c:layout>
                <c:manualLayout>
                  <c:x val="-3.6892361111111154E-2"/>
                  <c:y val="4.8277375466315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361-42DF-B0A7-AEB686945559}"/>
                </c:ext>
              </c:extLst>
            </c:dLbl>
            <c:dLbl>
              <c:idx val="6"/>
              <c:layout>
                <c:manualLayout>
                  <c:x val="-5.5210443971376581E-2"/>
                  <c:y val="-3.41827886603074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361-42DF-B0A7-AEB686945559}"/>
                </c:ext>
              </c:extLst>
            </c:dLbl>
            <c:dLbl>
              <c:idx val="7"/>
              <c:layout>
                <c:manualLayout>
                  <c:x val="-3.3178621217515455E-2"/>
                  <c:y val="3.18123857775827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361-42DF-B0A7-AEB686945559}"/>
                </c:ext>
              </c:extLst>
            </c:dLbl>
            <c:dLbl>
              <c:idx val="8"/>
              <c:layout>
                <c:manualLayout>
                  <c:x val="-3.2552083333333336E-2"/>
                  <c:y val="4.8277375466315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361-42DF-B0A7-AEB686945559}"/>
                </c:ext>
              </c:extLst>
            </c:dLbl>
            <c:dLbl>
              <c:idx val="9"/>
              <c:layout>
                <c:manualLayout>
                  <c:x val="-3.47222222222223E-2"/>
                  <c:y val="4.38885231511959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0361-42DF-B0A7-AEB686945559}"/>
                </c:ext>
              </c:extLst>
            </c:dLbl>
            <c:dLbl>
              <c:idx val="10"/>
              <c:layout>
                <c:manualLayout>
                  <c:x val="-3.2552083333333412E-2"/>
                  <c:y val="4.38885231511959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0361-42DF-B0A7-AEB686945559}"/>
                </c:ext>
              </c:extLst>
            </c:dLbl>
            <c:dLbl>
              <c:idx val="11"/>
              <c:layout>
                <c:manualLayout>
                  <c:x val="-3.47222222222223E-2"/>
                  <c:y val="4.38885231511959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0361-42DF-B0A7-AEB686945559}"/>
                </c:ext>
              </c:extLst>
            </c:dLbl>
            <c:dLbl>
              <c:idx val="12"/>
              <c:layout>
                <c:manualLayout>
                  <c:x val="-3.2552083333333412E-2"/>
                  <c:y val="4.38885231511959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0361-42DF-B0A7-AEB686945559}"/>
                </c:ext>
              </c:extLst>
            </c:dLbl>
            <c:dLbl>
              <c:idx val="13"/>
              <c:layout>
                <c:manualLayout>
                  <c:x val="-3.47222222222223E-2"/>
                  <c:y val="4.38885231511959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0361-42DF-B0A7-AEB686945559}"/>
                </c:ext>
              </c:extLst>
            </c:dLbl>
            <c:dLbl>
              <c:idx val="14"/>
              <c:layout>
                <c:manualLayout>
                  <c:x val="-3.2552083333333336E-2"/>
                  <c:y val="4.82773754663155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0361-42DF-B0A7-AEB686945559}"/>
                </c:ext>
              </c:extLst>
            </c:dLbl>
            <c:dLbl>
              <c:idx val="15"/>
              <c:layout>
                <c:manualLayout>
                  <c:x val="-3.4722222222222224E-2"/>
                  <c:y val="-5.26662277814351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0361-42DF-B0A7-AEB686945559}"/>
                </c:ext>
              </c:extLst>
            </c:dLbl>
            <c:dLbl>
              <c:idx val="16"/>
              <c:layout>
                <c:manualLayout>
                  <c:x val="-3.2552083333333336E-2"/>
                  <c:y val="-4.38885231511959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0361-42DF-B0A7-AEB686945559}"/>
                </c:ext>
              </c:extLst>
            </c:dLbl>
            <c:dLbl>
              <c:idx val="17"/>
              <c:layout>
                <c:manualLayout>
                  <c:x val="-3.6892361111111112E-2"/>
                  <c:y val="4.8277375466315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0361-42DF-B0A7-AEB686945559}"/>
                </c:ext>
              </c:extLst>
            </c:dLbl>
            <c:dLbl>
              <c:idx val="18"/>
              <c:layout>
                <c:manualLayout>
                  <c:x val="-3.4722222222222224E-2"/>
                  <c:y val="4.38885231511959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0361-42DF-B0A7-AEB686945559}"/>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2">
                        <a:lumMod val="50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Sheet1!$A$2:$A$20</c:f>
              <c:strCache>
                <c:ptCount val="19"/>
                <c:pt idx="0">
                  <c:v>Obligaciones </c:v>
                </c:pt>
                <c:pt idx="1">
                  <c:v>Mineduc</c:v>
                </c:pt>
                <c:pt idx="2">
                  <c:v>Deuda Pública</c:v>
                </c:pt>
                <c:pt idx="3">
                  <c:v>MSPAS</c:v>
                </c:pt>
                <c:pt idx="4">
                  <c:v>CIV</c:v>
                </c:pt>
                <c:pt idx="5">
                  <c:v>Mingob</c:v>
                </c:pt>
                <c:pt idx="6">
                  <c:v>Mindef</c:v>
                </c:pt>
                <c:pt idx="7">
                  <c:v>Maga</c:v>
                </c:pt>
                <c:pt idx="8">
                  <c:v>Secretarías</c:v>
                </c:pt>
                <c:pt idx="9">
                  <c:v>Mides</c:v>
                </c:pt>
                <c:pt idx="10">
                  <c:v>Mintrab</c:v>
                </c:pt>
                <c:pt idx="11">
                  <c:v>Minex</c:v>
                </c:pt>
                <c:pt idx="12">
                  <c:v>Micude</c:v>
                </c:pt>
                <c:pt idx="13">
                  <c:v>Mineco</c:v>
                </c:pt>
                <c:pt idx="14">
                  <c:v>Minfin</c:v>
                </c:pt>
                <c:pt idx="15">
                  <c:v>Presidencia</c:v>
                </c:pt>
                <c:pt idx="16">
                  <c:v>Marn</c:v>
                </c:pt>
                <c:pt idx="17">
                  <c:v>PGN</c:v>
                </c:pt>
                <c:pt idx="18">
                  <c:v>Mem</c:v>
                </c:pt>
              </c:strCache>
            </c:strRef>
          </c:cat>
          <c:val>
            <c:numRef>
              <c:f>Sheet1!$C$2:$C$20</c:f>
              <c:numCache>
                <c:formatCode>0.0</c:formatCode>
                <c:ptCount val="19"/>
                <c:pt idx="0">
                  <c:v>73.672051102198239</c:v>
                </c:pt>
                <c:pt idx="1">
                  <c:v>96.119618099995378</c:v>
                </c:pt>
                <c:pt idx="2">
                  <c:v>99.142513617685296</c:v>
                </c:pt>
                <c:pt idx="3">
                  <c:v>85.837238465805385</c:v>
                </c:pt>
                <c:pt idx="4">
                  <c:v>90.530712762817927</c:v>
                </c:pt>
                <c:pt idx="5">
                  <c:v>94.118977287015781</c:v>
                </c:pt>
                <c:pt idx="6">
                  <c:v>99.185070428915196</c:v>
                </c:pt>
                <c:pt idx="7">
                  <c:v>92.235800642203728</c:v>
                </c:pt>
                <c:pt idx="8">
                  <c:v>92.057199062560485</c:v>
                </c:pt>
                <c:pt idx="9">
                  <c:v>95.349305727308817</c:v>
                </c:pt>
                <c:pt idx="10">
                  <c:v>95.430753065823012</c:v>
                </c:pt>
                <c:pt idx="11">
                  <c:v>98.085197786274378</c:v>
                </c:pt>
                <c:pt idx="12">
                  <c:v>85.451232185898107</c:v>
                </c:pt>
                <c:pt idx="13">
                  <c:v>91.127343359067325</c:v>
                </c:pt>
                <c:pt idx="14">
                  <c:v>95.0660243886487</c:v>
                </c:pt>
                <c:pt idx="15">
                  <c:v>93.231031895043728</c:v>
                </c:pt>
                <c:pt idx="16">
                  <c:v>95.219071536362065</c:v>
                </c:pt>
                <c:pt idx="17">
                  <c:v>96.849977688252736</c:v>
                </c:pt>
                <c:pt idx="18">
                  <c:v>93.200118946853607</c:v>
                </c:pt>
              </c:numCache>
            </c:numRef>
          </c:val>
          <c:smooth val="0"/>
          <c:extLst>
            <c:ext xmlns:c16="http://schemas.microsoft.com/office/drawing/2014/chart" uri="{C3380CC4-5D6E-409C-BE32-E72D297353CC}">
              <c16:uniqueId val="{00000018-0361-42DF-B0A7-AEB686945559}"/>
            </c:ext>
          </c:extLst>
        </c:ser>
        <c:ser>
          <c:idx val="2"/>
          <c:order val="2"/>
          <c:tx>
            <c:strRef>
              <c:f>Sheet1!$D$1</c:f>
              <c:strCache>
                <c:ptCount val="1"/>
                <c:pt idx="0">
                  <c:v>% Ejecución Legal</c:v>
                </c:pt>
              </c:strCache>
            </c:strRef>
          </c:tx>
          <c:spPr>
            <a:ln w="22225" cap="rnd" cmpd="thickThin">
              <a:solidFill>
                <a:srgbClr val="FFC000"/>
              </a:solidFill>
              <a:prstDash val="sysDash"/>
              <a:round/>
            </a:ln>
            <a:effectLst/>
          </c:spPr>
          <c:marker>
            <c:symbol val="none"/>
          </c:marker>
          <c:dLbls>
            <c:dLbl>
              <c:idx val="10"/>
              <c:layout>
                <c:manualLayout>
                  <c:x val="0.10167748163404189"/>
                  <c:y val="6.3976913986184186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solidFill>
                        <a:latin typeface="+mn-lt"/>
                        <a:ea typeface="+mn-ea"/>
                        <a:cs typeface="+mn-cs"/>
                      </a:defRPr>
                    </a:pPr>
                    <a:r>
                      <a:rPr lang="en-US" b="1">
                        <a:solidFill>
                          <a:schemeClr val="tx1"/>
                        </a:solidFill>
                        <a:latin typeface="Times New Roman" panose="02020603050405020304" pitchFamily="18" charset="0"/>
                        <a:cs typeface="Times New Roman" panose="02020603050405020304" pitchFamily="18" charset="0"/>
                      </a:rPr>
                      <a:t>% Ejecución</a:t>
                    </a:r>
                    <a:r>
                      <a:rPr lang="en-US" b="1" baseline="0">
                        <a:solidFill>
                          <a:schemeClr val="tx1"/>
                        </a:solidFill>
                        <a:latin typeface="Times New Roman" panose="02020603050405020304" pitchFamily="18" charset="0"/>
                        <a:cs typeface="Times New Roman" panose="02020603050405020304" pitchFamily="18" charset="0"/>
                      </a:rPr>
                      <a:t> total </a:t>
                    </a:r>
                    <a:fld id="{BB36C56E-080D-4B7A-ADE4-D398088F1844}" type="VALUE">
                      <a:rPr lang="en-US" b="1">
                        <a:solidFill>
                          <a:schemeClr val="tx1"/>
                        </a:solidFill>
                        <a:latin typeface="Times New Roman" panose="02020603050405020304" pitchFamily="18" charset="0"/>
                        <a:cs typeface="Times New Roman" panose="02020603050405020304" pitchFamily="18" charset="0"/>
                      </a:rPr>
                      <a:pPr>
                        <a:defRPr sz="900" b="1" i="0" u="none" strike="noStrike" kern="1200" baseline="0">
                          <a:solidFill>
                            <a:schemeClr val="tx1"/>
                          </a:solidFill>
                          <a:latin typeface="+mn-lt"/>
                          <a:ea typeface="+mn-ea"/>
                          <a:cs typeface="+mn-cs"/>
                        </a:defRPr>
                      </a:pPr>
                      <a:t>[VALOR]</a:t>
                    </a:fld>
                    <a:endParaRPr lang="en-US" b="1" baseline="0">
                      <a:solidFill>
                        <a:schemeClr val="tx1"/>
                      </a:solidFill>
                      <a:latin typeface="Times New Roman" panose="02020603050405020304" pitchFamily="18" charset="0"/>
                      <a:cs typeface="Times New Roman" panose="02020603050405020304" pitchFamily="18" charset="0"/>
                    </a:endParaRPr>
                  </a:p>
                </c:rich>
              </c:tx>
              <c:spPr>
                <a:solidFill>
                  <a:srgbClr val="FFCC66"/>
                </a:solid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0.23868265752903103"/>
                      <c:h val="4.6307234181022901E-2"/>
                    </c:manualLayout>
                  </c15:layout>
                  <c15:dlblFieldTable/>
                  <c15:showDataLabelsRange val="0"/>
                </c:ext>
                <c:ext xmlns:c16="http://schemas.microsoft.com/office/drawing/2014/chart" uri="{C3380CC4-5D6E-409C-BE32-E72D297353CC}">
                  <c16:uniqueId val="{00000019-0361-42DF-B0A7-AEB686945559}"/>
                </c:ext>
              </c:extLst>
            </c:dLbl>
            <c:spPr>
              <a:solidFill>
                <a:srgbClr val="FFCC66"/>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GT"/>
              </a:p>
            </c:txPr>
            <c:showLegendKey val="0"/>
            <c:showVal val="0"/>
            <c:showCatName val="0"/>
            <c:showSerName val="0"/>
            <c:showPercent val="0"/>
            <c:showBubbleSize val="0"/>
            <c:extLst>
              <c:ext xmlns:c15="http://schemas.microsoft.com/office/drawing/2012/chart" uri="{CE6537A1-D6FC-4f65-9D91-7224C49458BB}">
                <c15:showLeaderLines val="0"/>
              </c:ext>
            </c:extLst>
          </c:dLbls>
          <c:cat>
            <c:strRef>
              <c:f>Sheet1!$A$2:$A$20</c:f>
              <c:strCache>
                <c:ptCount val="19"/>
                <c:pt idx="0">
                  <c:v>Obligaciones </c:v>
                </c:pt>
                <c:pt idx="1">
                  <c:v>Mineduc</c:v>
                </c:pt>
                <c:pt idx="2">
                  <c:v>Deuda Pública</c:v>
                </c:pt>
                <c:pt idx="3">
                  <c:v>MSPAS</c:v>
                </c:pt>
                <c:pt idx="4">
                  <c:v>CIV</c:v>
                </c:pt>
                <c:pt idx="5">
                  <c:v>Mingob</c:v>
                </c:pt>
                <c:pt idx="6">
                  <c:v>Mindef</c:v>
                </c:pt>
                <c:pt idx="7">
                  <c:v>Maga</c:v>
                </c:pt>
                <c:pt idx="8">
                  <c:v>Secretarías</c:v>
                </c:pt>
                <c:pt idx="9">
                  <c:v>Mides</c:v>
                </c:pt>
                <c:pt idx="10">
                  <c:v>Mintrab</c:v>
                </c:pt>
                <c:pt idx="11">
                  <c:v>Minex</c:v>
                </c:pt>
                <c:pt idx="12">
                  <c:v>Micude</c:v>
                </c:pt>
                <c:pt idx="13">
                  <c:v>Mineco</c:v>
                </c:pt>
                <c:pt idx="14">
                  <c:v>Minfin</c:v>
                </c:pt>
                <c:pt idx="15">
                  <c:v>Presidencia</c:v>
                </c:pt>
                <c:pt idx="16">
                  <c:v>Marn</c:v>
                </c:pt>
                <c:pt idx="17">
                  <c:v>PGN</c:v>
                </c:pt>
                <c:pt idx="18">
                  <c:v>Mem</c:v>
                </c:pt>
              </c:strCache>
            </c:strRef>
          </c:cat>
          <c:val>
            <c:numRef>
              <c:f>Sheet1!$D$2:$D$20</c:f>
              <c:numCache>
                <c:formatCode>0.0</c:formatCode>
                <c:ptCount val="19"/>
                <c:pt idx="0">
                  <c:v>86.499657448042214</c:v>
                </c:pt>
                <c:pt idx="1">
                  <c:v>86.499657448042214</c:v>
                </c:pt>
                <c:pt idx="2">
                  <c:v>86.499657448042214</c:v>
                </c:pt>
                <c:pt idx="3">
                  <c:v>86.499657448042214</c:v>
                </c:pt>
                <c:pt idx="4">
                  <c:v>86.499657448042214</c:v>
                </c:pt>
                <c:pt idx="5">
                  <c:v>86.499657448042214</c:v>
                </c:pt>
                <c:pt idx="6">
                  <c:v>86.499657448042214</c:v>
                </c:pt>
                <c:pt idx="7">
                  <c:v>86.499657448042214</c:v>
                </c:pt>
                <c:pt idx="8">
                  <c:v>86.499657448042214</c:v>
                </c:pt>
                <c:pt idx="9">
                  <c:v>86.499657448042214</c:v>
                </c:pt>
                <c:pt idx="10">
                  <c:v>86.499657448042214</c:v>
                </c:pt>
                <c:pt idx="11">
                  <c:v>86.499657448042214</c:v>
                </c:pt>
                <c:pt idx="12">
                  <c:v>86.499657448042214</c:v>
                </c:pt>
                <c:pt idx="13">
                  <c:v>86.499657448042214</c:v>
                </c:pt>
                <c:pt idx="14">
                  <c:v>86.499657448042214</c:v>
                </c:pt>
                <c:pt idx="15">
                  <c:v>86.499657448042214</c:v>
                </c:pt>
                <c:pt idx="16">
                  <c:v>86.499657448042214</c:v>
                </c:pt>
                <c:pt idx="17">
                  <c:v>86.499657448042214</c:v>
                </c:pt>
                <c:pt idx="18">
                  <c:v>86.499657448042214</c:v>
                </c:pt>
              </c:numCache>
            </c:numRef>
          </c:val>
          <c:smooth val="0"/>
          <c:extLst>
            <c:ext xmlns:c16="http://schemas.microsoft.com/office/drawing/2014/chart" uri="{C3380CC4-5D6E-409C-BE32-E72D297353CC}">
              <c16:uniqueId val="{0000001A-0361-42DF-B0A7-AEB686945559}"/>
            </c:ext>
          </c:extLst>
        </c:ser>
        <c:ser>
          <c:idx val="3"/>
          <c:order val="3"/>
          <c:tx>
            <c:strRef>
              <c:f>Sheet1!$E$1</c:f>
              <c:strCache>
                <c:ptCount val="1"/>
                <c:pt idx="0">
                  <c:v>% de Ejecución Presup. Operativo</c:v>
                </c:pt>
              </c:strCache>
            </c:strRef>
          </c:tx>
          <c:spPr>
            <a:ln>
              <a:solidFill>
                <a:srgbClr val="FF0000"/>
              </a:solidFill>
            </a:ln>
          </c:spPr>
          <c:marker>
            <c:symbol val="none"/>
          </c:marker>
          <c:dLbls>
            <c:dLbl>
              <c:idx val="8"/>
              <c:layout>
                <c:manualLayout>
                  <c:x val="-8.7674386792856107E-2"/>
                  <c:y val="-6.4071760371616202E-2"/>
                </c:manualLayout>
              </c:layout>
              <c:tx>
                <c:rich>
                  <a:bodyPr wrap="square" lIns="38100" tIns="19050" rIns="38100" bIns="19050" anchor="ctr">
                    <a:noAutofit/>
                  </a:bodyPr>
                  <a:lstStyle/>
                  <a:p>
                    <a:pPr>
                      <a:defRPr sz="900" b="1">
                        <a:latin typeface="Times New Roman" panose="02020603050405020304" pitchFamily="18" charset="0"/>
                        <a:cs typeface="Times New Roman" panose="02020603050405020304" pitchFamily="18" charset="0"/>
                      </a:defRPr>
                    </a:pPr>
                    <a:r>
                      <a:rPr lang="en-US" sz="900" b="1">
                        <a:latin typeface="Times New Roman" panose="02020603050405020304" pitchFamily="18" charset="0"/>
                        <a:cs typeface="Times New Roman" panose="02020603050405020304" pitchFamily="18" charset="0"/>
                      </a:rPr>
                      <a:t>%</a:t>
                    </a:r>
                    <a:r>
                      <a:rPr lang="en-US" sz="900" b="1" baseline="0">
                        <a:latin typeface="Times New Roman" panose="02020603050405020304" pitchFamily="18" charset="0"/>
                        <a:cs typeface="Times New Roman" panose="02020603050405020304" pitchFamily="18" charset="0"/>
                      </a:rPr>
                      <a:t> de Ejecución Presup. Operativo </a:t>
                    </a:r>
                    <a:fld id="{068EBD85-325D-4BEE-8FDF-077D3B56FB59}" type="VALUE">
                      <a:rPr lang="en-US" sz="900" b="1">
                        <a:latin typeface="Times New Roman" panose="02020603050405020304" pitchFamily="18" charset="0"/>
                        <a:cs typeface="Times New Roman" panose="02020603050405020304" pitchFamily="18" charset="0"/>
                      </a:rPr>
                      <a:pPr>
                        <a:defRPr sz="900" b="1">
                          <a:latin typeface="Times New Roman" panose="02020603050405020304" pitchFamily="18" charset="0"/>
                          <a:cs typeface="Times New Roman" panose="02020603050405020304" pitchFamily="18" charset="0"/>
                        </a:defRPr>
                      </a:pPr>
                      <a:t>[VALOR]</a:t>
                    </a:fld>
                    <a:endParaRPr lang="en-US" sz="900" b="1" baseline="0">
                      <a:latin typeface="Times New Roman" panose="02020603050405020304" pitchFamily="18" charset="0"/>
                      <a:cs typeface="Times New Roman" panose="02020603050405020304" pitchFamily="18" charset="0"/>
                    </a:endParaRPr>
                  </a:p>
                </c:rich>
              </c:tx>
              <c:spPr>
                <a:solidFill>
                  <a:srgbClr val="EEA4A4"/>
                </a:solid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0.36735489497037616"/>
                      <c:h val="2.9489153836548907E-2"/>
                    </c:manualLayout>
                  </c15:layout>
                  <c15:dlblFieldTable/>
                  <c15:showDataLabelsRange val="0"/>
                </c:ext>
                <c:ext xmlns:c16="http://schemas.microsoft.com/office/drawing/2014/chart" uri="{C3380CC4-5D6E-409C-BE32-E72D297353CC}">
                  <c16:uniqueId val="{00000003-BDD3-4B86-A298-18C2FC1728A9}"/>
                </c:ext>
              </c:extLst>
            </c:dLbl>
            <c:spPr>
              <a:noFill/>
              <a:ln>
                <a:noFill/>
              </a:ln>
              <a:effectLst/>
            </c:spPr>
            <c:txPr>
              <a:bodyPr wrap="square" lIns="38100" tIns="19050" rIns="38100" bIns="19050" anchor="ctr">
                <a:spAutoFit/>
              </a:bodyPr>
              <a:lstStyle/>
              <a:p>
                <a:pPr>
                  <a:defRPr sz="900" b="1">
                    <a:latin typeface="Times New Roman" panose="02020603050405020304" pitchFamily="18" charset="0"/>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0"/>
              </c:ext>
            </c:extLst>
          </c:dLbls>
          <c:cat>
            <c:strRef>
              <c:f>Sheet1!$A$2:$A$20</c:f>
              <c:strCache>
                <c:ptCount val="19"/>
                <c:pt idx="0">
                  <c:v>Obligaciones </c:v>
                </c:pt>
                <c:pt idx="1">
                  <c:v>Mineduc</c:v>
                </c:pt>
                <c:pt idx="2">
                  <c:v>Deuda Pública</c:v>
                </c:pt>
                <c:pt idx="3">
                  <c:v>MSPAS</c:v>
                </c:pt>
                <c:pt idx="4">
                  <c:v>CIV</c:v>
                </c:pt>
                <c:pt idx="5">
                  <c:v>Mingob</c:v>
                </c:pt>
                <c:pt idx="6">
                  <c:v>Mindef</c:v>
                </c:pt>
                <c:pt idx="7">
                  <c:v>Maga</c:v>
                </c:pt>
                <c:pt idx="8">
                  <c:v>Secretarías</c:v>
                </c:pt>
                <c:pt idx="9">
                  <c:v>Mides</c:v>
                </c:pt>
                <c:pt idx="10">
                  <c:v>Mintrab</c:v>
                </c:pt>
                <c:pt idx="11">
                  <c:v>Minex</c:v>
                </c:pt>
                <c:pt idx="12">
                  <c:v>Micude</c:v>
                </c:pt>
                <c:pt idx="13">
                  <c:v>Mineco</c:v>
                </c:pt>
                <c:pt idx="14">
                  <c:v>Minfin</c:v>
                </c:pt>
                <c:pt idx="15">
                  <c:v>Presidencia</c:v>
                </c:pt>
                <c:pt idx="16">
                  <c:v>Marn</c:v>
                </c:pt>
                <c:pt idx="17">
                  <c:v>PGN</c:v>
                </c:pt>
                <c:pt idx="18">
                  <c:v>Mem</c:v>
                </c:pt>
              </c:strCache>
            </c:strRef>
          </c:cat>
          <c:val>
            <c:numRef>
              <c:f>Sheet1!$E$2:$E$20</c:f>
              <c:numCache>
                <c:formatCode>0.0</c:formatCode>
                <c:ptCount val="19"/>
                <c:pt idx="0">
                  <c:v>98.571017702609339</c:v>
                </c:pt>
                <c:pt idx="1">
                  <c:v>98.571017702609339</c:v>
                </c:pt>
                <c:pt idx="2">
                  <c:v>98.571017702609339</c:v>
                </c:pt>
                <c:pt idx="3">
                  <c:v>98.571017702609339</c:v>
                </c:pt>
                <c:pt idx="4">
                  <c:v>98.571017702609339</c:v>
                </c:pt>
                <c:pt idx="5">
                  <c:v>98.571017702609339</c:v>
                </c:pt>
                <c:pt idx="6">
                  <c:v>98.571017702609339</c:v>
                </c:pt>
                <c:pt idx="7">
                  <c:v>98.571017702609339</c:v>
                </c:pt>
                <c:pt idx="8">
                  <c:v>98.571017702609339</c:v>
                </c:pt>
                <c:pt idx="9">
                  <c:v>98.571017702609339</c:v>
                </c:pt>
                <c:pt idx="10">
                  <c:v>98.571017702609339</c:v>
                </c:pt>
                <c:pt idx="11">
                  <c:v>98.571017702609339</c:v>
                </c:pt>
                <c:pt idx="12">
                  <c:v>98.571017702609339</c:v>
                </c:pt>
                <c:pt idx="13">
                  <c:v>98.571017702609339</c:v>
                </c:pt>
                <c:pt idx="14">
                  <c:v>98.571017702609339</c:v>
                </c:pt>
                <c:pt idx="15">
                  <c:v>98.571017702609339</c:v>
                </c:pt>
                <c:pt idx="16">
                  <c:v>98.571017702609339</c:v>
                </c:pt>
                <c:pt idx="17">
                  <c:v>98.571017702609339</c:v>
                </c:pt>
                <c:pt idx="18">
                  <c:v>98.571017702609339</c:v>
                </c:pt>
              </c:numCache>
            </c:numRef>
          </c:val>
          <c:smooth val="0"/>
          <c:extLst>
            <c:ext xmlns:c16="http://schemas.microsoft.com/office/drawing/2014/chart" uri="{C3380CC4-5D6E-409C-BE32-E72D297353CC}">
              <c16:uniqueId val="{00000000-BDD3-4B86-A298-18C2FC1728A9}"/>
            </c:ext>
          </c:extLst>
        </c:ser>
        <c:dLbls>
          <c:showLegendKey val="0"/>
          <c:showVal val="0"/>
          <c:showCatName val="0"/>
          <c:showSerName val="0"/>
          <c:showPercent val="0"/>
          <c:showBubbleSize val="0"/>
        </c:dLbls>
        <c:marker val="1"/>
        <c:smooth val="0"/>
        <c:axId val="176007424"/>
        <c:axId val="176005504"/>
      </c:lineChart>
      <c:catAx>
        <c:axId val="175989504"/>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low"/>
        <c:spPr>
          <a:noFill/>
          <a:ln w="9525" cap="flat" cmpd="sng" algn="ctr">
            <a:solidFill>
              <a:schemeClr val="dk1">
                <a:lumMod val="15000"/>
                <a:lumOff val="85000"/>
              </a:schemeClr>
            </a:solidFill>
            <a:round/>
          </a:ln>
          <a:effectLst/>
        </c:spPr>
        <c:txPr>
          <a:bodyPr rot="-5400000" spcFirstLastPara="1" vertOverflow="ellipsis" wrap="square" anchor="ctr" anchorCtr="1"/>
          <a:lstStyle/>
          <a:p>
            <a:pPr>
              <a:defRPr sz="9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75991040"/>
        <c:crosses val="autoZero"/>
        <c:auto val="1"/>
        <c:lblAlgn val="ctr"/>
        <c:lblOffset val="100"/>
        <c:noMultiLvlLbl val="0"/>
      </c:catAx>
      <c:valAx>
        <c:axId val="175991040"/>
        <c:scaling>
          <c:orientation val="minMax"/>
          <c:max val="33000"/>
          <c:min val="0"/>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accent5">
                        <a:lumMod val="50000"/>
                      </a:schemeClr>
                    </a:solidFill>
                    <a:latin typeface="Times New Roman" panose="02020603050405020304" pitchFamily="18" charset="0"/>
                    <a:ea typeface="+mn-ea"/>
                    <a:cs typeface="Times New Roman" panose="02020603050405020304" pitchFamily="18" charset="0"/>
                  </a:defRPr>
                </a:pPr>
                <a:r>
                  <a:rPr lang="es-GT">
                    <a:solidFill>
                      <a:schemeClr val="accent5">
                        <a:lumMod val="50000"/>
                      </a:schemeClr>
                    </a:solidFill>
                    <a:latin typeface="Times New Roman" panose="02020603050405020304" pitchFamily="18" charset="0"/>
                    <a:cs typeface="Times New Roman" panose="02020603050405020304" pitchFamily="18" charset="0"/>
                  </a:rPr>
                  <a:t>Millones de quetzales</a:t>
                </a:r>
              </a:p>
            </c:rich>
          </c:tx>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accent5">
                    <a:lumMod val="50000"/>
                  </a:schemeClr>
                </a:solidFill>
                <a:latin typeface="Times New Roman" panose="02020603050405020304" pitchFamily="18" charset="0"/>
                <a:ea typeface="+mn-ea"/>
                <a:cs typeface="Times New Roman" panose="02020603050405020304" pitchFamily="18" charset="0"/>
              </a:defRPr>
            </a:pPr>
            <a:endParaRPr lang="es-GT"/>
          </a:p>
        </c:txPr>
        <c:crossAx val="175989504"/>
        <c:crosses val="autoZero"/>
        <c:crossBetween val="between"/>
        <c:majorUnit val="4000"/>
      </c:valAx>
      <c:valAx>
        <c:axId val="176005504"/>
        <c:scaling>
          <c:orientation val="minMax"/>
          <c:max val="100"/>
          <c:min val="0"/>
        </c:scaling>
        <c:delete val="0"/>
        <c:axPos val="r"/>
        <c:title>
          <c:tx>
            <c:rich>
              <a:bodyPr rot="5400000" spcFirstLastPara="1" vertOverflow="ellipsis" wrap="square" anchor="ctr" anchorCtr="1"/>
              <a:lstStyle/>
              <a:p>
                <a:pPr>
                  <a:defRPr sz="900" b="1" i="0" u="none" strike="noStrike" kern="1200" baseline="0">
                    <a:solidFill>
                      <a:schemeClr val="tx2">
                        <a:lumMod val="50000"/>
                      </a:schemeClr>
                    </a:solidFill>
                    <a:latin typeface="Times New Roman" panose="02020603050405020304" pitchFamily="18" charset="0"/>
                    <a:ea typeface="+mn-ea"/>
                    <a:cs typeface="Times New Roman" panose="02020603050405020304" pitchFamily="18" charset="0"/>
                  </a:defRPr>
                </a:pPr>
                <a:r>
                  <a:rPr lang="es-GT">
                    <a:solidFill>
                      <a:schemeClr val="tx2">
                        <a:lumMod val="50000"/>
                      </a:schemeClr>
                    </a:solidFill>
                    <a:latin typeface="Times New Roman" panose="02020603050405020304" pitchFamily="18" charset="0"/>
                    <a:cs typeface="Times New Roman" panose="02020603050405020304" pitchFamily="18" charset="0"/>
                  </a:rPr>
                  <a:t>Porcentajes de ejecución</a:t>
                </a:r>
              </a:p>
            </c:rich>
          </c:tx>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2">
                    <a:lumMod val="50000"/>
                  </a:schemeClr>
                </a:solidFill>
                <a:latin typeface="Times New Roman" panose="02020603050405020304" pitchFamily="18" charset="0"/>
                <a:ea typeface="+mn-ea"/>
                <a:cs typeface="Times New Roman" panose="02020603050405020304" pitchFamily="18" charset="0"/>
              </a:defRPr>
            </a:pPr>
            <a:endParaRPr lang="es-GT"/>
          </a:p>
        </c:txPr>
        <c:crossAx val="176007424"/>
        <c:crosses val="max"/>
        <c:crossBetween val="between"/>
      </c:valAx>
      <c:catAx>
        <c:axId val="176007424"/>
        <c:scaling>
          <c:orientation val="minMax"/>
        </c:scaling>
        <c:delete val="1"/>
        <c:axPos val="b"/>
        <c:numFmt formatCode="General" sourceLinked="1"/>
        <c:majorTickMark val="out"/>
        <c:minorTickMark val="none"/>
        <c:tickLblPos val="nextTo"/>
        <c:crossAx val="176005504"/>
        <c:crosses val="autoZero"/>
        <c:auto val="1"/>
        <c:lblAlgn val="ctr"/>
        <c:lblOffset val="100"/>
        <c:noMultiLvlLbl val="0"/>
      </c:catAx>
      <c:spPr>
        <a:pattFill prst="ltDnDiag">
          <a:fgClr>
            <a:schemeClr val="dk1">
              <a:lumMod val="15000"/>
              <a:lumOff val="85000"/>
            </a:schemeClr>
          </a:fgClr>
          <a:bgClr>
            <a:schemeClr val="lt1"/>
          </a:bgClr>
        </a:pattFill>
        <a:ln>
          <a:noFill/>
        </a:ln>
        <a:effectLst/>
      </c:spPr>
    </c:plotArea>
    <c:legend>
      <c:legendPos val="b"/>
      <c:layout>
        <c:manualLayout>
          <c:xMode val="edge"/>
          <c:yMode val="edge"/>
          <c:x val="9.4017067112755953E-2"/>
          <c:y val="0.92716579577000258"/>
          <c:w val="0.9"/>
          <c:h val="6.0436823100139876E-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chart>
  <c:spPr>
    <a:solidFill>
      <a:schemeClr val="lt1"/>
    </a:solidFill>
    <a:ln w="9525" cap="flat" cmpd="sng" algn="ctr">
      <a:noFill/>
      <a:round/>
    </a:ln>
    <a:effectLst/>
  </c:spPr>
  <c:txPr>
    <a:bodyPr/>
    <a:lstStyle/>
    <a:p>
      <a:pPr>
        <a:defRPr/>
      </a:pPr>
      <a:endParaRPr lang="es-GT"/>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GT" sz="1100" b="1">
                <a:solidFill>
                  <a:sysClr val="windowText" lastClr="000000"/>
                </a:solidFill>
              </a:rPr>
              <a:t>Ejecución acumulada de los programas en atención al COVID-19</a:t>
            </a:r>
          </a:p>
          <a:p>
            <a:pPr>
              <a:defRPr>
                <a:solidFill>
                  <a:sysClr val="windowText" lastClr="000000"/>
                </a:solidFill>
              </a:defRPr>
            </a:pPr>
            <a:r>
              <a:rPr lang="es-GT" sz="900" b="0" i="0" u="none" strike="noStrike" baseline="0">
                <a:effectLst/>
              </a:rPr>
              <a:t>Millones de quetzales</a:t>
            </a:r>
            <a:endParaRPr lang="es-GT" sz="700" b="1">
              <a:solidFill>
                <a:sysClr val="windowText" lastClr="000000"/>
              </a:solidFill>
            </a:endParaRPr>
          </a:p>
        </c:rich>
      </c:tx>
      <c:layout>
        <c:manualLayout>
          <c:xMode val="edge"/>
          <c:yMode val="edge"/>
          <c:x val="0.10868615087163139"/>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title>
    <c:autoTitleDeleted val="0"/>
    <c:plotArea>
      <c:layout>
        <c:manualLayout>
          <c:layoutTarget val="inner"/>
          <c:xMode val="edge"/>
          <c:yMode val="edge"/>
          <c:x val="0.10432580719595454"/>
          <c:y val="0.16305555555555556"/>
          <c:w val="0.81274320694590441"/>
          <c:h val="0.67064054493188352"/>
        </c:manualLayout>
      </c:layout>
      <c:barChart>
        <c:barDir val="col"/>
        <c:grouping val="stacked"/>
        <c:varyColors val="0"/>
        <c:ser>
          <c:idx val="1"/>
          <c:order val="1"/>
          <c:tx>
            <c:strRef>
              <c:f>Sheet1!$C$1</c:f>
              <c:strCache>
                <c:ptCount val="1"/>
                <c:pt idx="0">
                  <c:v>2021 subpro 09</c:v>
                </c:pt>
              </c:strCache>
            </c:strRef>
          </c:tx>
          <c:spPr>
            <a:solidFill>
              <a:srgbClr val="FFC000"/>
            </a:solidFill>
            <a:ln>
              <a:solidFill>
                <a:schemeClr val="tx1"/>
              </a:solidFill>
            </a:ln>
            <a:effectLst/>
          </c:spPr>
          <c:invertIfNegative val="0"/>
          <c:dLbls>
            <c:dLbl>
              <c:idx val="0"/>
              <c:layout>
                <c:manualLayout>
                  <c:x val="-1.7557097823739503E-17"/>
                  <c:y val="-5.15873015873015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659-4856-AEF6-CB6138DBBC20}"/>
                </c:ext>
              </c:extLst>
            </c:dLbl>
            <c:dLbl>
              <c:idx val="1"/>
              <c:layout>
                <c:manualLayout>
                  <c:x val="0"/>
                  <c:y val="-5.15873015873015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659-4856-AEF6-CB6138DBBC20}"/>
                </c:ext>
              </c:extLst>
            </c:dLbl>
            <c:dLbl>
              <c:idx val="2"/>
              <c:layout>
                <c:manualLayout>
                  <c:x val="0"/>
                  <c:y val="-5.95238095238095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659-4856-AEF6-CB6138DBBC20}"/>
                </c:ext>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Sheet1!$A$2:$A$13</c:f>
              <c:strCache>
                <c:ptCount val="12"/>
                <c:pt idx="0">
                  <c:v>Enero</c:v>
                </c:pt>
                <c:pt idx="1">
                  <c:v>Febrero</c:v>
                </c:pt>
                <c:pt idx="2">
                  <c:v>Marzo</c:v>
                </c:pt>
                <c:pt idx="3">
                  <c:v>Abril </c:v>
                </c:pt>
                <c:pt idx="4">
                  <c:v>Mayo</c:v>
                </c:pt>
                <c:pt idx="5">
                  <c:v>Junio</c:v>
                </c:pt>
                <c:pt idx="6">
                  <c:v>Julio</c:v>
                </c:pt>
                <c:pt idx="7">
                  <c:v>Agosto</c:v>
                </c:pt>
                <c:pt idx="8">
                  <c:v>Septiembre</c:v>
                </c:pt>
                <c:pt idx="9">
                  <c:v>Octubre</c:v>
                </c:pt>
                <c:pt idx="10">
                  <c:v>Noviembre</c:v>
                </c:pt>
                <c:pt idx="11">
                  <c:v>Diciembre</c:v>
                </c:pt>
              </c:strCache>
            </c:strRef>
          </c:cat>
          <c:val>
            <c:numRef>
              <c:f>Sheet1!$C$2:$C$13</c:f>
              <c:numCache>
                <c:formatCode>_-* #,##0.0_-;\-* #,##0.0_-;_-* "-"??_-;_-@_-</c:formatCode>
                <c:ptCount val="12"/>
                <c:pt idx="0">
                  <c:v>4.03</c:v>
                </c:pt>
                <c:pt idx="1">
                  <c:v>22.38</c:v>
                </c:pt>
                <c:pt idx="2">
                  <c:v>139.29</c:v>
                </c:pt>
                <c:pt idx="3">
                  <c:v>1010.3</c:v>
                </c:pt>
                <c:pt idx="4">
                  <c:v>1099.79</c:v>
                </c:pt>
                <c:pt idx="5">
                  <c:v>1218.47</c:v>
                </c:pt>
                <c:pt idx="6">
                  <c:v>1308.33</c:v>
                </c:pt>
                <c:pt idx="7">
                  <c:v>1429.6381633000001</c:v>
                </c:pt>
                <c:pt idx="8">
                  <c:v>1554.32</c:v>
                </c:pt>
                <c:pt idx="9">
                  <c:v>1873.13</c:v>
                </c:pt>
                <c:pt idx="10">
                  <c:v>1980.7</c:v>
                </c:pt>
                <c:pt idx="11">
                  <c:v>2152.9899999999998</c:v>
                </c:pt>
              </c:numCache>
            </c:numRef>
          </c:val>
          <c:extLst>
            <c:ext xmlns:c16="http://schemas.microsoft.com/office/drawing/2014/chart" uri="{C3380CC4-5D6E-409C-BE32-E72D297353CC}">
              <c16:uniqueId val="{00000001-0659-4856-AEF6-CB6138DBBC20}"/>
            </c:ext>
          </c:extLst>
        </c:ser>
        <c:ser>
          <c:idx val="2"/>
          <c:order val="2"/>
          <c:tx>
            <c:strRef>
              <c:f>Sheet1!$D$1</c:f>
              <c:strCache>
                <c:ptCount val="1"/>
                <c:pt idx="0">
                  <c:v>2021 subpro 13</c:v>
                </c:pt>
              </c:strCache>
            </c:strRef>
          </c:tx>
          <c:spPr>
            <a:solidFill>
              <a:srgbClr val="FFFF00"/>
            </a:solidFill>
            <a:ln>
              <a:solidFill>
                <a:schemeClr val="tx1"/>
              </a:solid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Sheet1!$A$2:$A$13</c:f>
              <c:strCache>
                <c:ptCount val="12"/>
                <c:pt idx="0">
                  <c:v>Enero</c:v>
                </c:pt>
                <c:pt idx="1">
                  <c:v>Febrero</c:v>
                </c:pt>
                <c:pt idx="2">
                  <c:v>Marzo</c:v>
                </c:pt>
                <c:pt idx="3">
                  <c:v>Abril </c:v>
                </c:pt>
                <c:pt idx="4">
                  <c:v>Mayo</c:v>
                </c:pt>
                <c:pt idx="5">
                  <c:v>Junio</c:v>
                </c:pt>
                <c:pt idx="6">
                  <c:v>Julio</c:v>
                </c:pt>
                <c:pt idx="7">
                  <c:v>Agosto</c:v>
                </c:pt>
                <c:pt idx="8">
                  <c:v>Septiembre</c:v>
                </c:pt>
                <c:pt idx="9">
                  <c:v>Octubre</c:v>
                </c:pt>
                <c:pt idx="10">
                  <c:v>Noviembre</c:v>
                </c:pt>
                <c:pt idx="11">
                  <c:v>Diciembre</c:v>
                </c:pt>
              </c:strCache>
            </c:strRef>
          </c:cat>
          <c:val>
            <c:numRef>
              <c:f>Sheet1!$D$2:$D$13</c:f>
              <c:numCache>
                <c:formatCode>General</c:formatCode>
                <c:ptCount val="12"/>
                <c:pt idx="10" formatCode="0.0">
                  <c:v>513.58000000000004</c:v>
                </c:pt>
                <c:pt idx="11" formatCode="_-* #,##0.0_-;\-* #,##0.0_-;_-* &quot;-&quot;??_-;_-@_-">
                  <c:v>1065.25</c:v>
                </c:pt>
              </c:numCache>
            </c:numRef>
          </c:val>
          <c:extLst>
            <c:ext xmlns:c16="http://schemas.microsoft.com/office/drawing/2014/chart" uri="{C3380CC4-5D6E-409C-BE32-E72D297353CC}">
              <c16:uniqueId val="{00000002-0659-4856-AEF6-CB6138DBBC20}"/>
            </c:ext>
          </c:extLst>
        </c:ser>
        <c:dLbls>
          <c:showLegendKey val="0"/>
          <c:showVal val="0"/>
          <c:showCatName val="0"/>
          <c:showSerName val="0"/>
          <c:showPercent val="0"/>
          <c:showBubbleSize val="0"/>
        </c:dLbls>
        <c:gapWidth val="54"/>
        <c:overlap val="100"/>
        <c:axId val="594639920"/>
        <c:axId val="594631720"/>
      </c:barChart>
      <c:lineChart>
        <c:grouping val="stacked"/>
        <c:varyColors val="0"/>
        <c:ser>
          <c:idx val="0"/>
          <c:order val="0"/>
          <c:tx>
            <c:strRef>
              <c:f>Sheet1!$B$1</c:f>
              <c:strCache>
                <c:ptCount val="1"/>
                <c:pt idx="0">
                  <c:v>Ejecución 2020</c:v>
                </c:pt>
              </c:strCache>
            </c:strRef>
          </c:tx>
          <c:spPr>
            <a:ln w="28575" cap="rnd">
              <a:noFill/>
              <a:round/>
            </a:ln>
            <a:effectLst/>
          </c:spPr>
          <c:marker>
            <c:symbol val="diamond"/>
            <c:size val="7"/>
            <c:spPr>
              <a:solidFill>
                <a:schemeClr val="tx2">
                  <a:lumMod val="50000"/>
                </a:schemeClr>
              </a:solidFill>
              <a:ln w="9525">
                <a:solidFill>
                  <a:schemeClr val="accent1"/>
                </a:solidFill>
              </a:ln>
              <a:effectLst/>
            </c:spPr>
          </c:marker>
          <c:dPt>
            <c:idx val="0"/>
            <c:marker>
              <c:symbol val="none"/>
            </c:marker>
            <c:bubble3D val="0"/>
            <c:extLst>
              <c:ext xmlns:c16="http://schemas.microsoft.com/office/drawing/2014/chart" uri="{C3380CC4-5D6E-409C-BE32-E72D297353CC}">
                <c16:uniqueId val="{00000009-0659-4856-AEF6-CB6138DBBC20}"/>
              </c:ext>
            </c:extLst>
          </c:dPt>
          <c:dPt>
            <c:idx val="1"/>
            <c:marker>
              <c:symbol val="none"/>
            </c:marker>
            <c:bubble3D val="0"/>
            <c:extLst>
              <c:ext xmlns:c16="http://schemas.microsoft.com/office/drawing/2014/chart" uri="{C3380CC4-5D6E-409C-BE32-E72D297353CC}">
                <c16:uniqueId val="{00000008-0659-4856-AEF6-CB6138DBBC20}"/>
              </c:ext>
            </c:extLst>
          </c:dPt>
          <c:dPt>
            <c:idx val="2"/>
            <c:marker>
              <c:symbol val="none"/>
            </c:marker>
            <c:bubble3D val="0"/>
            <c:extLst>
              <c:ext xmlns:c16="http://schemas.microsoft.com/office/drawing/2014/chart" uri="{C3380CC4-5D6E-409C-BE32-E72D297353CC}">
                <c16:uniqueId val="{00000007-0659-4856-AEF6-CB6138DBBC20}"/>
              </c:ext>
            </c:extLst>
          </c:dPt>
          <c:dPt>
            <c:idx val="3"/>
            <c:marker>
              <c:symbol val="none"/>
            </c:marker>
            <c:bubble3D val="0"/>
            <c:extLst>
              <c:ext xmlns:c16="http://schemas.microsoft.com/office/drawing/2014/chart" uri="{C3380CC4-5D6E-409C-BE32-E72D297353CC}">
                <c16:uniqueId val="{00000006-0659-4856-AEF6-CB6138DBBC20}"/>
              </c:ext>
            </c:extLst>
          </c:dPt>
          <c:dLbls>
            <c:dLbl>
              <c:idx val="11"/>
              <c:layout>
                <c:manualLayout>
                  <c:x val="-6.5121624209921472E-2"/>
                  <c:y val="-3.968253968253968E-2"/>
                </c:manualLayout>
              </c:layout>
              <c:spPr>
                <a:solidFill>
                  <a:schemeClr val="accent1">
                    <a:lumMod val="20000"/>
                    <a:lumOff val="80000"/>
                  </a:schemeClr>
                </a:solidFill>
                <a:ln>
                  <a:solidFill>
                    <a:schemeClr val="tx2">
                      <a:lumMod val="50000"/>
                    </a:schemeClr>
                  </a:solid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659-4856-AEF6-CB6138DBBC2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Sheet1!$A$2:$A$13</c:f>
              <c:strCache>
                <c:ptCount val="12"/>
                <c:pt idx="0">
                  <c:v>Enero</c:v>
                </c:pt>
                <c:pt idx="1">
                  <c:v>Febrero</c:v>
                </c:pt>
                <c:pt idx="2">
                  <c:v>Marzo</c:v>
                </c:pt>
                <c:pt idx="3">
                  <c:v>Abril </c:v>
                </c:pt>
                <c:pt idx="4">
                  <c:v>Mayo</c:v>
                </c:pt>
                <c:pt idx="5">
                  <c:v>Junio</c:v>
                </c:pt>
                <c:pt idx="6">
                  <c:v>Julio</c:v>
                </c:pt>
                <c:pt idx="7">
                  <c:v>Agosto</c:v>
                </c:pt>
                <c:pt idx="8">
                  <c:v>Septiembre</c:v>
                </c:pt>
                <c:pt idx="9">
                  <c:v>Octubre</c:v>
                </c:pt>
                <c:pt idx="10">
                  <c:v>Noviembre</c:v>
                </c:pt>
                <c:pt idx="11">
                  <c:v>Diciembre</c:v>
                </c:pt>
              </c:strCache>
            </c:strRef>
          </c:cat>
          <c:val>
            <c:numRef>
              <c:f>Sheet1!$B$2:$B$13</c:f>
              <c:numCache>
                <c:formatCode>General</c:formatCode>
                <c:ptCount val="12"/>
                <c:pt idx="4" formatCode="_-* #,##0.0_-;\-* #,##0.0_-;_-* &quot;-&quot;??_-;_-@_-">
                  <c:v>2120.6800000000003</c:v>
                </c:pt>
                <c:pt idx="5" formatCode="_-* #,##0.0_-;\-* #,##0.0_-;_-* &quot;-&quot;??_-;_-@_-">
                  <c:v>4006.5029999999997</c:v>
                </c:pt>
                <c:pt idx="6" formatCode="_-* #,##0.0_-;\-* #,##0.0_-;_-* &quot;-&quot;??_-;_-@_-">
                  <c:v>4935.3299730000008</c:v>
                </c:pt>
                <c:pt idx="7" formatCode="_-* #,##0.0_-;\-* #,##0.0_-;_-* &quot;-&quot;??_-;_-@_-">
                  <c:v>7035.3304124899996</c:v>
                </c:pt>
                <c:pt idx="8" formatCode="_-* #,##0.0_-;\-* #,##0.0_-;_-* &quot;-&quot;??_-;_-@_-">
                  <c:v>9807.7554124899998</c:v>
                </c:pt>
                <c:pt idx="9" formatCode="_-* #,##0.0_-;\-* #,##0.0_-;_-* &quot;-&quot;??_-;_-@_-">
                  <c:v>11151.555412489999</c:v>
                </c:pt>
                <c:pt idx="10" formatCode="_-* #,##0.0_-;\-* #,##0.0_-;_-* &quot;-&quot;??_-;_-@_-">
                  <c:v>11980.3</c:v>
                </c:pt>
                <c:pt idx="11" formatCode="_-* #,##0.0_-;\-* #,##0.0_-;_-* &quot;-&quot;??_-;_-@_-">
                  <c:v>13520.2</c:v>
                </c:pt>
              </c:numCache>
            </c:numRef>
          </c:val>
          <c:smooth val="0"/>
          <c:extLst>
            <c:ext xmlns:c16="http://schemas.microsoft.com/office/drawing/2014/chart" uri="{C3380CC4-5D6E-409C-BE32-E72D297353CC}">
              <c16:uniqueId val="{00000000-0659-4856-AEF6-CB6138DBBC20}"/>
            </c:ext>
          </c:extLst>
        </c:ser>
        <c:dLbls>
          <c:showLegendKey val="0"/>
          <c:showVal val="0"/>
          <c:showCatName val="0"/>
          <c:showSerName val="0"/>
          <c:showPercent val="0"/>
          <c:showBubbleSize val="0"/>
        </c:dLbls>
        <c:marker val="1"/>
        <c:smooth val="0"/>
        <c:axId val="443839160"/>
        <c:axId val="443838832"/>
      </c:lineChart>
      <c:catAx>
        <c:axId val="594639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594631720"/>
        <c:crosses val="autoZero"/>
        <c:auto val="1"/>
        <c:lblAlgn val="ctr"/>
        <c:lblOffset val="100"/>
        <c:noMultiLvlLbl val="0"/>
      </c:catAx>
      <c:valAx>
        <c:axId val="594631720"/>
        <c:scaling>
          <c:orientation val="minMax"/>
        </c:scaling>
        <c:delete val="0"/>
        <c:axPos val="l"/>
        <c:majorGridlines>
          <c:spPr>
            <a:ln w="9525" cap="flat" cmpd="sng" algn="ctr">
              <a:solidFill>
                <a:schemeClr val="tx1">
                  <a:lumMod val="15000"/>
                  <a:lumOff val="85000"/>
                </a:schemeClr>
              </a:solidFill>
              <a:round/>
            </a:ln>
            <a:effectLst/>
          </c:spPr>
        </c:majorGridlines>
        <c:numFmt formatCode="_-* #,##0.0_-;\-* #,##0.0_-;_-* &quot;-&quot;??_-;_-@_-" sourceLinked="1"/>
        <c:majorTickMark val="none"/>
        <c:minorTickMark val="none"/>
        <c:tickLblPos val="nextTo"/>
        <c:spPr>
          <a:noFill/>
          <a:ln>
            <a:noFill/>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594639920"/>
        <c:crosses val="autoZero"/>
        <c:crossBetween val="between"/>
      </c:valAx>
      <c:valAx>
        <c:axId val="443838832"/>
        <c:scaling>
          <c:orientation val="minMax"/>
          <c:max val="14000"/>
          <c:min val="0"/>
        </c:scaling>
        <c:delete val="0"/>
        <c:axPos val="r"/>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443839160"/>
        <c:crosses val="max"/>
        <c:crossBetween val="between"/>
        <c:majorUnit val="2000"/>
      </c:valAx>
      <c:catAx>
        <c:axId val="443839160"/>
        <c:scaling>
          <c:orientation val="minMax"/>
        </c:scaling>
        <c:delete val="1"/>
        <c:axPos val="b"/>
        <c:numFmt formatCode="General" sourceLinked="1"/>
        <c:majorTickMark val="out"/>
        <c:minorTickMark val="none"/>
        <c:tickLblPos val="nextTo"/>
        <c:crossAx val="443838832"/>
        <c:crosses val="autoZero"/>
        <c:auto val="1"/>
        <c:lblAlgn val="ctr"/>
        <c:lblOffset val="100"/>
        <c:noMultiLvlLbl val="0"/>
      </c:catAx>
      <c:spPr>
        <a:pattFill prst="lgGrid">
          <a:fgClr>
            <a:schemeClr val="bg2"/>
          </a:fgClr>
          <a:bgClr>
            <a:schemeClr val="bg1"/>
          </a:bgClr>
        </a:pattFill>
        <a:ln>
          <a:noFill/>
        </a:ln>
        <a:effectLst/>
      </c:spPr>
    </c:plotArea>
    <c:legend>
      <c:legendPos val="b"/>
      <c:layout>
        <c:manualLayout>
          <c:xMode val="edge"/>
          <c:yMode val="edge"/>
          <c:x val="9.768183305759448E-2"/>
          <c:y val="0.24900699912510932"/>
          <c:w val="0.49435064631477665"/>
          <c:h val="0.15575490563679539"/>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6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sz="1100" b="1" i="0" u="none" strike="noStrike" baseline="0">
                <a:solidFill>
                  <a:sysClr val="windowText" lastClr="000000"/>
                </a:solidFill>
              </a:rPr>
              <a:t>Ejecución del COVID-19 por subprograma</a:t>
            </a:r>
          </a:p>
          <a:p>
            <a:pPr>
              <a:defRPr/>
            </a:pPr>
            <a:r>
              <a:rPr lang="es-GT" sz="900" b="0" i="0" u="none" strike="noStrike" baseline="0">
                <a:solidFill>
                  <a:sysClr val="windowText" lastClr="000000"/>
                </a:solidFill>
              </a:rPr>
              <a:t>Millones de quetzales y porcentajes</a:t>
            </a:r>
            <a:endParaRPr lang="es-GT" sz="900">
              <a:solidFill>
                <a:sysClr val="windowText" lastClr="000000"/>
              </a:solidFill>
            </a:endParaRPr>
          </a:p>
        </c:rich>
      </c:tx>
      <c:layout>
        <c:manualLayout>
          <c:xMode val="edge"/>
          <c:yMode val="edge"/>
          <c:x val="0.13656630290573862"/>
          <c:y val="0"/>
        </c:manualLayout>
      </c:layout>
      <c:overlay val="0"/>
      <c:spPr>
        <a:noFill/>
        <a:ln>
          <a:noFill/>
        </a:ln>
        <a:effectLst/>
      </c:spPr>
      <c:txPr>
        <a:bodyPr rot="0" spcFirstLastPara="1" vertOverflow="ellipsis" vert="horz" wrap="square" anchor="ctr" anchorCtr="1"/>
        <a:lstStyle/>
        <a:p>
          <a:pPr>
            <a:defRPr sz="6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title>
    <c:autoTitleDeleted val="0"/>
    <c:plotArea>
      <c:layout>
        <c:manualLayout>
          <c:layoutTarget val="inner"/>
          <c:xMode val="edge"/>
          <c:yMode val="edge"/>
          <c:x val="0.13128952814112613"/>
          <c:y val="0.1722591616469952"/>
          <c:w val="0.8126309408876784"/>
          <c:h val="0.67923175407790615"/>
        </c:manualLayout>
      </c:layout>
      <c:barChart>
        <c:barDir val="col"/>
        <c:grouping val="clustered"/>
        <c:varyColors val="0"/>
        <c:ser>
          <c:idx val="0"/>
          <c:order val="0"/>
          <c:tx>
            <c:strRef>
              <c:f>Sheet1!$B$1</c:f>
              <c:strCache>
                <c:ptCount val="1"/>
                <c:pt idx="0">
                  <c:v>Presupuesto Vigente</c:v>
                </c:pt>
              </c:strCache>
            </c:strRef>
          </c:tx>
          <c:spPr>
            <a:solidFill>
              <a:schemeClr val="accent2">
                <a:lumMod val="50000"/>
              </a:schemeClr>
            </a:solidFill>
            <a:ln>
              <a:solidFill>
                <a:schemeClr val="tx1"/>
              </a:solidFill>
            </a:ln>
            <a:effectLst>
              <a:outerShdw blurRad="50800" dist="38100" dir="2700000" algn="tl" rotWithShape="0">
                <a:prstClr val="black">
                  <a:alpha val="40000"/>
                </a:prstClr>
              </a:outerShdw>
            </a:effectLst>
          </c:spPr>
          <c:invertIfNegative val="0"/>
          <c:dLbls>
            <c:spPr>
              <a:noFill/>
              <a:ln>
                <a:noFill/>
              </a:ln>
              <a:effectLst/>
            </c:spPr>
            <c:txPr>
              <a:bodyPr rot="-5400000" spcFirstLastPara="1" vertOverflow="ellipsis" wrap="square" lIns="38100" tIns="19050" rIns="38100" bIns="19050" anchor="ctr" anchorCtr="1">
                <a:spAutoFit/>
              </a:bodyPr>
              <a:lstStyle/>
              <a:p>
                <a:pPr>
                  <a:defRPr sz="105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Subprograma 09</c:v>
                </c:pt>
                <c:pt idx="1">
                  <c:v>Subprograma 13</c:v>
                </c:pt>
              </c:strCache>
            </c:strRef>
          </c:cat>
          <c:val>
            <c:numRef>
              <c:f>Sheet1!$B$2:$B$3</c:f>
              <c:numCache>
                <c:formatCode>#,##0.0</c:formatCode>
                <c:ptCount val="2"/>
                <c:pt idx="0">
                  <c:v>2764.78</c:v>
                </c:pt>
                <c:pt idx="1">
                  <c:v>1910.25</c:v>
                </c:pt>
              </c:numCache>
            </c:numRef>
          </c:val>
          <c:extLst>
            <c:ext xmlns:c16="http://schemas.microsoft.com/office/drawing/2014/chart" uri="{C3380CC4-5D6E-409C-BE32-E72D297353CC}">
              <c16:uniqueId val="{00000000-82D8-4D6A-A0D6-0EA3884F9570}"/>
            </c:ext>
          </c:extLst>
        </c:ser>
        <c:ser>
          <c:idx val="1"/>
          <c:order val="1"/>
          <c:tx>
            <c:strRef>
              <c:f>Sheet1!$C$1</c:f>
              <c:strCache>
                <c:ptCount val="1"/>
                <c:pt idx="0">
                  <c:v>Ejecutado </c:v>
                </c:pt>
              </c:strCache>
            </c:strRef>
          </c:tx>
          <c:spPr>
            <a:solidFill>
              <a:schemeClr val="accent2"/>
            </a:solidFill>
            <a:ln>
              <a:solidFill>
                <a:schemeClr val="tx1"/>
              </a:solidFill>
            </a:ln>
            <a:effectLst>
              <a:outerShdw blurRad="50800" dist="38100" dir="2700000" algn="tl" rotWithShape="0">
                <a:prstClr val="black">
                  <a:alpha val="40000"/>
                </a:prstClr>
              </a:outerShdw>
            </a:effectLst>
          </c:spPr>
          <c:invertIfNegative val="0"/>
          <c:dLbls>
            <c:spPr>
              <a:noFill/>
              <a:ln>
                <a:noFill/>
              </a:ln>
              <a:effectLst/>
            </c:spPr>
            <c:txPr>
              <a:bodyPr rot="-5400000" spcFirstLastPara="1" vertOverflow="ellipsis" wrap="square" lIns="38100" tIns="19050" rIns="38100" bIns="19050" anchor="ctr" anchorCtr="1">
                <a:spAutoFit/>
              </a:bodyPr>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Subprograma 09</c:v>
                </c:pt>
                <c:pt idx="1">
                  <c:v>Subprograma 13</c:v>
                </c:pt>
              </c:strCache>
            </c:strRef>
          </c:cat>
          <c:val>
            <c:numRef>
              <c:f>Sheet1!$C$2:$C$3</c:f>
              <c:numCache>
                <c:formatCode>#,##0.0</c:formatCode>
                <c:ptCount val="2"/>
                <c:pt idx="0">
                  <c:v>2152.9899999999998</c:v>
                </c:pt>
                <c:pt idx="1">
                  <c:v>1065.25</c:v>
                </c:pt>
              </c:numCache>
            </c:numRef>
          </c:val>
          <c:extLst>
            <c:ext xmlns:c16="http://schemas.microsoft.com/office/drawing/2014/chart" uri="{C3380CC4-5D6E-409C-BE32-E72D297353CC}">
              <c16:uniqueId val="{00000001-82D8-4D6A-A0D6-0EA3884F9570}"/>
            </c:ext>
          </c:extLst>
        </c:ser>
        <c:dLbls>
          <c:showLegendKey val="0"/>
          <c:showVal val="0"/>
          <c:showCatName val="0"/>
          <c:showSerName val="0"/>
          <c:showPercent val="0"/>
          <c:showBubbleSize val="0"/>
        </c:dLbls>
        <c:gapWidth val="127"/>
        <c:axId val="441777656"/>
        <c:axId val="441771096"/>
      </c:barChart>
      <c:lineChart>
        <c:grouping val="standard"/>
        <c:varyColors val="0"/>
        <c:ser>
          <c:idx val="2"/>
          <c:order val="2"/>
          <c:tx>
            <c:strRef>
              <c:f>Sheet1!$D$1</c:f>
              <c:strCache>
                <c:ptCount val="1"/>
                <c:pt idx="0">
                  <c:v>% de Ejecución</c:v>
                </c:pt>
              </c:strCache>
            </c:strRef>
          </c:tx>
          <c:spPr>
            <a:ln w="28575" cap="rnd">
              <a:noFill/>
              <a:round/>
            </a:ln>
            <a:effectLst/>
          </c:spPr>
          <c:marker>
            <c:symbol val="circle"/>
            <c:size val="8"/>
            <c:spPr>
              <a:solidFill>
                <a:srgbClr val="FF0000"/>
              </a:solidFill>
              <a:ln w="9525">
                <a:solidFill>
                  <a:srgbClr val="FF0000"/>
                </a:solidFill>
              </a:ln>
              <a:effectLst/>
            </c:spPr>
          </c:marker>
          <c:dLbls>
            <c:spPr>
              <a:solidFill>
                <a:schemeClr val="accent2">
                  <a:lumMod val="20000"/>
                  <a:lumOff val="80000"/>
                </a:schemeClr>
              </a:solid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Subprograma 09</c:v>
                </c:pt>
                <c:pt idx="1">
                  <c:v>Subprograma 13</c:v>
                </c:pt>
              </c:strCache>
            </c:strRef>
          </c:cat>
          <c:val>
            <c:numRef>
              <c:f>Sheet1!$D$2:$D$3</c:f>
              <c:numCache>
                <c:formatCode>0.0%</c:formatCode>
                <c:ptCount val="2"/>
                <c:pt idx="0">
                  <c:v>0.77872018750135619</c:v>
                </c:pt>
                <c:pt idx="1">
                  <c:v>0.55764952231383325</c:v>
                </c:pt>
              </c:numCache>
            </c:numRef>
          </c:val>
          <c:smooth val="0"/>
          <c:extLst>
            <c:ext xmlns:c16="http://schemas.microsoft.com/office/drawing/2014/chart" uri="{C3380CC4-5D6E-409C-BE32-E72D297353CC}">
              <c16:uniqueId val="{00000002-82D8-4D6A-A0D6-0EA3884F9570}"/>
            </c:ext>
          </c:extLst>
        </c:ser>
        <c:dLbls>
          <c:showLegendKey val="0"/>
          <c:showVal val="0"/>
          <c:showCatName val="0"/>
          <c:showSerName val="0"/>
          <c:showPercent val="0"/>
          <c:showBubbleSize val="0"/>
        </c:dLbls>
        <c:marker val="1"/>
        <c:smooth val="0"/>
        <c:axId val="629531088"/>
        <c:axId val="629595048"/>
      </c:lineChart>
      <c:catAx>
        <c:axId val="441777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441771096"/>
        <c:crosses val="autoZero"/>
        <c:auto val="1"/>
        <c:lblAlgn val="ctr"/>
        <c:lblOffset val="100"/>
        <c:noMultiLvlLbl val="0"/>
      </c:catAx>
      <c:valAx>
        <c:axId val="44177109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441777656"/>
        <c:crosses val="autoZero"/>
        <c:crossBetween val="between"/>
      </c:valAx>
      <c:valAx>
        <c:axId val="629595048"/>
        <c:scaling>
          <c:orientation val="minMax"/>
          <c:max val="1"/>
        </c:scaling>
        <c:delete val="0"/>
        <c:axPos val="r"/>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629531088"/>
        <c:crosses val="max"/>
        <c:crossBetween val="between"/>
      </c:valAx>
      <c:catAx>
        <c:axId val="629531088"/>
        <c:scaling>
          <c:orientation val="minMax"/>
        </c:scaling>
        <c:delete val="1"/>
        <c:axPos val="b"/>
        <c:numFmt formatCode="General" sourceLinked="1"/>
        <c:majorTickMark val="out"/>
        <c:minorTickMark val="none"/>
        <c:tickLblPos val="nextTo"/>
        <c:crossAx val="629595048"/>
        <c:crosses val="autoZero"/>
        <c:auto val="1"/>
        <c:lblAlgn val="ctr"/>
        <c:lblOffset val="100"/>
        <c:noMultiLvlLbl val="0"/>
      </c:catAx>
      <c:spPr>
        <a:pattFill prst="pct10">
          <a:fgClr>
            <a:sysClr val="windowText" lastClr="000000"/>
          </a:fgClr>
          <a:bgClr>
            <a:schemeClr val="bg1"/>
          </a:bgClr>
        </a:pattFill>
        <a:ln>
          <a:noFill/>
        </a:ln>
        <a:effectLst/>
      </c:spPr>
    </c:plotArea>
    <c:legend>
      <c:legendPos val="b"/>
      <c:layout>
        <c:manualLayout>
          <c:xMode val="edge"/>
          <c:yMode val="edge"/>
          <c:x val="5.6618649153688826E-2"/>
          <c:y val="0.90332722281849875"/>
          <c:w val="0.8816641610851409"/>
          <c:h val="9.6672777181501288E-2"/>
        </c:manualLayout>
      </c:layout>
      <c:overlay val="0"/>
      <c:spPr>
        <a:noFill/>
        <a:ln>
          <a:noFill/>
        </a:ln>
        <a:effectLst/>
      </c:spPr>
      <c:txPr>
        <a:bodyPr rot="0" spcFirstLastPara="1" vertOverflow="ellipsis" vert="horz" wrap="square" anchor="ctr" anchorCtr="1"/>
        <a:lstStyle/>
        <a:p>
          <a:pPr>
            <a:defRPr sz="7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chart>
  <c:spPr>
    <a:solidFill>
      <a:schemeClr val="bg1"/>
    </a:solidFill>
    <a:ln w="9525" cap="flat" cmpd="sng" algn="ctr">
      <a:noFill/>
      <a:round/>
    </a:ln>
    <a:effectLst/>
  </c:spPr>
  <c:txPr>
    <a:bodyPr/>
    <a:lstStyle/>
    <a:p>
      <a:pPr>
        <a:defRPr sz="500">
          <a:latin typeface="Times New Roman" panose="02020603050405020304" pitchFamily="18" charset="0"/>
          <a:cs typeface="Times New Roman" panose="02020603050405020304" pitchFamily="18" charset="0"/>
        </a:defRPr>
      </a:pPr>
      <a:endParaRPr lang="es-GT"/>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2306229196386118E-2"/>
          <c:y val="5.7049714751426242E-2"/>
          <c:w val="0.9308482680978839"/>
          <c:h val="0.82390804716164423"/>
        </c:manualLayout>
      </c:layout>
      <c:ofPieChart>
        <c:ofPieType val="pie"/>
        <c:varyColors val="1"/>
        <c:ser>
          <c:idx val="0"/>
          <c:order val="0"/>
          <c:tx>
            <c:strRef>
              <c:f>Sheet1!$B$1</c:f>
              <c:strCache>
                <c:ptCount val="1"/>
                <c:pt idx="0">
                  <c:v>Column1</c:v>
                </c:pt>
              </c:strCache>
            </c:strRef>
          </c:tx>
          <c:spPr>
            <a:ln w="9525">
              <a:solidFill>
                <a:schemeClr val="tx1"/>
              </a:solidFill>
            </a:ln>
            <a:effectLst>
              <a:softEdge rad="0"/>
            </a:effectLst>
          </c:spPr>
          <c:dPt>
            <c:idx val="0"/>
            <c:bubble3D val="0"/>
            <c:spPr>
              <a:solidFill>
                <a:schemeClr val="accent1">
                  <a:shade val="58000"/>
                </a:schemeClr>
              </a:solidFill>
              <a:ln w="9525">
                <a:solidFill>
                  <a:schemeClr val="tx1"/>
                </a:solidFill>
              </a:ln>
              <a:effectLst>
                <a:softEdge rad="0"/>
              </a:effectLst>
            </c:spPr>
            <c:extLst>
              <c:ext xmlns:c16="http://schemas.microsoft.com/office/drawing/2014/chart" uri="{C3380CC4-5D6E-409C-BE32-E72D297353CC}">
                <c16:uniqueId val="{00000001-002B-4167-9F63-DC7642A5936D}"/>
              </c:ext>
            </c:extLst>
          </c:dPt>
          <c:dPt>
            <c:idx val="1"/>
            <c:bubble3D val="0"/>
            <c:spPr>
              <a:solidFill>
                <a:schemeClr val="accent1">
                  <a:shade val="86000"/>
                </a:schemeClr>
              </a:solidFill>
              <a:ln w="9525">
                <a:solidFill>
                  <a:schemeClr val="tx1"/>
                </a:solidFill>
              </a:ln>
              <a:effectLst>
                <a:softEdge rad="0"/>
              </a:effectLst>
            </c:spPr>
            <c:extLst>
              <c:ext xmlns:c16="http://schemas.microsoft.com/office/drawing/2014/chart" uri="{C3380CC4-5D6E-409C-BE32-E72D297353CC}">
                <c16:uniqueId val="{00000003-002B-4167-9F63-DC7642A5936D}"/>
              </c:ext>
            </c:extLst>
          </c:dPt>
          <c:dPt>
            <c:idx val="2"/>
            <c:bubble3D val="0"/>
            <c:spPr>
              <a:solidFill>
                <a:schemeClr val="accent1">
                  <a:tint val="86000"/>
                </a:schemeClr>
              </a:solidFill>
              <a:ln w="9525">
                <a:solidFill>
                  <a:schemeClr val="tx1"/>
                </a:solidFill>
              </a:ln>
              <a:effectLst>
                <a:softEdge rad="0"/>
              </a:effectLst>
            </c:spPr>
            <c:extLst>
              <c:ext xmlns:c16="http://schemas.microsoft.com/office/drawing/2014/chart" uri="{C3380CC4-5D6E-409C-BE32-E72D297353CC}">
                <c16:uniqueId val="{00000005-002B-4167-9F63-DC7642A5936D}"/>
              </c:ext>
            </c:extLst>
          </c:dPt>
          <c:dPt>
            <c:idx val="3"/>
            <c:bubble3D val="0"/>
            <c:spPr>
              <a:solidFill>
                <a:schemeClr val="accent1">
                  <a:tint val="58000"/>
                </a:schemeClr>
              </a:solidFill>
              <a:ln w="9525">
                <a:solidFill>
                  <a:schemeClr val="tx1"/>
                </a:solidFill>
              </a:ln>
              <a:effectLst>
                <a:softEdge rad="0"/>
              </a:effectLst>
            </c:spPr>
            <c:extLst>
              <c:ext xmlns:c16="http://schemas.microsoft.com/office/drawing/2014/chart" uri="{C3380CC4-5D6E-409C-BE32-E72D297353CC}">
                <c16:uniqueId val="{00000007-002B-4167-9F63-DC7642A5936D}"/>
              </c:ext>
            </c:extLst>
          </c:dPt>
          <c:dPt>
            <c:idx val="4"/>
            <c:bubble3D val="0"/>
            <c:spPr>
              <a:solidFill>
                <a:schemeClr val="accent1">
                  <a:lumMod val="50000"/>
                </a:schemeClr>
              </a:solidFill>
              <a:ln w="9525">
                <a:solidFill>
                  <a:schemeClr val="tx1"/>
                </a:solidFill>
              </a:ln>
              <a:effectLst>
                <a:softEdge rad="0"/>
              </a:effectLst>
            </c:spPr>
            <c:extLst>
              <c:ext xmlns:c16="http://schemas.microsoft.com/office/drawing/2014/chart" uri="{C3380CC4-5D6E-409C-BE32-E72D297353CC}">
                <c16:uniqueId val="{00000009-002B-4167-9F63-DC7642A5936D}"/>
              </c:ext>
            </c:extLst>
          </c:dPt>
          <c:dLbls>
            <c:dLbl>
              <c:idx val="0"/>
              <c:layout>
                <c:manualLayout>
                  <c:x val="-0.24610517435320584"/>
                  <c:y val="7.192841052348771E-2"/>
                </c:manualLayout>
              </c:layout>
              <c:spPr>
                <a:noFill/>
                <a:ln w="6350">
                  <a:noFill/>
                </a:ln>
                <a:effectLst/>
              </c:spPr>
              <c:txPr>
                <a:bodyPr rot="0" spcFirstLastPara="1" vertOverflow="ellipsis" vert="horz" wrap="square" lIns="38100" tIns="19050" rIns="38100" bIns="19050" anchor="ctr" anchorCtr="0">
                  <a:spAutoFit/>
                </a:bodyPr>
                <a:lstStyle/>
                <a:p>
                  <a:pPr algn="ctr">
                    <a:defRPr sz="8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02B-4167-9F63-DC7642A5936D}"/>
                </c:ext>
              </c:extLst>
            </c:dLbl>
            <c:dLbl>
              <c:idx val="2"/>
              <c:layout>
                <c:manualLayout>
                  <c:x val="0.2628385826771652"/>
                  <c:y val="-0.2113237026474053"/>
                </c:manualLayout>
              </c:layout>
              <c:showLegendKey val="0"/>
              <c:showVal val="1"/>
              <c:showCatName val="1"/>
              <c:showSerName val="0"/>
              <c:showPercent val="1"/>
              <c:showBubbleSize val="0"/>
              <c:extLst>
                <c:ext xmlns:c15="http://schemas.microsoft.com/office/drawing/2012/chart" uri="{CE6537A1-D6FC-4f65-9D91-7224C49458BB}">
                  <c15:layout>
                    <c:manualLayout>
                      <c:w val="0.25877474690663665"/>
                      <c:h val="0.33451340236013805"/>
                    </c:manualLayout>
                  </c15:layout>
                </c:ext>
                <c:ext xmlns:c16="http://schemas.microsoft.com/office/drawing/2014/chart" uri="{C3380CC4-5D6E-409C-BE32-E72D297353CC}">
                  <c16:uniqueId val="{00000005-002B-4167-9F63-DC7642A5936D}"/>
                </c:ext>
              </c:extLst>
            </c:dLbl>
            <c:dLbl>
              <c:idx val="3"/>
              <c:layout>
                <c:manualLayout>
                  <c:x val="-1.4060742420294188E-7"/>
                  <c:y val="-4.0128133589600511E-2"/>
                </c:manualLayout>
              </c:layout>
              <c:showLegendKey val="0"/>
              <c:showVal val="1"/>
              <c:showCatName val="1"/>
              <c:showSerName val="0"/>
              <c:showPercent val="1"/>
              <c:showBubbleSize val="0"/>
              <c:extLst>
                <c:ext xmlns:c15="http://schemas.microsoft.com/office/drawing/2012/chart" uri="{CE6537A1-D6FC-4f65-9D91-7224C49458BB}">
                  <c15:layout>
                    <c:manualLayout>
                      <c:w val="0.23387136620556664"/>
                      <c:h val="0.29044502617801049"/>
                    </c:manualLayout>
                  </c15:layout>
                </c:ext>
                <c:ext xmlns:c16="http://schemas.microsoft.com/office/drawing/2014/chart" uri="{C3380CC4-5D6E-409C-BE32-E72D297353CC}">
                  <c16:uniqueId val="{00000007-002B-4167-9F63-DC7642A5936D}"/>
                </c:ext>
              </c:extLst>
            </c:dLbl>
            <c:dLbl>
              <c:idx val="4"/>
              <c:layout>
                <c:manualLayout>
                  <c:x val="0.18214285714285713"/>
                  <c:y val="-0.1728013722694112"/>
                </c:manualLayout>
              </c:layout>
              <c:tx>
                <c:rich>
                  <a:bodyPr rot="0" spcFirstLastPara="1" vertOverflow="ellipsis" vert="horz" wrap="square" lIns="38100" tIns="19050" rIns="38100" bIns="19050" anchor="ctr" anchorCtr="0">
                    <a:noAutofit/>
                  </a:bodyPr>
                  <a:lstStyle/>
                  <a:p>
                    <a:pPr algn="ctr">
                      <a:defRPr sz="800" b="1" i="0" u="none" strike="noStrike" kern="1200" baseline="0">
                        <a:solidFill>
                          <a:schemeClr val="bg1"/>
                        </a:solidFill>
                        <a:latin typeface="Times New Roman" panose="02020603050405020304" pitchFamily="18" charset="0"/>
                        <a:ea typeface="+mn-ea"/>
                        <a:cs typeface="Times New Roman" panose="02020603050405020304" pitchFamily="18" charset="0"/>
                      </a:defRPr>
                    </a:pPr>
                    <a:r>
                      <a:rPr lang="en-US" sz="800" baseline="0">
                        <a:solidFill>
                          <a:schemeClr val="bg1"/>
                        </a:solidFill>
                        <a:latin typeface="Times New Roman" panose="02020603050405020304" pitchFamily="18" charset="0"/>
                        <a:cs typeface="Times New Roman" panose="02020603050405020304" pitchFamily="18" charset="0"/>
                      </a:rPr>
                      <a:t>Colocado; </a:t>
                    </a:r>
                    <a:fld id="{36066939-FD9D-4D7E-89B2-F23616AF3D74}" type="VALUE">
                      <a:rPr lang="en-US" sz="800" baseline="0">
                        <a:solidFill>
                          <a:schemeClr val="bg1"/>
                        </a:solidFill>
                        <a:latin typeface="Times New Roman" panose="02020603050405020304" pitchFamily="18" charset="0"/>
                        <a:cs typeface="Times New Roman" panose="02020603050405020304" pitchFamily="18" charset="0"/>
                      </a:rPr>
                      <a:pPr algn="ctr">
                        <a:defRPr sz="800" b="1">
                          <a:solidFill>
                            <a:schemeClr val="bg1"/>
                          </a:solidFill>
                          <a:latin typeface="Times New Roman" panose="02020603050405020304" pitchFamily="18" charset="0"/>
                          <a:cs typeface="Times New Roman" panose="02020603050405020304" pitchFamily="18" charset="0"/>
                        </a:defRPr>
                      </a:pPr>
                      <a:t>[VALOR]</a:t>
                    </a:fld>
                    <a:endParaRPr lang="en-US" sz="800" baseline="0">
                      <a:solidFill>
                        <a:schemeClr val="bg1"/>
                      </a:solidFill>
                      <a:latin typeface="Times New Roman" panose="02020603050405020304" pitchFamily="18" charset="0"/>
                      <a:cs typeface="Times New Roman" panose="02020603050405020304" pitchFamily="18" charset="0"/>
                    </a:endParaRPr>
                  </a:p>
                </c:rich>
              </c:tx>
              <c:numFmt formatCode="#,##0.0" sourceLinked="0"/>
              <c:spPr>
                <a:noFill/>
                <a:ln w="6350">
                  <a:noFill/>
                </a:ln>
                <a:effectLst/>
              </c:spPr>
              <c:txPr>
                <a:bodyPr rot="0" spcFirstLastPara="1" vertOverflow="ellipsis" vert="horz" wrap="square" lIns="38100" tIns="19050" rIns="38100" bIns="19050" anchor="ctr" anchorCtr="0">
                  <a:noAutofit/>
                </a:bodyPr>
                <a:lstStyle/>
                <a:p>
                  <a:pPr algn="ctr">
                    <a:defRPr sz="8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1"/>
              <c:showSerName val="0"/>
              <c:showPercent val="1"/>
              <c:showBubbleSize val="0"/>
              <c:extLst>
                <c:ext xmlns:c15="http://schemas.microsoft.com/office/drawing/2012/chart" uri="{CE6537A1-D6FC-4f65-9D91-7224C49458BB}">
                  <c15:layout>
                    <c:manualLayout>
                      <c:w val="0.23581790115780696"/>
                      <c:h val="0.30127643566805451"/>
                    </c:manualLayout>
                  </c15:layout>
                  <c15:dlblFieldTable/>
                  <c15:showDataLabelsRange val="0"/>
                </c:ext>
                <c:ext xmlns:c16="http://schemas.microsoft.com/office/drawing/2014/chart" uri="{C3380CC4-5D6E-409C-BE32-E72D297353CC}">
                  <c16:uniqueId val="{00000009-002B-4167-9F63-DC7642A5936D}"/>
                </c:ext>
              </c:extLst>
            </c:dLbl>
            <c:spPr>
              <a:noFill/>
              <a:ln w="6350">
                <a:noFill/>
              </a:ln>
              <a:effectLst/>
            </c:spPr>
            <c:txPr>
              <a:bodyPr rot="0" spcFirstLastPara="1" vertOverflow="ellipsis" vert="horz" wrap="square" lIns="38100" tIns="19050" rIns="38100" bIns="19050" anchor="ctr" anchorCtr="0">
                <a:spAutoFit/>
              </a:bodyPr>
              <a:lstStyle/>
              <a:p>
                <a:pPr algn="ctr">
                  <a:defRPr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1"/>
            <c:showSerName val="0"/>
            <c:showPercent val="1"/>
            <c:showBubbleSize val="0"/>
            <c:showLeaderLines val="0"/>
            <c:extLst>
              <c:ext xmlns:c15="http://schemas.microsoft.com/office/drawing/2012/chart" uri="{CE6537A1-D6FC-4f65-9D91-7224C49458BB}"/>
            </c:extLst>
          </c:dLbls>
          <c:cat>
            <c:strRef>
              <c:f>Sheet1!$A$2:$A$5</c:f>
              <c:strCache>
                <c:ptCount val="4"/>
                <c:pt idx="0">
                  <c:v>Por Colocar</c:v>
                </c:pt>
                <c:pt idx="1">
                  <c:v>Colocado</c:v>
                </c:pt>
                <c:pt idx="2">
                  <c:v>Nuevo Endeudamiento</c:v>
                </c:pt>
                <c:pt idx="3">
                  <c:v>Roll Over</c:v>
                </c:pt>
              </c:strCache>
            </c:strRef>
          </c:cat>
          <c:val>
            <c:numRef>
              <c:f>Sheet1!$B$2:$B$5</c:f>
              <c:numCache>
                <c:formatCode>General</c:formatCode>
                <c:ptCount val="4"/>
                <c:pt idx="0" formatCode="#,##0.0">
                  <c:v>0</c:v>
                </c:pt>
                <c:pt idx="2" formatCode="#,##0.0">
                  <c:v>19047.900000000001</c:v>
                </c:pt>
                <c:pt idx="3" formatCode="#,##0.0">
                  <c:v>5430.5190000000002</c:v>
                </c:pt>
              </c:numCache>
            </c:numRef>
          </c:val>
          <c:extLst>
            <c:ext xmlns:c16="http://schemas.microsoft.com/office/drawing/2014/chart" uri="{C3380CC4-5D6E-409C-BE32-E72D297353CC}">
              <c16:uniqueId val="{0000000A-002B-4167-9F63-DC7642A5936D}"/>
            </c:ext>
          </c:extLst>
        </c:ser>
        <c:dLbls>
          <c:showLegendKey val="0"/>
          <c:showVal val="0"/>
          <c:showCatName val="0"/>
          <c:showSerName val="0"/>
          <c:showPercent val="0"/>
          <c:showBubbleSize val="0"/>
          <c:showLeaderLines val="0"/>
        </c:dLbls>
        <c:gapWidth val="29"/>
        <c:secondPieSize val="63"/>
        <c:serLines>
          <c:spPr>
            <a:ln w="9525" cap="flat" cmpd="sng" algn="ctr">
              <a:solidFill>
                <a:schemeClr val="tx1">
                  <a:lumMod val="35000"/>
                  <a:lumOff val="65000"/>
                </a:schemeClr>
              </a:solidFill>
              <a:round/>
            </a:ln>
            <a:effectLst/>
          </c:spPr>
        </c:serLines>
      </c:of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163385826771654"/>
          <c:y val="2.8942896805340519E-2"/>
          <c:w val="0.79788969087197437"/>
          <c:h val="0.77259257056997999"/>
        </c:manualLayout>
      </c:layout>
      <c:barChart>
        <c:barDir val="col"/>
        <c:grouping val="stacked"/>
        <c:varyColors val="0"/>
        <c:ser>
          <c:idx val="1"/>
          <c:order val="1"/>
          <c:tx>
            <c:strRef>
              <c:f>Hoja1!$A$3</c:f>
              <c:strCache>
                <c:ptCount val="1"/>
                <c:pt idx="0">
                  <c:v>Deuda Interna</c:v>
                </c:pt>
              </c:strCache>
            </c:strRef>
          </c:tx>
          <c:spPr>
            <a:solidFill>
              <a:srgbClr val="4BACC6">
                <a:lumMod val="50000"/>
              </a:srgbClr>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Hoja1!$B$1:$H$1</c:f>
              <c:strCache>
                <c:ptCount val="7"/>
                <c:pt idx="0">
                  <c:v>2015</c:v>
                </c:pt>
                <c:pt idx="1">
                  <c:v>2016</c:v>
                </c:pt>
                <c:pt idx="2">
                  <c:v>2017</c:v>
                </c:pt>
                <c:pt idx="3">
                  <c:v>2018</c:v>
                </c:pt>
                <c:pt idx="4">
                  <c:v>2019</c:v>
                </c:pt>
                <c:pt idx="5">
                  <c:v>2020</c:v>
                </c:pt>
                <c:pt idx="6">
                  <c:v>2021</c:v>
                </c:pt>
              </c:strCache>
            </c:strRef>
          </c:cat>
          <c:val>
            <c:numRef>
              <c:f>Hoja1!$B$3:$H$3</c:f>
              <c:numCache>
                <c:formatCode>#,##0.0</c:formatCode>
                <c:ptCount val="7"/>
                <c:pt idx="0">
                  <c:v>51.8</c:v>
                </c:pt>
                <c:pt idx="1">
                  <c:v>52</c:v>
                </c:pt>
                <c:pt idx="2">
                  <c:v>54.6</c:v>
                </c:pt>
                <c:pt idx="3">
                  <c:v>56.4</c:v>
                </c:pt>
                <c:pt idx="4">
                  <c:v>55.4</c:v>
                </c:pt>
                <c:pt idx="5">
                  <c:v>57</c:v>
                </c:pt>
                <c:pt idx="6">
                  <c:v>57.7</c:v>
                </c:pt>
              </c:numCache>
            </c:numRef>
          </c:val>
          <c:extLst>
            <c:ext xmlns:c16="http://schemas.microsoft.com/office/drawing/2014/chart" uri="{C3380CC4-5D6E-409C-BE32-E72D297353CC}">
              <c16:uniqueId val="{00000000-7336-4422-9EAC-F19EC983DC1F}"/>
            </c:ext>
          </c:extLst>
        </c:ser>
        <c:ser>
          <c:idx val="2"/>
          <c:order val="2"/>
          <c:tx>
            <c:strRef>
              <c:f>Hoja1!$A$4</c:f>
              <c:strCache>
                <c:ptCount val="1"/>
                <c:pt idx="0">
                  <c:v>Deuda Externa</c:v>
                </c:pt>
              </c:strCache>
            </c:strRef>
          </c:tx>
          <c:spPr>
            <a:solidFill>
              <a:srgbClr val="FFC000"/>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accent6">
                        <a:lumMod val="50000"/>
                      </a:schemeClr>
                    </a:solidFill>
                    <a:latin typeface="Times New Roman" panose="02020603050405020304" pitchFamily="18" charset="0"/>
                    <a:ea typeface="+mn-ea"/>
                    <a:cs typeface="Times New Roman" panose="02020603050405020304" pitchFamily="18" charset="0"/>
                  </a:defRPr>
                </a:pPr>
                <a:endParaRPr lang="es-GT"/>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Hoja1!$B$1:$H$1</c:f>
              <c:strCache>
                <c:ptCount val="7"/>
                <c:pt idx="0">
                  <c:v>2015</c:v>
                </c:pt>
                <c:pt idx="1">
                  <c:v>2016</c:v>
                </c:pt>
                <c:pt idx="2">
                  <c:v>2017</c:v>
                </c:pt>
                <c:pt idx="3">
                  <c:v>2018</c:v>
                </c:pt>
                <c:pt idx="4">
                  <c:v>2019</c:v>
                </c:pt>
                <c:pt idx="5">
                  <c:v>2020</c:v>
                </c:pt>
                <c:pt idx="6">
                  <c:v>2021</c:v>
                </c:pt>
              </c:strCache>
            </c:strRef>
          </c:cat>
          <c:val>
            <c:numRef>
              <c:f>Hoja1!$B$4:$H$4</c:f>
              <c:numCache>
                <c:formatCode>#,##0.0</c:formatCode>
                <c:ptCount val="7"/>
                <c:pt idx="0">
                  <c:v>48.2</c:v>
                </c:pt>
                <c:pt idx="1">
                  <c:v>48</c:v>
                </c:pt>
                <c:pt idx="2">
                  <c:v>45.4</c:v>
                </c:pt>
                <c:pt idx="3">
                  <c:v>43.6</c:v>
                </c:pt>
                <c:pt idx="4">
                  <c:v>44.6</c:v>
                </c:pt>
                <c:pt idx="5">
                  <c:v>43</c:v>
                </c:pt>
                <c:pt idx="6">
                  <c:v>42.3</c:v>
                </c:pt>
              </c:numCache>
            </c:numRef>
          </c:val>
          <c:extLst>
            <c:ext xmlns:c16="http://schemas.microsoft.com/office/drawing/2014/chart" uri="{C3380CC4-5D6E-409C-BE32-E72D297353CC}">
              <c16:uniqueId val="{00000001-7336-4422-9EAC-F19EC983DC1F}"/>
            </c:ext>
          </c:extLst>
        </c:ser>
        <c:dLbls>
          <c:showLegendKey val="0"/>
          <c:showVal val="0"/>
          <c:showCatName val="0"/>
          <c:showSerName val="0"/>
          <c:showPercent val="0"/>
          <c:showBubbleSize val="0"/>
        </c:dLbls>
        <c:gapWidth val="89"/>
        <c:overlap val="100"/>
        <c:axId val="201814016"/>
        <c:axId val="201815552"/>
      </c:barChart>
      <c:lineChart>
        <c:grouping val="standard"/>
        <c:varyColors val="0"/>
        <c:ser>
          <c:idx val="0"/>
          <c:order val="0"/>
          <c:tx>
            <c:strRef>
              <c:f>Hoja1!$A$2</c:f>
              <c:strCache>
                <c:ptCount val="1"/>
                <c:pt idx="0">
                  <c:v>Deuda % del PIB</c:v>
                </c:pt>
              </c:strCache>
            </c:strRef>
          </c:tx>
          <c:spPr>
            <a:ln w="38100" cap="rnd" cmpd="thickThin">
              <a:solidFill>
                <a:schemeClr val="accent1"/>
              </a:solidFill>
              <a:round/>
            </a:ln>
            <a:effectLst/>
          </c:spPr>
          <c:marker>
            <c:symbol val="circle"/>
            <c:size val="6"/>
          </c:marker>
          <c:dPt>
            <c:idx val="5"/>
            <c:marker>
              <c:spPr>
                <a:solidFill>
                  <a:srgbClr val="FF0000"/>
                </a:solidFill>
                <a:ln>
                  <a:solidFill>
                    <a:srgbClr val="FF0000"/>
                  </a:solidFill>
                </a:ln>
              </c:spPr>
            </c:marker>
            <c:bubble3D val="0"/>
            <c:spPr>
              <a:ln w="38100" cap="rnd" cmpd="thickThin">
                <a:solidFill>
                  <a:srgbClr val="FF0000"/>
                </a:solidFill>
                <a:prstDash val="sysDash"/>
                <a:round/>
              </a:ln>
              <a:effectLst/>
            </c:spPr>
            <c:extLst>
              <c:ext xmlns:c16="http://schemas.microsoft.com/office/drawing/2014/chart" uri="{C3380CC4-5D6E-409C-BE32-E72D297353CC}">
                <c16:uniqueId val="{00000003-7336-4422-9EAC-F19EC983DC1F}"/>
              </c:ext>
            </c:extLst>
          </c:dPt>
          <c:dPt>
            <c:idx val="6"/>
            <c:marker>
              <c:symbol val="circle"/>
              <c:size val="7"/>
              <c:spPr>
                <a:solidFill>
                  <a:srgbClr val="92D050"/>
                </a:solidFill>
                <a:ln>
                  <a:solidFill>
                    <a:srgbClr val="9BBB59">
                      <a:lumMod val="50000"/>
                    </a:srgbClr>
                  </a:solidFill>
                  <a:prstDash val="sysDot"/>
                </a:ln>
              </c:spPr>
            </c:marker>
            <c:bubble3D val="0"/>
            <c:spPr>
              <a:ln w="38100" cap="rnd" cmpd="sng">
                <a:solidFill>
                  <a:srgbClr val="92D050"/>
                </a:solidFill>
                <a:prstDash val="sysDash"/>
                <a:round/>
              </a:ln>
              <a:effectLst/>
            </c:spPr>
            <c:extLst>
              <c:ext xmlns:c16="http://schemas.microsoft.com/office/drawing/2014/chart" uri="{C3380CC4-5D6E-409C-BE32-E72D297353CC}">
                <c16:uniqueId val="{00000003-7F78-47F3-A0F8-CE8FBA848F79}"/>
              </c:ext>
            </c:extLst>
          </c:dPt>
          <c:dLbls>
            <c:dLbl>
              <c:idx val="0"/>
              <c:layout>
                <c:manualLayout>
                  <c:x val="-4.3137254901960784E-2"/>
                  <c:y val="-5.677394018929454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336-4422-9EAC-F19EC983DC1F}"/>
                </c:ext>
              </c:extLst>
            </c:dLbl>
            <c:dLbl>
              <c:idx val="1"/>
              <c:layout>
                <c:manualLayout>
                  <c:x val="-4.0522875816993514E-2"/>
                  <c:y val="-4.414754574498988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336-4422-9EAC-F19EC983DC1F}"/>
                </c:ext>
              </c:extLst>
            </c:dLbl>
            <c:dLbl>
              <c:idx val="2"/>
              <c:layout>
                <c:manualLayout>
                  <c:x val="-4.0522875816993466E-2"/>
                  <c:y val="-4.414754574498983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336-4422-9EAC-F19EC983DC1F}"/>
                </c:ext>
              </c:extLst>
            </c:dLbl>
            <c:dLbl>
              <c:idx val="3"/>
              <c:layout>
                <c:manualLayout>
                  <c:x val="-4.3137254901960784E-2"/>
                  <c:y val="-4.995643334301481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336-4422-9EAC-F19EC983DC1F}"/>
                </c:ext>
              </c:extLst>
            </c:dLbl>
            <c:dLbl>
              <c:idx val="4"/>
              <c:layout>
                <c:manualLayout>
                  <c:x val="-4.5751633986928199E-2"/>
                  <c:y val="-5.576532094103978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336-4422-9EAC-F19EC983DC1F}"/>
                </c:ext>
              </c:extLst>
            </c:dLbl>
            <c:dLbl>
              <c:idx val="5"/>
              <c:layout>
                <c:manualLayout>
                  <c:x val="-4.0522875816993466E-2"/>
                  <c:y val="-4.6668953312654117E-2"/>
                </c:manualLayout>
              </c:layout>
              <c:spPr>
                <a:noFill/>
                <a:ln>
                  <a:noFill/>
                </a:ln>
                <a:effectLst/>
              </c:spPr>
              <c:txPr>
                <a:bodyPr rot="0" spcFirstLastPara="1" vertOverflow="ellipsis" vert="horz" wrap="square" anchor="ctr" anchorCtr="1"/>
                <a:lstStyle/>
                <a:p>
                  <a:pPr>
                    <a:defRPr sz="8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es-GT"/>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336-4422-9EAC-F19EC983DC1F}"/>
                </c:ext>
              </c:extLst>
            </c:dLbl>
            <c:dLbl>
              <c:idx val="6"/>
              <c:layout>
                <c:manualLayout>
                  <c:x val="-4.1830065359477121E-2"/>
                  <c:y val="6.8813131313131312E-2"/>
                </c:manualLayout>
              </c:layout>
              <c:spPr>
                <a:solidFill>
                  <a:srgbClr val="9BBB59">
                    <a:lumMod val="40000"/>
                    <a:lumOff val="60000"/>
                  </a:srgbClr>
                </a:solidFill>
                <a:ln>
                  <a:solidFill>
                    <a:srgbClr val="9BBB59">
                      <a:lumMod val="50000"/>
                    </a:srgbClr>
                  </a:solidFill>
                </a:ln>
                <a:effectLst/>
              </c:spPr>
              <c:txPr>
                <a:bodyPr rot="0" spcFirstLastPara="1" vertOverflow="ellipsis" vert="horz" wrap="square" anchor="ctr" anchorCtr="1"/>
                <a:lstStyle/>
                <a:p>
                  <a:pPr>
                    <a:defRPr sz="800" b="1" i="0" u="none" strike="noStrike" kern="1200" baseline="0">
                      <a:solidFill>
                        <a:schemeClr val="accent3">
                          <a:lumMod val="50000"/>
                        </a:schemeClr>
                      </a:solidFill>
                      <a:latin typeface="Times New Roman" panose="02020603050405020304" pitchFamily="18" charset="0"/>
                      <a:ea typeface="+mn-ea"/>
                      <a:cs typeface="Times New Roman" panose="02020603050405020304" pitchFamily="18" charset="0"/>
                    </a:defRPr>
                  </a:pPr>
                  <a:endParaRPr lang="es-GT"/>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F78-47F3-A0F8-CE8FBA848F79}"/>
                </c:ext>
              </c:extLst>
            </c:dLbl>
            <c:spPr>
              <a:noFill/>
              <a:ln>
                <a:noFill/>
              </a:ln>
              <a:effectLst/>
            </c:spPr>
            <c:txPr>
              <a:bodyPr rot="0" spcFirstLastPara="1" vertOverflow="ellipsis" vert="horz" wrap="square" anchor="ctr" anchorCtr="1"/>
              <a:lstStyle/>
              <a:p>
                <a:pPr>
                  <a:defRPr sz="800" b="1" i="0" u="none" strike="noStrike" kern="1200" baseline="0">
                    <a:solidFill>
                      <a:schemeClr val="tx2">
                        <a:lumMod val="50000"/>
                      </a:schemeClr>
                    </a:solidFill>
                    <a:latin typeface="Times New Roman" panose="02020603050405020304" pitchFamily="18" charset="0"/>
                    <a:ea typeface="+mn-ea"/>
                    <a:cs typeface="Times New Roman" panose="02020603050405020304" pitchFamily="18" charset="0"/>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Hoja1!$B$1:$H$1</c:f>
              <c:strCache>
                <c:ptCount val="7"/>
                <c:pt idx="0">
                  <c:v>2015</c:v>
                </c:pt>
                <c:pt idx="1">
                  <c:v>2016</c:v>
                </c:pt>
                <c:pt idx="2">
                  <c:v>2017</c:v>
                </c:pt>
                <c:pt idx="3">
                  <c:v>2018</c:v>
                </c:pt>
                <c:pt idx="4">
                  <c:v>2019</c:v>
                </c:pt>
                <c:pt idx="5">
                  <c:v>2020</c:v>
                </c:pt>
                <c:pt idx="6">
                  <c:v>2021</c:v>
                </c:pt>
              </c:strCache>
            </c:strRef>
          </c:cat>
          <c:val>
            <c:numRef>
              <c:f>Hoja1!$B$2:$H$2</c:f>
              <c:numCache>
                <c:formatCode>#,##0.0</c:formatCode>
                <c:ptCount val="7"/>
                <c:pt idx="0">
                  <c:v>24.9</c:v>
                </c:pt>
                <c:pt idx="1">
                  <c:v>25</c:v>
                </c:pt>
                <c:pt idx="2">
                  <c:v>25.2</c:v>
                </c:pt>
                <c:pt idx="3">
                  <c:v>26.5</c:v>
                </c:pt>
                <c:pt idx="4">
                  <c:v>26.5</c:v>
                </c:pt>
                <c:pt idx="5">
                  <c:v>31.6</c:v>
                </c:pt>
                <c:pt idx="6">
                  <c:v>30.8</c:v>
                </c:pt>
              </c:numCache>
            </c:numRef>
          </c:val>
          <c:smooth val="0"/>
          <c:extLst>
            <c:ext xmlns:c16="http://schemas.microsoft.com/office/drawing/2014/chart" uri="{C3380CC4-5D6E-409C-BE32-E72D297353CC}">
              <c16:uniqueId val="{00000009-7336-4422-9EAC-F19EC983DC1F}"/>
            </c:ext>
          </c:extLst>
        </c:ser>
        <c:dLbls>
          <c:showLegendKey val="0"/>
          <c:showVal val="0"/>
          <c:showCatName val="0"/>
          <c:showSerName val="0"/>
          <c:showPercent val="0"/>
          <c:showBubbleSize val="0"/>
        </c:dLbls>
        <c:marker val="1"/>
        <c:smooth val="0"/>
        <c:axId val="201831936"/>
        <c:axId val="201817472"/>
      </c:lineChart>
      <c:catAx>
        <c:axId val="201814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01815552"/>
        <c:crosses val="autoZero"/>
        <c:auto val="1"/>
        <c:lblAlgn val="ctr"/>
        <c:lblOffset val="100"/>
        <c:noMultiLvlLbl val="0"/>
      </c:catAx>
      <c:valAx>
        <c:axId val="201815552"/>
        <c:scaling>
          <c:orientation val="minMax"/>
          <c:max val="10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a:t>Estructura %</a:t>
                </a:r>
              </a:p>
            </c:rich>
          </c:tx>
          <c:layout>
            <c:manualLayout>
              <c:xMode val="edge"/>
              <c:yMode val="edge"/>
              <c:x val="4.6296296296296294E-3"/>
              <c:y val="0.30195189535734263"/>
            </c:manualLayout>
          </c:layout>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01814016"/>
        <c:crosses val="autoZero"/>
        <c:crossBetween val="between"/>
      </c:valAx>
      <c:valAx>
        <c:axId val="201817472"/>
        <c:scaling>
          <c:orientation val="minMax"/>
          <c:max val="40"/>
          <c:min val="0"/>
        </c:scaling>
        <c:delete val="0"/>
        <c:axPos val="r"/>
        <c:title>
          <c:tx>
            <c:rich>
              <a:bodyPr rot="5400000" spcFirstLastPara="1" vertOverflow="ellipsis"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a:t>Porcentaje del PIB</a:t>
                </a:r>
              </a:p>
            </c:rich>
          </c:tx>
          <c:layout>
            <c:manualLayout>
              <c:xMode val="edge"/>
              <c:yMode val="edge"/>
              <c:x val="0.96412037037037035"/>
              <c:y val="0.24280435437373607"/>
            </c:manualLayout>
          </c:layout>
          <c:overlay val="0"/>
          <c:spPr>
            <a:noFill/>
            <a:ln>
              <a:noFill/>
            </a:ln>
            <a:effectLst/>
          </c:spPr>
        </c:title>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01831936"/>
        <c:crosses val="max"/>
        <c:crossBetween val="between"/>
      </c:valAx>
      <c:catAx>
        <c:axId val="201831936"/>
        <c:scaling>
          <c:orientation val="minMax"/>
        </c:scaling>
        <c:delete val="1"/>
        <c:axPos val="b"/>
        <c:numFmt formatCode="General" sourceLinked="1"/>
        <c:majorTickMark val="out"/>
        <c:minorTickMark val="none"/>
        <c:tickLblPos val="nextTo"/>
        <c:crossAx val="201817472"/>
        <c:crosses val="autoZero"/>
        <c:auto val="1"/>
        <c:lblAlgn val="ctr"/>
        <c:lblOffset val="100"/>
        <c:noMultiLvlLbl val="0"/>
      </c:catAx>
      <c:spPr>
        <a:pattFill prst="pct20">
          <a:fgClr>
            <a:sysClr val="window" lastClr="FFFFFF">
              <a:lumMod val="50000"/>
            </a:sysClr>
          </a:fgClr>
          <a:bgClr>
            <a:sysClr val="window" lastClr="FFFFFF"/>
          </a:bgClr>
        </a:pattFill>
        <a:ln>
          <a:noFill/>
        </a:ln>
        <a:effectLst/>
      </c:spPr>
    </c:plotArea>
    <c:legend>
      <c:legendPos val="b"/>
      <c:layout>
        <c:manualLayout>
          <c:xMode val="edge"/>
          <c:yMode val="edge"/>
          <c:x val="0.12403026092326694"/>
          <c:y val="0.90783993999007462"/>
          <c:w val="0.75193947815346607"/>
          <c:h val="9.216006000992542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7502356173365506E-2"/>
          <c:y val="2.879773749211581E-2"/>
          <c:w val="0.88194201267323113"/>
          <c:h val="0.74750045779161334"/>
        </c:manualLayout>
      </c:layout>
      <c:lineChart>
        <c:grouping val="standard"/>
        <c:varyColors val="0"/>
        <c:ser>
          <c:idx val="0"/>
          <c:order val="0"/>
          <c:tx>
            <c:strRef>
              <c:f>'[Análisis Macro del Gasto Público.xlsx]Impulso c gto primario'!$AG$3</c:f>
              <c:strCache>
                <c:ptCount val="1"/>
                <c:pt idx="0">
                  <c:v>Imp. Ingreso</c:v>
                </c:pt>
              </c:strCache>
            </c:strRef>
          </c:tx>
          <c:spPr>
            <a:ln w="22225">
              <a:solidFill>
                <a:schemeClr val="accent3">
                  <a:lumMod val="75000"/>
                </a:schemeClr>
              </a:solidFill>
              <a:prstDash val="sysDash"/>
            </a:ln>
          </c:spPr>
          <c:marker>
            <c:symbol val="none"/>
          </c:marker>
          <c:cat>
            <c:numRef>
              <c:f>'[Análisis Macro del Gasto Público.xlsx]Impulso c gto primario'!$AF$26:$AF$39</c:f>
              <c:numCache>
                <c:formatCode>General</c:formatCode>
                <c:ptCount val="14"/>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numCache>
            </c:numRef>
          </c:cat>
          <c:val>
            <c:numRef>
              <c:f>'[Análisis Macro del Gasto Público.xlsx]Impulso c gto primario'!$AG$26:$AG$39</c:f>
              <c:numCache>
                <c:formatCode>0.0</c:formatCode>
                <c:ptCount val="14"/>
                <c:pt idx="0">
                  <c:v>0.81217583982908859</c:v>
                </c:pt>
                <c:pt idx="1">
                  <c:v>0.71039355383345915</c:v>
                </c:pt>
                <c:pt idx="2">
                  <c:v>-0.21033752168526604</c:v>
                </c:pt>
                <c:pt idx="3">
                  <c:v>-0.49970795579706173</c:v>
                </c:pt>
                <c:pt idx="4">
                  <c:v>-2.1829671858850319E-2</c:v>
                </c:pt>
                <c:pt idx="5">
                  <c:v>-0.11813701458367931</c:v>
                </c:pt>
                <c:pt idx="6">
                  <c:v>0.34524158684017936</c:v>
                </c:pt>
                <c:pt idx="7">
                  <c:v>0.3755229296396787</c:v>
                </c:pt>
                <c:pt idx="8">
                  <c:v>-0.34618835309241985</c:v>
                </c:pt>
                <c:pt idx="9">
                  <c:v>6.1356898068563384E-2</c:v>
                </c:pt>
                <c:pt idx="10">
                  <c:v>5.5079661667277187E-2</c:v>
                </c:pt>
                <c:pt idx="11">
                  <c:v>0.28634785684281067</c:v>
                </c:pt>
                <c:pt idx="12">
                  <c:v>0.3640526814697303</c:v>
                </c:pt>
                <c:pt idx="13">
                  <c:v>-1.6577392113719853</c:v>
                </c:pt>
              </c:numCache>
            </c:numRef>
          </c:val>
          <c:smooth val="0"/>
          <c:extLst>
            <c:ext xmlns:c16="http://schemas.microsoft.com/office/drawing/2014/chart" uri="{C3380CC4-5D6E-409C-BE32-E72D297353CC}">
              <c16:uniqueId val="{00000000-277B-4BC4-A9DC-4FBF9C76C749}"/>
            </c:ext>
          </c:extLst>
        </c:ser>
        <c:ser>
          <c:idx val="1"/>
          <c:order val="1"/>
          <c:tx>
            <c:strRef>
              <c:f>'[Análisis Macro del Gasto Público.xlsx]Impulso c gto primario'!$AH$3</c:f>
              <c:strCache>
                <c:ptCount val="1"/>
                <c:pt idx="0">
                  <c:v>Imp. Gasto</c:v>
                </c:pt>
              </c:strCache>
            </c:strRef>
          </c:tx>
          <c:spPr>
            <a:ln w="19050">
              <a:solidFill>
                <a:schemeClr val="accent5">
                  <a:lumMod val="75000"/>
                </a:schemeClr>
              </a:solidFill>
              <a:prstDash val="sysDash"/>
            </a:ln>
          </c:spPr>
          <c:marker>
            <c:symbol val="none"/>
          </c:marker>
          <c:cat>
            <c:numRef>
              <c:f>'[Análisis Macro del Gasto Público.xlsx]Impulso c gto primario'!$AF$26:$AF$39</c:f>
              <c:numCache>
                <c:formatCode>General</c:formatCode>
                <c:ptCount val="14"/>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numCache>
            </c:numRef>
          </c:cat>
          <c:val>
            <c:numRef>
              <c:f>'[Análisis Macro del Gasto Público.xlsx]Impulso c gto primario'!$AH$26:$AH$39</c:f>
              <c:numCache>
                <c:formatCode>0.0</c:formatCode>
                <c:ptCount val="14"/>
                <c:pt idx="0">
                  <c:v>-0.52551919022815174</c:v>
                </c:pt>
                <c:pt idx="1">
                  <c:v>0.40403325196723694</c:v>
                </c:pt>
                <c:pt idx="2">
                  <c:v>0.21351174102211745</c:v>
                </c:pt>
                <c:pt idx="3">
                  <c:v>0.13442550258642161</c:v>
                </c:pt>
                <c:pt idx="4">
                  <c:v>-0.4313293226469781</c:v>
                </c:pt>
                <c:pt idx="5">
                  <c:v>-0.18817503900729382</c:v>
                </c:pt>
                <c:pt idx="6">
                  <c:v>-0.24919091203189003</c:v>
                </c:pt>
                <c:pt idx="7">
                  <c:v>-0.99400256590575931</c:v>
                </c:pt>
                <c:pt idx="8">
                  <c:v>-2.6656726950732013E-2</c:v>
                </c:pt>
                <c:pt idx="9">
                  <c:v>0.20629827401783526</c:v>
                </c:pt>
                <c:pt idx="10">
                  <c:v>0.41172452048851654</c:v>
                </c:pt>
                <c:pt idx="11">
                  <c:v>0.10931690493186125</c:v>
                </c:pt>
                <c:pt idx="12">
                  <c:v>1.5593074315023667</c:v>
                </c:pt>
                <c:pt idx="13">
                  <c:v>-1.5168627911854173</c:v>
                </c:pt>
              </c:numCache>
            </c:numRef>
          </c:val>
          <c:smooth val="0"/>
          <c:extLst>
            <c:ext xmlns:c16="http://schemas.microsoft.com/office/drawing/2014/chart" uri="{C3380CC4-5D6E-409C-BE32-E72D297353CC}">
              <c16:uniqueId val="{00000001-277B-4BC4-A9DC-4FBF9C76C749}"/>
            </c:ext>
          </c:extLst>
        </c:ser>
        <c:ser>
          <c:idx val="2"/>
          <c:order val="2"/>
          <c:tx>
            <c:strRef>
              <c:f>'[Análisis Macro del Gasto Público.xlsx]Impulso c gto primario'!$AI$3</c:f>
              <c:strCache>
                <c:ptCount val="1"/>
                <c:pt idx="0">
                  <c:v>Impulso total</c:v>
                </c:pt>
              </c:strCache>
            </c:strRef>
          </c:tx>
          <c:spPr>
            <a:ln w="31750">
              <a:solidFill>
                <a:srgbClr val="C00000"/>
              </a:solidFill>
            </a:ln>
          </c:spPr>
          <c:marker>
            <c:symbol val="none"/>
          </c:marker>
          <c:cat>
            <c:numRef>
              <c:f>'[Análisis Macro del Gasto Público.xlsx]Impulso c gto primario'!$AF$26:$AF$39</c:f>
              <c:numCache>
                <c:formatCode>General</c:formatCode>
                <c:ptCount val="14"/>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numCache>
            </c:numRef>
          </c:cat>
          <c:val>
            <c:numRef>
              <c:f>'[Análisis Macro del Gasto Público.xlsx]Impulso c gto primario'!$AI$26:$AI$39</c:f>
              <c:numCache>
                <c:formatCode>0.0</c:formatCode>
                <c:ptCount val="14"/>
                <c:pt idx="0">
                  <c:v>0.28665664960093684</c:v>
                </c:pt>
                <c:pt idx="1">
                  <c:v>1.1144268058006961</c:v>
                </c:pt>
                <c:pt idx="2">
                  <c:v>3.1742193368513583E-3</c:v>
                </c:pt>
                <c:pt idx="3">
                  <c:v>-0.36528245321064023</c:v>
                </c:pt>
                <c:pt idx="4">
                  <c:v>-0.45315899450582831</c:v>
                </c:pt>
                <c:pt idx="5">
                  <c:v>-0.30631205359097313</c:v>
                </c:pt>
                <c:pt idx="6">
                  <c:v>9.6050674808289327E-2</c:v>
                </c:pt>
                <c:pt idx="7">
                  <c:v>-0.61847963626608071</c:v>
                </c:pt>
                <c:pt idx="8">
                  <c:v>-0.37284508004315187</c:v>
                </c:pt>
                <c:pt idx="9">
                  <c:v>0.26765517208639866</c:v>
                </c:pt>
                <c:pt idx="10">
                  <c:v>0.46680418215579372</c:v>
                </c:pt>
                <c:pt idx="11">
                  <c:v>0.39566476177467186</c:v>
                </c:pt>
                <c:pt idx="12">
                  <c:v>1.9233601129720972</c:v>
                </c:pt>
                <c:pt idx="13">
                  <c:v>-3.1746020025574029</c:v>
                </c:pt>
              </c:numCache>
            </c:numRef>
          </c:val>
          <c:smooth val="0"/>
          <c:extLst>
            <c:ext xmlns:c16="http://schemas.microsoft.com/office/drawing/2014/chart" uri="{C3380CC4-5D6E-409C-BE32-E72D297353CC}">
              <c16:uniqueId val="{00000002-277B-4BC4-A9DC-4FBF9C76C749}"/>
            </c:ext>
          </c:extLst>
        </c:ser>
        <c:dLbls>
          <c:showLegendKey val="0"/>
          <c:showVal val="0"/>
          <c:showCatName val="0"/>
          <c:showSerName val="0"/>
          <c:showPercent val="0"/>
          <c:showBubbleSize val="0"/>
        </c:dLbls>
        <c:smooth val="0"/>
        <c:axId val="343827584"/>
        <c:axId val="343829120"/>
      </c:lineChart>
      <c:catAx>
        <c:axId val="343827584"/>
        <c:scaling>
          <c:orientation val="minMax"/>
        </c:scaling>
        <c:delete val="0"/>
        <c:axPos val="b"/>
        <c:majorGridlines>
          <c:spPr>
            <a:ln>
              <a:prstDash val="sysDash"/>
            </a:ln>
          </c:spPr>
        </c:majorGridlines>
        <c:numFmt formatCode="General" sourceLinked="1"/>
        <c:majorTickMark val="out"/>
        <c:minorTickMark val="none"/>
        <c:tickLblPos val="low"/>
        <c:spPr>
          <a:ln>
            <a:prstDash val="sysDash"/>
          </a:ln>
        </c:spPr>
        <c:txPr>
          <a:bodyPr rot="-5400000" vert="horz"/>
          <a:lstStyle/>
          <a:p>
            <a:pPr>
              <a:defRPr b="0"/>
            </a:pPr>
            <a:endParaRPr lang="es-GT"/>
          </a:p>
        </c:txPr>
        <c:crossAx val="343829120"/>
        <c:crosses val="autoZero"/>
        <c:auto val="0"/>
        <c:lblAlgn val="ctr"/>
        <c:lblOffset val="100"/>
        <c:noMultiLvlLbl val="0"/>
      </c:catAx>
      <c:valAx>
        <c:axId val="343829120"/>
        <c:scaling>
          <c:orientation val="minMax"/>
        </c:scaling>
        <c:delete val="0"/>
        <c:axPos val="l"/>
        <c:numFmt formatCode="0.0" sourceLinked="1"/>
        <c:majorTickMark val="out"/>
        <c:minorTickMark val="none"/>
        <c:tickLblPos val="nextTo"/>
        <c:spPr>
          <a:ln>
            <a:prstDash val="dash"/>
          </a:ln>
        </c:spPr>
        <c:txPr>
          <a:bodyPr/>
          <a:lstStyle/>
          <a:p>
            <a:pPr>
              <a:defRPr sz="800" b="0"/>
            </a:pPr>
            <a:endParaRPr lang="es-GT"/>
          </a:p>
        </c:txPr>
        <c:crossAx val="343827584"/>
        <c:crosses val="autoZero"/>
        <c:crossBetween val="midCat"/>
      </c:valAx>
      <c:spPr>
        <a:ln>
          <a:solidFill>
            <a:schemeClr val="tx1">
              <a:tint val="75000"/>
              <a:shade val="95000"/>
              <a:satMod val="105000"/>
            </a:schemeClr>
          </a:solidFill>
        </a:ln>
      </c:spPr>
    </c:plotArea>
    <c:legend>
      <c:legendPos val="b"/>
      <c:layout>
        <c:manualLayout>
          <c:xMode val="edge"/>
          <c:yMode val="edge"/>
          <c:x val="4.7183395437454687E-2"/>
          <c:y val="0.92430853120104173"/>
          <c:w val="0.92297380386338224"/>
          <c:h val="7.3828562127408487E-2"/>
        </c:manualLayout>
      </c:layout>
      <c:overlay val="0"/>
    </c:legend>
    <c:plotVisOnly val="1"/>
    <c:dispBlanksAs val="gap"/>
    <c:showDLblsOverMax val="0"/>
  </c:chart>
  <c:spPr>
    <a:ln>
      <a:noFill/>
    </a:ln>
  </c:spPr>
  <c:txPr>
    <a:bodyPr/>
    <a:lstStyle/>
    <a:p>
      <a:pPr>
        <a:defRPr sz="900" b="1">
          <a:latin typeface="Times New Roman" pitchFamily="18" charset="0"/>
          <a:cs typeface="Times New Roman" pitchFamily="18" charset="0"/>
        </a:defRPr>
      </a:pPr>
      <a:endParaRPr lang="es-GT"/>
    </a:p>
  </c:txPr>
  <c:externalData r:id="rId1">
    <c:autoUpdate val="0"/>
  </c:externalData>
  <c:userShapes r:id="rId2"/>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497705759331986E-2"/>
          <c:y val="0.12109523845813837"/>
          <c:w val="0.8964321380380541"/>
          <c:h val="0.84325999901505255"/>
        </c:manualLayout>
      </c:layout>
      <c:scatterChart>
        <c:scatterStyle val="lineMarker"/>
        <c:varyColors val="0"/>
        <c:ser>
          <c:idx val="0"/>
          <c:order val="0"/>
          <c:spPr>
            <a:ln w="28575">
              <a:noFill/>
            </a:ln>
          </c:spPr>
          <c:marker>
            <c:spPr>
              <a:solidFill>
                <a:srgbClr val="C00000"/>
              </a:solidFill>
              <a:ln>
                <a:solidFill>
                  <a:srgbClr val="0070C0"/>
                </a:solidFill>
              </a:ln>
            </c:spPr>
          </c:marker>
          <c:dPt>
            <c:idx val="3"/>
            <c:bubble3D val="0"/>
            <c:extLst>
              <c:ext xmlns:c16="http://schemas.microsoft.com/office/drawing/2014/chart" uri="{C3380CC4-5D6E-409C-BE32-E72D297353CC}">
                <c16:uniqueId val="{00000000-35D5-4768-9EC5-E375A3883C98}"/>
              </c:ext>
            </c:extLst>
          </c:dPt>
          <c:dPt>
            <c:idx val="5"/>
            <c:bubble3D val="0"/>
            <c:extLst>
              <c:ext xmlns:c16="http://schemas.microsoft.com/office/drawing/2014/chart" uri="{C3380CC4-5D6E-409C-BE32-E72D297353CC}">
                <c16:uniqueId val="{00000001-35D5-4768-9EC5-E375A3883C98}"/>
              </c:ext>
            </c:extLst>
          </c:dPt>
          <c:dPt>
            <c:idx val="7"/>
            <c:bubble3D val="0"/>
            <c:extLst>
              <c:ext xmlns:c16="http://schemas.microsoft.com/office/drawing/2014/chart" uri="{C3380CC4-5D6E-409C-BE32-E72D297353CC}">
                <c16:uniqueId val="{00000002-35D5-4768-9EC5-E375A3883C98}"/>
              </c:ext>
            </c:extLst>
          </c:dPt>
          <c:trendline>
            <c:spPr>
              <a:ln w="12700">
                <a:prstDash val="sysDot"/>
              </a:ln>
            </c:spPr>
            <c:trendlineType val="linear"/>
            <c:dispRSqr val="0"/>
            <c:dispEq val="0"/>
          </c:trendline>
          <c:trendline>
            <c:trendlineType val="log"/>
            <c:dispRSqr val="0"/>
            <c:dispEq val="0"/>
          </c:trendline>
          <c:xVal>
            <c:numRef>
              <c:f>'[Análisis Macro del Gasto Público.xlsx]Impulso c gto primario'!$R$76:$R$81</c:f>
              <c:numCache>
                <c:formatCode>_(* #,##0.00_);_(* \(#,##0.00\);_(* "-"??_);_(@_)</c:formatCode>
                <c:ptCount val="6"/>
                <c:pt idx="0">
                  <c:v>-1.3709655044820135E-2</c:v>
                </c:pt>
                <c:pt idx="1">
                  <c:v>3.8874809336228999E-3</c:v>
                </c:pt>
                <c:pt idx="2">
                  <c:v>2.3195602144252536E-3</c:v>
                </c:pt>
                <c:pt idx="3">
                  <c:v>6.6792043661414446E-3</c:v>
                </c:pt>
                <c:pt idx="4">
                  <c:v>-5.1520940430798468E-2</c:v>
                </c:pt>
                <c:pt idx="5">
                  <c:v>8.8955488938187277E-2</c:v>
                </c:pt>
              </c:numCache>
            </c:numRef>
          </c:xVal>
          <c:yVal>
            <c:numRef>
              <c:f>'[Análisis Macro del Gasto Público.xlsx]Impulso c gto primario'!$S$76:$S$81</c:f>
              <c:numCache>
                <c:formatCode>0.00</c:formatCode>
                <c:ptCount val="6"/>
                <c:pt idx="0">
                  <c:v>-0.37284508004315187</c:v>
                </c:pt>
                <c:pt idx="1">
                  <c:v>0.26765517208639866</c:v>
                </c:pt>
                <c:pt idx="2">
                  <c:v>0.46680418215579372</c:v>
                </c:pt>
                <c:pt idx="3">
                  <c:v>0.39566476177467186</c:v>
                </c:pt>
                <c:pt idx="4">
                  <c:v>1.9233601129720972</c:v>
                </c:pt>
                <c:pt idx="5">
                  <c:v>-3.1746020025574029</c:v>
                </c:pt>
              </c:numCache>
            </c:numRef>
          </c:yVal>
          <c:smooth val="0"/>
          <c:extLst>
            <c:ext xmlns:c16="http://schemas.microsoft.com/office/drawing/2014/chart" uri="{C3380CC4-5D6E-409C-BE32-E72D297353CC}">
              <c16:uniqueId val="{00000005-35D5-4768-9EC5-E375A3883C98}"/>
            </c:ext>
          </c:extLst>
        </c:ser>
        <c:dLbls>
          <c:showLegendKey val="0"/>
          <c:showVal val="0"/>
          <c:showCatName val="0"/>
          <c:showSerName val="0"/>
          <c:showPercent val="0"/>
          <c:showBubbleSize val="0"/>
        </c:dLbls>
        <c:axId val="345109248"/>
        <c:axId val="345111168"/>
      </c:scatterChart>
      <c:valAx>
        <c:axId val="345109248"/>
        <c:scaling>
          <c:orientation val="minMax"/>
          <c:min val="-8.0000000000000016E-2"/>
        </c:scaling>
        <c:delete val="0"/>
        <c:axPos val="b"/>
        <c:numFmt formatCode="_(* #,##0.00_);_(* \(#,##0.00\);_(* &quot;-&quot;??_);_(@_)"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s-GT"/>
          </a:p>
        </c:txPr>
        <c:crossAx val="345111168"/>
        <c:crosses val="autoZero"/>
        <c:crossBetween val="midCat"/>
      </c:valAx>
      <c:valAx>
        <c:axId val="345111168"/>
        <c:scaling>
          <c:orientation val="minMax"/>
          <c:min val="-4"/>
        </c:scaling>
        <c:delete val="0"/>
        <c:axPos val="l"/>
        <c:numFmt formatCode="0.00"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s-GT"/>
          </a:p>
        </c:txPr>
        <c:crossAx val="345109248"/>
        <c:crosses val="autoZero"/>
        <c:crossBetween val="midCat"/>
      </c:valAx>
    </c:plotArea>
    <c:plotVisOnly val="1"/>
    <c:dispBlanksAs val="gap"/>
    <c:showDLblsOverMax val="0"/>
  </c:chart>
  <c:spPr>
    <a:ln>
      <a:noFill/>
    </a:ln>
  </c:sp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613124630607614"/>
          <c:y val="4.2091875856014968E-2"/>
          <c:w val="0.84835624360514261"/>
          <c:h val="0.85488331755709857"/>
        </c:manualLayout>
      </c:layout>
      <c:barChart>
        <c:barDir val="col"/>
        <c:grouping val="clustered"/>
        <c:varyColors val="0"/>
        <c:ser>
          <c:idx val="0"/>
          <c:order val="0"/>
          <c:tx>
            <c:strRef>
              <c:f>Hoja1!$B$1</c:f>
              <c:strCache>
                <c:ptCount val="1"/>
                <c:pt idx="0">
                  <c:v>Obs-Pres</c:v>
                </c:pt>
              </c:strCache>
            </c:strRef>
          </c:tx>
          <c:spPr>
            <a:solidFill>
              <a:srgbClr val="FF0000"/>
            </a:solidFill>
            <a:ln>
              <a:solidFill>
                <a:schemeClr val="tx1"/>
              </a:solidFill>
              <a:prstDash val="sysDot"/>
            </a:ln>
            <a:effectLst/>
          </c:spPr>
          <c:invertIfNegative val="0"/>
          <c:dPt>
            <c:idx val="0"/>
            <c:invertIfNegative val="0"/>
            <c:bubble3D val="0"/>
            <c:extLst>
              <c:ext xmlns:c16="http://schemas.microsoft.com/office/drawing/2014/chart" uri="{C3380CC4-5D6E-409C-BE32-E72D297353CC}">
                <c16:uniqueId val="{00000000-8455-4E9C-AB0F-AB5CA87AA5F0}"/>
              </c:ext>
            </c:extLst>
          </c:dPt>
          <c:dPt>
            <c:idx val="1"/>
            <c:invertIfNegative val="0"/>
            <c:bubble3D val="0"/>
            <c:extLst>
              <c:ext xmlns:c16="http://schemas.microsoft.com/office/drawing/2014/chart" uri="{C3380CC4-5D6E-409C-BE32-E72D297353CC}">
                <c16:uniqueId val="{00000001-8455-4E9C-AB0F-AB5CA87AA5F0}"/>
              </c:ext>
            </c:extLst>
          </c:dPt>
          <c:dPt>
            <c:idx val="2"/>
            <c:invertIfNegative val="0"/>
            <c:bubble3D val="0"/>
            <c:extLst>
              <c:ext xmlns:c16="http://schemas.microsoft.com/office/drawing/2014/chart" uri="{C3380CC4-5D6E-409C-BE32-E72D297353CC}">
                <c16:uniqueId val="{00000002-8455-4E9C-AB0F-AB5CA87AA5F0}"/>
              </c:ext>
            </c:extLst>
          </c:dPt>
          <c:dPt>
            <c:idx val="3"/>
            <c:invertIfNegative val="0"/>
            <c:bubble3D val="0"/>
            <c:extLst>
              <c:ext xmlns:c16="http://schemas.microsoft.com/office/drawing/2014/chart" uri="{C3380CC4-5D6E-409C-BE32-E72D297353CC}">
                <c16:uniqueId val="{00000003-8455-4E9C-AB0F-AB5CA87AA5F0}"/>
              </c:ext>
            </c:extLst>
          </c:dPt>
          <c:dPt>
            <c:idx val="4"/>
            <c:invertIfNegative val="0"/>
            <c:bubble3D val="0"/>
            <c:extLst>
              <c:ext xmlns:c16="http://schemas.microsoft.com/office/drawing/2014/chart" uri="{C3380CC4-5D6E-409C-BE32-E72D297353CC}">
                <c16:uniqueId val="{00000004-8455-4E9C-AB0F-AB5CA87AA5F0}"/>
              </c:ext>
            </c:extLst>
          </c:dPt>
          <c:dPt>
            <c:idx val="5"/>
            <c:invertIfNegative val="0"/>
            <c:bubble3D val="0"/>
            <c:extLst>
              <c:ext xmlns:c16="http://schemas.microsoft.com/office/drawing/2014/chart" uri="{C3380CC4-5D6E-409C-BE32-E72D297353CC}">
                <c16:uniqueId val="{00000005-8455-4E9C-AB0F-AB5CA87AA5F0}"/>
              </c:ext>
            </c:extLst>
          </c:dPt>
          <c:dPt>
            <c:idx val="6"/>
            <c:invertIfNegative val="0"/>
            <c:bubble3D val="0"/>
            <c:extLst>
              <c:ext xmlns:c16="http://schemas.microsoft.com/office/drawing/2014/chart" uri="{C3380CC4-5D6E-409C-BE32-E72D297353CC}">
                <c16:uniqueId val="{00000006-8455-4E9C-AB0F-AB5CA87AA5F0}"/>
              </c:ext>
            </c:extLst>
          </c:dPt>
          <c:dLbls>
            <c:dLbl>
              <c:idx val="4"/>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dLblPos val="outEnd"/>
              <c:showLegendKey val="0"/>
              <c:showVal val="1"/>
              <c:showCatName val="0"/>
              <c:showSerName val="0"/>
              <c:showPercent val="0"/>
              <c:showBubbleSize val="0"/>
              <c:extLst>
                <c:ext xmlns:c16="http://schemas.microsoft.com/office/drawing/2014/chart" uri="{C3380CC4-5D6E-409C-BE32-E72D297353CC}">
                  <c16:uniqueId val="{00000004-8455-4E9C-AB0F-AB5CA87AA5F0}"/>
                </c:ext>
              </c:extLst>
            </c:dLbl>
            <c:dLbl>
              <c:idx val="5"/>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dLblPos val="outEnd"/>
              <c:showLegendKey val="0"/>
              <c:showVal val="1"/>
              <c:showCatName val="0"/>
              <c:showSerName val="0"/>
              <c:showPercent val="0"/>
              <c:showBubbleSize val="0"/>
              <c:extLst>
                <c:ext xmlns:c16="http://schemas.microsoft.com/office/drawing/2014/chart" uri="{C3380CC4-5D6E-409C-BE32-E72D297353CC}">
                  <c16:uniqueId val="{00000005-8455-4E9C-AB0F-AB5CA87AA5F0}"/>
                </c:ext>
              </c:extLst>
            </c:dLbl>
            <c:dLbl>
              <c:idx val="6"/>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dLblPos val="outEnd"/>
              <c:showLegendKey val="0"/>
              <c:showVal val="1"/>
              <c:showCatName val="0"/>
              <c:showSerName val="0"/>
              <c:showPercent val="0"/>
              <c:showBubbleSize val="0"/>
              <c:extLst>
                <c:ext xmlns:c16="http://schemas.microsoft.com/office/drawing/2014/chart" uri="{C3380CC4-5D6E-409C-BE32-E72D297353CC}">
                  <c16:uniqueId val="{00000006-8455-4E9C-AB0F-AB5CA87AA5F0}"/>
                </c:ext>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Hoja1!$A$2:$A$7</c:f>
              <c:strCache>
                <c:ptCount val="6"/>
                <c:pt idx="0">
                  <c:v>Ene</c:v>
                </c:pt>
                <c:pt idx="1">
                  <c:v>Feb</c:v>
                </c:pt>
                <c:pt idx="2">
                  <c:v>Mar*</c:v>
                </c:pt>
                <c:pt idx="3">
                  <c:v>Abr*</c:v>
                </c:pt>
                <c:pt idx="4">
                  <c:v>May</c:v>
                </c:pt>
                <c:pt idx="5">
                  <c:v>Jun</c:v>
                </c:pt>
              </c:strCache>
            </c:strRef>
          </c:cat>
          <c:val>
            <c:numRef>
              <c:f>Hoja1!$B$2:$B$7</c:f>
              <c:numCache>
                <c:formatCode>#,##0.0</c:formatCode>
                <c:ptCount val="6"/>
                <c:pt idx="0">
                  <c:v>27.269265356569122</c:v>
                </c:pt>
                <c:pt idx="1">
                  <c:v>217.69086281125055</c:v>
                </c:pt>
                <c:pt idx="2">
                  <c:v>1070.4282454848981</c:v>
                </c:pt>
                <c:pt idx="3">
                  <c:v>2710.9514503846331</c:v>
                </c:pt>
                <c:pt idx="4">
                  <c:v>4126.7153630266876</c:v>
                </c:pt>
                <c:pt idx="5">
                  <c:v>5348.7829401683957</c:v>
                </c:pt>
              </c:numCache>
            </c:numRef>
          </c:val>
          <c:extLst>
            <c:ext xmlns:c16="http://schemas.microsoft.com/office/drawing/2014/chart" uri="{C3380CC4-5D6E-409C-BE32-E72D297353CC}">
              <c16:uniqueId val="{00000007-8455-4E9C-AB0F-AB5CA87AA5F0}"/>
            </c:ext>
          </c:extLst>
        </c:ser>
        <c:dLbls>
          <c:showLegendKey val="0"/>
          <c:showVal val="0"/>
          <c:showCatName val="0"/>
          <c:showSerName val="0"/>
          <c:showPercent val="0"/>
          <c:showBubbleSize val="0"/>
        </c:dLbls>
        <c:gapWidth val="15"/>
        <c:axId val="50446720"/>
        <c:axId val="50448256"/>
      </c:barChart>
      <c:catAx>
        <c:axId val="50446720"/>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low"/>
        <c:spPr>
          <a:noFill/>
          <a:ln w="9525" cap="flat" cmpd="sng" algn="ctr">
            <a:solidFill>
              <a:srgbClr val="FF0000"/>
            </a:solidFill>
            <a:prstDash val="sysDash"/>
            <a:round/>
          </a:ln>
          <a:effectLst/>
        </c:spPr>
        <c:txPr>
          <a:bodyPr rot="-60000000" spcFirstLastPara="1" vertOverflow="ellipsis" vert="horz" wrap="square" anchor="ctr" anchorCtr="1"/>
          <a:lstStyle/>
          <a:p>
            <a:pPr>
              <a:defRPr sz="7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50448256"/>
        <c:crosses val="autoZero"/>
        <c:auto val="1"/>
        <c:lblAlgn val="ctr"/>
        <c:lblOffset val="100"/>
        <c:noMultiLvlLbl val="0"/>
      </c:catAx>
      <c:valAx>
        <c:axId val="50448256"/>
        <c:scaling>
          <c:orientation val="minMax"/>
        </c:scaling>
        <c:delete val="0"/>
        <c:axPos val="l"/>
        <c:majorGridlines>
          <c:spPr>
            <a:ln w="9525" cap="flat" cmpd="sng" algn="ctr">
              <a:solidFill>
                <a:schemeClr val="dk1">
                  <a:lumMod val="15000"/>
                  <a:lumOff val="85000"/>
                  <a:alpha val="54000"/>
                </a:schemeClr>
              </a:solidFill>
              <a:round/>
            </a:ln>
            <a:effectLst/>
          </c:spPr>
        </c:majorGridlines>
        <c:numFmt formatCode="#,##0_ ;\-#,##0\ " sourceLinked="0"/>
        <c:majorTickMark val="none"/>
        <c:minorTickMark val="none"/>
        <c:tickLblPos val="nextTo"/>
        <c:spPr>
          <a:noFill/>
          <a:ln>
            <a:noFill/>
          </a:ln>
          <a:effectLst/>
        </c:spPr>
        <c:txPr>
          <a:bodyPr rot="-60000000" spcFirstLastPara="1" vertOverflow="ellipsis" vert="horz" wrap="square" anchor="ctr" anchorCtr="1"/>
          <a:lstStyle/>
          <a:p>
            <a:pPr>
              <a:defRPr sz="700" b="1"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50446720"/>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noFill/>
      <a:round/>
    </a:ln>
    <a:effectLst/>
  </c:spPr>
  <c:txPr>
    <a:bodyPr/>
    <a:lstStyle/>
    <a:p>
      <a:pPr>
        <a:defRPr sz="550"/>
      </a:pPr>
      <a:endParaRPr lang="es-GT"/>
    </a:p>
  </c:txPr>
  <c:externalData r:id="rId1">
    <c:autoUpdate val="0"/>
  </c:externalData>
  <c:userShapes r:id="rId2"/>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tx2"/>
            </a:solidFill>
            <a:ln>
              <a:solidFill>
                <a:schemeClr val="accent1"/>
              </a:solidFill>
            </a:ln>
            <a:effectLst>
              <a:outerShdw blurRad="50800" dist="38100" dir="2700000" algn="tl" rotWithShape="0">
                <a:prstClr val="black">
                  <a:alpha val="40000"/>
                </a:prstClr>
              </a:outerShdw>
            </a:effectLst>
            <a:scene3d>
              <a:camera prst="orthographicFront"/>
              <a:lightRig rig="threePt" dir="t"/>
            </a:scene3d>
            <a:sp3d>
              <a:bevelT w="152400" h="50800" prst="softRound"/>
            </a:sp3d>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Hoja4!$C$14:$C$20</c:f>
              <c:strCache>
                <c:ptCount val="7"/>
                <c:pt idx="0">
                  <c:v>Producto mundial</c:v>
                </c:pt>
                <c:pt idx="1">
                  <c:v>Economías avanzadas</c:v>
                </c:pt>
                <c:pt idx="2">
                  <c:v>Estados Unidos</c:v>
                </c:pt>
                <c:pt idx="3">
                  <c:v>Zona del euro</c:v>
                </c:pt>
                <c:pt idx="4">
                  <c:v>Economías emergentes y en desarrollo</c:v>
                </c:pt>
                <c:pt idx="5">
                  <c:v>Economías emergentes y en desarrollo de Asia</c:v>
                </c:pt>
                <c:pt idx="6">
                  <c:v>América Latina y El Caribe</c:v>
                </c:pt>
              </c:strCache>
            </c:strRef>
          </c:cat>
          <c:val>
            <c:numRef>
              <c:f>Hoja4!$D$14:$D$20</c:f>
              <c:numCache>
                <c:formatCode>0.0%</c:formatCode>
                <c:ptCount val="7"/>
                <c:pt idx="0">
                  <c:v>4.3999999999999997E-2</c:v>
                </c:pt>
                <c:pt idx="1">
                  <c:v>3.9E-2</c:v>
                </c:pt>
                <c:pt idx="2">
                  <c:v>0.04</c:v>
                </c:pt>
                <c:pt idx="3">
                  <c:v>3.9E-2</c:v>
                </c:pt>
                <c:pt idx="4">
                  <c:v>4.8000000000000001E-2</c:v>
                </c:pt>
                <c:pt idx="5">
                  <c:v>5.9000000000000004E-2</c:v>
                </c:pt>
                <c:pt idx="6">
                  <c:v>2.4E-2</c:v>
                </c:pt>
              </c:numCache>
            </c:numRef>
          </c:val>
          <c:extLst>
            <c:ext xmlns:c16="http://schemas.microsoft.com/office/drawing/2014/chart" uri="{C3380CC4-5D6E-409C-BE32-E72D297353CC}">
              <c16:uniqueId val="{00000000-07A8-4B0A-B8A5-077984C176DA}"/>
            </c:ext>
          </c:extLst>
        </c:ser>
        <c:dLbls>
          <c:showLegendKey val="0"/>
          <c:showVal val="0"/>
          <c:showCatName val="0"/>
          <c:showSerName val="0"/>
          <c:showPercent val="0"/>
          <c:showBubbleSize val="0"/>
        </c:dLbls>
        <c:gapWidth val="50"/>
        <c:overlap val="-27"/>
        <c:axId val="496102152"/>
        <c:axId val="496106088"/>
      </c:barChart>
      <c:catAx>
        <c:axId val="496102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496106088"/>
        <c:crosses val="autoZero"/>
        <c:auto val="1"/>
        <c:lblAlgn val="ctr"/>
        <c:lblOffset val="100"/>
        <c:noMultiLvlLbl val="0"/>
      </c:catAx>
      <c:valAx>
        <c:axId val="49610608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49610215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
          <c:y val="0"/>
          <c:w val="1"/>
          <c:h val="0.88453026286287073"/>
        </c:manualLayout>
      </c:layout>
      <c:barChart>
        <c:barDir val="col"/>
        <c:grouping val="clustered"/>
        <c:varyColors val="0"/>
        <c:ser>
          <c:idx val="0"/>
          <c:order val="0"/>
          <c:tx>
            <c:strRef>
              <c:f>Hoja1!$B$1</c:f>
              <c:strCache>
                <c:ptCount val="1"/>
                <c:pt idx="0">
                  <c:v>Crecimiento económico </c:v>
                </c:pt>
              </c:strCache>
            </c:strRef>
          </c:tx>
          <c:spPr>
            <a:solidFill>
              <a:srgbClr val="002060"/>
            </a:solidFill>
            <a:ln>
              <a:noFill/>
            </a:ln>
            <a:effectLst/>
          </c:spPr>
          <c:invertIfNegative val="0"/>
          <c:dPt>
            <c:idx val="5"/>
            <c:invertIfNegative val="0"/>
            <c:bubble3D val="0"/>
            <c:spPr>
              <a:solidFill>
                <a:schemeClr val="accent4"/>
              </a:solidFill>
              <a:ln>
                <a:noFill/>
              </a:ln>
              <a:effectLst/>
            </c:spPr>
            <c:extLst>
              <c:ext xmlns:c16="http://schemas.microsoft.com/office/drawing/2014/chart" uri="{C3380CC4-5D6E-409C-BE32-E72D297353CC}">
                <c16:uniqueId val="{00000001-C9A0-44FF-BFC4-9315637F90C0}"/>
              </c:ext>
            </c:extLst>
          </c:dPt>
          <c:dLbls>
            <c:dLbl>
              <c:idx val="5"/>
              <c:tx>
                <c:rich>
                  <a:bodyPr rot="0" spcFirstLastPara="1" vertOverflow="ellipsis" vert="horz" wrap="square" lIns="38100" tIns="19050" rIns="38100" bIns="19050" anchor="ctr" anchorCtr="1">
                    <a:spAutoFit/>
                  </a:bodyPr>
                  <a:lstStyle/>
                  <a:p>
                    <a:pPr>
                      <a:defRPr sz="900" b="1" i="0" u="none" strike="noStrike" kern="1200" baseline="0">
                        <a:solidFill>
                          <a:schemeClr val="accent4"/>
                        </a:solidFill>
                        <a:latin typeface="Times New Roman" panose="02020603050405020304" pitchFamily="18" charset="0"/>
                        <a:ea typeface="+mn-ea"/>
                        <a:cs typeface="Times New Roman" panose="02020603050405020304" pitchFamily="18" charset="0"/>
                      </a:defRPr>
                    </a:pPr>
                    <a:fld id="{FC8D20BF-C285-48E8-BE1D-38D75FCE9D17}" type="VALUE">
                      <a:rPr lang="en-US" b="1">
                        <a:solidFill>
                          <a:schemeClr val="accent4"/>
                        </a:solidFill>
                        <a:latin typeface="Times New Roman" panose="02020603050405020304" pitchFamily="18" charset="0"/>
                        <a:cs typeface="Times New Roman" panose="02020603050405020304" pitchFamily="18" charset="0"/>
                      </a:rPr>
                      <a:pPr>
                        <a:defRPr b="1">
                          <a:solidFill>
                            <a:schemeClr val="accent4"/>
                          </a:solidFill>
                          <a:latin typeface="Times New Roman" panose="02020603050405020304" pitchFamily="18" charset="0"/>
                          <a:cs typeface="Times New Roman" panose="02020603050405020304" pitchFamily="18" charset="0"/>
                        </a:defRPr>
                      </a:pPr>
                      <a:t>[VALOR]</a:t>
                    </a:fld>
                    <a:endParaRPr lang="es-GT"/>
                  </a:p>
                </c:rich>
              </c:tx>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4"/>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C9A0-44FF-BFC4-9315637F90C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Hoja1!$A$2:$A$7</c:f>
              <c:strCache>
                <c:ptCount val="6"/>
                <c:pt idx="0">
                  <c:v>2017</c:v>
                </c:pt>
                <c:pt idx="1">
                  <c:v>2018</c:v>
                </c:pt>
                <c:pt idx="2">
                  <c:v>2019</c:v>
                </c:pt>
                <c:pt idx="3">
                  <c:v>2020</c:v>
                </c:pt>
                <c:pt idx="4">
                  <c:v>2021</c:v>
                </c:pt>
                <c:pt idx="5">
                  <c:v>Proyección 2022</c:v>
                </c:pt>
              </c:strCache>
            </c:strRef>
          </c:cat>
          <c:val>
            <c:numRef>
              <c:f>Hoja1!$B$2:$B$7</c:f>
              <c:numCache>
                <c:formatCode>General</c:formatCode>
                <c:ptCount val="6"/>
                <c:pt idx="0">
                  <c:v>3</c:v>
                </c:pt>
                <c:pt idx="1">
                  <c:v>3.2</c:v>
                </c:pt>
                <c:pt idx="2">
                  <c:v>3.8</c:v>
                </c:pt>
                <c:pt idx="3">
                  <c:v>1.5</c:v>
                </c:pt>
                <c:pt idx="4">
                  <c:v>7.5</c:v>
                </c:pt>
                <c:pt idx="5">
                  <c:v>4.5</c:v>
                </c:pt>
              </c:numCache>
            </c:numRef>
          </c:val>
          <c:extLst>
            <c:ext xmlns:c16="http://schemas.microsoft.com/office/drawing/2014/chart" uri="{C3380CC4-5D6E-409C-BE32-E72D297353CC}">
              <c16:uniqueId val="{00000002-C9A0-44FF-BFC4-9315637F90C0}"/>
            </c:ext>
          </c:extLst>
        </c:ser>
        <c:dLbls>
          <c:showLegendKey val="0"/>
          <c:showVal val="0"/>
          <c:showCatName val="0"/>
          <c:showSerName val="0"/>
          <c:showPercent val="0"/>
          <c:showBubbleSize val="0"/>
        </c:dLbls>
        <c:gapWidth val="50"/>
        <c:axId val="1793895808"/>
        <c:axId val="1793889568"/>
      </c:barChart>
      <c:catAx>
        <c:axId val="1793895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793889568"/>
        <c:crosses val="autoZero"/>
        <c:auto val="1"/>
        <c:lblAlgn val="ctr"/>
        <c:lblOffset val="100"/>
        <c:noMultiLvlLbl val="0"/>
      </c:catAx>
      <c:valAx>
        <c:axId val="1793889568"/>
        <c:scaling>
          <c:orientation val="minMax"/>
          <c:max val="9"/>
        </c:scaling>
        <c:delete val="1"/>
        <c:axPos val="l"/>
        <c:numFmt formatCode="General" sourceLinked="1"/>
        <c:majorTickMark val="none"/>
        <c:minorTickMark val="none"/>
        <c:tickLblPos val="nextTo"/>
        <c:crossAx val="1793895808"/>
        <c:crosses val="autoZero"/>
        <c:crossBetween val="between"/>
      </c:valAx>
      <c:spPr>
        <a:noFill/>
        <a:ln cap="rnd">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374855824682813E-2"/>
          <c:y val="0"/>
          <c:w val="0.94925028835063441"/>
          <c:h val="0.7822643964376248"/>
        </c:manualLayout>
      </c:layout>
      <c:barChart>
        <c:barDir val="col"/>
        <c:grouping val="clustered"/>
        <c:varyColors val="0"/>
        <c:ser>
          <c:idx val="0"/>
          <c:order val="0"/>
          <c:tx>
            <c:strRef>
              <c:f>Hoja1!$B$20</c:f>
              <c:strCache>
                <c:ptCount val="1"/>
                <c:pt idx="0">
                  <c:v>2020(p)</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ln>
                      <a:noFill/>
                    </a:ln>
                    <a:solidFill>
                      <a:schemeClr val="accent5"/>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Hoja1!$A$21:$A$25</c:f>
              <c:strCache>
                <c:ptCount val="5"/>
                <c:pt idx="0">
                  <c:v>Demanda interna</c:v>
                </c:pt>
                <c:pt idx="1">
                  <c:v>Gasto de Consumo Final</c:v>
                </c:pt>
                <c:pt idx="2">
                  <c:v>Formación Bruta de capital</c:v>
                </c:pt>
                <c:pt idx="3">
                  <c:v>Exportaciones de bienes y servicios </c:v>
                </c:pt>
                <c:pt idx="4">
                  <c:v>Importaciones de bienes y servicios </c:v>
                </c:pt>
              </c:strCache>
            </c:strRef>
          </c:cat>
          <c:val>
            <c:numRef>
              <c:f>Hoja1!$B$21:$B$25</c:f>
              <c:numCache>
                <c:formatCode>General</c:formatCode>
                <c:ptCount val="5"/>
                <c:pt idx="0">
                  <c:v>-1.8</c:v>
                </c:pt>
                <c:pt idx="1">
                  <c:v>-0.7</c:v>
                </c:pt>
                <c:pt idx="2">
                  <c:v>-5.9</c:v>
                </c:pt>
                <c:pt idx="3">
                  <c:v>-4.4000000000000004</c:v>
                </c:pt>
                <c:pt idx="4">
                  <c:v>-4.5999999999999996</c:v>
                </c:pt>
              </c:numCache>
            </c:numRef>
          </c:val>
          <c:extLst>
            <c:ext xmlns:c16="http://schemas.microsoft.com/office/drawing/2014/chart" uri="{C3380CC4-5D6E-409C-BE32-E72D297353CC}">
              <c16:uniqueId val="{00000000-4DE3-43D4-B190-FEB7B75EBBFB}"/>
            </c:ext>
          </c:extLst>
        </c:ser>
        <c:ser>
          <c:idx val="1"/>
          <c:order val="1"/>
          <c:tx>
            <c:strRef>
              <c:f>Hoja1!$C$20</c:f>
              <c:strCache>
                <c:ptCount val="1"/>
                <c:pt idx="0">
                  <c:v>2021 (es)</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ln>
                      <a:noFill/>
                    </a:ln>
                    <a:solidFill>
                      <a:schemeClr val="accent2"/>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Hoja1!$A$21:$A$25</c:f>
              <c:strCache>
                <c:ptCount val="5"/>
                <c:pt idx="0">
                  <c:v>Demanda interna</c:v>
                </c:pt>
                <c:pt idx="1">
                  <c:v>Gasto de Consumo Final</c:v>
                </c:pt>
                <c:pt idx="2">
                  <c:v>Formación Bruta de capital</c:v>
                </c:pt>
                <c:pt idx="3">
                  <c:v>Exportaciones de bienes y servicios </c:v>
                </c:pt>
                <c:pt idx="4">
                  <c:v>Importaciones de bienes y servicios </c:v>
                </c:pt>
              </c:strCache>
            </c:strRef>
          </c:cat>
          <c:val>
            <c:numRef>
              <c:f>Hoja1!$C$21:$C$25</c:f>
              <c:numCache>
                <c:formatCode>General</c:formatCode>
                <c:ptCount val="5"/>
                <c:pt idx="0">
                  <c:v>10.6</c:v>
                </c:pt>
                <c:pt idx="1">
                  <c:v>8.3000000000000007</c:v>
                </c:pt>
                <c:pt idx="2">
                  <c:v>18.8</c:v>
                </c:pt>
                <c:pt idx="3">
                  <c:v>12.4</c:v>
                </c:pt>
                <c:pt idx="4">
                  <c:v>24.3</c:v>
                </c:pt>
              </c:numCache>
            </c:numRef>
          </c:val>
          <c:extLst>
            <c:ext xmlns:c16="http://schemas.microsoft.com/office/drawing/2014/chart" uri="{C3380CC4-5D6E-409C-BE32-E72D297353CC}">
              <c16:uniqueId val="{00000001-4DE3-43D4-B190-FEB7B75EBBFB}"/>
            </c:ext>
          </c:extLst>
        </c:ser>
        <c:ser>
          <c:idx val="2"/>
          <c:order val="2"/>
          <c:tx>
            <c:strRef>
              <c:f>Hoja1!$D$20</c:f>
              <c:strCache>
                <c:ptCount val="1"/>
                <c:pt idx="0">
                  <c:v> 2022(py)</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ln>
                      <a:noFill/>
                    </a:ln>
                    <a:solidFill>
                      <a:schemeClr val="bg1">
                        <a:lumMod val="50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Hoja1!$A$21:$A$25</c:f>
              <c:strCache>
                <c:ptCount val="5"/>
                <c:pt idx="0">
                  <c:v>Demanda interna</c:v>
                </c:pt>
                <c:pt idx="1">
                  <c:v>Gasto de Consumo Final</c:v>
                </c:pt>
                <c:pt idx="2">
                  <c:v>Formación Bruta de capital</c:v>
                </c:pt>
                <c:pt idx="3">
                  <c:v>Exportaciones de bienes y servicios </c:v>
                </c:pt>
                <c:pt idx="4">
                  <c:v>Importaciones de bienes y servicios </c:v>
                </c:pt>
              </c:strCache>
            </c:strRef>
          </c:cat>
          <c:val>
            <c:numRef>
              <c:f>Hoja1!$D$21:$D$25</c:f>
              <c:numCache>
                <c:formatCode>General</c:formatCode>
                <c:ptCount val="5"/>
                <c:pt idx="0">
                  <c:v>4.4000000000000004</c:v>
                </c:pt>
                <c:pt idx="1">
                  <c:v>4.5</c:v>
                </c:pt>
                <c:pt idx="2">
                  <c:v>6</c:v>
                </c:pt>
                <c:pt idx="3">
                  <c:v>5.5</c:v>
                </c:pt>
                <c:pt idx="4">
                  <c:v>4.7</c:v>
                </c:pt>
              </c:numCache>
            </c:numRef>
          </c:val>
          <c:extLst>
            <c:ext xmlns:c16="http://schemas.microsoft.com/office/drawing/2014/chart" uri="{C3380CC4-5D6E-409C-BE32-E72D297353CC}">
              <c16:uniqueId val="{00000002-4DE3-43D4-B190-FEB7B75EBBFB}"/>
            </c:ext>
          </c:extLst>
        </c:ser>
        <c:dLbls>
          <c:showLegendKey val="0"/>
          <c:showVal val="0"/>
          <c:showCatName val="0"/>
          <c:showSerName val="0"/>
          <c:showPercent val="0"/>
          <c:showBubbleSize val="0"/>
        </c:dLbls>
        <c:gapWidth val="100"/>
        <c:overlap val="-27"/>
        <c:axId val="2029185072"/>
        <c:axId val="2029181744"/>
      </c:barChart>
      <c:catAx>
        <c:axId val="20291850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029181744"/>
        <c:crosses val="autoZero"/>
        <c:auto val="1"/>
        <c:lblAlgn val="ctr"/>
        <c:lblOffset val="100"/>
        <c:noMultiLvlLbl val="0"/>
      </c:catAx>
      <c:valAx>
        <c:axId val="2029181744"/>
        <c:scaling>
          <c:orientation val="minMax"/>
        </c:scaling>
        <c:delete val="1"/>
        <c:axPos val="l"/>
        <c:numFmt formatCode="General" sourceLinked="1"/>
        <c:majorTickMark val="none"/>
        <c:minorTickMark val="none"/>
        <c:tickLblPos val="nextTo"/>
        <c:crossAx val="2029185072"/>
        <c:crosses val="autoZero"/>
        <c:crossBetween val="between"/>
      </c:valAx>
      <c:spPr>
        <a:noFill/>
        <a:ln>
          <a:noFill/>
        </a:ln>
        <a:effectLst/>
      </c:spPr>
    </c:plotArea>
    <c:legend>
      <c:legendPos val="b"/>
      <c:layout>
        <c:manualLayout>
          <c:xMode val="edge"/>
          <c:yMode val="edge"/>
          <c:x val="0.32786057452161038"/>
          <c:y val="0.94828274670794355"/>
          <c:w val="0.34427885095677918"/>
          <c:h val="4.8844927441920996E-2"/>
        </c:manualLayout>
      </c:layout>
      <c:overlay val="0"/>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chart>
  <c:spPr>
    <a:solidFill>
      <a:schemeClr val="bg1"/>
    </a:solidFill>
    <a:ln w="9525" cap="flat" cmpd="sng" algn="ctr">
      <a:noFill/>
      <a:round/>
    </a:ln>
    <a:effectLst/>
  </c:spPr>
  <c:txPr>
    <a:bodyPr/>
    <a:lstStyle/>
    <a:p>
      <a:pPr>
        <a:defRPr>
          <a:ln>
            <a:noFill/>
          </a:ln>
        </a:defRPr>
      </a:pPr>
      <a:endParaRPr lang="es-GT"/>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4091957955357414"/>
          <c:y val="0"/>
          <c:w val="0.40699039402152126"/>
          <c:h val="0.96886058032554845"/>
        </c:manualLayout>
      </c:layout>
      <c:barChart>
        <c:barDir val="bar"/>
        <c:grouping val="clustered"/>
        <c:varyColors val="0"/>
        <c:ser>
          <c:idx val="0"/>
          <c:order val="0"/>
          <c:tx>
            <c:strRef>
              <c:f>Hoja1!$B$38</c:f>
              <c:strCache>
                <c:ptCount val="1"/>
                <c:pt idx="0">
                  <c:v>2020(p)</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ln>
                      <a:noFill/>
                    </a:ln>
                    <a:solidFill>
                      <a:schemeClr val="accent5"/>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Hoja1!$A$39:$A$55</c:f>
              <c:strCache>
                <c:ptCount val="17"/>
                <c:pt idx="0">
                  <c:v>Agricultura, ganadería, silvicultura y pesca </c:v>
                </c:pt>
                <c:pt idx="1">
                  <c:v>Explotación de minas y canteras </c:v>
                </c:pt>
                <c:pt idx="2">
                  <c:v>Industrias manufactureras </c:v>
                </c:pt>
                <c:pt idx="3">
                  <c:v>Suministro de electricidad, agua y servicios de saneamiento </c:v>
                </c:pt>
                <c:pt idx="4">
                  <c:v>Construcción </c:v>
                </c:pt>
                <c:pt idx="5">
                  <c:v>Comercio al por mayor y al por menor; mantenimiento y reparación de vehículos automotores y motocicletas</c:v>
                </c:pt>
                <c:pt idx="6">
                  <c:v>Transporte y almacenamiento </c:v>
                </c:pt>
                <c:pt idx="7">
                  <c:v>Actividades de alojamiento y de servicio de comidas</c:v>
                </c:pt>
                <c:pt idx="8">
                  <c:v>Información y comunicaciones</c:v>
                </c:pt>
                <c:pt idx="9">
                  <c:v>Actividades financieras y de seguros  </c:v>
                </c:pt>
                <c:pt idx="10">
                  <c:v>Actividades inmobiliarias </c:v>
                </c:pt>
                <c:pt idx="11">
                  <c:v>Actividades profesionales, científicas y técnicas</c:v>
                </c:pt>
                <c:pt idx="12">
                  <c:v>Actividades de servicios administrativos y de apoyo </c:v>
                </c:pt>
                <c:pt idx="13">
                  <c:v>Administración pública y defensa; planes de seguridad social de afiliación obligatoria </c:v>
                </c:pt>
                <c:pt idx="14">
                  <c:v>Enseñanza</c:v>
                </c:pt>
                <c:pt idx="15">
                  <c:v>Actividades de atención de la salud humana y de asistencia social </c:v>
                </c:pt>
                <c:pt idx="16">
                  <c:v>Otras actividades de servicios </c:v>
                </c:pt>
              </c:strCache>
            </c:strRef>
          </c:cat>
          <c:val>
            <c:numRef>
              <c:f>Hoja1!$B$39:$B$55</c:f>
              <c:numCache>
                <c:formatCode>General</c:formatCode>
                <c:ptCount val="17"/>
                <c:pt idx="0">
                  <c:v>2.9</c:v>
                </c:pt>
                <c:pt idx="1">
                  <c:v>-1.6</c:v>
                </c:pt>
                <c:pt idx="2">
                  <c:v>-0.2</c:v>
                </c:pt>
                <c:pt idx="3">
                  <c:v>2.2000000000000002</c:v>
                </c:pt>
                <c:pt idx="4">
                  <c:v>-6.2</c:v>
                </c:pt>
                <c:pt idx="5">
                  <c:v>-0.5</c:v>
                </c:pt>
                <c:pt idx="6">
                  <c:v>-12.9</c:v>
                </c:pt>
                <c:pt idx="7">
                  <c:v>-24</c:v>
                </c:pt>
                <c:pt idx="8">
                  <c:v>1.4</c:v>
                </c:pt>
                <c:pt idx="9">
                  <c:v>3.4</c:v>
                </c:pt>
                <c:pt idx="10">
                  <c:v>3.1</c:v>
                </c:pt>
                <c:pt idx="11">
                  <c:v>-2.1</c:v>
                </c:pt>
                <c:pt idx="12">
                  <c:v>-0.1</c:v>
                </c:pt>
                <c:pt idx="13">
                  <c:v>1</c:v>
                </c:pt>
                <c:pt idx="14">
                  <c:v>2.4</c:v>
                </c:pt>
                <c:pt idx="15">
                  <c:v>-0.2</c:v>
                </c:pt>
                <c:pt idx="16">
                  <c:v>-9.3000000000000007</c:v>
                </c:pt>
              </c:numCache>
            </c:numRef>
          </c:val>
          <c:extLst>
            <c:ext xmlns:c16="http://schemas.microsoft.com/office/drawing/2014/chart" uri="{C3380CC4-5D6E-409C-BE32-E72D297353CC}">
              <c16:uniqueId val="{00000000-7923-48C5-9ADC-0F7844375E80}"/>
            </c:ext>
          </c:extLst>
        </c:ser>
        <c:ser>
          <c:idx val="1"/>
          <c:order val="1"/>
          <c:tx>
            <c:strRef>
              <c:f>Hoja1!$C$38</c:f>
              <c:strCache>
                <c:ptCount val="1"/>
                <c:pt idx="0">
                  <c:v>2021 (es)</c:v>
                </c:pt>
              </c:strCache>
            </c:strRef>
          </c:tx>
          <c:spPr>
            <a:solidFill>
              <a:schemeClr val="accent2"/>
            </a:solidFill>
            <a:ln>
              <a:noFill/>
            </a:ln>
            <a:effectLst/>
          </c:spPr>
          <c:invertIfNegative val="0"/>
          <c:dLbls>
            <c:dLbl>
              <c:idx val="0"/>
              <c:layout>
                <c:manualLayout>
                  <c:x val="2.7155465037338598E-2"/>
                  <c:y val="-2.619515389652914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0778-4BD3-9621-824EE8CE25CF}"/>
                </c:ext>
              </c:extLst>
            </c:dLbl>
            <c:dLbl>
              <c:idx val="2"/>
              <c:layout>
                <c:manualLayout>
                  <c:x val="2.4892509617560534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0778-4BD3-9621-824EE8CE25CF}"/>
                </c:ext>
              </c:extLst>
            </c:dLbl>
            <c:dLbl>
              <c:idx val="3"/>
              <c:layout>
                <c:manualLayout>
                  <c:x val="1.3577732518669382E-2"/>
                  <c:y val="-9.6047788068363011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778-4BD3-9621-824EE8CE25CF}"/>
                </c:ext>
              </c:extLst>
            </c:dLbl>
            <c:dLbl>
              <c:idx val="8"/>
              <c:layout>
                <c:manualLayout>
                  <c:x val="1.8103643358225844E-2"/>
                  <c:y val="-9.6047788068363011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778-4BD3-9621-824EE8CE25CF}"/>
                </c:ext>
              </c:extLst>
            </c:dLbl>
            <c:dLbl>
              <c:idx val="10"/>
              <c:layout>
                <c:manualLayout>
                  <c:x val="1.131477709889115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778-4BD3-9621-824EE8CE25CF}"/>
                </c:ext>
              </c:extLst>
            </c:dLbl>
            <c:dLbl>
              <c:idx val="13"/>
              <c:layout>
                <c:manualLayout>
                  <c:x val="2.9418420457116994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778-4BD3-9621-824EE8CE25CF}"/>
                </c:ext>
              </c:extLst>
            </c:dLbl>
            <c:dLbl>
              <c:idx val="14"/>
              <c:layout>
                <c:manualLayout>
                  <c:x val="1.8103643358225844E-2"/>
                  <c:y val="-2.4011947017090753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778-4BD3-9621-824EE8CE25CF}"/>
                </c:ext>
              </c:extLst>
            </c:dLbl>
            <c:dLbl>
              <c:idx val="16"/>
              <c:layout>
                <c:manualLayout>
                  <c:x val="-4.525910839556461E-3"/>
                  <c:y val="7.858546168958740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778-4BD3-9621-824EE8CE25CF}"/>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ln>
                      <a:noFill/>
                    </a:ln>
                    <a:solidFill>
                      <a:schemeClr val="accent2"/>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Hoja1!$A$39:$A$55</c:f>
              <c:strCache>
                <c:ptCount val="17"/>
                <c:pt idx="0">
                  <c:v>Agricultura, ganadería, silvicultura y pesca </c:v>
                </c:pt>
                <c:pt idx="1">
                  <c:v>Explotación de minas y canteras </c:v>
                </c:pt>
                <c:pt idx="2">
                  <c:v>Industrias manufactureras </c:v>
                </c:pt>
                <c:pt idx="3">
                  <c:v>Suministro de electricidad, agua y servicios de saneamiento </c:v>
                </c:pt>
                <c:pt idx="4">
                  <c:v>Construcción </c:v>
                </c:pt>
                <c:pt idx="5">
                  <c:v>Comercio al por mayor y al por menor; mantenimiento y reparación de vehículos automotores y motocicletas</c:v>
                </c:pt>
                <c:pt idx="6">
                  <c:v>Transporte y almacenamiento </c:v>
                </c:pt>
                <c:pt idx="7">
                  <c:v>Actividades de alojamiento y de servicio de comidas</c:v>
                </c:pt>
                <c:pt idx="8">
                  <c:v>Información y comunicaciones</c:v>
                </c:pt>
                <c:pt idx="9">
                  <c:v>Actividades financieras y de seguros  </c:v>
                </c:pt>
                <c:pt idx="10">
                  <c:v>Actividades inmobiliarias </c:v>
                </c:pt>
                <c:pt idx="11">
                  <c:v>Actividades profesionales, científicas y técnicas</c:v>
                </c:pt>
                <c:pt idx="12">
                  <c:v>Actividades de servicios administrativos y de apoyo </c:v>
                </c:pt>
                <c:pt idx="13">
                  <c:v>Administración pública y defensa; planes de seguridad social de afiliación obligatoria </c:v>
                </c:pt>
                <c:pt idx="14">
                  <c:v>Enseñanza</c:v>
                </c:pt>
                <c:pt idx="15">
                  <c:v>Actividades de atención de la salud humana y de asistencia social </c:v>
                </c:pt>
                <c:pt idx="16">
                  <c:v>Otras actividades de servicios </c:v>
                </c:pt>
              </c:strCache>
            </c:strRef>
          </c:cat>
          <c:val>
            <c:numRef>
              <c:f>Hoja1!$C$39:$C$55</c:f>
              <c:numCache>
                <c:formatCode>General</c:formatCode>
                <c:ptCount val="17"/>
                <c:pt idx="0">
                  <c:v>2.5</c:v>
                </c:pt>
                <c:pt idx="1">
                  <c:v>10.7</c:v>
                </c:pt>
                <c:pt idx="2">
                  <c:v>7.3</c:v>
                </c:pt>
                <c:pt idx="3">
                  <c:v>5.7</c:v>
                </c:pt>
                <c:pt idx="4">
                  <c:v>9.4</c:v>
                </c:pt>
                <c:pt idx="5">
                  <c:v>9.3000000000000007</c:v>
                </c:pt>
                <c:pt idx="6">
                  <c:v>11.6</c:v>
                </c:pt>
                <c:pt idx="7">
                  <c:v>20.399999999999999</c:v>
                </c:pt>
                <c:pt idx="8">
                  <c:v>5.4</c:v>
                </c:pt>
                <c:pt idx="9">
                  <c:v>6.7</c:v>
                </c:pt>
                <c:pt idx="10">
                  <c:v>4.3</c:v>
                </c:pt>
                <c:pt idx="11">
                  <c:v>5.0999999999999996</c:v>
                </c:pt>
                <c:pt idx="12">
                  <c:v>8.1</c:v>
                </c:pt>
                <c:pt idx="13">
                  <c:v>2.2999999999999998</c:v>
                </c:pt>
                <c:pt idx="14">
                  <c:v>2.5</c:v>
                </c:pt>
                <c:pt idx="15">
                  <c:v>17.8</c:v>
                </c:pt>
                <c:pt idx="16">
                  <c:v>6.6</c:v>
                </c:pt>
              </c:numCache>
            </c:numRef>
          </c:val>
          <c:extLst>
            <c:ext xmlns:c16="http://schemas.microsoft.com/office/drawing/2014/chart" uri="{C3380CC4-5D6E-409C-BE32-E72D297353CC}">
              <c16:uniqueId val="{00000001-7923-48C5-9ADC-0F7844375E80}"/>
            </c:ext>
          </c:extLst>
        </c:ser>
        <c:ser>
          <c:idx val="2"/>
          <c:order val="2"/>
          <c:tx>
            <c:strRef>
              <c:f>Hoja1!$D$38</c:f>
              <c:strCache>
                <c:ptCount val="1"/>
                <c:pt idx="0">
                  <c:v> 2022(py)</c:v>
                </c:pt>
              </c:strCache>
            </c:strRef>
          </c:tx>
          <c:spPr>
            <a:solidFill>
              <a:schemeClr val="accent3"/>
            </a:solidFill>
            <a:ln>
              <a:noFill/>
            </a:ln>
            <a:effectLst/>
          </c:spPr>
          <c:invertIfNegative val="0"/>
          <c:dLbls>
            <c:dLbl>
              <c:idx val="0"/>
              <c:layout>
                <c:manualLayout>
                  <c:x val="0"/>
                  <c:y val="-1.30975769482647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0778-4BD3-9621-824EE8CE25CF}"/>
                </c:ext>
              </c:extLst>
            </c:dLbl>
            <c:dLbl>
              <c:idx val="1"/>
              <c:layout>
                <c:manualLayout>
                  <c:x val="0"/>
                  <c:y val="-1.0478061558611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0778-4BD3-9621-824EE8CE25CF}"/>
                </c:ext>
              </c:extLst>
            </c:dLbl>
            <c:dLbl>
              <c:idx val="2"/>
              <c:layout>
                <c:manualLayout>
                  <c:x val="4.5259108395562945E-3"/>
                  <c:y val="-2.619515389652914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0778-4BD3-9621-824EE8CE25CF}"/>
                </c:ext>
              </c:extLst>
            </c:dLbl>
            <c:dLbl>
              <c:idx val="5"/>
              <c:layout>
                <c:manualLayout>
                  <c:x val="6.788866259334691E-3"/>
                  <c:y val="-7.858546168958742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778-4BD3-9621-824EE8CE25CF}"/>
                </c:ext>
              </c:extLst>
            </c:dLbl>
            <c:dLbl>
              <c:idx val="6"/>
              <c:layout>
                <c:manualLayout>
                  <c:x val="0"/>
                  <c:y val="-7.858546168958742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778-4BD3-9621-824EE8CE25CF}"/>
                </c:ext>
              </c:extLst>
            </c:dLbl>
            <c:dLbl>
              <c:idx val="7"/>
              <c:layout>
                <c:manualLayout>
                  <c:x val="9.051821679112922E-3"/>
                  <c:y val="-7.858546168958742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778-4BD3-9621-824EE8CE25CF}"/>
                </c:ext>
              </c:extLst>
            </c:dLbl>
            <c:dLbl>
              <c:idx val="9"/>
              <c:layout>
                <c:manualLayout>
                  <c:x val="4.525910839556461E-3"/>
                  <c:y val="-7.858546168958742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778-4BD3-9621-824EE8CE25CF}"/>
                </c:ext>
              </c:extLst>
            </c:dLbl>
            <c:dLbl>
              <c:idx val="10"/>
              <c:layout>
                <c:manualLayout>
                  <c:x val="-4.525910839556461E-3"/>
                  <c:y val="-1.04780615586117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778-4BD3-9621-824EE8CE25CF}"/>
                </c:ext>
              </c:extLst>
            </c:dLbl>
            <c:dLbl>
              <c:idx val="11"/>
              <c:layout>
                <c:manualLayout>
                  <c:x val="-6.788866259334691E-3"/>
                  <c:y val="-1.57170923379174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778-4BD3-9621-824EE8CE25CF}"/>
                </c:ext>
              </c:extLst>
            </c:dLbl>
            <c:dLbl>
              <c:idx val="12"/>
              <c:layout>
                <c:manualLayout>
                  <c:x val="0"/>
                  <c:y val="-7.858546168958742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778-4BD3-9621-824EE8CE25CF}"/>
                </c:ext>
              </c:extLst>
            </c:dLbl>
            <c:dLbl>
              <c:idx val="14"/>
              <c:layout>
                <c:manualLayout>
                  <c:x val="0"/>
                  <c:y val="-7.858546168958729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778-4BD3-9621-824EE8CE25CF}"/>
                </c:ext>
              </c:extLst>
            </c:dLbl>
            <c:spPr>
              <a:noFill/>
              <a:ln>
                <a:noFill/>
              </a:ln>
              <a:effectLst/>
            </c:spPr>
            <c:txPr>
              <a:bodyPr rot="0" spcFirstLastPara="1" vertOverflow="ellipsis" vert="horz" wrap="square" anchor="ctr" anchorCtr="1"/>
              <a:lstStyle/>
              <a:p>
                <a:pPr>
                  <a:defRPr sz="800" b="1" i="0" u="none" strike="noStrike" kern="1200" baseline="0">
                    <a:ln>
                      <a:noFill/>
                    </a:ln>
                    <a:solidFill>
                      <a:schemeClr val="bg1">
                        <a:lumMod val="50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Hoja1!$A$39:$A$55</c:f>
              <c:strCache>
                <c:ptCount val="17"/>
                <c:pt idx="0">
                  <c:v>Agricultura, ganadería, silvicultura y pesca </c:v>
                </c:pt>
                <c:pt idx="1">
                  <c:v>Explotación de minas y canteras </c:v>
                </c:pt>
                <c:pt idx="2">
                  <c:v>Industrias manufactureras </c:v>
                </c:pt>
                <c:pt idx="3">
                  <c:v>Suministro de electricidad, agua y servicios de saneamiento </c:v>
                </c:pt>
                <c:pt idx="4">
                  <c:v>Construcción </c:v>
                </c:pt>
                <c:pt idx="5">
                  <c:v>Comercio al por mayor y al por menor; mantenimiento y reparación de vehículos automotores y motocicletas</c:v>
                </c:pt>
                <c:pt idx="6">
                  <c:v>Transporte y almacenamiento </c:v>
                </c:pt>
                <c:pt idx="7">
                  <c:v>Actividades de alojamiento y de servicio de comidas</c:v>
                </c:pt>
                <c:pt idx="8">
                  <c:v>Información y comunicaciones</c:v>
                </c:pt>
                <c:pt idx="9">
                  <c:v>Actividades financieras y de seguros  </c:v>
                </c:pt>
                <c:pt idx="10">
                  <c:v>Actividades inmobiliarias </c:v>
                </c:pt>
                <c:pt idx="11">
                  <c:v>Actividades profesionales, científicas y técnicas</c:v>
                </c:pt>
                <c:pt idx="12">
                  <c:v>Actividades de servicios administrativos y de apoyo </c:v>
                </c:pt>
                <c:pt idx="13">
                  <c:v>Administración pública y defensa; planes de seguridad social de afiliación obligatoria </c:v>
                </c:pt>
                <c:pt idx="14">
                  <c:v>Enseñanza</c:v>
                </c:pt>
                <c:pt idx="15">
                  <c:v>Actividades de atención de la salud humana y de asistencia social </c:v>
                </c:pt>
                <c:pt idx="16">
                  <c:v>Otras actividades de servicios </c:v>
                </c:pt>
              </c:strCache>
            </c:strRef>
          </c:cat>
          <c:val>
            <c:numRef>
              <c:f>Hoja1!$D$39:$D$55</c:f>
              <c:numCache>
                <c:formatCode>General</c:formatCode>
                <c:ptCount val="17"/>
                <c:pt idx="0">
                  <c:v>2.8</c:v>
                </c:pt>
                <c:pt idx="1">
                  <c:v>6.2</c:v>
                </c:pt>
                <c:pt idx="2">
                  <c:v>4.2</c:v>
                </c:pt>
                <c:pt idx="3">
                  <c:v>5</c:v>
                </c:pt>
                <c:pt idx="4">
                  <c:v>4.8</c:v>
                </c:pt>
                <c:pt idx="5">
                  <c:v>5.0999999999999996</c:v>
                </c:pt>
                <c:pt idx="6">
                  <c:v>5.9</c:v>
                </c:pt>
                <c:pt idx="7">
                  <c:v>11.6</c:v>
                </c:pt>
                <c:pt idx="8">
                  <c:v>4.0999999999999996</c:v>
                </c:pt>
                <c:pt idx="9">
                  <c:v>5.2</c:v>
                </c:pt>
                <c:pt idx="10">
                  <c:v>4.2</c:v>
                </c:pt>
                <c:pt idx="11">
                  <c:v>4.5999999999999996</c:v>
                </c:pt>
                <c:pt idx="12">
                  <c:v>3.9</c:v>
                </c:pt>
                <c:pt idx="13">
                  <c:v>3</c:v>
                </c:pt>
                <c:pt idx="14">
                  <c:v>1.5</c:v>
                </c:pt>
                <c:pt idx="15">
                  <c:v>4.8</c:v>
                </c:pt>
                <c:pt idx="16">
                  <c:v>5.9</c:v>
                </c:pt>
              </c:numCache>
            </c:numRef>
          </c:val>
          <c:extLst>
            <c:ext xmlns:c16="http://schemas.microsoft.com/office/drawing/2014/chart" uri="{C3380CC4-5D6E-409C-BE32-E72D297353CC}">
              <c16:uniqueId val="{00000002-7923-48C5-9ADC-0F7844375E80}"/>
            </c:ext>
          </c:extLst>
        </c:ser>
        <c:dLbls>
          <c:showLegendKey val="0"/>
          <c:showVal val="0"/>
          <c:showCatName val="0"/>
          <c:showSerName val="0"/>
          <c:showPercent val="0"/>
          <c:showBubbleSize val="0"/>
        </c:dLbls>
        <c:gapWidth val="70"/>
        <c:overlap val="-5"/>
        <c:axId val="2023200272"/>
        <c:axId val="2023206512"/>
      </c:barChart>
      <c:catAx>
        <c:axId val="2023200272"/>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2023206512"/>
        <c:crosses val="autoZero"/>
        <c:auto val="0"/>
        <c:lblAlgn val="ctr"/>
        <c:lblOffset val="100"/>
        <c:noMultiLvlLbl val="0"/>
      </c:catAx>
      <c:valAx>
        <c:axId val="2023206512"/>
        <c:scaling>
          <c:orientation val="minMax"/>
          <c:max val="30"/>
          <c:min val="-30"/>
        </c:scaling>
        <c:delete val="1"/>
        <c:axPos val="b"/>
        <c:numFmt formatCode="General" sourceLinked="1"/>
        <c:majorTickMark val="none"/>
        <c:minorTickMark val="none"/>
        <c:tickLblPos val="high"/>
        <c:crossAx val="2023200272"/>
        <c:crosses val="autoZero"/>
        <c:crossBetween val="between"/>
      </c:valAx>
      <c:spPr>
        <a:noFill/>
        <a:ln>
          <a:noFill/>
        </a:ln>
        <a:effectLst/>
      </c:spPr>
    </c:plotArea>
    <c:legend>
      <c:legendPos val="r"/>
      <c:layout>
        <c:manualLayout>
          <c:xMode val="edge"/>
          <c:yMode val="edge"/>
          <c:x val="0.8863802157113253"/>
          <c:y val="0.28048966374291623"/>
          <c:w val="0.11361978428867471"/>
          <c:h val="0.12467861949476355"/>
        </c:manualLayout>
      </c:layout>
      <c:overlay val="0"/>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chart>
  <c:spPr>
    <a:solidFill>
      <a:schemeClr val="bg1"/>
    </a:solidFill>
    <a:ln w="9525" cap="flat" cmpd="sng" algn="ctr">
      <a:noFill/>
      <a:round/>
    </a:ln>
    <a:effectLst/>
  </c:spPr>
  <c:txPr>
    <a:bodyPr/>
    <a:lstStyle/>
    <a:p>
      <a:pPr>
        <a:defRPr>
          <a:ln>
            <a:noFill/>
          </a:ln>
        </a:defRPr>
      </a:pPr>
      <a:endParaRPr lang="es-GT"/>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Hoja1!$B$1</c:f>
              <c:strCache>
                <c:ptCount val="1"/>
                <c:pt idx="0">
                  <c:v>Serie 1</c:v>
                </c:pt>
              </c:strCache>
            </c:strRef>
          </c:tx>
          <c:spPr>
            <a:solidFill>
              <a:srgbClr val="002060"/>
            </a:solidFill>
            <a:ln>
              <a:noFill/>
            </a:ln>
            <a:effectLst/>
          </c:spPr>
          <c:invertIfNegative val="0"/>
          <c:dPt>
            <c:idx val="3"/>
            <c:invertIfNegative val="0"/>
            <c:bubble3D val="0"/>
            <c:spPr>
              <a:solidFill>
                <a:schemeClr val="accent4"/>
              </a:solidFill>
              <a:ln>
                <a:noFill/>
              </a:ln>
              <a:effectLst/>
            </c:spPr>
            <c:extLst>
              <c:ext xmlns:c16="http://schemas.microsoft.com/office/drawing/2014/chart" uri="{C3380CC4-5D6E-409C-BE32-E72D297353CC}">
                <c16:uniqueId val="{00000001-B700-477B-8718-4C8CF124871A}"/>
              </c:ext>
            </c:extLst>
          </c:dPt>
          <c:dPt>
            <c:idx val="4"/>
            <c:invertIfNegative val="0"/>
            <c:bubble3D val="0"/>
            <c:spPr>
              <a:solidFill>
                <a:schemeClr val="accent4"/>
              </a:solidFill>
              <a:ln>
                <a:noFill/>
              </a:ln>
              <a:effectLst/>
            </c:spPr>
            <c:extLst>
              <c:ext xmlns:c16="http://schemas.microsoft.com/office/drawing/2014/chart" uri="{C3380CC4-5D6E-409C-BE32-E72D297353CC}">
                <c16:uniqueId val="{00000003-B700-477B-8718-4C8CF124871A}"/>
              </c:ext>
            </c:extLst>
          </c:dPt>
          <c:dLbls>
            <c:dLbl>
              <c:idx val="3"/>
              <c:spPr>
                <a:noFill/>
                <a:ln>
                  <a:noFill/>
                </a:ln>
                <a:effectLst/>
              </c:spPr>
              <c:txPr>
                <a:bodyPr rot="0" spcFirstLastPara="1" vertOverflow="ellipsis" vert="horz" wrap="square" anchor="ctr" anchorCtr="1"/>
                <a:lstStyle/>
                <a:p>
                  <a:pPr>
                    <a:defRPr sz="900" b="1" i="0" u="none" strike="noStrike" kern="1200" baseline="0">
                      <a:solidFill>
                        <a:schemeClr val="accent4"/>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extLst>
                <c:ext xmlns:c16="http://schemas.microsoft.com/office/drawing/2014/chart" uri="{C3380CC4-5D6E-409C-BE32-E72D297353CC}">
                  <c16:uniqueId val="{00000001-B700-477B-8718-4C8CF124871A}"/>
                </c:ext>
              </c:extLst>
            </c:dLbl>
            <c:dLbl>
              <c:idx val="4"/>
              <c:spPr>
                <a:noFill/>
                <a:ln>
                  <a:noFill/>
                </a:ln>
                <a:effectLst/>
              </c:spPr>
              <c:txPr>
                <a:bodyPr rot="0" spcFirstLastPara="1" vertOverflow="ellipsis" vert="horz" wrap="square" anchor="ctr" anchorCtr="1"/>
                <a:lstStyle/>
                <a:p>
                  <a:pPr>
                    <a:defRPr sz="900" b="1" i="0" u="none" strike="noStrike" kern="1200" baseline="0">
                      <a:solidFill>
                        <a:schemeClr val="accent4"/>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extLst>
                <c:ext xmlns:c16="http://schemas.microsoft.com/office/drawing/2014/chart" uri="{C3380CC4-5D6E-409C-BE32-E72D297353CC}">
                  <c16:uniqueId val="{00000003-B700-477B-8718-4C8CF124871A}"/>
                </c:ext>
              </c:extLst>
            </c:dLbl>
            <c:spPr>
              <a:noFill/>
              <a:ln>
                <a:noFill/>
              </a:ln>
              <a:effectLst/>
            </c:spPr>
            <c:txPr>
              <a:bodyPr rot="0" spcFirstLastPara="1" vertOverflow="ellipsis" vert="horz" wrap="square" anchor="ctr" anchorCtr="1"/>
              <a:lstStyle/>
              <a:p>
                <a:pPr>
                  <a:defRPr sz="900" b="1"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Hoja1!$A$2:$A$6</c:f>
              <c:strCache>
                <c:ptCount val="5"/>
                <c:pt idx="0">
                  <c:v>2018</c:v>
                </c:pt>
                <c:pt idx="1">
                  <c:v>2019</c:v>
                </c:pt>
                <c:pt idx="2">
                  <c:v>2020</c:v>
                </c:pt>
                <c:pt idx="3">
                  <c:v>2021 p/</c:v>
                </c:pt>
                <c:pt idx="4">
                  <c:v>2022 py/</c:v>
                </c:pt>
              </c:strCache>
            </c:strRef>
          </c:cat>
          <c:val>
            <c:numRef>
              <c:f>Hoja1!$B$2:$B$6</c:f>
              <c:numCache>
                <c:formatCode>0.0</c:formatCode>
                <c:ptCount val="5"/>
                <c:pt idx="0">
                  <c:v>0.9</c:v>
                </c:pt>
                <c:pt idx="1">
                  <c:v>2.2999999999999998</c:v>
                </c:pt>
                <c:pt idx="2">
                  <c:v>5.0999999999999996</c:v>
                </c:pt>
                <c:pt idx="3">
                  <c:v>2.8</c:v>
                </c:pt>
                <c:pt idx="4">
                  <c:v>2.7</c:v>
                </c:pt>
              </c:numCache>
            </c:numRef>
          </c:val>
          <c:extLst>
            <c:ext xmlns:c16="http://schemas.microsoft.com/office/drawing/2014/chart" uri="{C3380CC4-5D6E-409C-BE32-E72D297353CC}">
              <c16:uniqueId val="{00000004-B700-477B-8718-4C8CF124871A}"/>
            </c:ext>
          </c:extLst>
        </c:ser>
        <c:dLbls>
          <c:showLegendKey val="0"/>
          <c:showVal val="0"/>
          <c:showCatName val="0"/>
          <c:showSerName val="0"/>
          <c:showPercent val="0"/>
          <c:showBubbleSize val="0"/>
        </c:dLbls>
        <c:gapWidth val="50"/>
        <c:overlap val="-27"/>
        <c:axId val="845970015"/>
        <c:axId val="845971263"/>
      </c:barChart>
      <c:catAx>
        <c:axId val="8459700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845971263"/>
        <c:crosses val="autoZero"/>
        <c:auto val="1"/>
        <c:lblAlgn val="ctr"/>
        <c:lblOffset val="100"/>
        <c:noMultiLvlLbl val="0"/>
      </c:catAx>
      <c:valAx>
        <c:axId val="845971263"/>
        <c:scaling>
          <c:orientation val="minMax"/>
        </c:scaling>
        <c:delete val="1"/>
        <c:axPos val="l"/>
        <c:numFmt formatCode="0.0" sourceLinked="1"/>
        <c:majorTickMark val="none"/>
        <c:minorTickMark val="none"/>
        <c:tickLblPos val="nextTo"/>
        <c:crossAx val="845970015"/>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Hoja1!$B$1</c:f>
              <c:strCache>
                <c:ptCount val="1"/>
                <c:pt idx="0">
                  <c:v>Serie 1</c:v>
                </c:pt>
              </c:strCache>
            </c:strRef>
          </c:tx>
          <c:spPr>
            <a:solidFill>
              <a:schemeClr val="accent6">
                <a:lumMod val="50000"/>
              </a:schemeClr>
            </a:solidFill>
            <a:ln>
              <a:noFill/>
            </a:ln>
            <a:effectLst/>
          </c:spPr>
          <c:invertIfNegative val="0"/>
          <c:dPt>
            <c:idx val="2"/>
            <c:invertIfNegative val="0"/>
            <c:bubble3D val="0"/>
            <c:spPr>
              <a:solidFill>
                <a:schemeClr val="accent4"/>
              </a:solidFill>
              <a:ln>
                <a:noFill/>
              </a:ln>
              <a:effectLst/>
            </c:spPr>
            <c:extLst>
              <c:ext xmlns:c16="http://schemas.microsoft.com/office/drawing/2014/chart" uri="{C3380CC4-5D6E-409C-BE32-E72D297353CC}">
                <c16:uniqueId val="{00000001-1B77-47CC-B09C-EE01CC7E6CE1}"/>
              </c:ext>
            </c:extLst>
          </c:dPt>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B77-47CC-B09C-EE01CC7E6CE1}"/>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B77-47CC-B09C-EE01CC7E6CE1}"/>
                </c:ext>
              </c:extLst>
            </c:dLbl>
            <c:dLbl>
              <c:idx val="2"/>
              <c:layout>
                <c:manualLayout>
                  <c:x val="0.11361153594057243"/>
                  <c:y val="-4.9804340092493841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4"/>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B77-47CC-B09C-EE01CC7E6CE1}"/>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6">
                        <a:lumMod val="50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Hoja1!$A$2:$A$4</c:f>
              <c:numCache>
                <c:formatCode>General</c:formatCode>
                <c:ptCount val="3"/>
                <c:pt idx="0">
                  <c:v>2020</c:v>
                </c:pt>
                <c:pt idx="1">
                  <c:v>2021</c:v>
                </c:pt>
                <c:pt idx="2">
                  <c:v>2022</c:v>
                </c:pt>
              </c:numCache>
            </c:numRef>
          </c:cat>
          <c:val>
            <c:numRef>
              <c:f>Hoja1!$B$2:$B$4</c:f>
              <c:numCache>
                <c:formatCode>_-* #,##0.0_-;\-* #,##0.0_-;_-* "-"??_-;_-@_-</c:formatCode>
                <c:ptCount val="3"/>
                <c:pt idx="0">
                  <c:v>2.2000000000000002</c:v>
                </c:pt>
                <c:pt idx="1">
                  <c:v>22</c:v>
                </c:pt>
                <c:pt idx="2">
                  <c:v>9</c:v>
                </c:pt>
              </c:numCache>
            </c:numRef>
          </c:val>
          <c:extLst>
            <c:ext xmlns:c16="http://schemas.microsoft.com/office/drawing/2014/chart" uri="{C3380CC4-5D6E-409C-BE32-E72D297353CC}">
              <c16:uniqueId val="{00000004-1B77-47CC-B09C-EE01CC7E6CE1}"/>
            </c:ext>
          </c:extLst>
        </c:ser>
        <c:ser>
          <c:idx val="1"/>
          <c:order val="1"/>
          <c:tx>
            <c:strRef>
              <c:f>Hoja1!$C$1</c:f>
              <c:strCache>
                <c:ptCount val="1"/>
                <c:pt idx="0">
                  <c:v>Serie 2</c:v>
                </c:pt>
              </c:strCache>
            </c:strRef>
          </c:tx>
          <c:spPr>
            <a:solidFill>
              <a:schemeClr val="accent2"/>
            </a:solidFill>
            <a:ln>
              <a:noFill/>
            </a:ln>
            <a:effectLst/>
          </c:spPr>
          <c:invertIfNegative val="0"/>
          <c:dLbls>
            <c:dLbl>
              <c:idx val="2"/>
              <c:layout>
                <c:manualLayout>
                  <c:x val="0.10924186148131965"/>
                  <c:y val="1.4229811454998222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B77-47CC-B09C-EE01CC7E6CE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Hoja1!$A$2:$A$4</c:f>
              <c:numCache>
                <c:formatCode>General</c:formatCode>
                <c:ptCount val="3"/>
                <c:pt idx="0">
                  <c:v>2020</c:v>
                </c:pt>
                <c:pt idx="1">
                  <c:v>2021</c:v>
                </c:pt>
                <c:pt idx="2">
                  <c:v>2022</c:v>
                </c:pt>
              </c:numCache>
            </c:numRef>
          </c:cat>
          <c:val>
            <c:numRef>
              <c:f>Hoja1!$C$2:$C$4</c:f>
              <c:numCache>
                <c:formatCode>General</c:formatCode>
                <c:ptCount val="3"/>
                <c:pt idx="2" formatCode="_-* #,##0.0_-;\-* #,##0.0_-;_-* &quot;-&quot;??_-;_-@_-">
                  <c:v>7.5</c:v>
                </c:pt>
              </c:numCache>
            </c:numRef>
          </c:val>
          <c:extLst>
            <c:ext xmlns:c16="http://schemas.microsoft.com/office/drawing/2014/chart" uri="{C3380CC4-5D6E-409C-BE32-E72D297353CC}">
              <c16:uniqueId val="{00000006-1B77-47CC-B09C-EE01CC7E6CE1}"/>
            </c:ext>
          </c:extLst>
        </c:ser>
        <c:ser>
          <c:idx val="2"/>
          <c:order val="2"/>
          <c:tx>
            <c:strRef>
              <c:f>Hoja1!$D$1</c:f>
              <c:strCache>
                <c:ptCount val="1"/>
                <c:pt idx="0">
                  <c:v>Serie 3</c:v>
                </c:pt>
              </c:strCache>
            </c:strRef>
          </c:tx>
          <c:spPr>
            <a:solidFill>
              <a:schemeClr val="accent4"/>
            </a:solidFill>
            <a:ln>
              <a:noFill/>
            </a:ln>
            <a:effectLst/>
          </c:spPr>
          <c:invertIfNegative val="0"/>
          <c:dLbls>
            <c:dLbl>
              <c:idx val="2"/>
              <c:layout>
                <c:manualLayout>
                  <c:x val="0.10924186148131965"/>
                  <c:y val="0.1004327767460230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B77-47CC-B09C-EE01CC7E6CE1}"/>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4"/>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3"/>
                </a:solidFill>
                <a:prstDash val="sysDot"/>
              </a:ln>
              <a:effectLst/>
            </c:spPr>
            <c:trendlineType val="linear"/>
            <c:dispRSqr val="0"/>
            <c:dispEq val="0"/>
          </c:trendline>
          <c:cat>
            <c:numRef>
              <c:f>Hoja1!$A$2:$A$4</c:f>
              <c:numCache>
                <c:formatCode>General</c:formatCode>
                <c:ptCount val="3"/>
                <c:pt idx="0">
                  <c:v>2020</c:v>
                </c:pt>
                <c:pt idx="1">
                  <c:v>2021</c:v>
                </c:pt>
                <c:pt idx="2">
                  <c:v>2022</c:v>
                </c:pt>
              </c:numCache>
            </c:numRef>
          </c:cat>
          <c:val>
            <c:numRef>
              <c:f>Hoja1!$D$2:$D$4</c:f>
              <c:numCache>
                <c:formatCode>General</c:formatCode>
                <c:ptCount val="3"/>
                <c:pt idx="2" formatCode="_-* #,##0.0_-;\-* #,##0.0_-;_-* &quot;-&quot;??_-;_-@_-">
                  <c:v>6</c:v>
                </c:pt>
              </c:numCache>
            </c:numRef>
          </c:val>
          <c:extLst>
            <c:ext xmlns:c16="http://schemas.microsoft.com/office/drawing/2014/chart" uri="{C3380CC4-5D6E-409C-BE32-E72D297353CC}">
              <c16:uniqueId val="{00000009-1B77-47CC-B09C-EE01CC7E6CE1}"/>
            </c:ext>
          </c:extLst>
        </c:ser>
        <c:dLbls>
          <c:showLegendKey val="0"/>
          <c:showVal val="0"/>
          <c:showCatName val="0"/>
          <c:showSerName val="0"/>
          <c:showPercent val="0"/>
          <c:showBubbleSize val="0"/>
        </c:dLbls>
        <c:gapWidth val="100"/>
        <c:overlap val="100"/>
        <c:axId val="539679471"/>
        <c:axId val="539676975"/>
      </c:barChart>
      <c:catAx>
        <c:axId val="539679471"/>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539676975"/>
        <c:crosses val="autoZero"/>
        <c:auto val="1"/>
        <c:lblAlgn val="ctr"/>
        <c:lblOffset val="100"/>
        <c:noMultiLvlLbl val="0"/>
      </c:catAx>
      <c:valAx>
        <c:axId val="539676975"/>
        <c:scaling>
          <c:orientation val="minMax"/>
        </c:scaling>
        <c:delete val="1"/>
        <c:axPos val="l"/>
        <c:numFmt formatCode="_-* #,##0.0_-;\-* #,##0.0_-;_-* &quot;-&quot;??_-;_-@_-" sourceLinked="1"/>
        <c:majorTickMark val="none"/>
        <c:minorTickMark val="none"/>
        <c:tickLblPos val="nextTo"/>
        <c:crossAx val="539679471"/>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Hoja1!$B$1</c:f>
              <c:strCache>
                <c:ptCount val="1"/>
                <c:pt idx="0">
                  <c:v>Serie 1</c:v>
                </c:pt>
              </c:strCache>
            </c:strRef>
          </c:tx>
          <c:spPr>
            <a:solidFill>
              <a:schemeClr val="accent5">
                <a:lumMod val="50000"/>
              </a:schemeClr>
            </a:solidFill>
            <a:ln>
              <a:noFill/>
            </a:ln>
            <a:effectLst/>
          </c:spPr>
          <c:invertIfNegative val="0"/>
          <c:dPt>
            <c:idx val="2"/>
            <c:invertIfNegative val="0"/>
            <c:bubble3D val="0"/>
            <c:spPr>
              <a:solidFill>
                <a:schemeClr val="accent4"/>
              </a:solidFill>
              <a:ln>
                <a:noFill/>
              </a:ln>
              <a:effectLst/>
            </c:spPr>
            <c:extLst>
              <c:ext xmlns:c16="http://schemas.microsoft.com/office/drawing/2014/chart" uri="{C3380CC4-5D6E-409C-BE32-E72D297353CC}">
                <c16:uniqueId val="{00000001-A557-436A-BDC2-944DFDD73C8D}"/>
              </c:ext>
            </c:extLst>
          </c:dPt>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557-436A-BDC2-944DFDD73C8D}"/>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557-436A-BDC2-944DFDD73C8D}"/>
                </c:ext>
              </c:extLst>
            </c:dLbl>
            <c:dLbl>
              <c:idx val="2"/>
              <c:layout>
                <c:manualLayout>
                  <c:x val="0.11361153594057243"/>
                  <c:y val="-4.9804340092493841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4"/>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557-436A-BDC2-944DFDD73C8D}"/>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Hoja1!$A$2:$A$4</c:f>
              <c:numCache>
                <c:formatCode>General</c:formatCode>
                <c:ptCount val="3"/>
                <c:pt idx="0">
                  <c:v>2020</c:v>
                </c:pt>
                <c:pt idx="1">
                  <c:v>2021</c:v>
                </c:pt>
                <c:pt idx="2">
                  <c:v>2022</c:v>
                </c:pt>
              </c:numCache>
            </c:numRef>
          </c:cat>
          <c:val>
            <c:numRef>
              <c:f>Hoja1!$B$2:$B$4</c:f>
              <c:numCache>
                <c:formatCode>_-* #,##0.0_-;\-* #,##0.0_-;_-* "-"??_-;_-@_-</c:formatCode>
                <c:ptCount val="3"/>
                <c:pt idx="0">
                  <c:v>-8.1</c:v>
                </c:pt>
                <c:pt idx="1">
                  <c:v>42</c:v>
                </c:pt>
                <c:pt idx="2">
                  <c:v>9</c:v>
                </c:pt>
              </c:numCache>
            </c:numRef>
          </c:val>
          <c:extLst>
            <c:ext xmlns:c16="http://schemas.microsoft.com/office/drawing/2014/chart" uri="{C3380CC4-5D6E-409C-BE32-E72D297353CC}">
              <c16:uniqueId val="{00000004-A557-436A-BDC2-944DFDD73C8D}"/>
            </c:ext>
          </c:extLst>
        </c:ser>
        <c:ser>
          <c:idx val="1"/>
          <c:order val="1"/>
          <c:tx>
            <c:strRef>
              <c:f>Hoja1!$C$1</c:f>
              <c:strCache>
                <c:ptCount val="1"/>
                <c:pt idx="0">
                  <c:v>Serie 2</c:v>
                </c:pt>
              </c:strCache>
            </c:strRef>
          </c:tx>
          <c:spPr>
            <a:solidFill>
              <a:schemeClr val="accent2"/>
            </a:solidFill>
            <a:ln>
              <a:noFill/>
            </a:ln>
            <a:effectLst/>
          </c:spPr>
          <c:invertIfNegative val="0"/>
          <c:dLbls>
            <c:dLbl>
              <c:idx val="2"/>
              <c:layout>
                <c:manualLayout>
                  <c:x val="0.10924186148131965"/>
                  <c:y val="1.4229811454998222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557-436A-BDC2-944DFDD73C8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Hoja1!$A$2:$A$4</c:f>
              <c:numCache>
                <c:formatCode>General</c:formatCode>
                <c:ptCount val="3"/>
                <c:pt idx="0">
                  <c:v>2020</c:v>
                </c:pt>
                <c:pt idx="1">
                  <c:v>2021</c:v>
                </c:pt>
                <c:pt idx="2">
                  <c:v>2022</c:v>
                </c:pt>
              </c:numCache>
            </c:numRef>
          </c:cat>
          <c:val>
            <c:numRef>
              <c:f>Hoja1!$C$2:$C$4</c:f>
              <c:numCache>
                <c:formatCode>General</c:formatCode>
                <c:ptCount val="3"/>
                <c:pt idx="2" formatCode="_-* #,##0.0_-;\-* #,##0.0_-;_-* &quot;-&quot;??_-;_-@_-">
                  <c:v>7.5</c:v>
                </c:pt>
              </c:numCache>
            </c:numRef>
          </c:val>
          <c:extLst>
            <c:ext xmlns:c16="http://schemas.microsoft.com/office/drawing/2014/chart" uri="{C3380CC4-5D6E-409C-BE32-E72D297353CC}">
              <c16:uniqueId val="{00000006-A557-436A-BDC2-944DFDD73C8D}"/>
            </c:ext>
          </c:extLst>
        </c:ser>
        <c:ser>
          <c:idx val="2"/>
          <c:order val="2"/>
          <c:tx>
            <c:strRef>
              <c:f>Hoja1!$D$1</c:f>
              <c:strCache>
                <c:ptCount val="1"/>
                <c:pt idx="0">
                  <c:v>Serie 3</c:v>
                </c:pt>
              </c:strCache>
            </c:strRef>
          </c:tx>
          <c:spPr>
            <a:solidFill>
              <a:schemeClr val="accent4"/>
            </a:solidFill>
            <a:ln>
              <a:noFill/>
            </a:ln>
            <a:effectLst/>
          </c:spPr>
          <c:invertIfNegative val="0"/>
          <c:dLbls>
            <c:dLbl>
              <c:idx val="2"/>
              <c:layout>
                <c:manualLayout>
                  <c:x val="0.10924186148131965"/>
                  <c:y val="0.1004327767460230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557-436A-BDC2-944DFDD73C8D}"/>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4"/>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3"/>
                </a:solidFill>
                <a:prstDash val="sysDot"/>
              </a:ln>
              <a:effectLst/>
            </c:spPr>
            <c:trendlineType val="linear"/>
            <c:dispRSqr val="0"/>
            <c:dispEq val="0"/>
          </c:trendline>
          <c:cat>
            <c:numRef>
              <c:f>Hoja1!$A$2:$A$4</c:f>
              <c:numCache>
                <c:formatCode>General</c:formatCode>
                <c:ptCount val="3"/>
                <c:pt idx="0">
                  <c:v>2020</c:v>
                </c:pt>
                <c:pt idx="1">
                  <c:v>2021</c:v>
                </c:pt>
                <c:pt idx="2">
                  <c:v>2022</c:v>
                </c:pt>
              </c:numCache>
            </c:numRef>
          </c:cat>
          <c:val>
            <c:numRef>
              <c:f>Hoja1!$D$2:$D$4</c:f>
              <c:numCache>
                <c:formatCode>General</c:formatCode>
                <c:ptCount val="3"/>
                <c:pt idx="2" formatCode="_-* #,##0.0_-;\-* #,##0.0_-;_-* &quot;-&quot;??_-;_-@_-">
                  <c:v>6</c:v>
                </c:pt>
              </c:numCache>
            </c:numRef>
          </c:val>
          <c:extLst>
            <c:ext xmlns:c16="http://schemas.microsoft.com/office/drawing/2014/chart" uri="{C3380CC4-5D6E-409C-BE32-E72D297353CC}">
              <c16:uniqueId val="{00000009-A557-436A-BDC2-944DFDD73C8D}"/>
            </c:ext>
          </c:extLst>
        </c:ser>
        <c:dLbls>
          <c:showLegendKey val="0"/>
          <c:showVal val="0"/>
          <c:showCatName val="0"/>
          <c:showSerName val="0"/>
          <c:showPercent val="0"/>
          <c:showBubbleSize val="0"/>
        </c:dLbls>
        <c:gapWidth val="100"/>
        <c:overlap val="100"/>
        <c:axId val="539679471"/>
        <c:axId val="539676975"/>
      </c:barChart>
      <c:catAx>
        <c:axId val="539679471"/>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539676975"/>
        <c:crosses val="autoZero"/>
        <c:auto val="1"/>
        <c:lblAlgn val="ctr"/>
        <c:lblOffset val="100"/>
        <c:noMultiLvlLbl val="0"/>
      </c:catAx>
      <c:valAx>
        <c:axId val="539676975"/>
        <c:scaling>
          <c:orientation val="minMax"/>
        </c:scaling>
        <c:delete val="1"/>
        <c:axPos val="l"/>
        <c:numFmt formatCode="_-* #,##0.0_-;\-* #,##0.0_-;_-* &quot;-&quot;??_-;_-@_-" sourceLinked="1"/>
        <c:majorTickMark val="none"/>
        <c:minorTickMark val="none"/>
        <c:tickLblPos val="nextTo"/>
        <c:crossAx val="539679471"/>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GT"/>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3651574803149604E-2"/>
          <c:y val="9.5238095238095233E-2"/>
          <c:w val="0.88088546223388742"/>
          <c:h val="0.75524996875390571"/>
        </c:manualLayout>
      </c:layout>
      <c:barChart>
        <c:barDir val="col"/>
        <c:grouping val="stacked"/>
        <c:varyColors val="0"/>
        <c:ser>
          <c:idx val="0"/>
          <c:order val="0"/>
          <c:tx>
            <c:strRef>
              <c:f>Sheet1!$B$1</c:f>
              <c:strCache>
                <c:ptCount val="1"/>
                <c:pt idx="0">
                  <c:v>Funcionamiento</c:v>
                </c:pt>
              </c:strCache>
            </c:strRef>
          </c:tx>
          <c:spPr>
            <a:solidFill>
              <a:schemeClr val="accent6"/>
            </a:solidFill>
            <a:ln w="38100">
              <a:solidFill>
                <a:schemeClr val="accent6">
                  <a:lumMod val="50000"/>
                </a:schemeClr>
              </a:solidFill>
            </a:ln>
            <a:effectLst>
              <a:outerShdw blurRad="50800" dist="38100" dir="2700000" algn="tl" rotWithShape="0">
                <a:prstClr val="black">
                  <a:alpha val="4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Sheet1!$A$2:$A$4</c:f>
              <c:strCache>
                <c:ptCount val="3"/>
                <c:pt idx="0">
                  <c:v>Proyecto de Presupuesto </c:v>
                </c:pt>
                <c:pt idx="1">
                  <c:v>Comisión de Finanzas </c:v>
                </c:pt>
                <c:pt idx="2">
                  <c:v>Aprobado 2022</c:v>
                </c:pt>
              </c:strCache>
            </c:strRef>
          </c:cat>
          <c:val>
            <c:numRef>
              <c:f>Sheet1!$B$2:$B$4</c:f>
              <c:numCache>
                <c:formatCode>#,##0.0</c:formatCode>
                <c:ptCount val="3"/>
                <c:pt idx="0">
                  <c:v>70420.100000000006</c:v>
                </c:pt>
                <c:pt idx="1">
                  <c:v>72184.2</c:v>
                </c:pt>
                <c:pt idx="2">
                  <c:v>72184.2</c:v>
                </c:pt>
              </c:numCache>
            </c:numRef>
          </c:val>
          <c:extLst>
            <c:ext xmlns:c16="http://schemas.microsoft.com/office/drawing/2014/chart" uri="{C3380CC4-5D6E-409C-BE32-E72D297353CC}">
              <c16:uniqueId val="{00000000-35DD-4770-B5F7-B23831B7AA1C}"/>
            </c:ext>
          </c:extLst>
        </c:ser>
        <c:ser>
          <c:idx val="1"/>
          <c:order val="1"/>
          <c:tx>
            <c:strRef>
              <c:f>Sheet1!$C$1</c:f>
              <c:strCache>
                <c:ptCount val="1"/>
                <c:pt idx="0">
                  <c:v>Inversión </c:v>
                </c:pt>
              </c:strCache>
            </c:strRef>
          </c:tx>
          <c:spPr>
            <a:solidFill>
              <a:schemeClr val="accent5"/>
            </a:solidFill>
            <a:ln w="28575">
              <a:solidFill>
                <a:schemeClr val="accent5">
                  <a:lumMod val="50000"/>
                </a:schemeClr>
              </a:solidFill>
            </a:ln>
            <a:effectLst>
              <a:outerShdw blurRad="50800" dist="38100" dir="2700000" algn="tl" rotWithShape="0">
                <a:prstClr val="black">
                  <a:alpha val="4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Sheet1!$A$2:$A$4</c:f>
              <c:strCache>
                <c:ptCount val="3"/>
                <c:pt idx="0">
                  <c:v>Proyecto de Presupuesto </c:v>
                </c:pt>
                <c:pt idx="1">
                  <c:v>Comisión de Finanzas </c:v>
                </c:pt>
                <c:pt idx="2">
                  <c:v>Aprobado 2022</c:v>
                </c:pt>
              </c:strCache>
            </c:strRef>
          </c:cat>
          <c:val>
            <c:numRef>
              <c:f>Sheet1!$C$2:$C$4</c:f>
              <c:numCache>
                <c:formatCode>#,##0.0</c:formatCode>
                <c:ptCount val="3"/>
                <c:pt idx="0">
                  <c:v>18260.400000000001</c:v>
                </c:pt>
                <c:pt idx="1">
                  <c:v>18443.3</c:v>
                </c:pt>
                <c:pt idx="2">
                  <c:v>18733.3</c:v>
                </c:pt>
              </c:numCache>
            </c:numRef>
          </c:val>
          <c:extLst>
            <c:ext xmlns:c16="http://schemas.microsoft.com/office/drawing/2014/chart" uri="{C3380CC4-5D6E-409C-BE32-E72D297353CC}">
              <c16:uniqueId val="{00000001-35DD-4770-B5F7-B23831B7AA1C}"/>
            </c:ext>
          </c:extLst>
        </c:ser>
        <c:ser>
          <c:idx val="2"/>
          <c:order val="2"/>
          <c:tx>
            <c:strRef>
              <c:f>Sheet1!$D$1</c:f>
              <c:strCache>
                <c:ptCount val="1"/>
                <c:pt idx="0">
                  <c:v>Deuda</c:v>
                </c:pt>
              </c:strCache>
            </c:strRef>
          </c:tx>
          <c:spPr>
            <a:solidFill>
              <a:schemeClr val="accent4"/>
            </a:solidFill>
            <a:ln w="28575">
              <a:solidFill>
                <a:schemeClr val="accent4">
                  <a:lumMod val="50000"/>
                </a:schemeClr>
              </a:solidFill>
            </a:ln>
            <a:effectLst>
              <a:outerShdw blurRad="50800" dist="38100" dir="2700000" algn="tl" rotWithShape="0">
                <a:prstClr val="black">
                  <a:alpha val="4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Sheet1!$A$2:$A$4</c:f>
              <c:strCache>
                <c:ptCount val="3"/>
                <c:pt idx="0">
                  <c:v>Proyecto de Presupuesto </c:v>
                </c:pt>
                <c:pt idx="1">
                  <c:v>Comisión de Finanzas </c:v>
                </c:pt>
                <c:pt idx="2">
                  <c:v>Aprobado 2022</c:v>
                </c:pt>
              </c:strCache>
            </c:strRef>
          </c:cat>
          <c:val>
            <c:numRef>
              <c:f>Sheet1!$D$2:$D$4</c:f>
              <c:numCache>
                <c:formatCode>#,##0.0</c:formatCode>
                <c:ptCount val="3"/>
                <c:pt idx="0">
                  <c:v>15312</c:v>
                </c:pt>
                <c:pt idx="1">
                  <c:v>15312</c:v>
                </c:pt>
                <c:pt idx="2">
                  <c:v>15312</c:v>
                </c:pt>
              </c:numCache>
            </c:numRef>
          </c:val>
          <c:extLst>
            <c:ext xmlns:c16="http://schemas.microsoft.com/office/drawing/2014/chart" uri="{C3380CC4-5D6E-409C-BE32-E72D297353CC}">
              <c16:uniqueId val="{00000002-35DD-4770-B5F7-B23831B7AA1C}"/>
            </c:ext>
          </c:extLst>
        </c:ser>
        <c:dLbls>
          <c:showLegendKey val="0"/>
          <c:showVal val="0"/>
          <c:showCatName val="0"/>
          <c:showSerName val="0"/>
          <c:showPercent val="0"/>
          <c:showBubbleSize val="0"/>
        </c:dLbls>
        <c:gapWidth val="64"/>
        <c:overlap val="100"/>
        <c:axId val="539618200"/>
        <c:axId val="539634928"/>
      </c:barChart>
      <c:lineChart>
        <c:grouping val="standard"/>
        <c:varyColors val="0"/>
        <c:ser>
          <c:idx val="3"/>
          <c:order val="3"/>
          <c:tx>
            <c:strRef>
              <c:f>Sheet1!$E$1</c:f>
              <c:strCache>
                <c:ptCount val="1"/>
                <c:pt idx="0">
                  <c:v>Total</c:v>
                </c:pt>
              </c:strCache>
            </c:strRef>
          </c:tx>
          <c:spPr>
            <a:ln w="22225" cap="rnd">
              <a:noFill/>
              <a:round/>
            </a:ln>
            <a:effectLst/>
          </c:spPr>
          <c:marker>
            <c:symbol val="circle"/>
            <c:size val="7"/>
            <c:spPr>
              <a:solidFill>
                <a:schemeClr val="lt1"/>
              </a:solidFill>
              <a:ln w="15875">
                <a:solidFill>
                  <a:schemeClr val="accent6">
                    <a:lumMod val="60000"/>
                  </a:schemeClr>
                </a:solidFill>
                <a:round/>
              </a:ln>
              <a:effectLst/>
            </c:spPr>
          </c:marker>
          <c:dLbls>
            <c:dLbl>
              <c:idx val="1"/>
              <c:layout>
                <c:manualLayout>
                  <c:x val="-6.2500000000000083E-2"/>
                  <c:y val="-5.425603049618797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5DD-4770-B5F7-B23831B7AA1C}"/>
                </c:ext>
              </c:extLst>
            </c:dLbl>
            <c:dLbl>
              <c:idx val="2"/>
              <c:layout>
                <c:manualLayout>
                  <c:x val="-6.25E-2"/>
                  <c:y val="-6.61607924009498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5DD-4770-B5F7-B23831B7AA1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Sheet1!$A$2:$A$4</c:f>
              <c:strCache>
                <c:ptCount val="3"/>
                <c:pt idx="0">
                  <c:v>Proyecto de Presupuesto </c:v>
                </c:pt>
                <c:pt idx="1">
                  <c:v>Comisión de Finanzas </c:v>
                </c:pt>
                <c:pt idx="2">
                  <c:v>Aprobado 2022</c:v>
                </c:pt>
              </c:strCache>
            </c:strRef>
          </c:cat>
          <c:val>
            <c:numRef>
              <c:f>Sheet1!$E$2:$E$4</c:f>
              <c:numCache>
                <c:formatCode>#,##0.0</c:formatCode>
                <c:ptCount val="3"/>
                <c:pt idx="0">
                  <c:v>103992.5</c:v>
                </c:pt>
                <c:pt idx="1">
                  <c:v>105939.5</c:v>
                </c:pt>
                <c:pt idx="2">
                  <c:v>106229.5</c:v>
                </c:pt>
              </c:numCache>
            </c:numRef>
          </c:val>
          <c:smooth val="0"/>
          <c:extLst>
            <c:ext xmlns:c16="http://schemas.microsoft.com/office/drawing/2014/chart" uri="{C3380CC4-5D6E-409C-BE32-E72D297353CC}">
              <c16:uniqueId val="{00000005-35DD-4770-B5F7-B23831B7AA1C}"/>
            </c:ext>
          </c:extLst>
        </c:ser>
        <c:dLbls>
          <c:showLegendKey val="0"/>
          <c:showVal val="0"/>
          <c:showCatName val="0"/>
          <c:showSerName val="0"/>
          <c:showPercent val="0"/>
          <c:showBubbleSize val="0"/>
        </c:dLbls>
        <c:marker val="1"/>
        <c:smooth val="0"/>
        <c:axId val="539618200"/>
        <c:axId val="539634928"/>
      </c:lineChart>
      <c:catAx>
        <c:axId val="539618200"/>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539634928"/>
        <c:crosses val="autoZero"/>
        <c:auto val="1"/>
        <c:lblAlgn val="ctr"/>
        <c:lblOffset val="100"/>
        <c:noMultiLvlLbl val="0"/>
      </c:catAx>
      <c:valAx>
        <c:axId val="539634928"/>
        <c:scaling>
          <c:orientation val="minMax"/>
          <c:max val="110000"/>
          <c:min val="0"/>
        </c:scaling>
        <c:delete val="0"/>
        <c:axPos val="l"/>
        <c:majorGridlines>
          <c:spPr>
            <a:ln w="9525" cap="flat" cmpd="sng" algn="ctr">
              <a:solidFill>
                <a:schemeClr val="dk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539618200"/>
        <c:crosses val="autoZero"/>
        <c:crossBetween val="between"/>
        <c:majorUnit val="10000"/>
      </c:valAx>
      <c:spPr>
        <a:pattFill prst="ltDnDiag">
          <a:fgClr>
            <a:schemeClr val="dk1">
              <a:lumMod val="15000"/>
              <a:lumOff val="85000"/>
            </a:schemeClr>
          </a:fgClr>
          <a:bgClr>
            <a:schemeClr val="lt1"/>
          </a:bgClr>
        </a:pattFill>
        <a:ln>
          <a:noFill/>
        </a:ln>
        <a:effectLst/>
      </c:spPr>
    </c:plotArea>
    <c:legend>
      <c:legendPos val="b"/>
      <c:layout>
        <c:manualLayout>
          <c:xMode val="edge"/>
          <c:yMode val="edge"/>
          <c:x val="0.2351622193059201"/>
          <c:y val="0.93268185226846645"/>
          <c:w val="0.53430519101778939"/>
          <c:h val="6.7318147731533565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chart>
  <c:spPr>
    <a:solidFill>
      <a:schemeClr val="lt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613124630607614"/>
          <c:y val="4.2091688538932637E-2"/>
          <c:w val="0.84835624360514261"/>
          <c:h val="0.85752514512328293"/>
        </c:manualLayout>
      </c:layout>
      <c:lineChart>
        <c:grouping val="standard"/>
        <c:varyColors val="0"/>
        <c:ser>
          <c:idx val="0"/>
          <c:order val="0"/>
          <c:tx>
            <c:strRef>
              <c:f>Hoja1!$B$1</c:f>
              <c:strCache>
                <c:ptCount val="1"/>
                <c:pt idx="0">
                  <c:v>Var</c:v>
                </c:pt>
              </c:strCache>
            </c:strRef>
          </c:tx>
          <c:spPr>
            <a:ln w="22225" cap="rnd">
              <a:solidFill>
                <a:schemeClr val="tx1"/>
              </a:solidFill>
              <a:prstDash val="sysDot"/>
              <a:round/>
            </a:ln>
            <a:effectLst>
              <a:glow rad="38100">
                <a:schemeClr val="accent4">
                  <a:alpha val="40000"/>
                </a:schemeClr>
              </a:glow>
            </a:effectLst>
          </c:spPr>
          <c:marker>
            <c:symbol val="circle"/>
            <c:size val="5"/>
            <c:spPr>
              <a:solidFill>
                <a:schemeClr val="lt1"/>
              </a:solidFill>
              <a:ln w="15875">
                <a:solidFill>
                  <a:schemeClr val="accent1"/>
                </a:solidFill>
                <a:round/>
              </a:ln>
              <a:effectLst>
                <a:glow rad="38100">
                  <a:schemeClr val="accent4">
                    <a:alpha val="40000"/>
                  </a:schemeClr>
                </a:glow>
              </a:effectLst>
            </c:spPr>
          </c:marker>
          <c:dLbls>
            <c:dLbl>
              <c:idx val="0"/>
              <c:layout>
                <c:manualLayout>
                  <c:x val="-6.6187081932919098E-2"/>
                  <c:y val="6.154740603479846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5A3-439D-8664-034DCFB0E308}"/>
                </c:ext>
              </c:extLst>
            </c:dLbl>
            <c:dLbl>
              <c:idx val="1"/>
              <c:layout>
                <c:manualLayout>
                  <c:x val="-1.6986369504555121E-2"/>
                  <c:y val="-6.1978007974896601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5A3-439D-8664-034DCFB0E308}"/>
                </c:ext>
              </c:extLst>
            </c:dLbl>
            <c:dLbl>
              <c:idx val="2"/>
              <c:layout>
                <c:manualLayout>
                  <c:x val="3.0147276643833362E-2"/>
                  <c:y val="3.127147036492319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5A3-439D-8664-034DCFB0E308}"/>
                </c:ext>
              </c:extLst>
            </c:dLbl>
            <c:dLbl>
              <c:idx val="3"/>
              <c:layout>
                <c:manualLayout>
                  <c:x val="-0.31568695575849115"/>
                  <c:y val="-5.499758416914003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5A3-439D-8664-034DCFB0E308}"/>
                </c:ext>
              </c:extLst>
            </c:dLbl>
            <c:dLbl>
              <c:idx val="4"/>
              <c:layout>
                <c:manualLayout>
                  <c:x val="-0.14614481437723359"/>
                  <c:y val="7.469624691074190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5A3-439D-8664-034DCFB0E308}"/>
                </c:ext>
              </c:extLst>
            </c:dLbl>
            <c:dLbl>
              <c:idx val="5"/>
              <c:layout>
                <c:manualLayout>
                  <c:x val="-0.22490573490204119"/>
                  <c:y val="-8.757094843926707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5A3-439D-8664-034DCFB0E308}"/>
                </c:ext>
              </c:extLst>
            </c:dLbl>
            <c:dLbl>
              <c:idx val="6"/>
              <c:layout>
                <c:manualLayout>
                  <c:x val="-0.13688312260128715"/>
                  <c:y val="-0.11837002126558997"/>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5A3-439D-8664-034DCFB0E308}"/>
                </c:ext>
              </c:extLst>
            </c:dLbl>
            <c:dLbl>
              <c:idx val="7"/>
              <c:layout>
                <c:manualLayout>
                  <c:x val="-8.3459430106185645E-2"/>
                  <c:y val="0.12493898116750005"/>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5A3-439D-8664-034DCFB0E308}"/>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5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Hoja1!$A$2:$A$10</c:f>
              <c:strCache>
                <c:ptCount val="9"/>
                <c:pt idx="0">
                  <c:v>Ene</c:v>
                </c:pt>
                <c:pt idx="1">
                  <c:v>Feb</c:v>
                </c:pt>
                <c:pt idx="2">
                  <c:v>Mar</c:v>
                </c:pt>
                <c:pt idx="3">
                  <c:v>Abr</c:v>
                </c:pt>
                <c:pt idx="4">
                  <c:v>May</c:v>
                </c:pt>
                <c:pt idx="5">
                  <c:v>Jun</c:v>
                </c:pt>
                <c:pt idx="6">
                  <c:v>Jul</c:v>
                </c:pt>
                <c:pt idx="7">
                  <c:v>Ago</c:v>
                </c:pt>
                <c:pt idx="8">
                  <c:v>Sep</c:v>
                </c:pt>
              </c:strCache>
            </c:strRef>
          </c:cat>
          <c:val>
            <c:numRef>
              <c:f>Hoja1!$B$2:$B$10</c:f>
              <c:numCache>
                <c:formatCode>#,##0.000</c:formatCode>
                <c:ptCount val="9"/>
                <c:pt idx="0">
                  <c:v>8.6500719377568203E-2</c:v>
                </c:pt>
                <c:pt idx="1">
                  <c:v>0.12605691413763181</c:v>
                </c:pt>
                <c:pt idx="2">
                  <c:v>0.31214309076196484</c:v>
                </c:pt>
                <c:pt idx="3">
                  <c:v>0.41775454342161311</c:v>
                </c:pt>
                <c:pt idx="4">
                  <c:v>0.4306124514309681</c:v>
                </c:pt>
                <c:pt idx="5">
                  <c:v>0.42741664278810704</c:v>
                </c:pt>
                <c:pt idx="6">
                  <c:v>0.39629406542427231</c:v>
                </c:pt>
                <c:pt idx="7">
                  <c:v>0.3852024137641834</c:v>
                </c:pt>
                <c:pt idx="8">
                  <c:v>0.36573985319872437</c:v>
                </c:pt>
              </c:numCache>
            </c:numRef>
          </c:val>
          <c:smooth val="1"/>
          <c:extLst>
            <c:ext xmlns:c16="http://schemas.microsoft.com/office/drawing/2014/chart" uri="{C3380CC4-5D6E-409C-BE32-E72D297353CC}">
              <c16:uniqueId val="{00000008-55A3-439D-8664-034DCFB0E308}"/>
            </c:ext>
          </c:extLst>
        </c:ser>
        <c:dLbls>
          <c:showLegendKey val="0"/>
          <c:showVal val="0"/>
          <c:showCatName val="0"/>
          <c:showSerName val="0"/>
          <c:showPercent val="0"/>
          <c:showBubbleSize val="0"/>
        </c:dLbls>
        <c:marker val="1"/>
        <c:smooth val="0"/>
        <c:axId val="93455872"/>
        <c:axId val="93457408"/>
      </c:lineChart>
      <c:catAx>
        <c:axId val="93455872"/>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low"/>
        <c:spPr>
          <a:noFill/>
          <a:ln w="9525" cap="flat" cmpd="sng" algn="ctr">
            <a:solidFill>
              <a:srgbClr val="FF0000"/>
            </a:solidFill>
            <a:round/>
          </a:ln>
          <a:effectLst/>
        </c:spPr>
        <c:txPr>
          <a:bodyPr rot="-60000000" spcFirstLastPara="1" vertOverflow="ellipsis" vert="horz" wrap="square" anchor="ctr" anchorCtr="1"/>
          <a:lstStyle/>
          <a:p>
            <a:pPr>
              <a:defRPr sz="550" b="1"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93457408"/>
        <c:crosses val="autoZero"/>
        <c:auto val="1"/>
        <c:lblAlgn val="ctr"/>
        <c:lblOffset val="100"/>
        <c:noMultiLvlLbl val="0"/>
      </c:catAx>
      <c:valAx>
        <c:axId val="93457408"/>
        <c:scaling>
          <c:orientation val="minMax"/>
        </c:scaling>
        <c:delete val="0"/>
        <c:axPos val="l"/>
        <c:majorGridlines>
          <c:spPr>
            <a:ln w="9525" cap="flat" cmpd="sng" algn="ctr">
              <a:solidFill>
                <a:schemeClr val="dk1">
                  <a:lumMod val="15000"/>
                  <a:lumOff val="85000"/>
                  <a:alpha val="54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55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93455872"/>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noFill/>
      <a:round/>
    </a:ln>
    <a:effectLst/>
  </c:spPr>
  <c:txPr>
    <a:bodyPr/>
    <a:lstStyle/>
    <a:p>
      <a:pPr>
        <a:defRPr/>
      </a:pPr>
      <a:endParaRPr lang="es-GT"/>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613124630607614"/>
          <c:y val="4.2091688538932637E-2"/>
          <c:w val="0.84835624360514261"/>
          <c:h val="0.85752514512328293"/>
        </c:manualLayout>
      </c:layout>
      <c:lineChart>
        <c:grouping val="standard"/>
        <c:varyColors val="0"/>
        <c:ser>
          <c:idx val="0"/>
          <c:order val="0"/>
          <c:tx>
            <c:strRef>
              <c:f>Hoja1!$B$1</c:f>
              <c:strCache>
                <c:ptCount val="1"/>
                <c:pt idx="0">
                  <c:v>Var</c:v>
                </c:pt>
              </c:strCache>
            </c:strRef>
          </c:tx>
          <c:spPr>
            <a:ln w="22225" cap="rnd">
              <a:solidFill>
                <a:schemeClr val="tx1"/>
              </a:solidFill>
              <a:prstDash val="sysDot"/>
              <a:round/>
            </a:ln>
            <a:effectLst>
              <a:glow rad="38100">
                <a:schemeClr val="accent4">
                  <a:alpha val="40000"/>
                </a:schemeClr>
              </a:glow>
            </a:effectLst>
          </c:spPr>
          <c:marker>
            <c:symbol val="circle"/>
            <c:size val="5"/>
            <c:spPr>
              <a:solidFill>
                <a:schemeClr val="lt1"/>
              </a:solidFill>
              <a:ln w="15875">
                <a:solidFill>
                  <a:schemeClr val="accent1"/>
                </a:solidFill>
                <a:round/>
              </a:ln>
              <a:effectLst>
                <a:glow rad="38100">
                  <a:schemeClr val="accent4">
                    <a:alpha val="40000"/>
                  </a:schemeClr>
                </a:glow>
              </a:effectLst>
            </c:spPr>
          </c:marker>
          <c:dLbls>
            <c:dLbl>
              <c:idx val="0"/>
              <c:layout>
                <c:manualLayout>
                  <c:x val="-0.13348933792914439"/>
                  <c:y val="-7.299442554574937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397-4EAA-B4BA-F87358EBBBAA}"/>
                </c:ext>
              </c:extLst>
            </c:dLbl>
            <c:dLbl>
              <c:idx val="1"/>
              <c:layout>
                <c:manualLayout>
                  <c:x val="-4.4243465550741899E-2"/>
                  <c:y val="5.456515820718784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397-4EAA-B4BA-F87358EBBBAA}"/>
                </c:ext>
              </c:extLst>
            </c:dLbl>
            <c:dLbl>
              <c:idx val="2"/>
              <c:layout>
                <c:manualLayout>
                  <c:x val="-0.21530601847459829"/>
                  <c:y val="-5.956710094017703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397-4EAA-B4BA-F87358EBBBAA}"/>
                </c:ext>
              </c:extLst>
            </c:dLbl>
            <c:dLbl>
              <c:idx val="3"/>
              <c:layout>
                <c:manualLayout>
                  <c:x val="-0.27777812913948008"/>
                  <c:y val="-0.11327639936246646"/>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397-4EAA-B4BA-F87358EBBBAA}"/>
                </c:ext>
              </c:extLst>
            </c:dLbl>
            <c:dLbl>
              <c:idx val="4"/>
              <c:layout>
                <c:manualLayout>
                  <c:x val="-1.1159247664323084E-3"/>
                  <c:y val="8.5585978489848892E-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397-4EAA-B4BA-F87358EBBBAA}"/>
                </c:ext>
              </c:extLst>
            </c:dLbl>
            <c:dLbl>
              <c:idx val="5"/>
              <c:layout>
                <c:manualLayout>
                  <c:x val="-0.27108468871109997"/>
                  <c:y val="-4.613977633460469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397-4EAA-B4BA-F87358EBBBAA}"/>
                </c:ext>
              </c:extLst>
            </c:dLbl>
            <c:dLbl>
              <c:idx val="6"/>
              <c:layout>
                <c:manualLayout>
                  <c:x val="-0.22646175252189871"/>
                  <c:y val="-6.628076324296321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397-4EAA-B4BA-F87358EBBBAA}"/>
                </c:ext>
              </c:extLst>
            </c:dLbl>
            <c:dLbl>
              <c:idx val="7"/>
              <c:layout>
                <c:manualLayout>
                  <c:x val="-0.17123050381754482"/>
                  <c:y val="-8.642175015132171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397-4EAA-B4BA-F87358EBBBAA}"/>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5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Hoja1!$A$2:$A$10</c:f>
              <c:strCache>
                <c:ptCount val="9"/>
                <c:pt idx="0">
                  <c:v>Ene</c:v>
                </c:pt>
                <c:pt idx="1">
                  <c:v>Feb</c:v>
                </c:pt>
                <c:pt idx="2">
                  <c:v>Mar</c:v>
                </c:pt>
                <c:pt idx="3">
                  <c:v>Abr</c:v>
                </c:pt>
                <c:pt idx="4">
                  <c:v>May</c:v>
                </c:pt>
                <c:pt idx="5">
                  <c:v>Jun</c:v>
                </c:pt>
                <c:pt idx="6">
                  <c:v>Jul</c:v>
                </c:pt>
                <c:pt idx="7">
                  <c:v>Ago</c:v>
                </c:pt>
                <c:pt idx="8">
                  <c:v>sep</c:v>
                </c:pt>
              </c:strCache>
            </c:strRef>
          </c:cat>
          <c:val>
            <c:numRef>
              <c:f>Hoja1!$B$2:$B$10</c:f>
              <c:numCache>
                <c:formatCode>#,##0.000</c:formatCode>
                <c:ptCount val="9"/>
                <c:pt idx="0">
                  <c:v>-2.3284481577866244E-3</c:v>
                </c:pt>
                <c:pt idx="1">
                  <c:v>-6.9102990033222513E-3</c:v>
                </c:pt>
                <c:pt idx="2">
                  <c:v>5.8486238532110379E-2</c:v>
                </c:pt>
                <c:pt idx="3">
                  <c:v>6.6639494599551624E-2</c:v>
                </c:pt>
                <c:pt idx="4">
                  <c:v>8.9453048966993978E-2</c:v>
                </c:pt>
                <c:pt idx="5">
                  <c:v>0.137653485449096</c:v>
                </c:pt>
                <c:pt idx="6">
                  <c:v>0.15561042983300566</c:v>
                </c:pt>
                <c:pt idx="7">
                  <c:v>0.16690521776307235</c:v>
                </c:pt>
                <c:pt idx="8">
                  <c:v>0.18262354931087002</c:v>
                </c:pt>
              </c:numCache>
            </c:numRef>
          </c:val>
          <c:smooth val="1"/>
          <c:extLst>
            <c:ext xmlns:c16="http://schemas.microsoft.com/office/drawing/2014/chart" uri="{C3380CC4-5D6E-409C-BE32-E72D297353CC}">
              <c16:uniqueId val="{00000008-A397-4EAA-B4BA-F87358EBBBAA}"/>
            </c:ext>
          </c:extLst>
        </c:ser>
        <c:dLbls>
          <c:showLegendKey val="0"/>
          <c:showVal val="0"/>
          <c:showCatName val="0"/>
          <c:showSerName val="0"/>
          <c:showPercent val="0"/>
          <c:showBubbleSize val="0"/>
        </c:dLbls>
        <c:marker val="1"/>
        <c:smooth val="0"/>
        <c:axId val="159033600"/>
        <c:axId val="159039488"/>
      </c:lineChart>
      <c:catAx>
        <c:axId val="159033600"/>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low"/>
        <c:spPr>
          <a:noFill/>
          <a:ln w="9525" cap="flat" cmpd="sng" algn="ctr">
            <a:solidFill>
              <a:srgbClr val="FF0000"/>
            </a:solidFill>
            <a:round/>
          </a:ln>
          <a:effectLst/>
        </c:spPr>
        <c:txPr>
          <a:bodyPr rot="-60000000" spcFirstLastPara="1" vertOverflow="ellipsis" vert="horz" wrap="square" anchor="ctr" anchorCtr="1"/>
          <a:lstStyle/>
          <a:p>
            <a:pPr>
              <a:defRPr sz="550" b="1"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59039488"/>
        <c:crosses val="autoZero"/>
        <c:auto val="1"/>
        <c:lblAlgn val="ctr"/>
        <c:lblOffset val="100"/>
        <c:noMultiLvlLbl val="0"/>
      </c:catAx>
      <c:valAx>
        <c:axId val="159039488"/>
        <c:scaling>
          <c:orientation val="minMax"/>
          <c:max val="0.25"/>
          <c:min val="-0.1"/>
        </c:scaling>
        <c:delete val="0"/>
        <c:axPos val="l"/>
        <c:majorGridlines>
          <c:spPr>
            <a:ln w="9525" cap="flat" cmpd="sng" algn="ctr">
              <a:solidFill>
                <a:schemeClr val="dk1">
                  <a:lumMod val="15000"/>
                  <a:lumOff val="85000"/>
                  <a:alpha val="54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55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59033600"/>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noFill/>
      <a:round/>
    </a:ln>
    <a:effectLst/>
  </c:spPr>
  <c:txPr>
    <a:bodyPr/>
    <a:lstStyle/>
    <a:p>
      <a:pPr>
        <a:defRPr/>
      </a:pPr>
      <a:endParaRPr lang="es-GT"/>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613124630607614"/>
          <c:y val="4.2091688538932637E-2"/>
          <c:w val="0.84835624360514261"/>
          <c:h val="0.85752514512328293"/>
        </c:manualLayout>
      </c:layout>
      <c:lineChart>
        <c:grouping val="standard"/>
        <c:varyColors val="0"/>
        <c:ser>
          <c:idx val="0"/>
          <c:order val="0"/>
          <c:tx>
            <c:strRef>
              <c:f>Hoja1!$B$1</c:f>
              <c:strCache>
                <c:ptCount val="1"/>
                <c:pt idx="0">
                  <c:v>Var</c:v>
                </c:pt>
              </c:strCache>
            </c:strRef>
          </c:tx>
          <c:spPr>
            <a:ln w="22225" cap="rnd">
              <a:solidFill>
                <a:schemeClr val="tx1"/>
              </a:solidFill>
              <a:prstDash val="sysDot"/>
              <a:round/>
            </a:ln>
            <a:effectLst>
              <a:glow rad="38100">
                <a:schemeClr val="accent4">
                  <a:alpha val="40000"/>
                </a:schemeClr>
              </a:glow>
            </a:effectLst>
          </c:spPr>
          <c:marker>
            <c:symbol val="circle"/>
            <c:size val="5"/>
            <c:spPr>
              <a:solidFill>
                <a:schemeClr val="lt1"/>
              </a:solidFill>
              <a:ln w="15875">
                <a:solidFill>
                  <a:schemeClr val="accent1"/>
                </a:solidFill>
                <a:round/>
              </a:ln>
              <a:effectLst>
                <a:glow rad="38100">
                  <a:schemeClr val="accent4">
                    <a:alpha val="40000"/>
                  </a:schemeClr>
                </a:glow>
              </a:effectLst>
            </c:spPr>
          </c:marker>
          <c:dLbls>
            <c:dLbl>
              <c:idx val="0"/>
              <c:layout>
                <c:manualLayout>
                  <c:x val="3.3681343622333139E-2"/>
                  <c:y val="1.987512012785320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8F8-452F-ADF9-BCADC41F5283}"/>
                </c:ext>
              </c:extLst>
            </c:dLbl>
            <c:dLbl>
              <c:idx val="1"/>
              <c:layout>
                <c:manualLayout>
                  <c:x val="4.9704590376044119E-2"/>
                  <c:y val="-6.778502822009027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8F8-452F-ADF9-BCADC41F5283}"/>
                </c:ext>
              </c:extLst>
            </c:dLbl>
            <c:dLbl>
              <c:idx val="2"/>
              <c:layout>
                <c:manualLayout>
                  <c:x val="-0.24323667439890487"/>
                  <c:y val="-6.778502822009015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8F8-452F-ADF9-BCADC41F5283}"/>
                </c:ext>
              </c:extLst>
            </c:dLbl>
            <c:dLbl>
              <c:idx val="3"/>
              <c:layout>
                <c:manualLayout>
                  <c:x val="-0.23415814512064798"/>
                  <c:y val="-6.104193988563297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8F8-452F-ADF9-BCADC41F5283}"/>
                </c:ext>
              </c:extLst>
            </c:dLbl>
            <c:dLbl>
              <c:idx val="4"/>
              <c:layout>
                <c:manualLayout>
                  <c:x val="-0.23415814512064795"/>
                  <c:y val="-6.778502822009015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8F8-452F-ADF9-BCADC41F5283}"/>
                </c:ext>
              </c:extLst>
            </c:dLbl>
            <c:dLbl>
              <c:idx val="5"/>
              <c:layout>
                <c:manualLayout>
                  <c:x val="-0.225079615842391"/>
                  <c:y val="-6.778502822009016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8F8-452F-ADF9-BCADC41F5283}"/>
                </c:ext>
              </c:extLst>
            </c:dLbl>
            <c:dLbl>
              <c:idx val="6"/>
              <c:layout>
                <c:manualLayout>
                  <c:x val="-0.20692255728587716"/>
                  <c:y val="-6.778502822009016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8F8-452F-ADF9-BCADC41F5283}"/>
                </c:ext>
              </c:extLst>
            </c:dLbl>
            <c:dLbl>
              <c:idx val="7"/>
              <c:layout>
                <c:manualLayout>
                  <c:x val="-0.15292889795947553"/>
                  <c:y val="-8.127120488900452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8F8-452F-ADF9-BCADC41F5283}"/>
                </c:ext>
              </c:extLst>
            </c:dLbl>
            <c:numFmt formatCode="0.0%" sourceLinked="0"/>
            <c:spPr>
              <a:noFill/>
              <a:ln>
                <a:noFill/>
              </a:ln>
              <a:effectLst/>
            </c:spPr>
            <c:txPr>
              <a:bodyPr rot="0" spcFirstLastPara="1" vertOverflow="ellipsis" vert="horz" wrap="square" anchor="ctr" anchorCtr="1"/>
              <a:lstStyle/>
              <a:p>
                <a:pPr>
                  <a:defRPr sz="500" b="1" i="0" u="none" strike="noStrike" kern="1200" baseline="0">
                    <a:solidFill>
                      <a:schemeClr val="dk1">
                        <a:lumMod val="75000"/>
                        <a:lumOff val="25000"/>
                      </a:schemeClr>
                    </a:solidFill>
                    <a:latin typeface="+mn-lt"/>
                    <a:ea typeface="+mn-ea"/>
                    <a:cs typeface="+mn-cs"/>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Hoja1!$A$2:$A$10</c:f>
              <c:strCache>
                <c:ptCount val="9"/>
                <c:pt idx="0">
                  <c:v>Ene</c:v>
                </c:pt>
                <c:pt idx="1">
                  <c:v>Feb</c:v>
                </c:pt>
                <c:pt idx="2">
                  <c:v>Mar</c:v>
                </c:pt>
                <c:pt idx="3">
                  <c:v>Abr</c:v>
                </c:pt>
                <c:pt idx="4">
                  <c:v>May</c:v>
                </c:pt>
                <c:pt idx="5">
                  <c:v>Jun</c:v>
                </c:pt>
                <c:pt idx="6">
                  <c:v>Jul</c:v>
                </c:pt>
                <c:pt idx="7">
                  <c:v>Ago</c:v>
                </c:pt>
                <c:pt idx="8">
                  <c:v>Sep</c:v>
                </c:pt>
              </c:strCache>
            </c:strRef>
          </c:cat>
          <c:val>
            <c:numRef>
              <c:f>Hoja1!$B$2:$B$10</c:f>
              <c:numCache>
                <c:formatCode>#,##0.000</c:formatCode>
                <c:ptCount val="9"/>
                <c:pt idx="0">
                  <c:v>-1.7493703628071414E-2</c:v>
                </c:pt>
                <c:pt idx="1">
                  <c:v>7.2801799187463698E-2</c:v>
                </c:pt>
                <c:pt idx="2">
                  <c:v>0.19982901254746152</c:v>
                </c:pt>
                <c:pt idx="3">
                  <c:v>0.27335159459988279</c:v>
                </c:pt>
                <c:pt idx="4">
                  <c:v>0.34000096710240002</c:v>
                </c:pt>
                <c:pt idx="5">
                  <c:v>0.37848006019563568</c:v>
                </c:pt>
                <c:pt idx="6">
                  <c:v>0.40560684240701078</c:v>
                </c:pt>
                <c:pt idx="7">
                  <c:v>0.42879407753750198</c:v>
                </c:pt>
                <c:pt idx="8">
                  <c:v>0.43522036474164111</c:v>
                </c:pt>
              </c:numCache>
            </c:numRef>
          </c:val>
          <c:smooth val="1"/>
          <c:extLst>
            <c:ext xmlns:c16="http://schemas.microsoft.com/office/drawing/2014/chart" uri="{C3380CC4-5D6E-409C-BE32-E72D297353CC}">
              <c16:uniqueId val="{00000008-A8F8-452F-ADF9-BCADC41F5283}"/>
            </c:ext>
          </c:extLst>
        </c:ser>
        <c:dLbls>
          <c:showLegendKey val="0"/>
          <c:showVal val="0"/>
          <c:showCatName val="0"/>
          <c:showSerName val="0"/>
          <c:showPercent val="0"/>
          <c:showBubbleSize val="0"/>
        </c:dLbls>
        <c:marker val="1"/>
        <c:smooth val="0"/>
        <c:axId val="93858816"/>
        <c:axId val="93876992"/>
      </c:lineChart>
      <c:catAx>
        <c:axId val="93858816"/>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low"/>
        <c:spPr>
          <a:noFill/>
          <a:ln w="9525" cap="flat" cmpd="sng" algn="ctr">
            <a:solidFill>
              <a:srgbClr val="FF0000"/>
            </a:solidFill>
            <a:round/>
          </a:ln>
          <a:effectLst/>
        </c:spPr>
        <c:txPr>
          <a:bodyPr rot="-60000000" spcFirstLastPara="1" vertOverflow="ellipsis" vert="horz" wrap="square" anchor="ctr" anchorCtr="1"/>
          <a:lstStyle/>
          <a:p>
            <a:pPr>
              <a:defRPr sz="550" b="1"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93876992"/>
        <c:crosses val="autoZero"/>
        <c:auto val="1"/>
        <c:lblAlgn val="ctr"/>
        <c:lblOffset val="100"/>
        <c:noMultiLvlLbl val="0"/>
      </c:catAx>
      <c:valAx>
        <c:axId val="93876992"/>
        <c:scaling>
          <c:orientation val="minMax"/>
        </c:scaling>
        <c:delete val="0"/>
        <c:axPos val="l"/>
        <c:majorGridlines>
          <c:spPr>
            <a:ln w="9525" cap="flat" cmpd="sng" algn="ctr">
              <a:solidFill>
                <a:schemeClr val="dk1">
                  <a:lumMod val="15000"/>
                  <a:lumOff val="85000"/>
                  <a:alpha val="54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55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93858816"/>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noFill/>
      <a:round/>
    </a:ln>
    <a:effectLst/>
  </c:spPr>
  <c:txPr>
    <a:bodyPr/>
    <a:lstStyle/>
    <a:p>
      <a:pPr>
        <a:defRPr sz="550"/>
      </a:pPr>
      <a:endParaRPr lang="es-GT"/>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613124630607614"/>
          <c:y val="4.2091688538932637E-2"/>
          <c:w val="0.84835624360514261"/>
          <c:h val="0.85752514512328293"/>
        </c:manualLayout>
      </c:layout>
      <c:lineChart>
        <c:grouping val="standard"/>
        <c:varyColors val="0"/>
        <c:ser>
          <c:idx val="0"/>
          <c:order val="0"/>
          <c:tx>
            <c:strRef>
              <c:f>Hoja1!$B$1</c:f>
              <c:strCache>
                <c:ptCount val="1"/>
                <c:pt idx="0">
                  <c:v>Var</c:v>
                </c:pt>
              </c:strCache>
            </c:strRef>
          </c:tx>
          <c:spPr>
            <a:ln w="22225" cap="rnd">
              <a:solidFill>
                <a:schemeClr val="tx1"/>
              </a:solidFill>
              <a:prstDash val="sysDot"/>
              <a:round/>
            </a:ln>
            <a:effectLst>
              <a:glow rad="38100">
                <a:schemeClr val="accent4">
                  <a:alpha val="40000"/>
                </a:schemeClr>
              </a:glow>
            </a:effectLst>
          </c:spPr>
          <c:marker>
            <c:symbol val="circle"/>
            <c:size val="5"/>
            <c:spPr>
              <a:solidFill>
                <a:schemeClr val="lt1"/>
              </a:solidFill>
              <a:ln w="15875">
                <a:solidFill>
                  <a:schemeClr val="accent1"/>
                </a:solidFill>
                <a:round/>
              </a:ln>
              <a:effectLst>
                <a:glow rad="38100">
                  <a:schemeClr val="accent4">
                    <a:alpha val="40000"/>
                  </a:schemeClr>
                </a:glow>
              </a:effectLst>
            </c:spPr>
          </c:marker>
          <c:dLbls>
            <c:dLbl>
              <c:idx val="0"/>
              <c:layout>
                <c:manualLayout>
                  <c:x val="-3.2928905839128865E-2"/>
                  <c:y val="3.201216638602801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294-4363-8A38-0E62D545259B}"/>
                </c:ext>
              </c:extLst>
            </c:dLbl>
            <c:dLbl>
              <c:idx val="1"/>
              <c:layout>
                <c:manualLayout>
                  <c:x val="1.1297980559529545E-2"/>
                  <c:y val="4.2882944387694017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294-4363-8A38-0E62D545259B}"/>
                </c:ext>
              </c:extLst>
            </c:dLbl>
            <c:dLbl>
              <c:idx val="2"/>
              <c:layout>
                <c:manualLayout>
                  <c:x val="-0.22157649490450779"/>
                  <c:y val="-6.69395782013822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294-4363-8A38-0E62D545259B}"/>
                </c:ext>
              </c:extLst>
            </c:dLbl>
            <c:dLbl>
              <c:idx val="3"/>
              <c:layout>
                <c:manualLayout>
                  <c:x val="-0.27863350336696008"/>
                  <c:y val="-1.153972544114615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294-4363-8A38-0E62D545259B}"/>
                </c:ext>
              </c:extLst>
            </c:dLbl>
            <c:dLbl>
              <c:idx val="4"/>
              <c:layout>
                <c:manualLayout>
                  <c:x val="-0.14601242336534181"/>
                  <c:y val="-4.82411471455100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294-4363-8A38-0E62D545259B}"/>
                </c:ext>
              </c:extLst>
            </c:dLbl>
            <c:dLbl>
              <c:idx val="5"/>
              <c:layout>
                <c:manualLayout>
                  <c:x val="1.0318969353492101E-2"/>
                  <c:y val="-2.121831988730300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294-4363-8A38-0E62D545259B}"/>
                </c:ext>
              </c:extLst>
            </c:dLbl>
            <c:dLbl>
              <c:idx val="6"/>
              <c:layout>
                <c:manualLayout>
                  <c:x val="-0.25904813042694746"/>
                  <c:y val="2.84182933943350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294-4363-8A38-0E62D545259B}"/>
                </c:ext>
              </c:extLst>
            </c:dLbl>
            <c:dLbl>
              <c:idx val="7"/>
              <c:layout>
                <c:manualLayout>
                  <c:x val="-0.24336335585328817"/>
                  <c:y val="-3.398232613352965E-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294-4363-8A38-0E62D545259B}"/>
                </c:ext>
              </c:extLst>
            </c:dLbl>
            <c:dLbl>
              <c:idx val="8"/>
              <c:layout>
                <c:manualLayout>
                  <c:x val="-0.11122626486261855"/>
                  <c:y val="3.201216638602789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294-4363-8A38-0E62D545259B}"/>
                </c:ext>
              </c:extLst>
            </c:dLbl>
            <c:numFmt formatCode="0.0%" sourceLinked="0"/>
            <c:spPr>
              <a:noFill/>
              <a:ln>
                <a:noFill/>
              </a:ln>
              <a:effectLst/>
            </c:spPr>
            <c:txPr>
              <a:bodyPr rot="0" spcFirstLastPara="1" vertOverflow="ellipsis" vert="horz" wrap="square" anchor="ctr" anchorCtr="1"/>
              <a:lstStyle/>
              <a:p>
                <a:pPr>
                  <a:defRPr sz="500" b="1" i="0" u="none" strike="noStrike" kern="1200" baseline="0">
                    <a:solidFill>
                      <a:schemeClr val="dk1">
                        <a:lumMod val="75000"/>
                        <a:lumOff val="25000"/>
                      </a:schemeClr>
                    </a:solidFill>
                    <a:latin typeface="+mn-lt"/>
                    <a:ea typeface="+mn-ea"/>
                    <a:cs typeface="+mn-cs"/>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Hoja1!$A$2:$A$10</c:f>
              <c:strCache>
                <c:ptCount val="9"/>
                <c:pt idx="0">
                  <c:v>Ene</c:v>
                </c:pt>
                <c:pt idx="1">
                  <c:v>Feb</c:v>
                </c:pt>
                <c:pt idx="2">
                  <c:v>Mar</c:v>
                </c:pt>
                <c:pt idx="3">
                  <c:v>Abr</c:v>
                </c:pt>
                <c:pt idx="4">
                  <c:v>May</c:v>
                </c:pt>
                <c:pt idx="5">
                  <c:v>Jun</c:v>
                </c:pt>
                <c:pt idx="6">
                  <c:v>Jul</c:v>
                </c:pt>
                <c:pt idx="7">
                  <c:v>Ago</c:v>
                </c:pt>
                <c:pt idx="8">
                  <c:v>Sep</c:v>
                </c:pt>
              </c:strCache>
            </c:strRef>
          </c:cat>
          <c:val>
            <c:numRef>
              <c:f>Hoja1!$B$2:$B$10</c:f>
              <c:numCache>
                <c:formatCode>#,##0.000</c:formatCode>
                <c:ptCount val="9"/>
                <c:pt idx="0">
                  <c:v>3.386186818022921E-2</c:v>
                </c:pt>
                <c:pt idx="1">
                  <c:v>5.817780571479432E-2</c:v>
                </c:pt>
                <c:pt idx="2">
                  <c:v>9.3820002480451165E-2</c:v>
                </c:pt>
                <c:pt idx="3">
                  <c:v>0.12803291772602066</c:v>
                </c:pt>
                <c:pt idx="4">
                  <c:v>0.14533311953977332</c:v>
                </c:pt>
                <c:pt idx="5">
                  <c:v>0.13838519361958504</c:v>
                </c:pt>
                <c:pt idx="6">
                  <c:v>0.11404324571990258</c:v>
                </c:pt>
                <c:pt idx="7">
                  <c:v>8.5869125532607171E-2</c:v>
                </c:pt>
                <c:pt idx="8">
                  <c:v>6.3617739265052362E-2</c:v>
                </c:pt>
              </c:numCache>
            </c:numRef>
          </c:val>
          <c:smooth val="1"/>
          <c:extLst>
            <c:ext xmlns:c16="http://schemas.microsoft.com/office/drawing/2014/chart" uri="{C3380CC4-5D6E-409C-BE32-E72D297353CC}">
              <c16:uniqueId val="{00000009-1294-4363-8A38-0E62D545259B}"/>
            </c:ext>
          </c:extLst>
        </c:ser>
        <c:dLbls>
          <c:showLegendKey val="0"/>
          <c:showVal val="0"/>
          <c:showCatName val="0"/>
          <c:showSerName val="0"/>
          <c:showPercent val="0"/>
          <c:showBubbleSize val="0"/>
        </c:dLbls>
        <c:marker val="1"/>
        <c:smooth val="0"/>
        <c:axId val="173514112"/>
        <c:axId val="173520000"/>
      </c:lineChart>
      <c:catAx>
        <c:axId val="173514112"/>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low"/>
        <c:spPr>
          <a:noFill/>
          <a:ln w="9525" cap="flat" cmpd="sng" algn="ctr">
            <a:solidFill>
              <a:srgbClr val="FF0000"/>
            </a:solidFill>
            <a:round/>
          </a:ln>
          <a:effectLst/>
        </c:spPr>
        <c:txPr>
          <a:bodyPr rot="-60000000" spcFirstLastPara="1" vertOverflow="ellipsis" vert="horz" wrap="square" anchor="ctr" anchorCtr="1"/>
          <a:lstStyle/>
          <a:p>
            <a:pPr>
              <a:defRPr sz="550" b="1"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73520000"/>
        <c:crosses val="autoZero"/>
        <c:auto val="1"/>
        <c:lblAlgn val="ctr"/>
        <c:lblOffset val="100"/>
        <c:noMultiLvlLbl val="0"/>
      </c:catAx>
      <c:valAx>
        <c:axId val="173520000"/>
        <c:scaling>
          <c:orientation val="minMax"/>
        </c:scaling>
        <c:delete val="0"/>
        <c:axPos val="l"/>
        <c:majorGridlines>
          <c:spPr>
            <a:ln w="9525" cap="flat" cmpd="sng" algn="ctr">
              <a:solidFill>
                <a:schemeClr val="dk1">
                  <a:lumMod val="15000"/>
                  <a:lumOff val="85000"/>
                  <a:alpha val="54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55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173514112"/>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noFill/>
      <a:round/>
    </a:ln>
    <a:effectLst/>
  </c:spPr>
  <c:txPr>
    <a:bodyPr/>
    <a:lstStyle/>
    <a:p>
      <a:pPr>
        <a:defRPr sz="550"/>
      </a:pPr>
      <a:endParaRPr lang="es-GT"/>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sz="1000" b="1">
                <a:latin typeface="Times New Roman" panose="02020603050405020304" pitchFamily="18" charset="0"/>
                <a:cs typeface="Times New Roman" panose="02020603050405020304" pitchFamily="18" charset="0"/>
              </a:rPr>
              <a:t>Variación interanual acumulada del numero de visitantes no residentes 2019 a diciembre 2021 </a:t>
            </a:r>
          </a:p>
        </c:rich>
      </c:tx>
      <c:overlay val="0"/>
      <c:spPr>
        <a:noFill/>
        <a:ln>
          <a:noFill/>
        </a:ln>
        <a:effectLst/>
      </c:spPr>
      <c:txPr>
        <a:bodyPr rot="0" spcFirstLastPara="1" vertOverflow="ellipsis" vert="horz" wrap="square" anchor="ctr" anchorCtr="1"/>
        <a:lstStyle/>
        <a:p>
          <a:pPr>
            <a:defRPr sz="10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title>
    <c:autoTitleDeleted val="0"/>
    <c:plotArea>
      <c:layout>
        <c:manualLayout>
          <c:layoutTarget val="inner"/>
          <c:xMode val="edge"/>
          <c:yMode val="edge"/>
          <c:x val="0.10910912872384888"/>
          <c:y val="0.26040126656765766"/>
          <c:w val="0.85280142077058452"/>
          <c:h val="0.55268361027825263"/>
        </c:manualLayout>
      </c:layout>
      <c:lineChart>
        <c:grouping val="standard"/>
        <c:varyColors val="0"/>
        <c:ser>
          <c:idx val="0"/>
          <c:order val="0"/>
          <c:tx>
            <c:strRef>
              <c:f>Hoja1!$B$1</c:f>
              <c:strCache>
                <c:ptCount val="1"/>
                <c:pt idx="0">
                  <c:v>Var interanual</c:v>
                </c:pt>
              </c:strCache>
            </c:strRef>
          </c:tx>
          <c:spPr>
            <a:ln w="28575" cap="rnd">
              <a:solidFill>
                <a:schemeClr val="accent1"/>
              </a:solidFill>
              <a:round/>
            </a:ln>
            <a:effectLst/>
          </c:spPr>
          <c:marker>
            <c:symbol val="diamond"/>
            <c:size val="5"/>
            <c:spPr>
              <a:solidFill>
                <a:schemeClr val="bg1"/>
              </a:solidFill>
              <a:ln w="9525">
                <a:solidFill>
                  <a:schemeClr val="accent1"/>
                </a:solidFill>
              </a:ln>
              <a:effectLst/>
            </c:spPr>
          </c:marker>
          <c:dLbls>
            <c:dLbl>
              <c:idx val="13"/>
              <c:layout>
                <c:manualLayout>
                  <c:x val="-4.7251535674909494E-2"/>
                  <c:y val="-6.05449041372351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691-4BAA-8DD7-945EFBC23298}"/>
                </c:ext>
              </c:extLst>
            </c:dLbl>
            <c:dLbl>
              <c:idx val="22"/>
              <c:layout>
                <c:manualLayout>
                  <c:x val="-0.14175460702472836"/>
                  <c:y val="6.05449041372351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691-4BAA-8DD7-945EFBC23298}"/>
                </c:ext>
              </c:extLst>
            </c:dLbl>
            <c:dLbl>
              <c:idx val="25"/>
              <c:layout>
                <c:manualLayout>
                  <c:x val="5.3551740431564028E-2"/>
                  <c:y val="3.36360578540195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691-4BAA-8DD7-945EFBC23298}"/>
                </c:ext>
              </c:extLst>
            </c:dLbl>
            <c:dLbl>
              <c:idx val="34"/>
              <c:layout>
                <c:manualLayout>
                  <c:x val="0"/>
                  <c:y val="0.1009081735620585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691-4BAA-8DD7-945EFBC23298}"/>
                </c:ext>
              </c:extLst>
            </c:dLbl>
            <c:dLbl>
              <c:idx val="35"/>
              <c:layout>
                <c:manualLayout>
                  <c:x val="-1.0239107259172739E-16"/>
                  <c:y val="-3.83982446516730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691-4BAA-8DD7-945EFBC23298}"/>
                </c:ext>
              </c:extLst>
            </c:dLbl>
            <c:numFmt formatCode="0.0%" sourceLinked="0"/>
            <c:spPr>
              <a:noFill/>
              <a:ln>
                <a:noFill/>
              </a:ln>
              <a:effectLst/>
            </c:spPr>
            <c:txPr>
              <a:bodyPr rot="0" spcFirstLastPara="1" vertOverflow="ellipsis" vert="horz" wrap="square" anchor="ctr" anchorCtr="1"/>
              <a:lstStyle/>
              <a:p>
                <a:pPr>
                  <a:defRPr sz="700" b="1"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Hoja1!$A$2:$A$37</c:f>
              <c:numCache>
                <c:formatCode>mmm\-yy</c:formatCode>
                <c:ptCount val="36"/>
                <c:pt idx="0">
                  <c:v>43466</c:v>
                </c:pt>
                <c:pt idx="1">
                  <c:v>43497</c:v>
                </c:pt>
                <c:pt idx="2">
                  <c:v>43525</c:v>
                </c:pt>
                <c:pt idx="3">
                  <c:v>43556</c:v>
                </c:pt>
                <c:pt idx="4">
                  <c:v>43586</c:v>
                </c:pt>
                <c:pt idx="5">
                  <c:v>43617</c:v>
                </c:pt>
                <c:pt idx="6">
                  <c:v>43647</c:v>
                </c:pt>
                <c:pt idx="7">
                  <c:v>43678</c:v>
                </c:pt>
                <c:pt idx="8">
                  <c:v>43709</c:v>
                </c:pt>
                <c:pt idx="9">
                  <c:v>43739</c:v>
                </c:pt>
                <c:pt idx="10">
                  <c:v>43770</c:v>
                </c:pt>
                <c:pt idx="11">
                  <c:v>43800</c:v>
                </c:pt>
                <c:pt idx="12">
                  <c:v>43831</c:v>
                </c:pt>
                <c:pt idx="13">
                  <c:v>43862</c:v>
                </c:pt>
                <c:pt idx="14">
                  <c:v>43891</c:v>
                </c:pt>
                <c:pt idx="15">
                  <c:v>43922</c:v>
                </c:pt>
                <c:pt idx="16">
                  <c:v>43952</c:v>
                </c:pt>
                <c:pt idx="17">
                  <c:v>43983</c:v>
                </c:pt>
                <c:pt idx="18">
                  <c:v>44013</c:v>
                </c:pt>
                <c:pt idx="19">
                  <c:v>44044</c:v>
                </c:pt>
                <c:pt idx="20">
                  <c:v>44075</c:v>
                </c:pt>
                <c:pt idx="21">
                  <c:v>44105</c:v>
                </c:pt>
                <c:pt idx="22">
                  <c:v>44136</c:v>
                </c:pt>
                <c:pt idx="23">
                  <c:v>44166</c:v>
                </c:pt>
                <c:pt idx="24">
                  <c:v>44197</c:v>
                </c:pt>
                <c:pt idx="25">
                  <c:v>44228</c:v>
                </c:pt>
                <c:pt idx="26">
                  <c:v>44256</c:v>
                </c:pt>
                <c:pt idx="27">
                  <c:v>44287</c:v>
                </c:pt>
                <c:pt idx="28">
                  <c:v>44317</c:v>
                </c:pt>
                <c:pt idx="29">
                  <c:v>44348</c:v>
                </c:pt>
                <c:pt idx="30">
                  <c:v>44378</c:v>
                </c:pt>
                <c:pt idx="31">
                  <c:v>44409</c:v>
                </c:pt>
                <c:pt idx="32">
                  <c:v>44440</c:v>
                </c:pt>
                <c:pt idx="33">
                  <c:v>44470</c:v>
                </c:pt>
                <c:pt idx="34">
                  <c:v>44501</c:v>
                </c:pt>
                <c:pt idx="35">
                  <c:v>44531</c:v>
                </c:pt>
              </c:numCache>
            </c:numRef>
          </c:cat>
          <c:val>
            <c:numRef>
              <c:f>Hoja1!$B$2:$B$37</c:f>
              <c:numCache>
                <c:formatCode>General</c:formatCode>
                <c:ptCount val="36"/>
                <c:pt idx="0">
                  <c:v>7.0426782590944814E-2</c:v>
                </c:pt>
                <c:pt idx="1">
                  <c:v>5.7694816573254259E-2</c:v>
                </c:pt>
                <c:pt idx="2">
                  <c:v>1.5614617432707645E-2</c:v>
                </c:pt>
                <c:pt idx="3">
                  <c:v>7.3174542571000645E-2</c:v>
                </c:pt>
                <c:pt idx="4">
                  <c:v>6.7153671844834451E-2</c:v>
                </c:pt>
                <c:pt idx="5">
                  <c:v>6.7493011287258264E-2</c:v>
                </c:pt>
                <c:pt idx="6">
                  <c:v>6.4226170487158507E-2</c:v>
                </c:pt>
                <c:pt idx="7">
                  <c:v>5.628741710859142E-2</c:v>
                </c:pt>
                <c:pt idx="8">
                  <c:v>5.5996330451338894E-2</c:v>
                </c:pt>
                <c:pt idx="9">
                  <c:v>5.7120039366836517E-2</c:v>
                </c:pt>
                <c:pt idx="10">
                  <c:v>6.2958229231910634E-2</c:v>
                </c:pt>
                <c:pt idx="11">
                  <c:v>6.3883316943084134E-2</c:v>
                </c:pt>
                <c:pt idx="12">
                  <c:v>4.0295072446180136E-2</c:v>
                </c:pt>
                <c:pt idx="13">
                  <c:v>7.5361631835694221E-2</c:v>
                </c:pt>
                <c:pt idx="14">
                  <c:v>-0.18955276635106377</c:v>
                </c:pt>
                <c:pt idx="15">
                  <c:v>-0.41014741990535442</c:v>
                </c:pt>
                <c:pt idx="16">
                  <c:v>-0.50746519684463576</c:v>
                </c:pt>
                <c:pt idx="17">
                  <c:v>-0.58126096217704082</c:v>
                </c:pt>
                <c:pt idx="18">
                  <c:v>-0.64268771663181989</c:v>
                </c:pt>
                <c:pt idx="19">
                  <c:v>-0.68854248973875365</c:v>
                </c:pt>
                <c:pt idx="20">
                  <c:v>-0.7141723010829073</c:v>
                </c:pt>
                <c:pt idx="21">
                  <c:v>-0.73710072528283344</c:v>
                </c:pt>
                <c:pt idx="22">
                  <c:v>-0.74960571630886097</c:v>
                </c:pt>
                <c:pt idx="23">
                  <c:v>-0.76789549963679327</c:v>
                </c:pt>
                <c:pt idx="24">
                  <c:v>-0.81027831014082163</c:v>
                </c:pt>
                <c:pt idx="25">
                  <c:v>-0.8469546794772318</c:v>
                </c:pt>
                <c:pt idx="26">
                  <c:v>-0.77036883070607498</c:v>
                </c:pt>
                <c:pt idx="27">
                  <c:v>-0.69569518111194828</c:v>
                </c:pt>
                <c:pt idx="28">
                  <c:v>-0.62364569685137283</c:v>
                </c:pt>
                <c:pt idx="29">
                  <c:v>-0.52142759048174026</c:v>
                </c:pt>
                <c:pt idx="30">
                  <c:v>-0.41375701045583269</c:v>
                </c:pt>
                <c:pt idx="31">
                  <c:v>-0.33740196496906305</c:v>
                </c:pt>
                <c:pt idx="32">
                  <c:v>-0.26689905135270076</c:v>
                </c:pt>
                <c:pt idx="33">
                  <c:v>-0.18293354507383164</c:v>
                </c:pt>
                <c:pt idx="34">
                  <c:v>-0.12025368127945413</c:v>
                </c:pt>
                <c:pt idx="35">
                  <c:v>0.12125961716527223</c:v>
                </c:pt>
              </c:numCache>
            </c:numRef>
          </c:val>
          <c:smooth val="0"/>
          <c:extLst>
            <c:ext xmlns:c16="http://schemas.microsoft.com/office/drawing/2014/chart" uri="{C3380CC4-5D6E-409C-BE32-E72D297353CC}">
              <c16:uniqueId val="{00000005-0691-4BAA-8DD7-945EFBC23298}"/>
            </c:ext>
          </c:extLst>
        </c:ser>
        <c:dLbls>
          <c:showLegendKey val="0"/>
          <c:showVal val="0"/>
          <c:showCatName val="0"/>
          <c:showSerName val="0"/>
          <c:showPercent val="0"/>
          <c:showBubbleSize val="0"/>
        </c:dLbls>
        <c:marker val="1"/>
        <c:smooth val="0"/>
        <c:axId val="996761368"/>
        <c:axId val="996763336"/>
      </c:lineChart>
      <c:dateAx>
        <c:axId val="996761368"/>
        <c:scaling>
          <c:orientation val="minMax"/>
        </c:scaling>
        <c:delete val="0"/>
        <c:axPos val="b"/>
        <c:numFmt formatCode="mmm\-yy"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996763336"/>
        <c:crosses val="autoZero"/>
        <c:auto val="1"/>
        <c:lblOffset val="100"/>
        <c:baseTimeUnit val="months"/>
      </c:dateAx>
      <c:valAx>
        <c:axId val="996763336"/>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GT"/>
          </a:p>
        </c:txPr>
        <c:crossAx val="99676136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800"/>
      </a:pPr>
      <a:endParaRPr lang="es-GT"/>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502579014806894"/>
          <c:y val="3.6022059742532177E-2"/>
          <c:w val="0.81288627289924786"/>
          <c:h val="0.87264085739282582"/>
        </c:manualLayout>
      </c:layout>
      <c:lineChart>
        <c:grouping val="standard"/>
        <c:varyColors val="0"/>
        <c:ser>
          <c:idx val="0"/>
          <c:order val="0"/>
          <c:tx>
            <c:strRef>
              <c:f>Hoja1!$B$1</c:f>
              <c:strCache>
                <c:ptCount val="1"/>
                <c:pt idx="0">
                  <c:v>Var</c:v>
                </c:pt>
              </c:strCache>
            </c:strRef>
          </c:tx>
          <c:marker>
            <c:symbol val="circle"/>
            <c:size val="6"/>
          </c:marker>
          <c:dLbls>
            <c:dLbl>
              <c:idx val="0"/>
              <c:layout>
                <c:manualLayout>
                  <c:x val="-6.462035541195478E-2"/>
                  <c:y val="-7.132331270262304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787-463A-B259-39201DFF81EE}"/>
                </c:ext>
              </c:extLst>
            </c:dLbl>
            <c:dLbl>
              <c:idx val="1"/>
              <c:layout>
                <c:manualLayout>
                  <c:x val="-2.7694438033694899E-2"/>
                  <c:y val="-0.11258473327438856"/>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787-463A-B259-39201DFF81EE}"/>
                </c:ext>
              </c:extLst>
            </c:dLbl>
            <c:dLbl>
              <c:idx val="2"/>
              <c:layout>
                <c:manualLayout>
                  <c:x val="1.2312394714796353E-2"/>
                  <c:y val="1.709401709401698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787-463A-B259-39201DFF81EE}"/>
                </c:ext>
              </c:extLst>
            </c:dLbl>
            <c:dLbl>
              <c:idx val="3"/>
              <c:layout>
                <c:manualLayout>
                  <c:x val="-9.6930533117932149E-2"/>
                  <c:y val="-7.132331270262304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787-463A-B259-39201DFF81EE}"/>
                </c:ext>
              </c:extLst>
            </c:dLbl>
            <c:dLbl>
              <c:idx val="4"/>
              <c:layout>
                <c:manualLayout>
                  <c:x val="-6.9236095084237254E-2"/>
                  <c:y val="-7.132331270262304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787-463A-B259-39201DFF81EE}"/>
                </c:ext>
              </c:extLst>
            </c:dLbl>
            <c:dLbl>
              <c:idx val="7"/>
              <c:layout>
                <c:manualLayout>
                  <c:x val="-6.1505639743335795E-3"/>
                  <c:y val="1.119952844090775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787-463A-B259-39201DFF81EE}"/>
                </c:ext>
              </c:extLst>
            </c:dLbl>
            <c:spPr>
              <a:noFill/>
              <a:ln>
                <a:noFill/>
              </a:ln>
              <a:effectLst/>
            </c:spPr>
            <c:txPr>
              <a:bodyPr/>
              <a:lstStyle/>
              <a:p>
                <a:pPr>
                  <a:defRPr sz="800" b="1">
                    <a:solidFill>
                      <a:srgbClr val="0070C0"/>
                    </a:solidFill>
                  </a:defRPr>
                </a:pPr>
                <a:endParaRPr lang="es-G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Hoja1!$A$2:$A$10</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Hoja1!$B$2:$B$10</c:f>
              <c:numCache>
                <c:formatCode>0.0%</c:formatCode>
                <c:ptCount val="9"/>
                <c:pt idx="0">
                  <c:v>0.19733054809635653</c:v>
                </c:pt>
                <c:pt idx="1">
                  <c:v>3.4649666695335757E-2</c:v>
                </c:pt>
                <c:pt idx="2">
                  <c:v>-5.3376047881755206E-2</c:v>
                </c:pt>
                <c:pt idx="3">
                  <c:v>6.5964565568410016E-2</c:v>
                </c:pt>
                <c:pt idx="4">
                  <c:v>5.9696766718702943E-2</c:v>
                </c:pt>
                <c:pt idx="5">
                  <c:v>-1.8856287759967727E-2</c:v>
                </c:pt>
                <c:pt idx="6">
                  <c:v>4.8923530806319837E-2</c:v>
                </c:pt>
                <c:pt idx="7">
                  <c:v>-5.058164865580661E-2</c:v>
                </c:pt>
                <c:pt idx="8">
                  <c:v>0.35196034992891057</c:v>
                </c:pt>
              </c:numCache>
            </c:numRef>
          </c:val>
          <c:smooth val="1"/>
          <c:extLst>
            <c:ext xmlns:c16="http://schemas.microsoft.com/office/drawing/2014/chart" uri="{C3380CC4-5D6E-409C-BE32-E72D297353CC}">
              <c16:uniqueId val="{00000006-1787-463A-B259-39201DFF81EE}"/>
            </c:ext>
          </c:extLst>
        </c:ser>
        <c:dLbls>
          <c:showLegendKey val="0"/>
          <c:showVal val="0"/>
          <c:showCatName val="0"/>
          <c:showSerName val="0"/>
          <c:showPercent val="0"/>
          <c:showBubbleSize val="0"/>
        </c:dLbls>
        <c:marker val="1"/>
        <c:smooth val="0"/>
        <c:axId val="186148736"/>
        <c:axId val="186150272"/>
      </c:lineChart>
      <c:catAx>
        <c:axId val="186148736"/>
        <c:scaling>
          <c:orientation val="minMax"/>
        </c:scaling>
        <c:delete val="0"/>
        <c:axPos val="b"/>
        <c:numFmt formatCode="General" sourceLinked="1"/>
        <c:majorTickMark val="out"/>
        <c:minorTickMark val="none"/>
        <c:tickLblPos val="low"/>
        <c:txPr>
          <a:bodyPr/>
          <a:lstStyle/>
          <a:p>
            <a:pPr>
              <a:defRPr sz="800" b="0"/>
            </a:pPr>
            <a:endParaRPr lang="es-GT"/>
          </a:p>
        </c:txPr>
        <c:crossAx val="186150272"/>
        <c:crosses val="autoZero"/>
        <c:auto val="1"/>
        <c:lblAlgn val="ctr"/>
        <c:lblOffset val="100"/>
        <c:noMultiLvlLbl val="0"/>
      </c:catAx>
      <c:valAx>
        <c:axId val="186150272"/>
        <c:scaling>
          <c:orientation val="minMax"/>
        </c:scaling>
        <c:delete val="0"/>
        <c:axPos val="l"/>
        <c:numFmt formatCode="0%" sourceLinked="0"/>
        <c:majorTickMark val="out"/>
        <c:minorTickMark val="none"/>
        <c:tickLblPos val="nextTo"/>
        <c:txPr>
          <a:bodyPr/>
          <a:lstStyle/>
          <a:p>
            <a:pPr>
              <a:defRPr sz="800" b="0"/>
            </a:pPr>
            <a:endParaRPr lang="es-GT"/>
          </a:p>
        </c:txPr>
        <c:crossAx val="186148736"/>
        <c:crosses val="autoZero"/>
        <c:crossBetween val="between"/>
      </c:valAx>
    </c:plotArea>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es-GT"/>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withinLinear" id="14">
  <a:schemeClr val="accent1"/>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03">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10.xml><?xml version="1.0" encoding="utf-8"?>
<cs:chartStyle xmlns:cs="http://schemas.microsoft.com/office/drawing/2012/chartStyle" xmlns:a="http://schemas.openxmlformats.org/drawingml/2006/main" id="33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50000"/>
            <a:lumOff val="50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40" b="0" kern="1200" spc="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03">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6.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7.xml><?xml version="1.0" encoding="utf-8"?>
<cs:chartStyle xmlns:cs="http://schemas.microsoft.com/office/drawing/2012/chartStyle" xmlns:a="http://schemas.openxmlformats.org/drawingml/2006/main" id="22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9050" cap="flat" cmpd="sng" algn="ctr">
        <a:solidFill>
          <a:schemeClr val="tx1">
            <a:lumMod val="15000"/>
            <a:lumOff val="8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99000">
              <a:schemeClr val="tx1">
                <a:lumMod val="25000"/>
                <a:lumOff val="75000"/>
              </a:schemeClr>
            </a:gs>
            <a:gs pos="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15000"/>
                <a:lumOff val="85000"/>
              </a:schemeClr>
            </a:gs>
            <a:gs pos="0">
              <a:schemeClr val="tx1">
                <a:lumMod val="5000"/>
                <a:lumOff val="9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cdr:x>
      <cdr:y>0.89745</cdr:y>
    </cdr:from>
    <cdr:to>
      <cdr:x>1</cdr:x>
      <cdr:y>1</cdr:y>
    </cdr:to>
    <cdr:sp macro="" textlink="">
      <cdr:nvSpPr>
        <cdr:cNvPr id="2" name="Cuadro de texto 2"/>
        <cdr:cNvSpPr txBox="1">
          <a:spLocks xmlns:a="http://schemas.openxmlformats.org/drawingml/2006/main" noChangeArrowheads="1"/>
        </cdr:cNvSpPr>
      </cdr:nvSpPr>
      <cdr:spPr bwMode="auto">
        <a:xfrm xmlns:a="http://schemas.openxmlformats.org/drawingml/2006/main">
          <a:off x="0" y="1619031"/>
          <a:ext cx="2806700" cy="185004"/>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none" lIns="91440" tIns="45720" rIns="91440" bIns="45720" anchor="t" anchorCtr="0">
          <a:noAutofit/>
        </a:bodyPr>
        <a:lstStyle xmlns:a="http://schemas.openxmlformats.org/drawingml/2006/main"/>
        <a:p xmlns:a="http://schemas.openxmlformats.org/drawingml/2006/main">
          <a:pPr marL="0" marR="0">
            <a:lnSpc>
              <a:spcPct val="100000"/>
            </a:lnSpc>
            <a:spcBef>
              <a:spcPts val="0"/>
            </a:spcBef>
            <a:spcAft>
              <a:spcPts val="300"/>
            </a:spcAft>
          </a:pPr>
          <a:endParaRPr lang="es-US" sz="5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0.13901</cdr:x>
      <cdr:y>0</cdr:y>
    </cdr:from>
    <cdr:to>
      <cdr:x>0.90622</cdr:x>
      <cdr:y>0.20325</cdr:y>
    </cdr:to>
    <cdr:sp macro="" textlink="">
      <cdr:nvSpPr>
        <cdr:cNvPr id="2" name="Cuadro de texto 1"/>
        <cdr:cNvSpPr txBox="1"/>
      </cdr:nvSpPr>
      <cdr:spPr>
        <a:xfrm xmlns:a="http://schemas.openxmlformats.org/drawingml/2006/main">
          <a:off x="487710" y="0"/>
          <a:ext cx="2691667" cy="40551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s-GT" sz="1200" b="1">
              <a:latin typeface="Times New Roman" panose="02020603050405020304" pitchFamily="18" charset="0"/>
              <a:cs typeface="Times New Roman" panose="02020603050405020304" pitchFamily="18" charset="0"/>
            </a:rPr>
            <a:t>Carga Tributaria</a:t>
          </a:r>
        </a:p>
        <a:p xmlns:a="http://schemas.openxmlformats.org/drawingml/2006/main">
          <a:pPr algn="ctr"/>
          <a:r>
            <a:rPr lang="es-GT" sz="1050">
              <a:latin typeface="Times New Roman" panose="02020603050405020304" pitchFamily="18" charset="0"/>
              <a:cs typeface="Times New Roman" panose="02020603050405020304" pitchFamily="18" charset="0"/>
            </a:rPr>
            <a:t>Porcentajes</a:t>
          </a:r>
        </a:p>
      </cdr:txBody>
    </cdr:sp>
  </cdr:relSizeAnchor>
  <cdr:relSizeAnchor xmlns:cdr="http://schemas.openxmlformats.org/drawingml/2006/chartDrawing">
    <cdr:from>
      <cdr:x>0.0204</cdr:x>
      <cdr:y>0.90342</cdr:y>
    </cdr:from>
    <cdr:to>
      <cdr:x>0.85216</cdr:x>
      <cdr:y>1</cdr:y>
    </cdr:to>
    <cdr:sp macro="" textlink="">
      <cdr:nvSpPr>
        <cdr:cNvPr id="3" name="Cuadro de texto 2"/>
        <cdr:cNvSpPr txBox="1"/>
      </cdr:nvSpPr>
      <cdr:spPr>
        <a:xfrm xmlns:a="http://schemas.openxmlformats.org/drawingml/2006/main">
          <a:off x="68177" y="1955655"/>
          <a:ext cx="2779746" cy="20906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GT" sz="900">
              <a:latin typeface="Times New Roman" panose="02020603050405020304" pitchFamily="18" charset="0"/>
              <a:cs typeface="Times New Roman" panose="02020603050405020304" pitchFamily="18" charset="0"/>
            </a:rPr>
            <a:t>Fuente: Dirección de Análisis y Política Fiscal.</a:t>
          </a:r>
        </a:p>
      </cdr:txBody>
    </cdr:sp>
  </cdr:relSizeAnchor>
</c:userShapes>
</file>

<file path=word/drawings/drawing3.xml><?xml version="1.0" encoding="utf-8"?>
<c:userShapes xmlns:c="http://schemas.openxmlformats.org/drawingml/2006/chart">
  <cdr:relSizeAnchor xmlns:cdr="http://schemas.openxmlformats.org/drawingml/2006/chartDrawing">
    <cdr:from>
      <cdr:x>0.76933</cdr:x>
      <cdr:y>0</cdr:y>
    </cdr:from>
    <cdr:to>
      <cdr:x>0.76933</cdr:x>
      <cdr:y>0.08512</cdr:y>
    </cdr:to>
    <cdr:cxnSp macro="">
      <cdr:nvCxnSpPr>
        <cdr:cNvPr id="3" name="Straight Arrow Connector 2"/>
        <cdr:cNvCxnSpPr/>
      </cdr:nvCxnSpPr>
      <cdr:spPr>
        <a:xfrm xmlns:a="http://schemas.openxmlformats.org/drawingml/2006/main" flipV="1">
          <a:off x="4317558" y="0"/>
          <a:ext cx="0" cy="262033"/>
        </a:xfrm>
        <a:prstGeom xmlns:a="http://schemas.openxmlformats.org/drawingml/2006/main" prst="straightConnector1">
          <a:avLst/>
        </a:prstGeom>
        <a:ln xmlns:a="http://schemas.openxmlformats.org/drawingml/2006/main" w="38100">
          <a:solidFill>
            <a:srgbClr val="C00000"/>
          </a:solidFill>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4.xml><?xml version="1.0" encoding="utf-8"?>
<c:userShapes xmlns:c="http://schemas.openxmlformats.org/drawingml/2006/chart">
  <cdr:relSizeAnchor xmlns:cdr="http://schemas.openxmlformats.org/drawingml/2006/chartDrawing">
    <cdr:from>
      <cdr:x>0.46141</cdr:x>
      <cdr:y>0.12933</cdr:y>
    </cdr:from>
    <cdr:to>
      <cdr:x>0.79362</cdr:x>
      <cdr:y>0.24712</cdr:y>
    </cdr:to>
    <cdr:sp macro="" textlink="">
      <cdr:nvSpPr>
        <cdr:cNvPr id="2" name="CuadroTexto 1"/>
        <cdr:cNvSpPr txBox="1"/>
      </cdr:nvSpPr>
      <cdr:spPr>
        <a:xfrm xmlns:a="http://schemas.openxmlformats.org/drawingml/2006/main">
          <a:off x="3045786" y="620234"/>
          <a:ext cx="2192933" cy="56488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GT" sz="1200" b="1" dirty="0">
              <a:solidFill>
                <a:schemeClr val="tx2"/>
              </a:solidFill>
              <a:latin typeface="Times New Roman" panose="02020603050405020304" pitchFamily="18" charset="0"/>
              <a:cs typeface="Times New Roman" panose="02020603050405020304" pitchFamily="18" charset="0"/>
            </a:rPr>
            <a:t>Zona</a:t>
          </a:r>
          <a:r>
            <a:rPr lang="es-GT" sz="1200" b="1" baseline="0" dirty="0">
              <a:solidFill>
                <a:schemeClr val="tx2"/>
              </a:solidFill>
              <a:latin typeface="Times New Roman" panose="02020603050405020304" pitchFamily="18" charset="0"/>
              <a:cs typeface="Times New Roman" panose="02020603050405020304" pitchFamily="18" charset="0"/>
            </a:rPr>
            <a:t> de </a:t>
          </a:r>
          <a:r>
            <a:rPr lang="es-GT" sz="1200" b="1" dirty="0">
              <a:solidFill>
                <a:schemeClr val="tx2"/>
              </a:solidFill>
              <a:latin typeface="Times New Roman" panose="02020603050405020304" pitchFamily="18" charset="0"/>
              <a:cs typeface="Times New Roman" panose="02020603050405020304" pitchFamily="18" charset="0"/>
            </a:rPr>
            <a:t>Expansión</a:t>
          </a:r>
        </a:p>
      </cdr:txBody>
    </cdr:sp>
  </cdr:relSizeAnchor>
  <cdr:relSizeAnchor xmlns:cdr="http://schemas.openxmlformats.org/drawingml/2006/chartDrawing">
    <cdr:from>
      <cdr:x>0.14567</cdr:x>
      <cdr:y>0.53328</cdr:y>
    </cdr:from>
    <cdr:to>
      <cdr:x>0.51549</cdr:x>
      <cdr:y>0.61316</cdr:y>
    </cdr:to>
    <cdr:sp macro="" textlink="">
      <cdr:nvSpPr>
        <cdr:cNvPr id="3" name="CuadroTexto 1"/>
        <cdr:cNvSpPr txBox="1"/>
      </cdr:nvSpPr>
      <cdr:spPr>
        <a:xfrm xmlns:a="http://schemas.openxmlformats.org/drawingml/2006/main">
          <a:off x="684024" y="1310512"/>
          <a:ext cx="1736610" cy="196301"/>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GT" sz="1200" b="1" dirty="0">
              <a:solidFill>
                <a:schemeClr val="tx2"/>
              </a:solidFill>
              <a:latin typeface="Times New Roman" panose="02020603050405020304" pitchFamily="18" charset="0"/>
              <a:cs typeface="Times New Roman" panose="02020603050405020304" pitchFamily="18" charset="0"/>
            </a:rPr>
            <a:t>Zona</a:t>
          </a:r>
          <a:r>
            <a:rPr lang="es-GT" sz="1200" b="1" baseline="0" dirty="0">
              <a:solidFill>
                <a:schemeClr val="tx2"/>
              </a:solidFill>
              <a:latin typeface="Times New Roman" panose="02020603050405020304" pitchFamily="18" charset="0"/>
              <a:cs typeface="Times New Roman" panose="02020603050405020304" pitchFamily="18" charset="0"/>
            </a:rPr>
            <a:t> de </a:t>
          </a:r>
          <a:r>
            <a:rPr lang="es-GT" sz="1200" b="1" dirty="0">
              <a:solidFill>
                <a:schemeClr val="tx2"/>
              </a:solidFill>
              <a:latin typeface="Times New Roman" panose="02020603050405020304" pitchFamily="18" charset="0"/>
              <a:cs typeface="Times New Roman" panose="02020603050405020304" pitchFamily="18" charset="0"/>
            </a:rPr>
            <a:t>Contracción</a:t>
          </a:r>
        </a:p>
      </cdr:txBody>
    </cdr:sp>
  </cdr:relSizeAnchor>
</c:userShapes>
</file>

<file path=word/drawings/drawing5.xml><?xml version="1.0" encoding="utf-8"?>
<c:userShapes xmlns:c="http://schemas.openxmlformats.org/drawingml/2006/chart">
  <cdr:relSizeAnchor xmlns:cdr="http://schemas.openxmlformats.org/drawingml/2006/chartDrawing">
    <cdr:from>
      <cdr:x>0.03199</cdr:x>
      <cdr:y>0.02628</cdr:y>
    </cdr:from>
    <cdr:to>
      <cdr:x>0.2489</cdr:x>
      <cdr:y>0.10776</cdr:y>
    </cdr:to>
    <cdr:sp macro="" textlink="">
      <cdr:nvSpPr>
        <cdr:cNvPr id="11" name="CuadroTexto 1"/>
        <cdr:cNvSpPr txBox="1"/>
      </cdr:nvSpPr>
      <cdr:spPr>
        <a:xfrm xmlns:a="http://schemas.openxmlformats.org/drawingml/2006/main">
          <a:off x="138336" y="58074"/>
          <a:ext cx="937989" cy="180051"/>
        </a:xfrm>
        <a:prstGeom xmlns:a="http://schemas.openxmlformats.org/drawingml/2006/main" prst="rect">
          <a:avLst/>
        </a:prstGeom>
        <a:solidFill xmlns:a="http://schemas.openxmlformats.org/drawingml/2006/main">
          <a:schemeClr val="accent3">
            <a:lumMod val="20000"/>
            <a:lumOff val="80000"/>
          </a:schemeClr>
        </a:solidFill>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GT" sz="1000" b="1">
              <a:solidFill>
                <a:sysClr val="windowText" lastClr="000000"/>
              </a:solidFill>
              <a:latin typeface="Times New Roman" panose="02020603050405020304" pitchFamily="18" charset="0"/>
              <a:cs typeface="Times New Roman" panose="02020603050405020304" pitchFamily="18" charset="0"/>
            </a:rPr>
            <a:t>Contraciclica</a:t>
          </a:r>
        </a:p>
      </cdr:txBody>
    </cdr:sp>
  </cdr:relSizeAnchor>
  <cdr:relSizeAnchor xmlns:cdr="http://schemas.openxmlformats.org/drawingml/2006/chartDrawing">
    <cdr:from>
      <cdr:x>0.77753</cdr:x>
      <cdr:y>0.90086</cdr:y>
    </cdr:from>
    <cdr:to>
      <cdr:x>0.98977</cdr:x>
      <cdr:y>0.98498</cdr:y>
    </cdr:to>
    <cdr:sp macro="" textlink="">
      <cdr:nvSpPr>
        <cdr:cNvPr id="12" name="CuadroTexto 1"/>
        <cdr:cNvSpPr txBox="1"/>
      </cdr:nvSpPr>
      <cdr:spPr>
        <a:xfrm xmlns:a="http://schemas.openxmlformats.org/drawingml/2006/main">
          <a:off x="3362325" y="1990725"/>
          <a:ext cx="917787" cy="185884"/>
        </a:xfrm>
        <a:prstGeom xmlns:a="http://schemas.openxmlformats.org/drawingml/2006/main" prst="rect">
          <a:avLst/>
        </a:prstGeom>
        <a:solidFill xmlns:a="http://schemas.openxmlformats.org/drawingml/2006/main">
          <a:schemeClr val="accent3">
            <a:lumMod val="20000"/>
            <a:lumOff val="80000"/>
          </a:schemeClr>
        </a:solidFill>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GT" sz="1000" b="1">
              <a:solidFill>
                <a:sysClr val="windowText" lastClr="000000"/>
              </a:solidFill>
              <a:latin typeface="Times New Roman" panose="02020603050405020304" pitchFamily="18" charset="0"/>
              <a:cs typeface="Times New Roman" panose="02020603050405020304" pitchFamily="18" charset="0"/>
            </a:rPr>
            <a:t>Contraciclica</a:t>
          </a:r>
        </a:p>
      </cdr:txBody>
    </cdr:sp>
  </cdr:relSizeAnchor>
  <cdr:relSizeAnchor xmlns:cdr="http://schemas.openxmlformats.org/drawingml/2006/chartDrawing">
    <cdr:from>
      <cdr:x>0.7882</cdr:x>
      <cdr:y>0.03599</cdr:y>
    </cdr:from>
    <cdr:to>
      <cdr:x>0.96094</cdr:x>
      <cdr:y>0.1186</cdr:y>
    </cdr:to>
    <cdr:sp macro="" textlink="">
      <cdr:nvSpPr>
        <cdr:cNvPr id="13" name="CuadroTexto 1"/>
        <cdr:cNvSpPr txBox="1"/>
      </cdr:nvSpPr>
      <cdr:spPr>
        <a:xfrm xmlns:a="http://schemas.openxmlformats.org/drawingml/2006/main">
          <a:off x="4093366" y="106165"/>
          <a:ext cx="897149" cy="243688"/>
        </a:xfrm>
        <a:prstGeom xmlns:a="http://schemas.openxmlformats.org/drawingml/2006/main" prst="rect">
          <a:avLst/>
        </a:prstGeom>
        <a:solidFill xmlns:a="http://schemas.openxmlformats.org/drawingml/2006/main">
          <a:schemeClr val="accent3">
            <a:lumMod val="20000"/>
            <a:lumOff val="80000"/>
          </a:schemeClr>
        </a:solidFill>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GT" sz="1000" b="1">
              <a:solidFill>
                <a:sysClr val="windowText" lastClr="000000"/>
              </a:solidFill>
              <a:latin typeface="Times New Roman" panose="02020603050405020304" pitchFamily="18" charset="0"/>
              <a:cs typeface="Times New Roman" panose="02020603050405020304" pitchFamily="18" charset="0"/>
            </a:rPr>
            <a:t>Prociclica</a:t>
          </a:r>
        </a:p>
      </cdr:txBody>
    </cdr:sp>
  </cdr:relSizeAnchor>
  <cdr:relSizeAnchor xmlns:cdr="http://schemas.openxmlformats.org/drawingml/2006/chartDrawing">
    <cdr:from>
      <cdr:x>0.02258</cdr:x>
      <cdr:y>0.86638</cdr:y>
    </cdr:from>
    <cdr:to>
      <cdr:x>0.20426</cdr:x>
      <cdr:y>0.95587</cdr:y>
    </cdr:to>
    <cdr:sp macro="" textlink="">
      <cdr:nvSpPr>
        <cdr:cNvPr id="14" name="CuadroTexto 1"/>
        <cdr:cNvSpPr txBox="1"/>
      </cdr:nvSpPr>
      <cdr:spPr>
        <a:xfrm xmlns:a="http://schemas.openxmlformats.org/drawingml/2006/main">
          <a:off x="97643" y="1914525"/>
          <a:ext cx="785641" cy="197757"/>
        </a:xfrm>
        <a:prstGeom xmlns:a="http://schemas.openxmlformats.org/drawingml/2006/main" prst="rect">
          <a:avLst/>
        </a:prstGeom>
        <a:solidFill xmlns:a="http://schemas.openxmlformats.org/drawingml/2006/main">
          <a:schemeClr val="accent3">
            <a:lumMod val="20000"/>
            <a:lumOff val="80000"/>
          </a:schemeClr>
        </a:solidFill>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GT" sz="1000" b="1">
              <a:solidFill>
                <a:sysClr val="windowText" lastClr="000000"/>
              </a:solidFill>
              <a:latin typeface="Times New Roman" panose="02020603050405020304" pitchFamily="18" charset="0"/>
              <a:cs typeface="Times New Roman" panose="02020603050405020304" pitchFamily="18" charset="0"/>
            </a:rPr>
            <a:t>Prociclica</a:t>
          </a:r>
        </a:p>
      </cdr:txBody>
    </cdr:sp>
  </cdr:relSizeAnchor>
  <cdr:relSizeAnchor xmlns:cdr="http://schemas.openxmlformats.org/drawingml/2006/chartDrawing">
    <cdr:from>
      <cdr:x>0.19198</cdr:x>
      <cdr:y>0.17491</cdr:y>
    </cdr:from>
    <cdr:to>
      <cdr:x>0.29434</cdr:x>
      <cdr:y>0.23499</cdr:y>
    </cdr:to>
    <cdr:sp macro="" textlink="">
      <cdr:nvSpPr>
        <cdr:cNvPr id="16" name="CuadroTexto 1"/>
        <cdr:cNvSpPr txBox="1"/>
      </cdr:nvSpPr>
      <cdr:spPr>
        <a:xfrm xmlns:a="http://schemas.openxmlformats.org/drawingml/2006/main">
          <a:off x="1031403" y="515976"/>
          <a:ext cx="549924" cy="17722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GT" sz="800" b="1">
              <a:solidFill>
                <a:schemeClr val="tx2"/>
              </a:solidFill>
              <a:latin typeface="Times New Roman" panose="02020603050405020304" pitchFamily="18" charset="0"/>
              <a:cs typeface="Times New Roman" panose="02020603050405020304" pitchFamily="18" charset="0"/>
            </a:rPr>
            <a:t>2020</a:t>
          </a:r>
        </a:p>
      </cdr:txBody>
    </cdr:sp>
  </cdr:relSizeAnchor>
  <cdr:relSizeAnchor xmlns:cdr="http://schemas.openxmlformats.org/drawingml/2006/chartDrawing">
    <cdr:from>
      <cdr:x>0.80401</cdr:x>
      <cdr:y>0.80392</cdr:y>
    </cdr:from>
    <cdr:to>
      <cdr:x>0.90637</cdr:x>
      <cdr:y>0.864</cdr:y>
    </cdr:to>
    <cdr:sp macro="" textlink="">
      <cdr:nvSpPr>
        <cdr:cNvPr id="26" name="CuadroTexto 1">
          <a:extLst xmlns:a="http://schemas.openxmlformats.org/drawingml/2006/main">
            <a:ext uri="{FF2B5EF4-FFF2-40B4-BE49-F238E27FC236}">
              <a16:creationId xmlns:a16="http://schemas.microsoft.com/office/drawing/2014/main" id="{217F425C-2D53-4E7F-9CD5-0A803C6D2DEE}"/>
            </a:ext>
          </a:extLst>
        </cdr:cNvPr>
        <cdr:cNvSpPr txBox="1"/>
      </cdr:nvSpPr>
      <cdr:spPr>
        <a:xfrm xmlns:a="http://schemas.openxmlformats.org/drawingml/2006/main">
          <a:off x="4321544" y="2531730"/>
          <a:ext cx="550183" cy="18920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GT" sz="800" b="1">
              <a:solidFill>
                <a:schemeClr val="tx2"/>
              </a:solidFill>
              <a:latin typeface="Times New Roman" panose="02020603050405020304" pitchFamily="18" charset="0"/>
              <a:cs typeface="Times New Roman" panose="02020603050405020304" pitchFamily="18" charset="0"/>
            </a:rPr>
            <a:t>2021</a:t>
          </a:r>
        </a:p>
      </cdr:txBody>
    </cdr:sp>
  </cdr:relSizeAnchor>
  <cdr:relSizeAnchor xmlns:cdr="http://schemas.openxmlformats.org/drawingml/2006/chartDrawing">
    <cdr:from>
      <cdr:x>0.44398</cdr:x>
      <cdr:y>0.31596</cdr:y>
    </cdr:from>
    <cdr:to>
      <cdr:x>0.54634</cdr:x>
      <cdr:y>0.37604</cdr:y>
    </cdr:to>
    <cdr:sp macro="" textlink="">
      <cdr:nvSpPr>
        <cdr:cNvPr id="15" name="CuadroTexto 1">
          <a:extLst xmlns:a="http://schemas.openxmlformats.org/drawingml/2006/main">
            <a:ext uri="{FF2B5EF4-FFF2-40B4-BE49-F238E27FC236}">
              <a16:creationId xmlns:a16="http://schemas.microsoft.com/office/drawing/2014/main" id="{098E24C3-D7DB-4EAE-9CDB-B483E7E12279}"/>
            </a:ext>
          </a:extLst>
        </cdr:cNvPr>
        <cdr:cNvSpPr txBox="1"/>
      </cdr:nvSpPr>
      <cdr:spPr>
        <a:xfrm xmlns:a="http://schemas.openxmlformats.org/drawingml/2006/main">
          <a:off x="1941049" y="647053"/>
          <a:ext cx="447516" cy="12303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GT" sz="800" b="1">
              <a:solidFill>
                <a:schemeClr val="tx2"/>
              </a:solidFill>
              <a:latin typeface="Times New Roman" panose="02020603050405020304" pitchFamily="18" charset="0"/>
              <a:cs typeface="Times New Roman" panose="02020603050405020304" pitchFamily="18" charset="0"/>
            </a:rPr>
            <a:t>2018</a:t>
          </a:r>
        </a:p>
      </cdr:txBody>
    </cdr:sp>
  </cdr:relSizeAnchor>
  <cdr:relSizeAnchor xmlns:cdr="http://schemas.openxmlformats.org/drawingml/2006/chartDrawing">
    <cdr:from>
      <cdr:x>0.49462</cdr:x>
      <cdr:y>0.36371</cdr:y>
    </cdr:from>
    <cdr:to>
      <cdr:x>0.59698</cdr:x>
      <cdr:y>0.42379</cdr:y>
    </cdr:to>
    <cdr:sp macro="" textlink="">
      <cdr:nvSpPr>
        <cdr:cNvPr id="18" name="CuadroTexto 1">
          <a:extLst xmlns:a="http://schemas.openxmlformats.org/drawingml/2006/main">
            <a:ext uri="{FF2B5EF4-FFF2-40B4-BE49-F238E27FC236}">
              <a16:creationId xmlns:a16="http://schemas.microsoft.com/office/drawing/2014/main" id="{098E24C3-D7DB-4EAE-9CDB-B483E7E12279}"/>
            </a:ext>
          </a:extLst>
        </cdr:cNvPr>
        <cdr:cNvSpPr txBox="1"/>
      </cdr:nvSpPr>
      <cdr:spPr>
        <a:xfrm xmlns:a="http://schemas.openxmlformats.org/drawingml/2006/main">
          <a:off x="2162475" y="744825"/>
          <a:ext cx="447515" cy="12303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GT" sz="800" b="1">
              <a:solidFill>
                <a:schemeClr val="tx2"/>
              </a:solidFill>
              <a:latin typeface="Times New Roman" panose="02020603050405020304" pitchFamily="18" charset="0"/>
              <a:cs typeface="Times New Roman" panose="02020603050405020304" pitchFamily="18" charset="0"/>
            </a:rPr>
            <a:t>2019</a:t>
          </a:r>
        </a:p>
      </cdr:txBody>
    </cdr:sp>
  </cdr:relSizeAnchor>
  <cdr:relSizeAnchor xmlns:cdr="http://schemas.openxmlformats.org/drawingml/2006/chartDrawing">
    <cdr:from>
      <cdr:x>0.44933</cdr:x>
      <cdr:y>0.45814</cdr:y>
    </cdr:from>
    <cdr:to>
      <cdr:x>0.55169</cdr:x>
      <cdr:y>0.51822</cdr:y>
    </cdr:to>
    <cdr:sp macro="" textlink="">
      <cdr:nvSpPr>
        <cdr:cNvPr id="19" name="CuadroTexto 1">
          <a:extLst xmlns:a="http://schemas.openxmlformats.org/drawingml/2006/main">
            <a:ext uri="{FF2B5EF4-FFF2-40B4-BE49-F238E27FC236}">
              <a16:creationId xmlns:a16="http://schemas.microsoft.com/office/drawing/2014/main" id="{098E24C3-D7DB-4EAE-9CDB-B483E7E12279}"/>
            </a:ext>
          </a:extLst>
        </cdr:cNvPr>
        <cdr:cNvSpPr txBox="1"/>
      </cdr:nvSpPr>
      <cdr:spPr>
        <a:xfrm xmlns:a="http://schemas.openxmlformats.org/drawingml/2006/main">
          <a:off x="1964481" y="938207"/>
          <a:ext cx="447515" cy="12303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GT" sz="800" b="1">
              <a:solidFill>
                <a:schemeClr val="tx2"/>
              </a:solidFill>
              <a:latin typeface="Times New Roman" panose="02020603050405020304" pitchFamily="18" charset="0"/>
              <a:cs typeface="Times New Roman" panose="02020603050405020304" pitchFamily="18" charset="0"/>
            </a:rPr>
            <a:t>2017</a:t>
          </a:r>
        </a:p>
      </cdr:txBody>
    </cdr:sp>
  </cdr:relSizeAnchor>
  <cdr:relSizeAnchor xmlns:cdr="http://schemas.openxmlformats.org/drawingml/2006/chartDrawing">
    <cdr:from>
      <cdr:x>0.38672</cdr:x>
      <cdr:y>0.50156</cdr:y>
    </cdr:from>
    <cdr:to>
      <cdr:x>0.48908</cdr:x>
      <cdr:y>0.56164</cdr:y>
    </cdr:to>
    <cdr:sp macro="" textlink="">
      <cdr:nvSpPr>
        <cdr:cNvPr id="20" name="CuadroTexto 1">
          <a:extLst xmlns:a="http://schemas.openxmlformats.org/drawingml/2006/main">
            <a:ext uri="{FF2B5EF4-FFF2-40B4-BE49-F238E27FC236}">
              <a16:creationId xmlns:a16="http://schemas.microsoft.com/office/drawing/2014/main" id="{098E24C3-D7DB-4EAE-9CDB-B483E7E12279}"/>
            </a:ext>
          </a:extLst>
        </cdr:cNvPr>
        <cdr:cNvSpPr txBox="1"/>
      </cdr:nvSpPr>
      <cdr:spPr>
        <a:xfrm xmlns:a="http://schemas.openxmlformats.org/drawingml/2006/main">
          <a:off x="2077632" y="1479550"/>
          <a:ext cx="549924" cy="17722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GT" sz="800" b="1">
              <a:solidFill>
                <a:schemeClr val="tx2"/>
              </a:solidFill>
              <a:latin typeface="Times New Roman" panose="02020603050405020304" pitchFamily="18" charset="0"/>
              <a:cs typeface="Times New Roman" panose="02020603050405020304" pitchFamily="18" charset="0"/>
            </a:rPr>
            <a:t>2016</a:t>
          </a:r>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F4E984-A115-4AAD-8D9F-27FE23A9F5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260</TotalTime>
  <Pages>58</Pages>
  <Words>22892</Words>
  <Characters>125908</Characters>
  <Application>Microsoft Office Word</Application>
  <DocSecurity>0</DocSecurity>
  <Lines>1049</Lines>
  <Paragraphs>297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148503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DAPF</dc:creator>
  <cp:keywords/>
  <dc:description/>
  <cp:lastModifiedBy>Saul Enrique De León Meneses</cp:lastModifiedBy>
  <cp:revision>29</cp:revision>
  <cp:lastPrinted>2021-01-29T18:33:00Z</cp:lastPrinted>
  <dcterms:created xsi:type="dcterms:W3CDTF">2022-01-27T21:28:00Z</dcterms:created>
  <dcterms:modified xsi:type="dcterms:W3CDTF">2022-02-21T22:30:00Z</dcterms:modified>
</cp:coreProperties>
</file>