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2.xml" ContentType="application/vnd.openxmlformats-officedocument.drawingml.chartshapes+xml"/>
  <Override PartName="/word/charts/chart14.xml" ContentType="application/vnd.openxmlformats-officedocument.drawingml.chart+xml"/>
  <Override PartName="/word/drawings/drawing3.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4.xml" ContentType="application/vnd.openxmlformats-officedocument.drawingml.chartshapes+xml"/>
  <Override PartName="/word/charts/chart19.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0.xml" ContentType="application/vnd.openxmlformats-officedocument.drawingml.chart+xml"/>
  <Override PartName="/word/charts/chart21.xml" ContentType="application/vnd.openxmlformats-officedocument.drawingml.chart+xml"/>
  <Override PartName="/word/theme/themeOverride1.xml" ContentType="application/vnd.openxmlformats-officedocument.themeOverride+xml"/>
  <Override PartName="/word/charts/chart22.xml" ContentType="application/vnd.openxmlformats-officedocument.drawingml.chart+xml"/>
  <Override PartName="/word/drawings/drawing5.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drawings/drawing6.xml" ContentType="application/vnd.openxmlformats-officedocument.drawingml.chartshapes+xml"/>
  <Override PartName="/word/charts/chart31.xml" ContentType="application/vnd.openxmlformats-officedocument.drawingml.chart+xml"/>
  <Override PartName="/word/drawings/drawing7.xml" ContentType="application/vnd.openxmlformats-officedocument.drawingml.chartshapes+xml"/>
  <Override PartName="/word/charts/chart32.xml" ContentType="application/vnd.openxmlformats-officedocument.drawingml.chart+xml"/>
  <Override PartName="/word/drawings/drawing8.xml" ContentType="application/vnd.openxmlformats-officedocument.drawingml.chartshapes+xml"/>
  <Override PartName="/word/charts/chart33.xml" ContentType="application/vnd.openxmlformats-officedocument.drawingml.chart+xml"/>
  <Override PartName="/word/drawings/drawing9.xml" ContentType="application/vnd.openxmlformats-officedocument.drawingml.chartshapes+xml"/>
  <Override PartName="/word/charts/chart34.xml" ContentType="application/vnd.openxmlformats-officedocument.drawingml.chart+xml"/>
  <Override PartName="/word/drawings/drawing10.xml" ContentType="application/vnd.openxmlformats-officedocument.drawingml.chartshapes+xml"/>
  <Override PartName="/word/charts/chart35.xml" ContentType="application/vnd.openxmlformats-officedocument.drawingml.chart+xml"/>
  <Override PartName="/word/drawings/drawing11.xml" ContentType="application/vnd.openxmlformats-officedocument.drawingml.chartshapes+xml"/>
  <Override PartName="/word/charts/chart36.xml" ContentType="application/vnd.openxmlformats-officedocument.drawingml.chart+xml"/>
  <Override PartName="/word/drawings/drawing12.xml" ContentType="application/vnd.openxmlformats-officedocument.drawingml.chartshapes+xml"/>
  <Override PartName="/word/charts/chart37.xml" ContentType="application/vnd.openxmlformats-officedocument.drawingml.chart+xml"/>
  <Override PartName="/word/drawings/drawing1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588B" w:rsidRPr="00443624" w:rsidRDefault="0032588B" w:rsidP="004F4021">
      <w:pPr>
        <w:rPr>
          <w:rFonts w:ascii="Times New Roman" w:eastAsiaTheme="majorEastAsia" w:hAnsi="Times New Roman" w:cs="Times New Roman"/>
          <w:b/>
          <w:bCs/>
          <w:color w:val="FF0000"/>
          <w:szCs w:val="26"/>
        </w:rPr>
      </w:pPr>
      <w:bookmarkStart w:id="0" w:name="_Toc410402057"/>
      <w:bookmarkStart w:id="1" w:name="_Toc457550818"/>
      <w:bookmarkStart w:id="2" w:name="_GoBack"/>
      <w:bookmarkEnd w:id="2"/>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4F4021" w:rsidP="004F4021">
      <w:pPr>
        <w:rPr>
          <w:rFonts w:ascii="Times New Roman" w:eastAsiaTheme="majorEastAsia" w:hAnsi="Times New Roman" w:cs="Times New Roman"/>
          <w:b/>
          <w:bCs/>
          <w:color w:val="FF0000"/>
          <w:szCs w:val="26"/>
        </w:rPr>
      </w:pPr>
      <w:r>
        <w:rPr>
          <w:noProof/>
          <w:lang w:val="es-ES"/>
        </w:rPr>
        <w:drawing>
          <wp:anchor distT="0" distB="0" distL="114300" distR="114300" simplePos="0" relativeHeight="251716608" behindDoc="0" locked="0" layoutInCell="1" allowOverlap="1" wp14:anchorId="11CCBCB9" wp14:editId="7670BD7A">
            <wp:simplePos x="0" y="0"/>
            <wp:positionH relativeFrom="column">
              <wp:posOffset>2019631</wp:posOffset>
            </wp:positionH>
            <wp:positionV relativeFrom="paragraph">
              <wp:posOffset>174799</wp:posOffset>
            </wp:positionV>
            <wp:extent cx="1598212" cy="723976"/>
            <wp:effectExtent l="0" t="0" r="2540" b="0"/>
            <wp:wrapNone/>
            <wp:docPr id="29" name="Imagen 4" descr="Resultado de imagen para gobierno de guatema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gobierno de guatemala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8212" cy="7239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32588B" w:rsidP="004F4021">
      <w:pPr>
        <w:rPr>
          <w:rFonts w:ascii="Times New Roman" w:eastAsiaTheme="majorEastAsia" w:hAnsi="Times New Roman" w:cs="Times New Roman"/>
          <w:b/>
          <w:bCs/>
          <w:color w:val="FF0000"/>
          <w:szCs w:val="26"/>
        </w:rPr>
      </w:pPr>
    </w:p>
    <w:p w:rsidR="00D8619A" w:rsidRPr="00443624" w:rsidRDefault="00D8619A" w:rsidP="004F4021">
      <w:pPr>
        <w:rPr>
          <w:rFonts w:ascii="Times New Roman" w:eastAsiaTheme="majorEastAsia" w:hAnsi="Times New Roman" w:cs="Times New Roman"/>
          <w:b/>
          <w:bCs/>
          <w:color w:val="FF0000"/>
          <w:szCs w:val="26"/>
        </w:rPr>
      </w:pPr>
    </w:p>
    <w:p w:rsidR="00D8619A" w:rsidRPr="00443624" w:rsidRDefault="00D8619A" w:rsidP="004F4021">
      <w:pPr>
        <w:rPr>
          <w:rFonts w:ascii="Times New Roman" w:eastAsiaTheme="majorEastAsia" w:hAnsi="Times New Roman" w:cs="Times New Roman"/>
          <w:b/>
          <w:bCs/>
          <w:color w:val="FF0000"/>
          <w:szCs w:val="26"/>
        </w:rPr>
      </w:pPr>
    </w:p>
    <w:p w:rsidR="00D8619A" w:rsidRPr="00443624" w:rsidRDefault="00D8619A" w:rsidP="004F4021">
      <w:pPr>
        <w:rPr>
          <w:rFonts w:ascii="Times New Roman" w:eastAsiaTheme="majorEastAsia" w:hAnsi="Times New Roman" w:cs="Times New Roman"/>
          <w:b/>
          <w:bCs/>
          <w:color w:val="FF0000"/>
          <w:szCs w:val="26"/>
        </w:rPr>
      </w:pPr>
    </w:p>
    <w:p w:rsidR="00D8619A" w:rsidRPr="00443624" w:rsidRDefault="00D8619A" w:rsidP="004F4021">
      <w:pPr>
        <w:rPr>
          <w:rFonts w:ascii="Times New Roman" w:eastAsiaTheme="majorEastAsia" w:hAnsi="Times New Roman" w:cs="Times New Roman"/>
          <w:b/>
          <w:bCs/>
          <w:color w:val="FF0000"/>
          <w:szCs w:val="26"/>
        </w:rPr>
      </w:pPr>
    </w:p>
    <w:p w:rsidR="00D8619A" w:rsidRPr="00443624" w:rsidRDefault="00D8619A" w:rsidP="004F4021">
      <w:pPr>
        <w:rPr>
          <w:rFonts w:ascii="Times New Roman" w:eastAsiaTheme="majorEastAsia" w:hAnsi="Times New Roman" w:cs="Times New Roman"/>
          <w:b/>
          <w:bCs/>
          <w:color w:val="FF0000"/>
          <w:szCs w:val="26"/>
        </w:rPr>
      </w:pPr>
    </w:p>
    <w:p w:rsidR="0032588B" w:rsidRPr="00443624" w:rsidRDefault="0032588B" w:rsidP="004F4021">
      <w:pPr>
        <w:rPr>
          <w:rFonts w:ascii="Times New Roman" w:eastAsiaTheme="majorEastAsia" w:hAnsi="Times New Roman" w:cs="Times New Roman"/>
          <w:b/>
          <w:bCs/>
          <w:color w:val="FF0000"/>
          <w:szCs w:val="26"/>
        </w:rPr>
      </w:pPr>
    </w:p>
    <w:p w:rsidR="0032588B" w:rsidRPr="00443624" w:rsidRDefault="0032588B" w:rsidP="0032588B">
      <w:pPr>
        <w:pStyle w:val="Prrafodelista"/>
        <w:ind w:left="709"/>
        <w:jc w:val="both"/>
        <w:outlineLvl w:val="0"/>
        <w:rPr>
          <w:rFonts w:ascii="Times New Roman" w:eastAsiaTheme="majorEastAsia" w:hAnsi="Times New Roman" w:cs="Times New Roman"/>
          <w:b/>
          <w:bCs/>
          <w:color w:val="FF0000"/>
          <w:sz w:val="24"/>
          <w:szCs w:val="26"/>
          <w:lang w:val="es-ES_tradnl" w:eastAsia="es-ES"/>
        </w:rPr>
      </w:pPr>
    </w:p>
    <w:p w:rsidR="0032588B" w:rsidRPr="000D42A8" w:rsidRDefault="00D8619A" w:rsidP="00F75211">
      <w:pPr>
        <w:pStyle w:val="Prrafodelista"/>
        <w:ind w:left="709"/>
        <w:jc w:val="center"/>
        <w:rPr>
          <w:rFonts w:ascii="Times New Roman" w:eastAsiaTheme="majorEastAsia" w:hAnsi="Times New Roman" w:cs="Times New Roman"/>
          <w:b/>
          <w:bCs/>
          <w:sz w:val="36"/>
          <w:szCs w:val="26"/>
          <w:lang w:val="es-ES_tradnl" w:eastAsia="es-ES"/>
        </w:rPr>
      </w:pPr>
      <w:r w:rsidRPr="000D42A8">
        <w:rPr>
          <w:rFonts w:ascii="Times New Roman" w:eastAsiaTheme="majorEastAsia" w:hAnsi="Times New Roman" w:cs="Times New Roman"/>
          <w:b/>
          <w:bCs/>
          <w:sz w:val="36"/>
          <w:szCs w:val="26"/>
          <w:lang w:val="es-ES_tradnl" w:eastAsia="es-ES"/>
        </w:rPr>
        <w:t>Informe de dese</w:t>
      </w:r>
      <w:r w:rsidR="00443624" w:rsidRPr="000D42A8">
        <w:rPr>
          <w:rFonts w:ascii="Times New Roman" w:eastAsiaTheme="majorEastAsia" w:hAnsi="Times New Roman" w:cs="Times New Roman"/>
          <w:b/>
          <w:bCs/>
          <w:sz w:val="36"/>
          <w:szCs w:val="26"/>
          <w:lang w:val="es-ES_tradnl" w:eastAsia="es-ES"/>
        </w:rPr>
        <w:t>mpeño de la Política Fiscal 2020</w:t>
      </w:r>
      <w:r w:rsidRPr="000D42A8">
        <w:rPr>
          <w:rFonts w:ascii="Times New Roman" w:eastAsiaTheme="majorEastAsia" w:hAnsi="Times New Roman" w:cs="Times New Roman"/>
          <w:b/>
          <w:bCs/>
          <w:sz w:val="36"/>
          <w:szCs w:val="26"/>
          <w:lang w:val="es-ES_tradnl" w:eastAsia="es-ES"/>
        </w:rPr>
        <w:t xml:space="preserve"> </w:t>
      </w: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D8619A" w:rsidRPr="000D42A8" w:rsidRDefault="00D8619A" w:rsidP="004F4021">
      <w:pPr>
        <w:pStyle w:val="Prrafodelista"/>
        <w:ind w:left="709"/>
        <w:jc w:val="both"/>
        <w:rPr>
          <w:rFonts w:ascii="Times New Roman" w:eastAsiaTheme="majorEastAsia" w:hAnsi="Times New Roman" w:cs="Times New Roman"/>
          <w:b/>
          <w:bCs/>
          <w:sz w:val="24"/>
          <w:szCs w:val="26"/>
          <w:lang w:val="es-ES_tradnl" w:eastAsia="es-ES"/>
        </w:rPr>
      </w:pPr>
    </w:p>
    <w:p w:rsidR="00D8619A" w:rsidRPr="000D42A8" w:rsidRDefault="00D8619A"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rsidR="0032588B" w:rsidRPr="000D42A8" w:rsidRDefault="00CE0449" w:rsidP="004F4021">
      <w:pPr>
        <w:pStyle w:val="Prrafodelista"/>
        <w:ind w:left="709"/>
        <w:jc w:val="center"/>
        <w:rPr>
          <w:rFonts w:ascii="Times New Roman" w:eastAsiaTheme="majorEastAsia" w:hAnsi="Times New Roman" w:cs="Times New Roman"/>
          <w:b/>
          <w:bCs/>
          <w:sz w:val="24"/>
          <w:szCs w:val="26"/>
          <w:lang w:val="es-ES_tradnl" w:eastAsia="es-ES"/>
        </w:rPr>
      </w:pPr>
      <w:r>
        <w:rPr>
          <w:rFonts w:ascii="Times New Roman" w:eastAsiaTheme="majorEastAsia" w:hAnsi="Times New Roman" w:cs="Times New Roman"/>
          <w:b/>
          <w:bCs/>
          <w:sz w:val="24"/>
          <w:szCs w:val="26"/>
          <w:lang w:val="es-ES_tradnl" w:eastAsia="es-ES"/>
        </w:rPr>
        <w:t>Guatemala, febrero</w:t>
      </w:r>
      <w:r w:rsidR="00443624" w:rsidRPr="000D42A8">
        <w:rPr>
          <w:rFonts w:ascii="Times New Roman" w:eastAsiaTheme="majorEastAsia" w:hAnsi="Times New Roman" w:cs="Times New Roman"/>
          <w:b/>
          <w:bCs/>
          <w:sz w:val="24"/>
          <w:szCs w:val="26"/>
          <w:lang w:val="es-ES_tradnl" w:eastAsia="es-ES"/>
        </w:rPr>
        <w:t xml:space="preserve"> 2021</w:t>
      </w:r>
    </w:p>
    <w:p w:rsidR="0032588B" w:rsidRPr="00443624" w:rsidRDefault="0032588B" w:rsidP="004F4021">
      <w:pPr>
        <w:pStyle w:val="Prrafodelista"/>
        <w:ind w:left="709"/>
        <w:jc w:val="both"/>
        <w:rPr>
          <w:rFonts w:ascii="Times New Roman" w:eastAsiaTheme="majorEastAsia" w:hAnsi="Times New Roman" w:cs="Times New Roman"/>
          <w:b/>
          <w:bCs/>
          <w:color w:val="FF0000"/>
          <w:sz w:val="24"/>
          <w:szCs w:val="26"/>
          <w:lang w:val="es-ES_tradnl" w:eastAsia="es-ES"/>
        </w:rPr>
      </w:pPr>
    </w:p>
    <w:p w:rsidR="0032588B" w:rsidRPr="00443624" w:rsidRDefault="0032588B" w:rsidP="004F4021">
      <w:pPr>
        <w:pStyle w:val="Prrafodelista"/>
        <w:ind w:left="709"/>
        <w:jc w:val="both"/>
        <w:rPr>
          <w:rFonts w:ascii="Times New Roman" w:eastAsiaTheme="majorEastAsia" w:hAnsi="Times New Roman" w:cs="Times New Roman"/>
          <w:b/>
          <w:bCs/>
          <w:color w:val="FF0000"/>
          <w:sz w:val="24"/>
          <w:szCs w:val="26"/>
          <w:lang w:val="es-ES_tradnl" w:eastAsia="es-ES"/>
        </w:rPr>
      </w:pPr>
    </w:p>
    <w:p w:rsidR="0032588B" w:rsidRPr="00443624" w:rsidRDefault="0032588B" w:rsidP="004F4021">
      <w:pPr>
        <w:pStyle w:val="Prrafodelista"/>
        <w:ind w:left="709"/>
        <w:jc w:val="both"/>
        <w:rPr>
          <w:rFonts w:ascii="Times New Roman" w:eastAsiaTheme="majorEastAsia" w:hAnsi="Times New Roman" w:cs="Times New Roman"/>
          <w:b/>
          <w:bCs/>
          <w:color w:val="FF0000"/>
          <w:sz w:val="24"/>
          <w:szCs w:val="26"/>
          <w:lang w:val="es-ES_tradnl" w:eastAsia="es-ES"/>
        </w:rPr>
      </w:pPr>
    </w:p>
    <w:p w:rsidR="0032588B" w:rsidRPr="00443624" w:rsidRDefault="0032588B" w:rsidP="004F4021">
      <w:pPr>
        <w:pStyle w:val="Prrafodelista"/>
        <w:ind w:left="709"/>
        <w:jc w:val="both"/>
        <w:rPr>
          <w:rFonts w:ascii="Times New Roman" w:eastAsiaTheme="majorEastAsia" w:hAnsi="Times New Roman" w:cs="Times New Roman"/>
          <w:b/>
          <w:bCs/>
          <w:color w:val="FF0000"/>
          <w:sz w:val="24"/>
          <w:szCs w:val="26"/>
          <w:lang w:val="es-ES_tradnl" w:eastAsia="es-ES"/>
        </w:rPr>
      </w:pPr>
    </w:p>
    <w:p w:rsidR="0032588B" w:rsidRPr="00443624" w:rsidRDefault="0032588B" w:rsidP="004F4021">
      <w:pPr>
        <w:pStyle w:val="Prrafodelista"/>
        <w:ind w:left="709"/>
        <w:jc w:val="both"/>
        <w:rPr>
          <w:rFonts w:ascii="Times New Roman" w:eastAsiaTheme="majorEastAsia" w:hAnsi="Times New Roman" w:cs="Times New Roman"/>
          <w:b/>
          <w:bCs/>
          <w:color w:val="FF0000"/>
          <w:sz w:val="24"/>
          <w:szCs w:val="26"/>
          <w:lang w:val="es-ES_tradnl" w:eastAsia="es-ES"/>
        </w:rPr>
      </w:pPr>
    </w:p>
    <w:p w:rsidR="0032588B" w:rsidRPr="00443624" w:rsidRDefault="0032588B" w:rsidP="004F4021">
      <w:pPr>
        <w:pStyle w:val="Prrafodelista"/>
        <w:ind w:left="709"/>
        <w:jc w:val="both"/>
        <w:rPr>
          <w:rFonts w:ascii="Times New Roman" w:eastAsiaTheme="majorEastAsia" w:hAnsi="Times New Roman" w:cs="Times New Roman"/>
          <w:b/>
          <w:bCs/>
          <w:color w:val="FF0000"/>
          <w:sz w:val="24"/>
          <w:szCs w:val="26"/>
          <w:lang w:val="es-ES_tradnl" w:eastAsia="es-ES"/>
        </w:rPr>
      </w:pPr>
    </w:p>
    <w:p w:rsidR="0032588B" w:rsidRPr="00443624" w:rsidRDefault="0032588B" w:rsidP="004F4021">
      <w:pPr>
        <w:pStyle w:val="Prrafodelista"/>
        <w:ind w:left="709"/>
        <w:jc w:val="both"/>
        <w:rPr>
          <w:rFonts w:ascii="Times New Roman" w:eastAsiaTheme="majorEastAsia" w:hAnsi="Times New Roman" w:cs="Times New Roman"/>
          <w:b/>
          <w:bCs/>
          <w:color w:val="FF0000"/>
          <w:sz w:val="24"/>
          <w:szCs w:val="26"/>
          <w:lang w:val="es-ES_tradnl" w:eastAsia="es-ES"/>
        </w:rPr>
      </w:pPr>
    </w:p>
    <w:p w:rsidR="0032588B" w:rsidRPr="00443624" w:rsidRDefault="0032588B" w:rsidP="00BF05F0">
      <w:pPr>
        <w:rPr>
          <w:rFonts w:ascii="Times New Roman" w:eastAsiaTheme="majorEastAsia" w:hAnsi="Times New Roman" w:cs="Times New Roman"/>
          <w:b/>
          <w:bCs/>
          <w:color w:val="FF0000"/>
          <w:szCs w:val="26"/>
        </w:rPr>
      </w:pPr>
    </w:p>
    <w:sdt>
      <w:sdtPr>
        <w:rPr>
          <w:rFonts w:asciiTheme="minorHAnsi" w:eastAsiaTheme="minorEastAsia" w:hAnsiTheme="minorHAnsi" w:cstheme="minorBidi"/>
          <w:b w:val="0"/>
          <w:bCs w:val="0"/>
          <w:color w:val="FF0000"/>
          <w:sz w:val="20"/>
          <w:szCs w:val="22"/>
          <w:lang w:val="es-ES" w:eastAsia="es-ES"/>
        </w:rPr>
        <w:id w:val="-1412613934"/>
        <w:docPartObj>
          <w:docPartGallery w:val="Table of Contents"/>
          <w:docPartUnique/>
        </w:docPartObj>
      </w:sdtPr>
      <w:sdtEndPr>
        <w:rPr>
          <w:rFonts w:ascii="Times New Roman" w:hAnsi="Times New Roman" w:cs="Times New Roman"/>
          <w:sz w:val="24"/>
          <w:szCs w:val="24"/>
        </w:rPr>
      </w:sdtEndPr>
      <w:sdtContent>
        <w:p w:rsidR="0032588B" w:rsidRPr="00BF05F0" w:rsidRDefault="00017674" w:rsidP="00BF05F0">
          <w:pPr>
            <w:pStyle w:val="TtulodeTDC"/>
            <w:spacing w:before="0" w:line="240" w:lineRule="auto"/>
            <w:jc w:val="center"/>
            <w:rPr>
              <w:rFonts w:ascii="Times New Roman" w:hAnsi="Times New Roman" w:cs="Times New Roman"/>
              <w:color w:val="auto"/>
              <w:sz w:val="24"/>
              <w:szCs w:val="24"/>
              <w:lang w:val="es-ES"/>
            </w:rPr>
          </w:pPr>
          <w:r>
            <w:rPr>
              <w:rFonts w:ascii="Times New Roman" w:hAnsi="Times New Roman" w:cs="Times New Roman"/>
              <w:color w:val="auto"/>
              <w:sz w:val="24"/>
              <w:szCs w:val="24"/>
              <w:lang w:val="es-ES"/>
            </w:rPr>
            <w:t>Índice</w:t>
          </w:r>
        </w:p>
        <w:p w:rsidR="00F3006C" w:rsidRPr="00BF05F0" w:rsidRDefault="00F3006C" w:rsidP="00BF05F0">
          <w:pPr>
            <w:rPr>
              <w:rFonts w:ascii="Times New Roman" w:hAnsi="Times New Roman" w:cs="Times New Roman"/>
              <w:color w:val="FF0000"/>
              <w:lang w:val="es-ES" w:eastAsia="es-GT"/>
            </w:rPr>
          </w:pPr>
        </w:p>
        <w:p w:rsidR="00D77959" w:rsidRPr="00D77959" w:rsidRDefault="0032588B" w:rsidP="00D77959">
          <w:pPr>
            <w:pStyle w:val="TDC1"/>
            <w:rPr>
              <w:rFonts w:eastAsiaTheme="minorEastAsia"/>
              <w:sz w:val="22"/>
              <w:szCs w:val="22"/>
              <w:lang w:val="es-GT" w:eastAsia="es-GT"/>
            </w:rPr>
          </w:pPr>
          <w:r w:rsidRPr="00D77959">
            <w:rPr>
              <w:color w:val="FF0000"/>
            </w:rPr>
            <w:fldChar w:fldCharType="begin"/>
          </w:r>
          <w:r w:rsidRPr="00D77959">
            <w:rPr>
              <w:color w:val="FF0000"/>
            </w:rPr>
            <w:instrText xml:space="preserve"> TOC \o "1-3" \h \z \u </w:instrText>
          </w:r>
          <w:r w:rsidRPr="00D77959">
            <w:rPr>
              <w:color w:val="FF0000"/>
            </w:rPr>
            <w:fldChar w:fldCharType="separate"/>
          </w:r>
          <w:hyperlink w:anchor="_Toc64025417" w:history="1">
            <w:r w:rsidR="00D77959" w:rsidRPr="00D77959">
              <w:rPr>
                <w:rStyle w:val="Hipervnculo"/>
              </w:rPr>
              <w:t>Introducción</w:t>
            </w:r>
            <w:r w:rsidR="00D77959" w:rsidRPr="00D77959">
              <w:rPr>
                <w:webHidden/>
              </w:rPr>
              <w:tab/>
            </w:r>
            <w:r w:rsidR="00D77959" w:rsidRPr="00D77959">
              <w:rPr>
                <w:webHidden/>
              </w:rPr>
              <w:fldChar w:fldCharType="begin"/>
            </w:r>
            <w:r w:rsidR="00D77959" w:rsidRPr="00D77959">
              <w:rPr>
                <w:webHidden/>
              </w:rPr>
              <w:instrText xml:space="preserve"> PAGEREF _Toc64025417 \h </w:instrText>
            </w:r>
            <w:r w:rsidR="00D77959" w:rsidRPr="00D77959">
              <w:rPr>
                <w:webHidden/>
              </w:rPr>
            </w:r>
            <w:r w:rsidR="00D77959" w:rsidRPr="00D77959">
              <w:rPr>
                <w:webHidden/>
              </w:rPr>
              <w:fldChar w:fldCharType="separate"/>
            </w:r>
            <w:r w:rsidR="00563AFD">
              <w:rPr>
                <w:webHidden/>
              </w:rPr>
              <w:t>3</w:t>
            </w:r>
            <w:r w:rsidR="00D77959" w:rsidRPr="00D77959">
              <w:rPr>
                <w:webHidden/>
              </w:rPr>
              <w:fldChar w:fldCharType="end"/>
            </w:r>
          </w:hyperlink>
        </w:p>
        <w:p w:rsidR="00D77959" w:rsidRPr="00D77959" w:rsidRDefault="00AD382B" w:rsidP="00D77959">
          <w:pPr>
            <w:pStyle w:val="TDC1"/>
            <w:rPr>
              <w:rFonts w:eastAsiaTheme="minorEastAsia"/>
              <w:sz w:val="22"/>
              <w:szCs w:val="22"/>
              <w:lang w:val="es-GT" w:eastAsia="es-GT"/>
            </w:rPr>
          </w:pPr>
          <w:hyperlink w:anchor="_Toc64025418" w:history="1">
            <w:r w:rsidR="00D77959" w:rsidRPr="00D77959">
              <w:rPr>
                <w:rStyle w:val="Hipervnculo"/>
              </w:rPr>
              <w:t>I.</w:t>
            </w:r>
            <w:r w:rsidR="00D77959" w:rsidRPr="00D77959">
              <w:rPr>
                <w:rFonts w:eastAsiaTheme="minorEastAsia"/>
                <w:sz w:val="22"/>
                <w:szCs w:val="22"/>
                <w:lang w:val="es-GT" w:eastAsia="es-GT"/>
              </w:rPr>
              <w:tab/>
            </w:r>
            <w:r w:rsidR="00D77959" w:rsidRPr="00D77959">
              <w:rPr>
                <w:rStyle w:val="Hipervnculo"/>
              </w:rPr>
              <w:t>Ingresos Fiscales</w:t>
            </w:r>
            <w:r w:rsidR="00D77959" w:rsidRPr="00D77959">
              <w:rPr>
                <w:webHidden/>
              </w:rPr>
              <w:tab/>
            </w:r>
            <w:r w:rsidR="00D77959" w:rsidRPr="00D77959">
              <w:rPr>
                <w:webHidden/>
              </w:rPr>
              <w:fldChar w:fldCharType="begin"/>
            </w:r>
            <w:r w:rsidR="00D77959" w:rsidRPr="00D77959">
              <w:rPr>
                <w:webHidden/>
              </w:rPr>
              <w:instrText xml:space="preserve"> PAGEREF _Toc64025418 \h </w:instrText>
            </w:r>
            <w:r w:rsidR="00D77959" w:rsidRPr="00D77959">
              <w:rPr>
                <w:webHidden/>
              </w:rPr>
            </w:r>
            <w:r w:rsidR="00D77959" w:rsidRPr="00D77959">
              <w:rPr>
                <w:webHidden/>
              </w:rPr>
              <w:fldChar w:fldCharType="separate"/>
            </w:r>
            <w:r w:rsidR="00563AFD">
              <w:rPr>
                <w:webHidden/>
              </w:rPr>
              <w:t>5</w:t>
            </w:r>
            <w:r w:rsidR="00D77959" w:rsidRPr="00D77959">
              <w:rPr>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20" w:history="1">
            <w:r w:rsidR="00D77959" w:rsidRPr="00D77959">
              <w:rPr>
                <w:rStyle w:val="Hipervnculo"/>
                <w:rFonts w:ascii="Times New Roman" w:hAnsi="Times New Roman" w:cs="Times New Roman"/>
                <w:noProof/>
              </w:rPr>
              <w:t>1.1</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Recaudación tributaria inicia con buen dinamismo</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_Toc64025420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5</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21" w:history="1">
            <w:r w:rsidR="00D77959" w:rsidRPr="00D77959">
              <w:rPr>
                <w:rStyle w:val="Hipervnculo"/>
                <w:rFonts w:ascii="Times New Roman" w:hAnsi="Times New Roman" w:cs="Times New Roman"/>
                <w:noProof/>
              </w:rPr>
              <w:t>1.2</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En marzo empieza la caída en la recaudación derivado de la Pandemia</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_Toc64025421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5</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22" w:history="1">
            <w:r w:rsidR="00D77959" w:rsidRPr="00D77959">
              <w:rPr>
                <w:rStyle w:val="Hipervnculo"/>
                <w:rFonts w:ascii="Times New Roman" w:hAnsi="Times New Roman" w:cs="Times New Roman"/>
                <w:noProof/>
              </w:rPr>
              <w:t>1.3</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Recuperación gradual en la recaudación tributaria en el último trimestre</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_Toc64025422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7</w:t>
            </w:r>
            <w:r w:rsidR="00D77959" w:rsidRPr="00D77959">
              <w:rPr>
                <w:rFonts w:ascii="Times New Roman" w:hAnsi="Times New Roman" w:cs="Times New Roman"/>
                <w:noProof/>
                <w:webHidden/>
              </w:rPr>
              <w:fldChar w:fldCharType="end"/>
            </w:r>
          </w:hyperlink>
        </w:p>
        <w:p w:rsidR="00D77959" w:rsidRPr="00D77959" w:rsidRDefault="00AD382B">
          <w:pPr>
            <w:pStyle w:val="TDC3"/>
            <w:rPr>
              <w:rFonts w:ascii="Times New Roman" w:hAnsi="Times New Roman" w:cs="Times New Roman"/>
              <w:noProof/>
              <w:sz w:val="22"/>
              <w:szCs w:val="22"/>
              <w:lang w:val="es-GT" w:eastAsia="es-GT"/>
            </w:rPr>
          </w:pPr>
          <w:hyperlink w:anchor="_Toc64025428" w:history="1">
            <w:r w:rsidR="00D77959" w:rsidRPr="00D77959">
              <w:rPr>
                <w:rStyle w:val="Hipervnculo"/>
                <w:rFonts w:ascii="Times New Roman" w:hAnsi="Times New Roman" w:cs="Times New Roman"/>
                <w:noProof/>
                <w:lang w:val="es-MX"/>
              </w:rPr>
              <w:t>1.4.1</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lang w:val="es-MX"/>
              </w:rPr>
              <w:t>Impuesto sobre la renta -ISR-</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_Toc64025428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8</w:t>
            </w:r>
            <w:r w:rsidR="00D77959" w:rsidRPr="00D77959">
              <w:rPr>
                <w:rFonts w:ascii="Times New Roman" w:hAnsi="Times New Roman" w:cs="Times New Roman"/>
                <w:noProof/>
                <w:webHidden/>
              </w:rPr>
              <w:fldChar w:fldCharType="end"/>
            </w:r>
          </w:hyperlink>
        </w:p>
        <w:p w:rsidR="00D77959" w:rsidRPr="00D77959" w:rsidRDefault="00AD382B">
          <w:pPr>
            <w:pStyle w:val="TDC3"/>
            <w:rPr>
              <w:rFonts w:ascii="Times New Roman" w:hAnsi="Times New Roman" w:cs="Times New Roman"/>
              <w:noProof/>
              <w:sz w:val="22"/>
              <w:szCs w:val="22"/>
              <w:lang w:val="es-GT" w:eastAsia="es-GT"/>
            </w:rPr>
          </w:pPr>
          <w:hyperlink w:anchor="_Toc64025429" w:history="1">
            <w:r w:rsidR="00D77959" w:rsidRPr="00D77959">
              <w:rPr>
                <w:rStyle w:val="Hipervnculo"/>
                <w:rFonts w:ascii="Times New Roman" w:hAnsi="Times New Roman" w:cs="Times New Roman"/>
                <w:noProof/>
                <w:lang w:val="es-MX"/>
              </w:rPr>
              <w:t>1.4.2</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lang w:val="es-MX"/>
              </w:rPr>
              <w:t>Impuesto al valor agregado</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_Toc64025429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9</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30" w:history="1">
            <w:r w:rsidR="00D77959" w:rsidRPr="00D77959">
              <w:rPr>
                <w:rStyle w:val="Hipervnculo"/>
                <w:rFonts w:ascii="Times New Roman" w:hAnsi="Times New Roman" w:cs="Times New Roman"/>
                <w:noProof/>
              </w:rPr>
              <w:t>1.4</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Esfuerzos administrativos logran contener la caída en la carga tributaria</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_Toc64025430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11</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31" w:history="1">
            <w:r w:rsidR="00D77959" w:rsidRPr="00D77959">
              <w:rPr>
                <w:rStyle w:val="Hipervnculo"/>
                <w:rFonts w:ascii="Times New Roman" w:hAnsi="Times New Roman" w:cs="Times New Roman"/>
                <w:noProof/>
              </w:rPr>
              <w:t>1.5</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Recaudación no tributaria</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_Toc64025431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11</w:t>
            </w:r>
            <w:r w:rsidR="00D77959" w:rsidRPr="00D77959">
              <w:rPr>
                <w:rFonts w:ascii="Times New Roman" w:hAnsi="Times New Roman" w:cs="Times New Roman"/>
                <w:noProof/>
                <w:webHidden/>
              </w:rPr>
              <w:fldChar w:fldCharType="end"/>
            </w:r>
          </w:hyperlink>
        </w:p>
        <w:p w:rsidR="00D77959" w:rsidRPr="00D77959" w:rsidRDefault="00AD382B" w:rsidP="00D77959">
          <w:pPr>
            <w:pStyle w:val="TDC1"/>
            <w:rPr>
              <w:rFonts w:eastAsiaTheme="minorEastAsia"/>
              <w:sz w:val="22"/>
              <w:szCs w:val="22"/>
              <w:lang w:val="es-GT" w:eastAsia="es-GT"/>
            </w:rPr>
          </w:pPr>
          <w:hyperlink w:anchor="_Toc64025432" w:history="1">
            <w:r w:rsidR="00D77959" w:rsidRPr="00D77959">
              <w:rPr>
                <w:rStyle w:val="Hipervnculo"/>
              </w:rPr>
              <w:t>II.</w:t>
            </w:r>
            <w:r w:rsidR="00D77959" w:rsidRPr="00D77959">
              <w:rPr>
                <w:rFonts w:eastAsiaTheme="minorEastAsia"/>
                <w:sz w:val="22"/>
                <w:szCs w:val="22"/>
                <w:lang w:val="es-GT" w:eastAsia="es-GT"/>
              </w:rPr>
              <w:tab/>
            </w:r>
            <w:r w:rsidR="00D77959" w:rsidRPr="00D77959">
              <w:rPr>
                <w:rStyle w:val="Hipervnculo"/>
              </w:rPr>
              <w:t>Gasto Público</w:t>
            </w:r>
            <w:r w:rsidR="00D77959" w:rsidRPr="00D77959">
              <w:rPr>
                <w:webHidden/>
              </w:rPr>
              <w:tab/>
            </w:r>
            <w:r w:rsidR="00D77959" w:rsidRPr="00D77959">
              <w:rPr>
                <w:webHidden/>
              </w:rPr>
              <w:fldChar w:fldCharType="begin"/>
            </w:r>
            <w:r w:rsidR="00D77959" w:rsidRPr="00D77959">
              <w:rPr>
                <w:webHidden/>
              </w:rPr>
              <w:instrText xml:space="preserve"> PAGEREF _Toc64025432 \h </w:instrText>
            </w:r>
            <w:r w:rsidR="00D77959" w:rsidRPr="00D77959">
              <w:rPr>
                <w:webHidden/>
              </w:rPr>
            </w:r>
            <w:r w:rsidR="00D77959" w:rsidRPr="00D77959">
              <w:rPr>
                <w:webHidden/>
              </w:rPr>
              <w:fldChar w:fldCharType="separate"/>
            </w:r>
            <w:r w:rsidR="00563AFD">
              <w:rPr>
                <w:webHidden/>
              </w:rPr>
              <w:t>12</w:t>
            </w:r>
            <w:r w:rsidR="00D77959" w:rsidRPr="00D77959">
              <w:rPr>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35" w:history="1">
            <w:r w:rsidR="00D77959" w:rsidRPr="00D77959">
              <w:rPr>
                <w:rStyle w:val="Hipervnculo"/>
                <w:rFonts w:ascii="Times New Roman" w:hAnsi="Times New Roman" w:cs="Times New Roman"/>
                <w:noProof/>
              </w:rPr>
              <w:t>2.1</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La no aprobación del presupuesto complica la ejecución de gasto público en los primeros meses de 2020</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_Toc64025435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12</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36" w:history="1">
            <w:r w:rsidR="00D77959" w:rsidRPr="00D77959">
              <w:rPr>
                <w:rStyle w:val="Hipervnculo"/>
                <w:rFonts w:ascii="Times New Roman" w:hAnsi="Times New Roman" w:cs="Times New Roman"/>
                <w:noProof/>
              </w:rPr>
              <w:t>2.2</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Alto dinamismo en la ejecución de gasto en 2020</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_Toc64025436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14</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37" w:history="1">
            <w:r w:rsidR="00D77959" w:rsidRPr="00D77959">
              <w:rPr>
                <w:rStyle w:val="Hipervnculo"/>
                <w:rFonts w:ascii="Times New Roman" w:hAnsi="Times New Roman" w:cs="Times New Roman"/>
                <w:noProof/>
              </w:rPr>
              <w:t>2.3</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Disminución de gastos no esenciales</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_Toc64025437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18</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38" w:history="1">
            <w:r w:rsidR="00D77959" w:rsidRPr="00D77959">
              <w:rPr>
                <w:rStyle w:val="Hipervnculo"/>
                <w:rFonts w:ascii="Times New Roman" w:hAnsi="Times New Roman" w:cs="Times New Roman"/>
                <w:noProof/>
              </w:rPr>
              <w:t>2.4</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Moderado aumento en el gasto social</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_Toc64025438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20</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39" w:history="1">
            <w:r w:rsidR="00D77959" w:rsidRPr="00D77959">
              <w:rPr>
                <w:rStyle w:val="Hipervnculo"/>
                <w:rFonts w:ascii="Times New Roman" w:hAnsi="Times New Roman" w:cs="Times New Roman"/>
                <w:noProof/>
              </w:rPr>
              <w:t>2.5</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Ejecución institucional</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_Toc64025439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21</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40" w:history="1">
            <w:r w:rsidR="00D77959" w:rsidRPr="00D77959">
              <w:rPr>
                <w:rStyle w:val="Hipervnculo"/>
                <w:rFonts w:ascii="Times New Roman" w:hAnsi="Times New Roman" w:cs="Times New Roman"/>
                <w:noProof/>
              </w:rPr>
              <w:t>2.6</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Seguimiento de los Programas Sociales y Económicos asociados al COVID-19 e intervenciones realizadas para la atención de daños provocados por la depresión tropical ETA</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_Toc64025440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23</w:t>
            </w:r>
            <w:r w:rsidR="00D77959" w:rsidRPr="00D77959">
              <w:rPr>
                <w:rFonts w:ascii="Times New Roman" w:hAnsi="Times New Roman" w:cs="Times New Roman"/>
                <w:noProof/>
                <w:webHidden/>
              </w:rPr>
              <w:fldChar w:fldCharType="end"/>
            </w:r>
          </w:hyperlink>
        </w:p>
        <w:p w:rsidR="00D77959" w:rsidRPr="00D77959" w:rsidRDefault="00AD382B">
          <w:pPr>
            <w:pStyle w:val="TDC3"/>
            <w:rPr>
              <w:rFonts w:ascii="Times New Roman" w:hAnsi="Times New Roman" w:cs="Times New Roman"/>
              <w:noProof/>
              <w:sz w:val="22"/>
              <w:szCs w:val="22"/>
              <w:lang w:val="es-GT" w:eastAsia="es-GT"/>
            </w:rPr>
          </w:pPr>
          <w:hyperlink w:anchor="_Toc64025448" w:history="1">
            <w:r w:rsidR="00D77959" w:rsidRPr="00D77959">
              <w:rPr>
                <w:rStyle w:val="Hipervnculo"/>
                <w:rFonts w:ascii="Times New Roman" w:hAnsi="Times New Roman" w:cs="Times New Roman"/>
                <w:noProof/>
              </w:rPr>
              <w:t>2.6.1</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Programas Sociales y Económicos asociados al COVID-19</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_Toc64025448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23</w:t>
            </w:r>
            <w:r w:rsidR="00D77959" w:rsidRPr="00D77959">
              <w:rPr>
                <w:rFonts w:ascii="Times New Roman" w:hAnsi="Times New Roman" w:cs="Times New Roman"/>
                <w:noProof/>
                <w:webHidden/>
              </w:rPr>
              <w:fldChar w:fldCharType="end"/>
            </w:r>
          </w:hyperlink>
        </w:p>
        <w:p w:rsidR="00D77959" w:rsidRPr="00D77959" w:rsidRDefault="00AD382B">
          <w:pPr>
            <w:pStyle w:val="TDC3"/>
            <w:rPr>
              <w:rFonts w:ascii="Times New Roman" w:hAnsi="Times New Roman" w:cs="Times New Roman"/>
              <w:noProof/>
              <w:sz w:val="22"/>
              <w:szCs w:val="22"/>
              <w:lang w:val="es-GT" w:eastAsia="es-GT"/>
            </w:rPr>
          </w:pPr>
          <w:hyperlink w:anchor="_Toc64025449" w:history="1">
            <w:r w:rsidR="00D77959" w:rsidRPr="00D77959">
              <w:rPr>
                <w:rStyle w:val="Hipervnculo"/>
                <w:rFonts w:ascii="Times New Roman" w:hAnsi="Times New Roman" w:cs="Times New Roman"/>
                <w:noProof/>
              </w:rPr>
              <w:t>2.6.2</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Intervenciones realizadas para la atención de daños provocados por la depresión tropical ETA</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_Toc64025449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25</w:t>
            </w:r>
            <w:r w:rsidR="00D77959" w:rsidRPr="00D77959">
              <w:rPr>
                <w:rFonts w:ascii="Times New Roman" w:hAnsi="Times New Roman" w:cs="Times New Roman"/>
                <w:noProof/>
                <w:webHidden/>
              </w:rPr>
              <w:fldChar w:fldCharType="end"/>
            </w:r>
          </w:hyperlink>
        </w:p>
        <w:p w:rsidR="00D77959" w:rsidRPr="00D77959" w:rsidRDefault="00AD382B" w:rsidP="00D77959">
          <w:pPr>
            <w:pStyle w:val="TDC1"/>
            <w:rPr>
              <w:rFonts w:eastAsiaTheme="minorEastAsia"/>
              <w:sz w:val="22"/>
              <w:szCs w:val="22"/>
              <w:lang w:val="es-GT" w:eastAsia="es-GT"/>
            </w:rPr>
          </w:pPr>
          <w:hyperlink w:anchor="_Toc64025450" w:history="1">
            <w:r w:rsidR="00D77959" w:rsidRPr="00D77959">
              <w:rPr>
                <w:rStyle w:val="Hipervnculo"/>
                <w:lang w:val="es-MX"/>
              </w:rPr>
              <w:t>III.</w:t>
            </w:r>
            <w:r w:rsidR="00D77959" w:rsidRPr="00D77959">
              <w:rPr>
                <w:rFonts w:eastAsiaTheme="minorEastAsia"/>
                <w:sz w:val="22"/>
                <w:szCs w:val="22"/>
                <w:lang w:val="es-GT" w:eastAsia="es-GT"/>
              </w:rPr>
              <w:tab/>
            </w:r>
            <w:r w:rsidR="00D77959" w:rsidRPr="00D77959">
              <w:rPr>
                <w:rStyle w:val="Hipervnculo"/>
                <w:lang w:val="es-MX"/>
              </w:rPr>
              <w:t>Resultado Fiscal y Financiamiento</w:t>
            </w:r>
            <w:r w:rsidR="00D77959" w:rsidRPr="00D77959">
              <w:rPr>
                <w:webHidden/>
              </w:rPr>
              <w:tab/>
            </w:r>
            <w:r w:rsidR="00D77959" w:rsidRPr="00D77959">
              <w:rPr>
                <w:webHidden/>
              </w:rPr>
              <w:fldChar w:fldCharType="begin"/>
            </w:r>
            <w:r w:rsidR="00D77959" w:rsidRPr="00D77959">
              <w:rPr>
                <w:webHidden/>
              </w:rPr>
              <w:instrText xml:space="preserve"> PAGEREF _Toc64025450 \h </w:instrText>
            </w:r>
            <w:r w:rsidR="00D77959" w:rsidRPr="00D77959">
              <w:rPr>
                <w:webHidden/>
              </w:rPr>
            </w:r>
            <w:r w:rsidR="00D77959" w:rsidRPr="00D77959">
              <w:rPr>
                <w:webHidden/>
              </w:rPr>
              <w:fldChar w:fldCharType="separate"/>
            </w:r>
            <w:r w:rsidR="00563AFD">
              <w:rPr>
                <w:webHidden/>
              </w:rPr>
              <w:t>29</w:t>
            </w:r>
            <w:r w:rsidR="00D77959" w:rsidRPr="00D77959">
              <w:rPr>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52" w:history="1">
            <w:r w:rsidR="00D77959" w:rsidRPr="00D77959">
              <w:rPr>
                <w:rStyle w:val="Hipervnculo"/>
                <w:rFonts w:ascii="Times New Roman" w:hAnsi="Times New Roman" w:cs="Times New Roman"/>
                <w:noProof/>
              </w:rPr>
              <w:t>3.1</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Aumento significativo del déficit fiscal es financiado principalmente con Bonos del Tesoro</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_Toc64025452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29</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53" w:history="1">
            <w:r w:rsidR="00D77959" w:rsidRPr="00D77959">
              <w:rPr>
                <w:rStyle w:val="Hipervnculo"/>
                <w:rFonts w:ascii="Times New Roman" w:hAnsi="Times New Roman" w:cs="Times New Roman"/>
                <w:noProof/>
              </w:rPr>
              <w:t>3.2</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El efecto del fuerte estímulo fiscal provocó un aumento en la deuda pública</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_Toc64025453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32</w:t>
            </w:r>
            <w:r w:rsidR="00D77959" w:rsidRPr="00D77959">
              <w:rPr>
                <w:rFonts w:ascii="Times New Roman" w:hAnsi="Times New Roman" w:cs="Times New Roman"/>
                <w:noProof/>
                <w:webHidden/>
              </w:rPr>
              <w:fldChar w:fldCharType="end"/>
            </w:r>
          </w:hyperlink>
        </w:p>
        <w:p w:rsidR="00D77959" w:rsidRPr="00D77959" w:rsidRDefault="00AD382B" w:rsidP="00D77959">
          <w:pPr>
            <w:pStyle w:val="TDC1"/>
            <w:rPr>
              <w:rFonts w:eastAsiaTheme="minorEastAsia"/>
              <w:sz w:val="22"/>
              <w:szCs w:val="22"/>
              <w:lang w:val="es-GT" w:eastAsia="es-GT"/>
            </w:rPr>
          </w:pPr>
          <w:hyperlink w:anchor="_Toc64025454" w:history="1">
            <w:r w:rsidR="00D77959" w:rsidRPr="00D77959">
              <w:rPr>
                <w:rStyle w:val="Hipervnculo"/>
              </w:rPr>
              <w:t>IV.</w:t>
            </w:r>
            <w:r w:rsidR="00D77959" w:rsidRPr="00D77959">
              <w:rPr>
                <w:rFonts w:eastAsiaTheme="minorEastAsia"/>
                <w:sz w:val="22"/>
                <w:szCs w:val="22"/>
                <w:lang w:val="es-GT" w:eastAsia="es-GT"/>
              </w:rPr>
              <w:tab/>
            </w:r>
            <w:r w:rsidR="00D77959" w:rsidRPr="00D77959">
              <w:rPr>
                <w:rStyle w:val="Hipervnculo"/>
              </w:rPr>
              <w:t>Previsiones económicas y fiscales para 2021</w:t>
            </w:r>
            <w:r w:rsidR="00D77959" w:rsidRPr="00D77959">
              <w:rPr>
                <w:webHidden/>
              </w:rPr>
              <w:tab/>
            </w:r>
            <w:r w:rsidR="00D77959" w:rsidRPr="00D77959">
              <w:rPr>
                <w:webHidden/>
              </w:rPr>
              <w:fldChar w:fldCharType="begin"/>
            </w:r>
            <w:r w:rsidR="00D77959" w:rsidRPr="00D77959">
              <w:rPr>
                <w:webHidden/>
              </w:rPr>
              <w:instrText xml:space="preserve"> PAGEREF _Toc64025454 \h </w:instrText>
            </w:r>
            <w:r w:rsidR="00D77959" w:rsidRPr="00D77959">
              <w:rPr>
                <w:webHidden/>
              </w:rPr>
            </w:r>
            <w:r w:rsidR="00D77959" w:rsidRPr="00D77959">
              <w:rPr>
                <w:webHidden/>
              </w:rPr>
              <w:fldChar w:fldCharType="separate"/>
            </w:r>
            <w:r w:rsidR="00563AFD">
              <w:rPr>
                <w:webHidden/>
              </w:rPr>
              <w:t>33</w:t>
            </w:r>
            <w:r w:rsidR="00D77959" w:rsidRPr="00D77959">
              <w:rPr>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56" w:history="1">
            <w:r w:rsidR="00D77959" w:rsidRPr="00D77959">
              <w:rPr>
                <w:rStyle w:val="Hipervnculo"/>
                <w:rFonts w:ascii="Times New Roman" w:hAnsi="Times New Roman" w:cs="Times New Roman"/>
                <w:noProof/>
              </w:rPr>
              <w:t>4.1</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Perspectivas de la economía mundial</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_Toc64025456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33</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57" w:history="1">
            <w:r w:rsidR="00D77959" w:rsidRPr="00D77959">
              <w:rPr>
                <w:rStyle w:val="Hipervnculo"/>
                <w:rFonts w:ascii="Times New Roman" w:hAnsi="Times New Roman" w:cs="Times New Roman"/>
                <w:noProof/>
              </w:rPr>
              <w:t>4.2</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Perspectivas para la economía interna</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_Toc64025457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34</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58" w:history="1">
            <w:r w:rsidR="00D77959" w:rsidRPr="00D77959">
              <w:rPr>
                <w:rStyle w:val="Hipervnculo"/>
                <w:rFonts w:ascii="Times New Roman" w:hAnsi="Times New Roman" w:cs="Times New Roman"/>
                <w:noProof/>
              </w:rPr>
              <w:t>4.3</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Perspectivas fiscales para 2021</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_Toc64025458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37</w:t>
            </w:r>
            <w:r w:rsidR="00D77959" w:rsidRPr="00D77959">
              <w:rPr>
                <w:rFonts w:ascii="Times New Roman" w:hAnsi="Times New Roman" w:cs="Times New Roman"/>
                <w:noProof/>
                <w:webHidden/>
              </w:rPr>
              <w:fldChar w:fldCharType="end"/>
            </w:r>
          </w:hyperlink>
        </w:p>
        <w:p w:rsidR="00D77959" w:rsidRPr="00D77959" w:rsidRDefault="00AD382B" w:rsidP="00D77959">
          <w:pPr>
            <w:pStyle w:val="TDC1"/>
            <w:rPr>
              <w:rFonts w:eastAsiaTheme="minorEastAsia"/>
              <w:sz w:val="22"/>
              <w:szCs w:val="22"/>
              <w:lang w:val="es-GT" w:eastAsia="es-GT"/>
            </w:rPr>
          </w:pPr>
          <w:hyperlink w:anchor="_Toc64025459" w:history="1">
            <w:r w:rsidR="00D77959" w:rsidRPr="00D77959">
              <w:rPr>
                <w:rStyle w:val="Hipervnculo"/>
              </w:rPr>
              <w:t>V.</w:t>
            </w:r>
            <w:r w:rsidR="00D77959" w:rsidRPr="00D77959">
              <w:rPr>
                <w:rFonts w:eastAsiaTheme="minorEastAsia"/>
                <w:sz w:val="22"/>
                <w:szCs w:val="22"/>
                <w:lang w:val="es-GT" w:eastAsia="es-GT"/>
              </w:rPr>
              <w:tab/>
            </w:r>
            <w:r w:rsidR="00D77959" w:rsidRPr="00D77959">
              <w:rPr>
                <w:rStyle w:val="Hipervnculo"/>
              </w:rPr>
              <w:t>Apéndice contexto macroeconómico</w:t>
            </w:r>
            <w:r w:rsidR="00D77959" w:rsidRPr="00D77959">
              <w:rPr>
                <w:webHidden/>
              </w:rPr>
              <w:tab/>
            </w:r>
            <w:r w:rsidR="00D77959" w:rsidRPr="00D77959">
              <w:rPr>
                <w:webHidden/>
              </w:rPr>
              <w:fldChar w:fldCharType="begin"/>
            </w:r>
            <w:r w:rsidR="00D77959" w:rsidRPr="00D77959">
              <w:rPr>
                <w:webHidden/>
              </w:rPr>
              <w:instrText xml:space="preserve"> PAGEREF _Toc64025459 \h </w:instrText>
            </w:r>
            <w:r w:rsidR="00D77959" w:rsidRPr="00D77959">
              <w:rPr>
                <w:webHidden/>
              </w:rPr>
            </w:r>
            <w:r w:rsidR="00D77959" w:rsidRPr="00D77959">
              <w:rPr>
                <w:webHidden/>
              </w:rPr>
              <w:fldChar w:fldCharType="separate"/>
            </w:r>
            <w:r w:rsidR="00563AFD">
              <w:rPr>
                <w:webHidden/>
              </w:rPr>
              <w:t>41</w:t>
            </w:r>
            <w:r w:rsidR="00D77959" w:rsidRPr="00D77959">
              <w:rPr>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65" w:history="1">
            <w:r w:rsidR="00D77959" w:rsidRPr="00D77959">
              <w:rPr>
                <w:rStyle w:val="Hipervnculo"/>
                <w:rFonts w:ascii="Times New Roman" w:hAnsi="Times New Roman" w:cs="Times New Roman"/>
                <w:noProof/>
              </w:rPr>
              <w:t>5.1</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Entorno Macroeconómico Internacional</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_Toc64025465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41</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66" w:history="1">
            <w:r w:rsidR="00D77959" w:rsidRPr="00D77959">
              <w:rPr>
                <w:rStyle w:val="Hipervnculo"/>
                <w:rFonts w:ascii="Times New Roman" w:hAnsi="Times New Roman" w:cs="Times New Roman"/>
                <w:noProof/>
              </w:rPr>
              <w:t>5.2</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Desempeño económico de los principales socios comerciales</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_Toc64025466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42</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67" w:history="1">
            <w:r w:rsidR="00D77959" w:rsidRPr="00D77959">
              <w:rPr>
                <w:rStyle w:val="Hipervnculo"/>
                <w:rFonts w:ascii="Times New Roman" w:hAnsi="Times New Roman" w:cs="Times New Roman"/>
                <w:noProof/>
              </w:rPr>
              <w:t>5.3</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Principales indicadores Macroeconómicos y Fiscales de la región</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_Toc64025467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43</w:t>
            </w:r>
            <w:r w:rsidR="00D77959" w:rsidRPr="00D77959">
              <w:rPr>
                <w:rFonts w:ascii="Times New Roman" w:hAnsi="Times New Roman" w:cs="Times New Roman"/>
                <w:noProof/>
                <w:webHidden/>
              </w:rPr>
              <w:fldChar w:fldCharType="end"/>
            </w:r>
          </w:hyperlink>
        </w:p>
        <w:p w:rsidR="00D77959" w:rsidRPr="00D77959" w:rsidRDefault="00AD382B">
          <w:pPr>
            <w:pStyle w:val="TDC2"/>
            <w:rPr>
              <w:rFonts w:ascii="Times New Roman" w:hAnsi="Times New Roman" w:cs="Times New Roman"/>
              <w:noProof/>
              <w:sz w:val="22"/>
              <w:szCs w:val="22"/>
              <w:lang w:val="es-GT" w:eastAsia="es-GT"/>
            </w:rPr>
          </w:pPr>
          <w:hyperlink w:anchor="_Toc64025468" w:history="1">
            <w:r w:rsidR="00D77959" w:rsidRPr="00D77959">
              <w:rPr>
                <w:rStyle w:val="Hipervnculo"/>
                <w:rFonts w:ascii="Times New Roman" w:hAnsi="Times New Roman" w:cs="Times New Roman"/>
                <w:noProof/>
              </w:rPr>
              <w:t>5.4</w:t>
            </w:r>
            <w:r w:rsidR="00D77959" w:rsidRPr="00D77959">
              <w:rPr>
                <w:rFonts w:ascii="Times New Roman" w:hAnsi="Times New Roman" w:cs="Times New Roman"/>
                <w:noProof/>
                <w:sz w:val="22"/>
                <w:szCs w:val="22"/>
                <w:lang w:val="es-GT" w:eastAsia="es-GT"/>
              </w:rPr>
              <w:tab/>
            </w:r>
            <w:r w:rsidR="00D77959" w:rsidRPr="00D77959">
              <w:rPr>
                <w:rStyle w:val="Hipervnculo"/>
                <w:rFonts w:ascii="Times New Roman" w:hAnsi="Times New Roman" w:cs="Times New Roman"/>
                <w:noProof/>
              </w:rPr>
              <w:t>Entorno macroeconómico nacional</w:t>
            </w:r>
            <w:r w:rsidR="00D77959" w:rsidRPr="00D77959">
              <w:rPr>
                <w:rFonts w:ascii="Times New Roman" w:hAnsi="Times New Roman" w:cs="Times New Roman"/>
                <w:noProof/>
                <w:webHidden/>
              </w:rPr>
              <w:tab/>
            </w:r>
            <w:r w:rsidR="00D77959" w:rsidRPr="00D77959">
              <w:rPr>
                <w:rFonts w:ascii="Times New Roman" w:hAnsi="Times New Roman" w:cs="Times New Roman"/>
                <w:noProof/>
                <w:webHidden/>
              </w:rPr>
              <w:fldChar w:fldCharType="begin"/>
            </w:r>
            <w:r w:rsidR="00D77959" w:rsidRPr="00D77959">
              <w:rPr>
                <w:rFonts w:ascii="Times New Roman" w:hAnsi="Times New Roman" w:cs="Times New Roman"/>
                <w:noProof/>
                <w:webHidden/>
              </w:rPr>
              <w:instrText xml:space="preserve"> PAGEREF _Toc64025468 \h </w:instrText>
            </w:r>
            <w:r w:rsidR="00D77959" w:rsidRPr="00D77959">
              <w:rPr>
                <w:rFonts w:ascii="Times New Roman" w:hAnsi="Times New Roman" w:cs="Times New Roman"/>
                <w:noProof/>
                <w:webHidden/>
              </w:rPr>
            </w:r>
            <w:r w:rsidR="00D77959" w:rsidRPr="00D77959">
              <w:rPr>
                <w:rFonts w:ascii="Times New Roman" w:hAnsi="Times New Roman" w:cs="Times New Roman"/>
                <w:noProof/>
                <w:webHidden/>
              </w:rPr>
              <w:fldChar w:fldCharType="separate"/>
            </w:r>
            <w:r w:rsidR="00563AFD">
              <w:rPr>
                <w:rFonts w:ascii="Times New Roman" w:hAnsi="Times New Roman" w:cs="Times New Roman"/>
                <w:noProof/>
                <w:webHidden/>
              </w:rPr>
              <w:t>44</w:t>
            </w:r>
            <w:r w:rsidR="00D77959" w:rsidRPr="00D77959">
              <w:rPr>
                <w:rFonts w:ascii="Times New Roman" w:hAnsi="Times New Roman" w:cs="Times New Roman"/>
                <w:noProof/>
                <w:webHidden/>
              </w:rPr>
              <w:fldChar w:fldCharType="end"/>
            </w:r>
          </w:hyperlink>
        </w:p>
        <w:p w:rsidR="0032588B" w:rsidRPr="00D77959" w:rsidRDefault="0032588B" w:rsidP="00BF05F0">
          <w:pPr>
            <w:rPr>
              <w:rFonts w:ascii="Times New Roman" w:hAnsi="Times New Roman" w:cs="Times New Roman"/>
              <w:color w:val="FF0000"/>
            </w:rPr>
          </w:pPr>
          <w:r w:rsidRPr="00D77959">
            <w:rPr>
              <w:rFonts w:ascii="Times New Roman" w:hAnsi="Times New Roman" w:cs="Times New Roman"/>
              <w:bCs/>
              <w:color w:val="FF0000"/>
              <w:lang w:val="es-ES"/>
            </w:rPr>
            <w:fldChar w:fldCharType="end"/>
          </w:r>
        </w:p>
      </w:sdtContent>
    </w:sdt>
    <w:p w:rsidR="0032588B" w:rsidRPr="00443624" w:rsidRDefault="0032588B" w:rsidP="0032588B">
      <w:pPr>
        <w:jc w:val="both"/>
        <w:outlineLvl w:val="0"/>
        <w:rPr>
          <w:rFonts w:ascii="Times New Roman" w:eastAsiaTheme="majorEastAsia" w:hAnsi="Times New Roman" w:cs="Times New Roman"/>
          <w:bCs/>
          <w:color w:val="FF0000"/>
          <w:szCs w:val="26"/>
        </w:rPr>
      </w:pPr>
    </w:p>
    <w:p w:rsidR="0032588B" w:rsidRDefault="0032588B"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D77959" w:rsidRDefault="00D77959"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D77959" w:rsidRDefault="00D77959"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D77959" w:rsidRDefault="00D77959"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D77959" w:rsidRDefault="00D77959"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D77959" w:rsidRDefault="00D77959"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D77959" w:rsidRPr="00443624" w:rsidRDefault="00D77959"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32588B" w:rsidRPr="00443624" w:rsidRDefault="0032588B" w:rsidP="0032588B">
      <w:pPr>
        <w:pStyle w:val="Prrafodelista"/>
        <w:ind w:left="709"/>
        <w:jc w:val="both"/>
        <w:outlineLvl w:val="0"/>
        <w:rPr>
          <w:rFonts w:ascii="Times New Roman" w:eastAsiaTheme="majorEastAsia" w:hAnsi="Times New Roman" w:cs="Times New Roman"/>
          <w:bCs/>
          <w:color w:val="FF0000"/>
          <w:sz w:val="24"/>
          <w:szCs w:val="26"/>
          <w:lang w:val="es-ES_tradnl" w:eastAsia="es-ES"/>
        </w:rPr>
      </w:pPr>
    </w:p>
    <w:p w:rsidR="00DD1859" w:rsidRPr="004954E2" w:rsidRDefault="00DD1859" w:rsidP="00DD1859">
      <w:pPr>
        <w:pStyle w:val="Prrafodelista"/>
        <w:ind w:left="0"/>
        <w:jc w:val="both"/>
        <w:outlineLvl w:val="0"/>
        <w:rPr>
          <w:rFonts w:ascii="Times New Roman" w:eastAsiaTheme="majorEastAsia" w:hAnsi="Times New Roman" w:cs="Times New Roman"/>
          <w:b/>
          <w:bCs/>
          <w:sz w:val="24"/>
          <w:szCs w:val="26"/>
          <w:lang w:val="es-ES_tradnl" w:eastAsia="es-ES"/>
        </w:rPr>
      </w:pPr>
      <w:bookmarkStart w:id="3" w:name="_Toc64025417"/>
      <w:r w:rsidRPr="004954E2">
        <w:rPr>
          <w:rFonts w:ascii="Times New Roman" w:eastAsiaTheme="majorEastAsia" w:hAnsi="Times New Roman" w:cs="Times New Roman"/>
          <w:b/>
          <w:bCs/>
          <w:sz w:val="24"/>
          <w:szCs w:val="26"/>
          <w:lang w:val="es-ES_tradnl" w:eastAsia="es-ES"/>
        </w:rPr>
        <w:lastRenderedPageBreak/>
        <w:t>Introducción</w:t>
      </w:r>
      <w:bookmarkEnd w:id="3"/>
    </w:p>
    <w:p w:rsidR="00DD1859" w:rsidRPr="004954E2" w:rsidRDefault="00DD1859" w:rsidP="00BF05F0">
      <w:pPr>
        <w:pStyle w:val="Prrafodelista"/>
        <w:ind w:left="709"/>
        <w:jc w:val="both"/>
        <w:rPr>
          <w:rFonts w:ascii="Times New Roman" w:eastAsiaTheme="majorEastAsia" w:hAnsi="Times New Roman" w:cs="Times New Roman"/>
          <w:b/>
          <w:bCs/>
          <w:sz w:val="24"/>
          <w:szCs w:val="26"/>
          <w:lang w:val="es-ES_tradnl" w:eastAsia="es-ES"/>
        </w:rPr>
      </w:pPr>
    </w:p>
    <w:p w:rsidR="004954E2" w:rsidRPr="004954E2" w:rsidRDefault="004954E2" w:rsidP="004954E2">
      <w:pPr>
        <w:jc w:val="both"/>
        <w:rPr>
          <w:rFonts w:ascii="Times New Roman" w:hAnsi="Times New Roman" w:cs="Times New Roman"/>
          <w:sz w:val="22"/>
          <w:lang w:val="es-MX"/>
        </w:rPr>
      </w:pPr>
      <w:r w:rsidRPr="004954E2">
        <w:rPr>
          <w:rFonts w:ascii="Times New Roman" w:hAnsi="Times New Roman" w:cs="Times New Roman"/>
          <w:sz w:val="22"/>
          <w:lang w:val="es-MX"/>
        </w:rPr>
        <w:t xml:space="preserve">Tratar de resumir todas las acciones de la política fiscal en un período crítico es una tarea compleja, no por las acciones adoptadas, sino para tratar de medir el efecto que éstas tuvieron en la actividad económica, y cómo se logró mantener la cobertura </w:t>
      </w:r>
      <w:r w:rsidR="002610C9">
        <w:rPr>
          <w:rFonts w:ascii="Times New Roman" w:hAnsi="Times New Roman" w:cs="Times New Roman"/>
          <w:sz w:val="22"/>
          <w:lang w:val="es-MX"/>
        </w:rPr>
        <w:t>de los servicios que presta el E</w:t>
      </w:r>
      <w:r w:rsidRPr="004954E2">
        <w:rPr>
          <w:rFonts w:ascii="Times New Roman" w:hAnsi="Times New Roman" w:cs="Times New Roman"/>
          <w:sz w:val="22"/>
          <w:lang w:val="es-MX"/>
        </w:rPr>
        <w:t>stado, aún a sabiendas que las fuentes de financiamiento, en especial los ingresos corrientes iban a ser afectados hacia la baja.</w:t>
      </w:r>
    </w:p>
    <w:p w:rsidR="004954E2" w:rsidRPr="004954E2" w:rsidRDefault="004954E2" w:rsidP="004954E2">
      <w:pPr>
        <w:jc w:val="both"/>
        <w:rPr>
          <w:rFonts w:ascii="Times New Roman" w:hAnsi="Times New Roman" w:cs="Times New Roman"/>
          <w:sz w:val="22"/>
          <w:lang w:val="es-MX"/>
        </w:rPr>
      </w:pPr>
    </w:p>
    <w:p w:rsidR="004954E2" w:rsidRPr="004954E2" w:rsidRDefault="004954E2" w:rsidP="004954E2">
      <w:pPr>
        <w:jc w:val="both"/>
        <w:rPr>
          <w:rFonts w:ascii="Times New Roman" w:hAnsi="Times New Roman" w:cs="Times New Roman"/>
          <w:sz w:val="22"/>
          <w:lang w:val="es-MX"/>
        </w:rPr>
      </w:pPr>
      <w:r w:rsidRPr="004954E2">
        <w:rPr>
          <w:rFonts w:ascii="Times New Roman" w:hAnsi="Times New Roman" w:cs="Times New Roman"/>
          <w:sz w:val="22"/>
          <w:lang w:val="es-MX"/>
        </w:rPr>
        <w:t>En efecto, a similitud de la política fiscal expansiva que se desarrolló durante la crisis financiera internacional de 2009, en el año 2020 fue necesario tomar medidas mucho más complejas e inmediatas para afrentar los efectos de la pandemia COVID-19.</w:t>
      </w:r>
    </w:p>
    <w:p w:rsidR="004954E2" w:rsidRPr="004954E2" w:rsidRDefault="004954E2" w:rsidP="004954E2">
      <w:pPr>
        <w:jc w:val="both"/>
        <w:rPr>
          <w:rFonts w:ascii="Times New Roman" w:hAnsi="Times New Roman" w:cs="Times New Roman"/>
          <w:sz w:val="22"/>
          <w:lang w:val="es-MX"/>
        </w:rPr>
      </w:pPr>
    </w:p>
    <w:p w:rsidR="004954E2" w:rsidRPr="001401B2" w:rsidRDefault="004954E2" w:rsidP="004954E2">
      <w:pPr>
        <w:jc w:val="both"/>
        <w:rPr>
          <w:rFonts w:ascii="Times New Roman" w:hAnsi="Times New Roman" w:cs="Times New Roman"/>
          <w:sz w:val="22"/>
          <w:lang w:val="es-MX"/>
        </w:rPr>
      </w:pPr>
      <w:r w:rsidRPr="004954E2">
        <w:rPr>
          <w:rFonts w:ascii="Times New Roman" w:hAnsi="Times New Roman" w:cs="Times New Roman"/>
          <w:sz w:val="22"/>
          <w:lang w:val="es-MX"/>
        </w:rPr>
        <w:t xml:space="preserve">Ninguna nación del orbe estaba preparada para afrontar dicha pandemia, más aún la velocidad con que esta se expandía y los efectos en la salud de la población.  De esta cuenta, un año que se preveía con </w:t>
      </w:r>
      <w:r w:rsidRPr="001401B2">
        <w:rPr>
          <w:rFonts w:ascii="Times New Roman" w:hAnsi="Times New Roman" w:cs="Times New Roman"/>
          <w:sz w:val="22"/>
          <w:lang w:val="es-MX"/>
        </w:rPr>
        <w:t>alentadoras perspectivas económicas y que, durante los primeros dos meses, había registrado cifras muy positivas en sus principales indicadores, fue severamente afectada a partir de marzo 2020.</w:t>
      </w:r>
    </w:p>
    <w:p w:rsidR="004954E2" w:rsidRPr="001401B2" w:rsidRDefault="004954E2" w:rsidP="004954E2">
      <w:pPr>
        <w:jc w:val="both"/>
        <w:rPr>
          <w:rFonts w:ascii="Times New Roman" w:hAnsi="Times New Roman" w:cs="Times New Roman"/>
          <w:sz w:val="22"/>
          <w:lang w:val="es-MX"/>
        </w:rPr>
      </w:pPr>
    </w:p>
    <w:p w:rsidR="004954E2"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Desde el ámbito fiscal, había un desafío adicional derivado a la no aprobación del proyecto de presupuesto de ingresos y egresos del Estado para el ejercicio fiscal 2020, lo cual planteaba a inicios de año, presentar ante el organismo legislativo un planteamiento para la ampliación del presupuesto y atender los programas prioritarios en diferentes áreas (infraestructura, atención a la desnutrición, programas sociales, etc.).</w:t>
      </w:r>
    </w:p>
    <w:p w:rsidR="004954E2" w:rsidRPr="001401B2" w:rsidRDefault="004954E2" w:rsidP="004954E2">
      <w:pPr>
        <w:jc w:val="both"/>
        <w:rPr>
          <w:rFonts w:ascii="Times New Roman" w:hAnsi="Times New Roman" w:cs="Times New Roman"/>
          <w:sz w:val="22"/>
          <w:lang w:val="es-MX"/>
        </w:rPr>
      </w:pPr>
    </w:p>
    <w:p w:rsidR="004954E2"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Sin embargo, las circunstancias fueron cambiando a medida que se empezaron a difundir las noticias de la expansión de dicha pandemia en diferentes lugares del mundo.  Guatemala tenía que estar preparada para tomar acciones que pudiesen en un principio, contener los contagios y a su vez buscar medidas que pudiesen atenuar los efectos económicos sobre el empleo y los ingresos de la mayoría de la población.</w:t>
      </w:r>
    </w:p>
    <w:p w:rsidR="004954E2" w:rsidRPr="001401B2" w:rsidRDefault="004954E2" w:rsidP="004954E2">
      <w:pPr>
        <w:jc w:val="both"/>
        <w:rPr>
          <w:rFonts w:ascii="Times New Roman" w:hAnsi="Times New Roman" w:cs="Times New Roman"/>
          <w:sz w:val="22"/>
          <w:lang w:val="es-MX"/>
        </w:rPr>
      </w:pPr>
    </w:p>
    <w:p w:rsidR="004954E2"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La política fiscal se torna quizá en el eje principal para atender los requerimientos de las diferentes entidades de gobierno.  Por un lado, para garantizar el desarrollo de un plan de emergencia capaz de crear la infraestructura y recursos orientados a atender las necesidades de salud, pero también para garantizar la inyección de recursos que permitieran atenuar la crisis económica derivada de las acciones de locomoción y distanciamiento para evitar más contagios.  Fue en este punto, donde se tenía que garantizar que, aquellas familias necesitadas tuviesen acceso a alimentación y a recursos económicos que les permitiera al menos atender sus compromisos más inmediatos, sobre todo ante la reducción en los niveles de producción y de consumo interno por el efecto en los diferentes sectores productivos.</w:t>
      </w:r>
    </w:p>
    <w:p w:rsidR="004954E2" w:rsidRPr="001401B2" w:rsidRDefault="004954E2" w:rsidP="004954E2">
      <w:pPr>
        <w:jc w:val="both"/>
        <w:rPr>
          <w:rFonts w:ascii="Times New Roman" w:hAnsi="Times New Roman" w:cs="Times New Roman"/>
          <w:sz w:val="22"/>
          <w:lang w:val="es-MX"/>
        </w:rPr>
      </w:pPr>
    </w:p>
    <w:p w:rsidR="004954E2"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Durante el último trimestre, la economía inició un lento proceso de reapertura y de retorno a la “relativa normalidad”.  Sin embargo, el país fue afectado p</w:t>
      </w:r>
      <w:r w:rsidR="00E648CB">
        <w:rPr>
          <w:rFonts w:ascii="Times New Roman" w:hAnsi="Times New Roman" w:cs="Times New Roman"/>
          <w:sz w:val="22"/>
          <w:lang w:val="es-MX"/>
        </w:rPr>
        <w:t>or los fenómenos naturales ETA e</w:t>
      </w:r>
      <w:r w:rsidRPr="001401B2">
        <w:rPr>
          <w:rFonts w:ascii="Times New Roman" w:hAnsi="Times New Roman" w:cs="Times New Roman"/>
          <w:sz w:val="22"/>
          <w:lang w:val="es-MX"/>
        </w:rPr>
        <w:t xml:space="preserve"> IOTA, afectando a regiones específicas de los departamentos de Quiché, Alta Verapaz e Izabal y generando pérdidas aproximadas del orden de los Q5,000 millones. </w:t>
      </w:r>
    </w:p>
    <w:p w:rsidR="004954E2" w:rsidRPr="001401B2" w:rsidRDefault="004954E2" w:rsidP="004954E2">
      <w:pPr>
        <w:jc w:val="both"/>
        <w:rPr>
          <w:rFonts w:ascii="Times New Roman" w:hAnsi="Times New Roman" w:cs="Times New Roman"/>
          <w:sz w:val="22"/>
          <w:lang w:val="es-MX"/>
        </w:rPr>
      </w:pPr>
    </w:p>
    <w:p w:rsidR="004954E2" w:rsidRPr="001401B2" w:rsidRDefault="001401B2" w:rsidP="004954E2">
      <w:pPr>
        <w:jc w:val="both"/>
        <w:rPr>
          <w:rFonts w:ascii="Times New Roman" w:hAnsi="Times New Roman" w:cs="Times New Roman"/>
          <w:sz w:val="22"/>
          <w:lang w:val="es-MX"/>
        </w:rPr>
      </w:pPr>
      <w:r w:rsidRPr="001401B2">
        <w:rPr>
          <w:rFonts w:ascii="Times New Roman" w:hAnsi="Times New Roman" w:cs="Times New Roman"/>
          <w:sz w:val="22"/>
          <w:lang w:val="es-MX"/>
        </w:rPr>
        <w:t>¿</w:t>
      </w:r>
      <w:r w:rsidR="002610C9">
        <w:rPr>
          <w:rFonts w:ascii="Times New Roman" w:hAnsi="Times New Roman" w:cs="Times New Roman"/>
          <w:sz w:val="22"/>
          <w:lang w:val="es-MX"/>
        </w:rPr>
        <w:t>Qué significó</w:t>
      </w:r>
      <w:r w:rsidR="004954E2" w:rsidRPr="001401B2">
        <w:rPr>
          <w:rFonts w:ascii="Times New Roman" w:hAnsi="Times New Roman" w:cs="Times New Roman"/>
          <w:sz w:val="22"/>
          <w:lang w:val="es-MX"/>
        </w:rPr>
        <w:t xml:space="preserve"> desde el ámbito de las finanzas públicas todo lo sucedido en 2020?  Quizá lo más importante fue el reto de evitar un mayor deterioro en la economía.  Debe indicarse que, pese a la crisis mundial provocada por el impacto de la pandemia COVID-19, Guatemala fue uno de los países con mayor resiliencia a nivel latinoamericano, el PIB</w:t>
      </w:r>
      <w:r w:rsidR="002610C9">
        <w:rPr>
          <w:rFonts w:ascii="Times New Roman" w:hAnsi="Times New Roman" w:cs="Times New Roman"/>
          <w:sz w:val="22"/>
          <w:lang w:val="es-MX"/>
        </w:rPr>
        <w:t xml:space="preserve"> en términos reales</w:t>
      </w:r>
      <w:r w:rsidR="004954E2" w:rsidRPr="001401B2">
        <w:rPr>
          <w:rFonts w:ascii="Times New Roman" w:hAnsi="Times New Roman" w:cs="Times New Roman"/>
          <w:sz w:val="22"/>
          <w:lang w:val="es-MX"/>
        </w:rPr>
        <w:t xml:space="preserve"> experimentó un deterioro de -1.5%.  Desde el punto de vista de las finanzas públicas, la recaudación tributaria registró una brecha de Q3,748 millones</w:t>
      </w:r>
      <w:r w:rsidR="002610C9">
        <w:rPr>
          <w:rFonts w:ascii="Times New Roman" w:hAnsi="Times New Roman" w:cs="Times New Roman"/>
          <w:sz w:val="22"/>
          <w:lang w:val="es-MX"/>
        </w:rPr>
        <w:t xml:space="preserve"> con respecto a la meta de la Superintendencia de </w:t>
      </w:r>
      <w:r w:rsidR="002610C9">
        <w:rPr>
          <w:rFonts w:ascii="Times New Roman" w:hAnsi="Times New Roman" w:cs="Times New Roman"/>
          <w:sz w:val="22"/>
          <w:lang w:val="es-MX"/>
        </w:rPr>
        <w:lastRenderedPageBreak/>
        <w:t>Administración Tributaria</w:t>
      </w:r>
      <w:r w:rsidR="004954E2" w:rsidRPr="001401B2">
        <w:rPr>
          <w:rFonts w:ascii="Times New Roman" w:hAnsi="Times New Roman" w:cs="Times New Roman"/>
          <w:sz w:val="22"/>
          <w:lang w:val="es-MX"/>
        </w:rPr>
        <w:t>, el gasto si bien es cierto</w:t>
      </w:r>
      <w:r w:rsidR="00E648CB">
        <w:rPr>
          <w:rFonts w:ascii="Times New Roman" w:hAnsi="Times New Roman" w:cs="Times New Roman"/>
          <w:sz w:val="22"/>
          <w:lang w:val="es-MX"/>
        </w:rPr>
        <w:t xml:space="preserve"> alcanzó los Q96,625.4</w:t>
      </w:r>
      <w:r w:rsidR="004954E2" w:rsidRPr="001401B2">
        <w:rPr>
          <w:rFonts w:ascii="Times New Roman" w:hAnsi="Times New Roman" w:cs="Times New Roman"/>
          <w:sz w:val="22"/>
          <w:lang w:val="es-MX"/>
        </w:rPr>
        <w:t xml:space="preserve"> millones, una alta proporción de esta fue para financiar los programas de emergencia de atención al COVID y </w:t>
      </w:r>
      <w:r w:rsidRPr="001401B2">
        <w:rPr>
          <w:rFonts w:ascii="Times New Roman" w:hAnsi="Times New Roman" w:cs="Times New Roman"/>
          <w:sz w:val="22"/>
          <w:lang w:val="es-MX"/>
        </w:rPr>
        <w:t>que,</w:t>
      </w:r>
      <w:r w:rsidR="004954E2" w:rsidRPr="001401B2">
        <w:rPr>
          <w:rFonts w:ascii="Times New Roman" w:hAnsi="Times New Roman" w:cs="Times New Roman"/>
          <w:sz w:val="22"/>
          <w:lang w:val="es-MX"/>
        </w:rPr>
        <w:t xml:space="preserve"> al cierre preliminar de 2020, el déficit se ubicó en -4.9% respecto al PIB, </w:t>
      </w:r>
      <w:r w:rsidR="002610C9">
        <w:rPr>
          <w:rFonts w:ascii="Times New Roman" w:hAnsi="Times New Roman" w:cs="Times New Roman"/>
          <w:sz w:val="22"/>
          <w:lang w:val="es-MX"/>
        </w:rPr>
        <w:t>lo que generó un aumento en el endeudamiento público que no puso en riesgo la sostenibilidad fiscal en el mediano plazo, pero si permitió evitar una mayor contracción económica en el país, así como reducir el efecto de la Pandemia sobre los sectores más vulnerables</w:t>
      </w:r>
      <w:r w:rsidR="004954E2" w:rsidRPr="001401B2">
        <w:rPr>
          <w:rFonts w:ascii="Times New Roman" w:hAnsi="Times New Roman" w:cs="Times New Roman"/>
          <w:sz w:val="22"/>
          <w:lang w:val="es-MX"/>
        </w:rPr>
        <w:t>.</w:t>
      </w:r>
    </w:p>
    <w:p w:rsidR="004954E2" w:rsidRPr="001401B2" w:rsidRDefault="004954E2" w:rsidP="004954E2">
      <w:pPr>
        <w:jc w:val="both"/>
        <w:rPr>
          <w:rFonts w:ascii="Times New Roman" w:hAnsi="Times New Roman" w:cs="Times New Roman"/>
          <w:sz w:val="22"/>
          <w:lang w:val="es-MX"/>
        </w:rPr>
      </w:pPr>
    </w:p>
    <w:p w:rsidR="004954E2"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 xml:space="preserve">En este sentido, la Dirección de Análisis y Política Fiscal del Ministerio de Finanzas Públicas conforme el Acuerdo Gubernativo No. 118-2018, Reglamento Orgánico del Ministerio de Finanzas Públicas, es la dependencia responsable de la formulación y seguimiento de la política fiscal, así como de concentrar y proveer información de índole fiscal, mediante análisis económicos y fiscales (Artículo 54).  </w:t>
      </w:r>
    </w:p>
    <w:p w:rsidR="004954E2"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 xml:space="preserve">   </w:t>
      </w:r>
    </w:p>
    <w:p w:rsidR="004954E2"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Para cumplir dichas atribuciones, y de acuerdo a los lineamientos y requerimientos de las actuales autoridades del ministerio, ha elaborado el presente Informe de dese</w:t>
      </w:r>
      <w:r w:rsidR="001401B2" w:rsidRPr="001401B2">
        <w:rPr>
          <w:rFonts w:ascii="Times New Roman" w:hAnsi="Times New Roman" w:cs="Times New Roman"/>
          <w:sz w:val="22"/>
          <w:lang w:val="es-MX"/>
        </w:rPr>
        <w:t>mpeño de la Política Fiscal 2020</w:t>
      </w:r>
      <w:r w:rsidRPr="001401B2">
        <w:rPr>
          <w:rFonts w:ascii="Times New Roman" w:hAnsi="Times New Roman" w:cs="Times New Roman"/>
          <w:sz w:val="22"/>
          <w:lang w:val="es-MX"/>
        </w:rPr>
        <w:t xml:space="preserve">, el cual contiene los aspectos más relevantes de la evolución de las variables fiscales durante el año recién finalizado.  En el mismo se resaltan las principales acciones en materia de ingresos, gasto público y financiamiento.  El documento también incluye un anexo macroeconómico que destaca el comportamiento de la economía internacional, regional y nacional.  </w:t>
      </w:r>
    </w:p>
    <w:p w:rsidR="004954E2" w:rsidRPr="001401B2" w:rsidRDefault="004954E2" w:rsidP="004954E2">
      <w:pPr>
        <w:jc w:val="both"/>
        <w:rPr>
          <w:rFonts w:ascii="Times New Roman" w:hAnsi="Times New Roman" w:cs="Times New Roman"/>
          <w:sz w:val="22"/>
          <w:lang w:val="es-MX"/>
        </w:rPr>
      </w:pPr>
    </w:p>
    <w:p w:rsidR="00E14CCD" w:rsidRPr="001401B2" w:rsidRDefault="004954E2" w:rsidP="004954E2">
      <w:pPr>
        <w:jc w:val="both"/>
        <w:rPr>
          <w:rFonts w:ascii="Times New Roman" w:hAnsi="Times New Roman" w:cs="Times New Roman"/>
          <w:sz w:val="22"/>
          <w:lang w:val="es-MX"/>
        </w:rPr>
      </w:pPr>
      <w:r w:rsidRPr="001401B2">
        <w:rPr>
          <w:rFonts w:ascii="Times New Roman" w:hAnsi="Times New Roman" w:cs="Times New Roman"/>
          <w:sz w:val="22"/>
          <w:lang w:val="es-MX"/>
        </w:rPr>
        <w:t xml:space="preserve">En este informe, se detalla todas estas acciones que se enmarcan dentro de una “política fiscal expansiva”, aunque </w:t>
      </w:r>
      <w:r w:rsidR="001401B2" w:rsidRPr="001401B2">
        <w:rPr>
          <w:rFonts w:ascii="Times New Roman" w:hAnsi="Times New Roman" w:cs="Times New Roman"/>
          <w:sz w:val="22"/>
          <w:lang w:val="es-MX"/>
        </w:rPr>
        <w:t>es preciso</w:t>
      </w:r>
      <w:r w:rsidRPr="001401B2">
        <w:rPr>
          <w:rFonts w:ascii="Times New Roman" w:hAnsi="Times New Roman" w:cs="Times New Roman"/>
          <w:sz w:val="22"/>
          <w:lang w:val="es-MX"/>
        </w:rPr>
        <w:t xml:space="preserve"> indicar que la información utilizada en el presente informe es aún de carácter preliminar, sin embargo, las variaciones y ajustes derivadas de los procesos de cierre en las entidades del Estado, se estima serán mínimas.</w:t>
      </w:r>
    </w:p>
    <w:p w:rsidR="00E14CCD" w:rsidRPr="00443624" w:rsidRDefault="00E14CCD" w:rsidP="00E14CCD">
      <w:pPr>
        <w:jc w:val="both"/>
        <w:rPr>
          <w:rFonts w:ascii="Times New Roman" w:hAnsi="Times New Roman" w:cs="Times New Roman"/>
          <w:color w:val="FF0000"/>
          <w:sz w:val="22"/>
          <w:lang w:val="es-MX"/>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D1859" w:rsidRPr="00443624" w:rsidRDefault="00DD1859"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8F29E8" w:rsidRPr="00443624" w:rsidRDefault="008F29E8"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23E26" w:rsidRPr="00443624" w:rsidRDefault="00D23E26"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23E26" w:rsidRPr="00443624" w:rsidRDefault="00D23E26"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23E26" w:rsidRPr="00443624" w:rsidRDefault="00D23E26"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23E26" w:rsidRDefault="00D23E26"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80411" w:rsidRPr="00443624" w:rsidRDefault="00D80411" w:rsidP="00DD1859">
      <w:pPr>
        <w:pStyle w:val="Prrafodelista"/>
        <w:ind w:left="0"/>
        <w:jc w:val="both"/>
        <w:rPr>
          <w:rFonts w:ascii="Times New Roman" w:eastAsiaTheme="majorEastAsia" w:hAnsi="Times New Roman" w:cs="Times New Roman"/>
          <w:b/>
          <w:bCs/>
          <w:color w:val="FF0000"/>
          <w:sz w:val="24"/>
          <w:szCs w:val="26"/>
          <w:lang w:val="es-ES_tradnl" w:eastAsia="es-ES"/>
        </w:rPr>
      </w:pPr>
    </w:p>
    <w:p w:rsidR="00D23E26" w:rsidRDefault="00D23E26" w:rsidP="00DD1859">
      <w:pPr>
        <w:pStyle w:val="Prrafodelista"/>
        <w:ind w:left="0"/>
        <w:jc w:val="both"/>
        <w:rPr>
          <w:rFonts w:ascii="Times New Roman" w:eastAsiaTheme="majorEastAsia" w:hAnsi="Times New Roman" w:cs="Times New Roman"/>
          <w:b/>
          <w:bCs/>
          <w:color w:val="FF0000"/>
          <w:sz w:val="24"/>
          <w:szCs w:val="26"/>
          <w:lang w:val="es-ES_tradnl" w:eastAsia="es-ES"/>
        </w:rPr>
      </w:pPr>
    </w:p>
    <w:bookmarkEnd w:id="0"/>
    <w:bookmarkEnd w:id="1"/>
    <w:p w:rsidR="00A74565" w:rsidRPr="000D42A8" w:rsidRDefault="00A74565" w:rsidP="00D43598">
      <w:pPr>
        <w:rPr>
          <w:rFonts w:ascii="Times New Roman" w:hAnsi="Times New Roman" w:cs="Times New Roman"/>
          <w:lang w:val="es-MX"/>
        </w:rPr>
      </w:pPr>
    </w:p>
    <w:p w:rsidR="00243DA8" w:rsidRPr="000D42A8" w:rsidRDefault="000D42A8" w:rsidP="00E353E5">
      <w:pPr>
        <w:pStyle w:val="Prrafodelista"/>
        <w:numPr>
          <w:ilvl w:val="0"/>
          <w:numId w:val="1"/>
        </w:numPr>
        <w:ind w:left="284" w:hanging="284"/>
        <w:jc w:val="both"/>
        <w:outlineLvl w:val="0"/>
        <w:rPr>
          <w:rFonts w:ascii="Times New Roman" w:eastAsiaTheme="majorEastAsia" w:hAnsi="Times New Roman" w:cs="Times New Roman"/>
          <w:b/>
          <w:bCs/>
          <w:sz w:val="24"/>
          <w:szCs w:val="26"/>
          <w:lang w:val="es-ES_tradnl" w:eastAsia="es-ES"/>
        </w:rPr>
      </w:pPr>
      <w:bookmarkStart w:id="4" w:name="_Toc64025418"/>
      <w:r w:rsidRPr="000D42A8">
        <w:rPr>
          <w:rFonts w:ascii="Times New Roman" w:eastAsiaTheme="majorEastAsia" w:hAnsi="Times New Roman" w:cs="Times New Roman"/>
          <w:b/>
          <w:bCs/>
          <w:sz w:val="24"/>
          <w:szCs w:val="26"/>
          <w:lang w:val="es-ES_tradnl" w:eastAsia="es-ES"/>
        </w:rPr>
        <w:t>Ingresos Fiscales</w:t>
      </w:r>
      <w:bookmarkEnd w:id="4"/>
    </w:p>
    <w:p w:rsidR="00EA37AC" w:rsidRPr="00B161F8" w:rsidRDefault="00EA37AC" w:rsidP="00BF05F0">
      <w:pPr>
        <w:pStyle w:val="Prrafodelista"/>
        <w:ind w:left="709"/>
        <w:jc w:val="both"/>
        <w:rPr>
          <w:rFonts w:ascii="Times New Roman" w:eastAsiaTheme="majorEastAsia" w:hAnsi="Times New Roman" w:cs="Times New Roman"/>
          <w:b/>
          <w:bCs/>
          <w:szCs w:val="26"/>
          <w:lang w:val="es-ES_tradnl" w:eastAsia="es-ES"/>
        </w:rPr>
      </w:pPr>
      <w:r w:rsidRPr="000D42A8">
        <w:rPr>
          <w:rFonts w:ascii="Times New Roman" w:eastAsiaTheme="majorEastAsia" w:hAnsi="Times New Roman" w:cs="Times New Roman"/>
          <w:b/>
          <w:bCs/>
          <w:sz w:val="24"/>
          <w:szCs w:val="26"/>
          <w:lang w:val="es-ES_tradnl" w:eastAsia="es-ES"/>
        </w:rPr>
        <w:t xml:space="preserve"> </w:t>
      </w:r>
    </w:p>
    <w:p w:rsidR="00770433" w:rsidRPr="000D42A8" w:rsidRDefault="00770433" w:rsidP="00770433">
      <w:pPr>
        <w:pStyle w:val="Prrafodelista"/>
        <w:keepNext/>
        <w:keepLines/>
        <w:numPr>
          <w:ilvl w:val="0"/>
          <w:numId w:val="11"/>
        </w:numPr>
        <w:spacing w:before="200"/>
        <w:contextualSpacing w:val="0"/>
        <w:outlineLvl w:val="1"/>
        <w:rPr>
          <w:rFonts w:ascii="Times New Roman" w:eastAsiaTheme="majorEastAsia" w:hAnsi="Times New Roman" w:cs="Times New Roman"/>
          <w:b/>
          <w:bCs/>
          <w:vanish/>
          <w:sz w:val="24"/>
          <w:szCs w:val="26"/>
          <w:lang w:val="es-ES_tradnl" w:eastAsia="es-ES"/>
        </w:rPr>
      </w:pPr>
      <w:bookmarkStart w:id="5" w:name="_Toc471986924"/>
      <w:bookmarkStart w:id="6" w:name="_Toc471987059"/>
      <w:bookmarkStart w:id="7" w:name="_Toc471987107"/>
      <w:bookmarkStart w:id="8" w:name="_Toc471987129"/>
      <w:bookmarkStart w:id="9" w:name="_Toc472082158"/>
      <w:bookmarkStart w:id="10" w:name="_Toc472082190"/>
      <w:bookmarkStart w:id="11" w:name="_Toc472089905"/>
      <w:bookmarkStart w:id="12" w:name="_Toc472089928"/>
      <w:bookmarkStart w:id="13" w:name="_Toc505346056"/>
      <w:bookmarkStart w:id="14" w:name="_Toc505349869"/>
      <w:bookmarkStart w:id="15" w:name="_Toc534985827"/>
      <w:bookmarkStart w:id="16" w:name="_Toc534988220"/>
      <w:bookmarkStart w:id="17" w:name="_Toc31611540"/>
      <w:bookmarkStart w:id="18" w:name="_Toc31612756"/>
      <w:bookmarkStart w:id="19" w:name="_Toc31612788"/>
      <w:bookmarkStart w:id="20" w:name="_Toc31614814"/>
      <w:bookmarkStart w:id="21" w:name="_Toc31614846"/>
      <w:bookmarkStart w:id="22" w:name="_Toc31618683"/>
      <w:bookmarkStart w:id="23" w:name="_Toc31618716"/>
      <w:bookmarkStart w:id="24" w:name="_Toc31624492"/>
      <w:bookmarkStart w:id="25" w:name="_Toc62724040"/>
      <w:bookmarkStart w:id="26" w:name="_Toc62724103"/>
      <w:bookmarkStart w:id="27" w:name="_Toc62724187"/>
      <w:bookmarkStart w:id="28" w:name="_Toc62724261"/>
      <w:bookmarkStart w:id="29" w:name="_Toc64025419"/>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00243DA8" w:rsidRPr="000D42A8" w:rsidRDefault="000D42A8" w:rsidP="00E353E5">
      <w:pPr>
        <w:pStyle w:val="Ttulo2"/>
        <w:numPr>
          <w:ilvl w:val="1"/>
          <w:numId w:val="11"/>
        </w:numPr>
        <w:spacing w:before="0"/>
        <w:ind w:left="567"/>
        <w:rPr>
          <w:rFonts w:ascii="Times New Roman" w:hAnsi="Times New Roman" w:cs="Times New Roman"/>
          <w:color w:val="auto"/>
          <w:sz w:val="24"/>
        </w:rPr>
      </w:pPr>
      <w:bookmarkStart w:id="30" w:name="_Toc471987131"/>
      <w:bookmarkStart w:id="31" w:name="_Toc64025420"/>
      <w:r w:rsidRPr="000D42A8">
        <w:rPr>
          <w:rFonts w:ascii="Times New Roman" w:hAnsi="Times New Roman" w:cs="Times New Roman"/>
          <w:color w:val="auto"/>
          <w:sz w:val="24"/>
        </w:rPr>
        <w:t>Recaudación tributaria inicia</w:t>
      </w:r>
      <w:bookmarkEnd w:id="30"/>
      <w:r w:rsidRPr="000D42A8">
        <w:rPr>
          <w:rFonts w:ascii="Times New Roman" w:hAnsi="Times New Roman" w:cs="Times New Roman"/>
          <w:color w:val="auto"/>
          <w:sz w:val="24"/>
        </w:rPr>
        <w:t xml:space="preserve"> con buen dinamismo</w:t>
      </w:r>
      <w:bookmarkEnd w:id="31"/>
    </w:p>
    <w:p w:rsidR="00243DA8" w:rsidRPr="00443624" w:rsidRDefault="00243DA8" w:rsidP="00243DA8">
      <w:pPr>
        <w:jc w:val="both"/>
        <w:rPr>
          <w:rFonts w:ascii="Times New Roman" w:hAnsi="Times New Roman" w:cs="Times New Roman"/>
          <w:b/>
          <w:color w:val="FF0000"/>
          <w:sz w:val="22"/>
          <w:lang w:val="es-MX"/>
        </w:rPr>
      </w:pPr>
    </w:p>
    <w:p w:rsidR="00421BF6" w:rsidRDefault="00421BF6" w:rsidP="00421BF6">
      <w:pPr>
        <w:autoSpaceDE w:val="0"/>
        <w:autoSpaceDN w:val="0"/>
        <w:adjustRightInd w:val="0"/>
        <w:jc w:val="both"/>
        <w:rPr>
          <w:rFonts w:ascii="Times New Roman" w:hAnsi="Times New Roman" w:cs="Times New Roman"/>
          <w:sz w:val="22"/>
          <w:szCs w:val="22"/>
        </w:rPr>
      </w:pPr>
      <w:r w:rsidRPr="00421BF6">
        <w:rPr>
          <w:rFonts w:ascii="Times New Roman" w:hAnsi="Times New Roman" w:cs="Times New Roman"/>
          <w:sz w:val="22"/>
          <w:szCs w:val="22"/>
        </w:rPr>
        <w:t>Las expectativas de crecimiento de la recaudación tributaria neta para el ejercicio fiscal 2020 se orientaban a que como mínimo se alcanzara la meta de presupuesto vigente, la cual ascendía a un monto de Q 64,027.7 millones, dicha meta se sustentó en los principales impuestos que representan cerca del 75.5% de la recaudación tributaria total, siendo estos el impuesto sobre la renta y el impuesto al valor agregado.</w:t>
      </w:r>
    </w:p>
    <w:p w:rsidR="00421BF6" w:rsidRPr="00421BF6" w:rsidRDefault="00421BF6" w:rsidP="00421BF6">
      <w:pPr>
        <w:autoSpaceDE w:val="0"/>
        <w:autoSpaceDN w:val="0"/>
        <w:adjustRightInd w:val="0"/>
        <w:jc w:val="both"/>
        <w:rPr>
          <w:rFonts w:ascii="Times New Roman" w:hAnsi="Times New Roman" w:cs="Times New Roman"/>
          <w:sz w:val="22"/>
          <w:szCs w:val="22"/>
        </w:rPr>
      </w:pPr>
    </w:p>
    <w:p w:rsidR="00421BF6" w:rsidRPr="00421BF6" w:rsidRDefault="00421BF6" w:rsidP="00421BF6">
      <w:pPr>
        <w:autoSpaceDE w:val="0"/>
        <w:autoSpaceDN w:val="0"/>
        <w:adjustRightInd w:val="0"/>
        <w:jc w:val="both"/>
        <w:rPr>
          <w:rFonts w:ascii="Times New Roman" w:hAnsi="Times New Roman" w:cs="Times New Roman"/>
          <w:sz w:val="22"/>
          <w:szCs w:val="22"/>
        </w:rPr>
      </w:pPr>
      <w:r w:rsidRPr="00421BF6">
        <w:rPr>
          <w:rFonts w:ascii="Times New Roman" w:hAnsi="Times New Roman" w:cs="Times New Roman"/>
          <w:sz w:val="22"/>
          <w:szCs w:val="22"/>
        </w:rPr>
        <w:t>En los meses de enero y febrero se registró un desempeño positivo en la recaudación tributaria, se logró generar una brecha positiva de Q 539.7 millones respecto a lo programado en presupuesto. Entre los aspectos importantes que determinaron esta brecha fueron: una mayor recaudación en el impuesto sobre la renta, en el régimen de renta de actividades lucrativas  específicamente el sobre renta imponible y los regímenes de relación de dependencia y retenciones a no domiciliados;  en el impuesto al valor agregado asociado al consumo doméstico, fue determinante el comportamiento que mostraron las remesas familiares que marcaban un crecimiento de 19.2% a dicha fecha; el aumento del consumo de los derivados del petróleo que creció en 9.8%, aunque el precio internacional del petróleo WTI se ubicó en US$50.54 por barril un 13.1% más barato que el año anterior.</w:t>
      </w:r>
    </w:p>
    <w:p w:rsidR="00421BF6" w:rsidRPr="00421BF6" w:rsidRDefault="00421BF6" w:rsidP="00421BF6">
      <w:pPr>
        <w:autoSpaceDE w:val="0"/>
        <w:autoSpaceDN w:val="0"/>
        <w:adjustRightInd w:val="0"/>
        <w:jc w:val="both"/>
        <w:rPr>
          <w:rFonts w:ascii="Times New Roman" w:hAnsi="Times New Roman" w:cs="Times New Roman"/>
          <w:sz w:val="22"/>
          <w:szCs w:val="22"/>
        </w:rPr>
      </w:pPr>
      <w:r w:rsidRPr="00421BF6">
        <w:rPr>
          <w:rFonts w:ascii="Times New Roman" w:hAnsi="Times New Roman" w:cs="Times New Roman"/>
          <w:sz w:val="22"/>
          <w:szCs w:val="22"/>
        </w:rPr>
        <w:t xml:space="preserve"> </w:t>
      </w:r>
    </w:p>
    <w:p w:rsidR="00E353E5" w:rsidRPr="00421BF6" w:rsidRDefault="00421BF6" w:rsidP="00421BF6">
      <w:pPr>
        <w:autoSpaceDE w:val="0"/>
        <w:autoSpaceDN w:val="0"/>
        <w:adjustRightInd w:val="0"/>
        <w:jc w:val="both"/>
        <w:rPr>
          <w:rFonts w:ascii="Times New Roman" w:hAnsi="Times New Roman" w:cs="Times New Roman"/>
          <w:sz w:val="22"/>
          <w:szCs w:val="22"/>
        </w:rPr>
      </w:pPr>
      <w:r w:rsidRPr="00421BF6">
        <w:rPr>
          <w:rFonts w:ascii="Times New Roman" w:hAnsi="Times New Roman" w:cs="Times New Roman"/>
          <w:sz w:val="22"/>
          <w:szCs w:val="22"/>
        </w:rPr>
        <w:t>Es importante indicar que las importaciones gravadas son determinantes para la recaudación tributaria de los impuestos asociados al comercio exterior por el peso que tiene en la recaudación total (27.5%), a febrero estas importaciones reflejaban crecimiento positivo en valor y volumen; los principales productos que se importaron fueron gasolinas, diésel, teléfonos celulares, productos farmacéuticos, maíz amarillo, vehículos de cilindrada mayor a 1,500 cm3, motocicletas y gas propano.</w:t>
      </w:r>
    </w:p>
    <w:p w:rsidR="00E353E5" w:rsidRPr="00443624" w:rsidRDefault="00E353E5" w:rsidP="00E353E5">
      <w:pPr>
        <w:jc w:val="both"/>
        <w:rPr>
          <w:rFonts w:ascii="Times New Roman" w:hAnsi="Times New Roman" w:cs="Times New Roman"/>
          <w:color w:val="FF0000"/>
          <w:lang w:val="es-MX"/>
        </w:rPr>
      </w:pPr>
    </w:p>
    <w:p w:rsidR="00243DA8" w:rsidRPr="00BA48DF" w:rsidRDefault="00BA48DF" w:rsidP="00E353E5">
      <w:pPr>
        <w:pStyle w:val="Ttulo2"/>
        <w:numPr>
          <w:ilvl w:val="1"/>
          <w:numId w:val="11"/>
        </w:numPr>
        <w:spacing w:before="0"/>
        <w:ind w:left="567"/>
        <w:rPr>
          <w:rFonts w:ascii="Times New Roman" w:hAnsi="Times New Roman" w:cs="Times New Roman"/>
          <w:color w:val="auto"/>
          <w:sz w:val="24"/>
        </w:rPr>
      </w:pPr>
      <w:bookmarkStart w:id="32" w:name="_Toc471987132"/>
      <w:bookmarkStart w:id="33" w:name="_Toc64025421"/>
      <w:r w:rsidRPr="00BA48DF">
        <w:rPr>
          <w:rFonts w:ascii="Times New Roman" w:hAnsi="Times New Roman" w:cs="Times New Roman"/>
          <w:color w:val="auto"/>
          <w:sz w:val="24"/>
        </w:rPr>
        <w:t>En marzo empieza la caída en la r</w:t>
      </w:r>
      <w:r w:rsidR="00E353E5" w:rsidRPr="00BA48DF">
        <w:rPr>
          <w:rFonts w:ascii="Times New Roman" w:hAnsi="Times New Roman" w:cs="Times New Roman"/>
          <w:color w:val="auto"/>
          <w:sz w:val="24"/>
        </w:rPr>
        <w:t xml:space="preserve">ecaudación </w:t>
      </w:r>
      <w:bookmarkEnd w:id="32"/>
      <w:r w:rsidRPr="00BA48DF">
        <w:rPr>
          <w:rFonts w:ascii="Times New Roman" w:hAnsi="Times New Roman" w:cs="Times New Roman"/>
          <w:color w:val="auto"/>
          <w:sz w:val="24"/>
        </w:rPr>
        <w:t>derivado de la Pandemia</w:t>
      </w:r>
      <w:bookmarkEnd w:id="33"/>
    </w:p>
    <w:p w:rsidR="00243DA8" w:rsidRPr="00443624" w:rsidRDefault="00243DA8" w:rsidP="00243DA8">
      <w:pPr>
        <w:jc w:val="both"/>
        <w:rPr>
          <w:rFonts w:ascii="Times New Roman" w:hAnsi="Times New Roman" w:cs="Times New Roman"/>
          <w:color w:val="FF0000"/>
          <w:lang w:val="es-MX"/>
        </w:rPr>
      </w:pPr>
    </w:p>
    <w:p w:rsidR="00557356" w:rsidRPr="00557356" w:rsidRDefault="00557356" w:rsidP="00557356">
      <w:pPr>
        <w:jc w:val="both"/>
        <w:rPr>
          <w:rFonts w:ascii="Times New Roman" w:hAnsi="Times New Roman" w:cs="Times New Roman"/>
          <w:sz w:val="22"/>
          <w:szCs w:val="22"/>
        </w:rPr>
      </w:pPr>
      <w:r w:rsidRPr="00557356">
        <w:rPr>
          <w:rFonts w:ascii="Times New Roman" w:hAnsi="Times New Roman" w:cs="Times New Roman"/>
          <w:sz w:val="22"/>
          <w:szCs w:val="22"/>
        </w:rPr>
        <w:t xml:space="preserve">A partir de marzo, luego que las autoridades gubernamentales declararan “Estado de Emergencia” por la pandemia del </w:t>
      </w:r>
      <w:r w:rsidRPr="00084C1F">
        <w:rPr>
          <w:rFonts w:ascii="Times New Roman" w:hAnsi="Times New Roman" w:cs="Times New Roman"/>
          <w:sz w:val="22"/>
          <w:szCs w:val="22"/>
          <w:shd w:val="clear" w:color="auto" w:fill="FFFFFF"/>
        </w:rPr>
        <w:t>virus se conoce como Coronavirus </w:t>
      </w:r>
      <w:r w:rsidRPr="00084C1F">
        <w:rPr>
          <w:rStyle w:val="nfasis"/>
          <w:rFonts w:ascii="Times New Roman" w:hAnsi="Times New Roman" w:cs="Times New Roman"/>
          <w:b/>
          <w:bCs/>
          <w:sz w:val="22"/>
          <w:szCs w:val="22"/>
          <w:shd w:val="clear" w:color="auto" w:fill="FFFFFF"/>
        </w:rPr>
        <w:t>SARS</w:t>
      </w:r>
      <w:r w:rsidRPr="00084C1F">
        <w:rPr>
          <w:rFonts w:ascii="Times New Roman" w:hAnsi="Times New Roman" w:cs="Times New Roman"/>
          <w:sz w:val="22"/>
          <w:szCs w:val="22"/>
          <w:shd w:val="clear" w:color="auto" w:fill="FFFFFF"/>
        </w:rPr>
        <w:t>-</w:t>
      </w:r>
      <w:r w:rsidRPr="00084C1F">
        <w:rPr>
          <w:rStyle w:val="nfasis"/>
          <w:rFonts w:ascii="Times New Roman" w:hAnsi="Times New Roman" w:cs="Times New Roman"/>
          <w:b/>
          <w:bCs/>
          <w:sz w:val="22"/>
          <w:szCs w:val="22"/>
          <w:shd w:val="clear" w:color="auto" w:fill="FFFFFF"/>
        </w:rPr>
        <w:t>CoV</w:t>
      </w:r>
      <w:r w:rsidRPr="00084C1F">
        <w:rPr>
          <w:rFonts w:ascii="Times New Roman" w:hAnsi="Times New Roman" w:cs="Times New Roman"/>
          <w:sz w:val="22"/>
          <w:szCs w:val="22"/>
          <w:shd w:val="clear" w:color="auto" w:fill="FFFFFF"/>
        </w:rPr>
        <w:t>-</w:t>
      </w:r>
      <w:r w:rsidRPr="00084C1F">
        <w:rPr>
          <w:rStyle w:val="nfasis"/>
          <w:rFonts w:ascii="Times New Roman" w:hAnsi="Times New Roman" w:cs="Times New Roman"/>
          <w:b/>
          <w:bCs/>
          <w:sz w:val="22"/>
          <w:szCs w:val="22"/>
          <w:shd w:val="clear" w:color="auto" w:fill="FFFFFF"/>
        </w:rPr>
        <w:t>2</w:t>
      </w:r>
      <w:r w:rsidRPr="00084C1F">
        <w:rPr>
          <w:rFonts w:ascii="Times New Roman" w:hAnsi="Times New Roman" w:cs="Times New Roman"/>
          <w:sz w:val="22"/>
          <w:szCs w:val="22"/>
          <w:shd w:val="clear" w:color="auto" w:fill="FFFFFF"/>
        </w:rPr>
        <w:t> y la enfermedad que causa se denomina </w:t>
      </w:r>
      <w:r w:rsidRPr="00084C1F">
        <w:rPr>
          <w:rStyle w:val="nfasis"/>
          <w:rFonts w:ascii="Times New Roman" w:hAnsi="Times New Roman" w:cs="Times New Roman"/>
          <w:b/>
          <w:bCs/>
          <w:sz w:val="22"/>
          <w:szCs w:val="22"/>
          <w:shd w:val="clear" w:color="auto" w:fill="FFFFFF"/>
        </w:rPr>
        <w:t>COVID-19,</w:t>
      </w:r>
      <w:r w:rsidRPr="00084C1F">
        <w:rPr>
          <w:rFonts w:ascii="Times New Roman" w:hAnsi="Times New Roman" w:cs="Times New Roman"/>
          <w:sz w:val="22"/>
          <w:szCs w:val="22"/>
          <w:shd w:val="clear" w:color="auto" w:fill="FFFFFF"/>
        </w:rPr>
        <w:t xml:space="preserve"> </w:t>
      </w:r>
      <w:r w:rsidRPr="00084C1F">
        <w:rPr>
          <w:rFonts w:ascii="Times New Roman" w:hAnsi="Times New Roman" w:cs="Times New Roman"/>
          <w:sz w:val="22"/>
          <w:szCs w:val="22"/>
        </w:rPr>
        <w:t xml:space="preserve">las restricciones de movilidad producto del aumento de contagios tuvo un impacto directo en la desaceleración </w:t>
      </w:r>
      <w:r w:rsidRPr="00557356">
        <w:rPr>
          <w:rFonts w:ascii="Times New Roman" w:hAnsi="Times New Roman" w:cs="Times New Roman"/>
          <w:sz w:val="22"/>
          <w:szCs w:val="22"/>
        </w:rPr>
        <w:t xml:space="preserve">económica nacional y del comercio exterior, provocaron que se generara una brecha negativa en la recaudación tributaria acumulada a marzo de Q 1,158.7 millones. Dicha brecha se provocó en parte por las medidas adoptadas para frenar los contagios de COVID-19, la SAT impulsó la </w:t>
      </w:r>
      <w:r w:rsidRPr="00557356">
        <w:rPr>
          <w:rFonts w:ascii="Times New Roman" w:hAnsi="Times New Roman" w:cs="Times New Roman"/>
          <w:b/>
          <w:bCs/>
          <w:sz w:val="22"/>
          <w:szCs w:val="22"/>
        </w:rPr>
        <w:t>Resolución SAT 280-2020,</w:t>
      </w:r>
      <w:r w:rsidRPr="00557356">
        <w:rPr>
          <w:rFonts w:ascii="Times New Roman" w:hAnsi="Times New Roman" w:cs="Times New Roman"/>
          <w:sz w:val="22"/>
          <w:szCs w:val="22"/>
        </w:rPr>
        <w:t xml:space="preserve"> la cual declaró días inhábiles del 24 de marzo al 14 de abril inclusive y fijó el 15 de abril para realizar la liquidación anual del impuesto sobre la renta y el vencimiento mensual del IVA asociado al consumo interno, todo ello con el objeto de aliviar temporalmente el pago de los contribuyentes ante la baja actividad económica producto del confinamiento. Dicha medida resultó en el traslado de Q 1,383.6 millones de recaudación de marzo para abril; al hacer el ajuste en la recaudación acumulada a marzo la brecha aun es positiva en Q 224.9 millones, monto menor al dato acumulado observado a febrero (Q 539.7 millones).</w:t>
      </w:r>
    </w:p>
    <w:p w:rsidR="00557356" w:rsidRPr="00557356" w:rsidRDefault="00557356" w:rsidP="00557356">
      <w:pPr>
        <w:jc w:val="both"/>
        <w:rPr>
          <w:rFonts w:ascii="Times New Roman" w:hAnsi="Times New Roman" w:cs="Times New Roman"/>
          <w:sz w:val="22"/>
          <w:szCs w:val="22"/>
        </w:rPr>
      </w:pPr>
    </w:p>
    <w:p w:rsidR="00557356" w:rsidRDefault="00557356" w:rsidP="00557356">
      <w:pPr>
        <w:jc w:val="both"/>
        <w:rPr>
          <w:rFonts w:ascii="Times New Roman" w:hAnsi="Times New Roman" w:cs="Times New Roman"/>
          <w:sz w:val="22"/>
          <w:szCs w:val="22"/>
        </w:rPr>
      </w:pPr>
      <w:r w:rsidRPr="00557356">
        <w:rPr>
          <w:rFonts w:ascii="Times New Roman" w:hAnsi="Times New Roman" w:cs="Times New Roman"/>
          <w:sz w:val="22"/>
          <w:szCs w:val="22"/>
        </w:rPr>
        <w:t xml:space="preserve">Aunado a las medidas adoptadas en tema impositivo es preciso indicar que siendo Guatemala una economía pequeña y dependiente en gran medida de las importaciones, así como del flujo de remesas familiares, producto de la pandemia trajo como efecto el deterioro de estas.  Las </w:t>
      </w:r>
      <w:r w:rsidRPr="00557356">
        <w:rPr>
          <w:rFonts w:ascii="Times New Roman" w:hAnsi="Times New Roman" w:cs="Times New Roman"/>
          <w:sz w:val="22"/>
          <w:szCs w:val="22"/>
        </w:rPr>
        <w:lastRenderedPageBreak/>
        <w:t>importaciones gravadas acumuladas a marzo crecieron únicamente 0.2%, las remesas familiares cayeron en un 10%, y por ende el efecto se observó en la recaudación tributaria acumulada en dicho mes.</w:t>
      </w:r>
      <w:r>
        <w:rPr>
          <w:rFonts w:ascii="Times New Roman" w:hAnsi="Times New Roman" w:cs="Times New Roman"/>
          <w:sz w:val="22"/>
          <w:szCs w:val="22"/>
        </w:rPr>
        <w:t xml:space="preserve">  </w:t>
      </w:r>
      <w:r w:rsidRPr="00557356">
        <w:rPr>
          <w:rFonts w:ascii="Times New Roman" w:hAnsi="Times New Roman" w:cs="Times New Roman"/>
          <w:sz w:val="22"/>
          <w:szCs w:val="22"/>
        </w:rPr>
        <w:t xml:space="preserve">El ritmo de contagio del virus, así como la insuficiencia de recursos para poder atender la pandemia obligó al ejecutivo realizar esfuerzos para contrarrestar los efectos negativos en la economía nacional se tomaron acciones para que el Estado se agenciara de fondos y que el sector productivo no se viera afectado, de esa cuenta el 2 de abril cobró vigencia el </w:t>
      </w:r>
      <w:r w:rsidRPr="00557356">
        <w:rPr>
          <w:rFonts w:ascii="Times New Roman" w:hAnsi="Times New Roman" w:cs="Times New Roman"/>
          <w:b/>
          <w:bCs/>
          <w:sz w:val="22"/>
          <w:szCs w:val="22"/>
        </w:rPr>
        <w:t>Decreto 12-2020 Ley de emergencia para proteger a los guatemaltecos de los efectos causados por la pandemia COVID-19</w:t>
      </w:r>
      <w:r w:rsidRPr="00557356">
        <w:rPr>
          <w:rFonts w:ascii="Times New Roman" w:hAnsi="Times New Roman" w:cs="Times New Roman"/>
          <w:sz w:val="22"/>
          <w:szCs w:val="22"/>
        </w:rPr>
        <w:t>. En dicho Decreto se amplía el Presupuesto General de Ingresos y Egresos del Estado y se impulsan dos medidas de índole tributario, la primera es que se declaran exentas de todos los impuestos de importación (IVA de importaciones y derechos arancelarios) todas las donaciones que se reciban a favor de la coordinadora nacional para la reducción de desastres -CONRED- y la segunda que los contribuyentes afectos al impuesto de solidaridad Decreto 73-2008, se les faculta para que puedan diferir el pago correspondiente al segundo trimestre del ejercicio fiscal 2020 hasta el 30 de septiembre, bajo la salvedad que este beneficio solo lo tendrán las empresas que realicen despidos de trabajadores hasta que liquide este impuesto, o salvo causa justificada.</w:t>
      </w:r>
    </w:p>
    <w:p w:rsidR="00557356" w:rsidRPr="00557356" w:rsidRDefault="00557356" w:rsidP="00557356">
      <w:pPr>
        <w:jc w:val="both"/>
        <w:rPr>
          <w:rFonts w:ascii="Times New Roman" w:hAnsi="Times New Roman" w:cs="Times New Roman"/>
          <w:sz w:val="22"/>
          <w:szCs w:val="22"/>
        </w:rPr>
      </w:pPr>
    </w:p>
    <w:p w:rsidR="00557356" w:rsidRDefault="00557356" w:rsidP="00557356">
      <w:pPr>
        <w:jc w:val="both"/>
        <w:rPr>
          <w:rFonts w:ascii="Times New Roman" w:hAnsi="Times New Roman" w:cs="Times New Roman"/>
          <w:sz w:val="22"/>
          <w:szCs w:val="22"/>
        </w:rPr>
      </w:pPr>
      <w:r w:rsidRPr="00557356">
        <w:rPr>
          <w:rFonts w:ascii="Times New Roman" w:hAnsi="Times New Roman" w:cs="Times New Roman"/>
          <w:sz w:val="22"/>
          <w:szCs w:val="22"/>
        </w:rPr>
        <w:t>La pandemia impactó en abril esto significó un aumento de casos positivos razón por la cual el Ejecutivo propuso medidas más drásticas como la paralización total del país, únicamente sectores como el de la salud y comercios que abastecían productos de primera necesidad estaban autorizados para movilizarse sin restricciones, el resto de sectores no podían operar, el resultado de estas medidas marco una caída en  las exportaciones respecto a las realizadas el año anterior de 9.9%, las importaciones de igual manera cayeron en 16%, las remesas familiares cayeron en 20%, y como efecto de este impacto la recaudación ajustada del mes de abril amplió la brecha a Q 979.3 millones, esto significo para el Estado contar con menos recursos para atender los requerimientos de las entidades que perciben recursos de manera directa provenientes de los impuestos.</w:t>
      </w:r>
    </w:p>
    <w:p w:rsidR="00557356" w:rsidRPr="00557356" w:rsidRDefault="00557356" w:rsidP="00557356">
      <w:pPr>
        <w:jc w:val="both"/>
        <w:rPr>
          <w:rFonts w:ascii="Times New Roman" w:hAnsi="Times New Roman" w:cs="Times New Roman"/>
          <w:sz w:val="22"/>
          <w:szCs w:val="22"/>
        </w:rPr>
      </w:pPr>
    </w:p>
    <w:p w:rsidR="00557356" w:rsidRPr="00557356" w:rsidRDefault="00557356" w:rsidP="00B161F8">
      <w:pPr>
        <w:jc w:val="both"/>
        <w:rPr>
          <w:rFonts w:ascii="Times New Roman" w:hAnsi="Times New Roman" w:cs="Times New Roman"/>
          <w:sz w:val="22"/>
          <w:szCs w:val="22"/>
        </w:rPr>
      </w:pPr>
      <w:r w:rsidRPr="00557356">
        <w:rPr>
          <w:rFonts w:ascii="Times New Roman" w:hAnsi="Times New Roman" w:cs="Times New Roman"/>
          <w:noProof/>
          <w:sz w:val="22"/>
          <w:szCs w:val="22"/>
          <w:lang w:eastAsia="es-GT"/>
        </w:rPr>
        <w:t>En el mes de junio</w:t>
      </w:r>
      <w:r w:rsidRPr="00557356">
        <w:rPr>
          <w:rFonts w:ascii="Times New Roman" w:hAnsi="Times New Roman" w:cs="Times New Roman"/>
          <w:sz w:val="22"/>
          <w:szCs w:val="22"/>
        </w:rPr>
        <w:t xml:space="preserve"> la brecha fiscal era negativa ascendía a Q 2,704.4 millones, el IVA asociado a las importaciones no percibió Q 1,172.7 millones respecto a la meta de presupuesto, este resultado puede estar explicado por el valor de las importaciones gravadas que a junio cayeron en 9.5% y su volumen disminuyó en 4.2% re</w:t>
      </w:r>
      <w:r w:rsidR="00B161F8">
        <w:rPr>
          <w:rFonts w:ascii="Times New Roman" w:hAnsi="Times New Roman" w:cs="Times New Roman"/>
          <w:sz w:val="22"/>
          <w:szCs w:val="22"/>
        </w:rPr>
        <w:t xml:space="preserve">specto a lo observado en 2019.  </w:t>
      </w:r>
      <w:r w:rsidRPr="00557356">
        <w:rPr>
          <w:rFonts w:ascii="Times New Roman" w:hAnsi="Times New Roman" w:cs="Times New Roman"/>
          <w:sz w:val="22"/>
          <w:szCs w:val="22"/>
        </w:rPr>
        <w:t xml:space="preserve">La recaudación tributaria en las aduanas que más aportan a la recaudación asociada al comercio exterior vieron resultados negativos a partir de marzo, a junio el Puerto Quetzal (aporta el 38.4%) cayó en 13.5%, Express Aéreo (aporta el 13.7%) se redujo en 15.3%, Santo Tomás (aporta el 13.5%) disminuyó en 14.9%, todas medidas respecto a 2019.  A los resultados anteriores hay que agregar el movimiento de contenedores en la Empresa Portuaria Quetzal -EPQ- y la Terminal de Contenedores Quetzal -TCQ- el cual a junio muestra una caída de 2.9%, este resultado nos indica que en 2020 se movieron 7,710 contenedores menos que los reportados en junio de 2019, lo cual afectó de manera directa a la recaudación tributaria.  </w:t>
      </w:r>
    </w:p>
    <w:tbl>
      <w:tblPr>
        <w:tblStyle w:val="Tablaconcuadrcula"/>
        <w:tblpPr w:leftFromText="141" w:rightFromText="141" w:vertAnchor="text" w:horzAnchor="margin" w:tblpXSpec="center" w:tblpY="254"/>
        <w:tblW w:w="9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4860"/>
      </w:tblGrid>
      <w:tr w:rsidR="00557356" w:rsidRPr="00557356" w:rsidTr="00557356">
        <w:tc>
          <w:tcPr>
            <w:tcW w:w="4405" w:type="dxa"/>
          </w:tcPr>
          <w:p w:rsidR="00557356" w:rsidRPr="00557356" w:rsidRDefault="00557356" w:rsidP="00557356">
            <w:pPr>
              <w:jc w:val="center"/>
              <w:rPr>
                <w:rFonts w:ascii="Times New Roman" w:hAnsi="Times New Roman" w:cs="Times New Roman"/>
                <w:b/>
                <w:bCs/>
                <w:sz w:val="22"/>
                <w:szCs w:val="22"/>
              </w:rPr>
            </w:pPr>
            <w:r w:rsidRPr="00557356">
              <w:rPr>
                <w:rFonts w:ascii="Times New Roman" w:hAnsi="Times New Roman" w:cs="Times New Roman"/>
                <w:b/>
                <w:bCs/>
                <w:sz w:val="22"/>
                <w:szCs w:val="22"/>
              </w:rPr>
              <w:t>Importaciones Gravadas y Movimiento de Carga</w:t>
            </w:r>
          </w:p>
          <w:p w:rsidR="00557356" w:rsidRPr="00557356" w:rsidRDefault="00557356" w:rsidP="00557356">
            <w:pPr>
              <w:jc w:val="center"/>
              <w:rPr>
                <w:rFonts w:ascii="Times New Roman" w:hAnsi="Times New Roman" w:cs="Times New Roman"/>
                <w:b/>
                <w:bCs/>
                <w:sz w:val="22"/>
                <w:szCs w:val="22"/>
              </w:rPr>
            </w:pPr>
            <w:r w:rsidRPr="00557356">
              <w:rPr>
                <w:rFonts w:ascii="Times New Roman" w:hAnsi="Times New Roman" w:cs="Times New Roman"/>
                <w:b/>
                <w:bCs/>
                <w:sz w:val="22"/>
                <w:szCs w:val="22"/>
              </w:rPr>
              <w:t>Enero – Julio 2020</w:t>
            </w:r>
          </w:p>
          <w:p w:rsidR="00557356" w:rsidRPr="00557356" w:rsidRDefault="00557356" w:rsidP="00557356">
            <w:pPr>
              <w:jc w:val="center"/>
              <w:rPr>
                <w:rFonts w:ascii="Times New Roman" w:hAnsi="Times New Roman" w:cs="Times New Roman"/>
                <w:sz w:val="22"/>
                <w:szCs w:val="22"/>
              </w:rPr>
            </w:pPr>
            <w:r w:rsidRPr="00557356">
              <w:rPr>
                <w:rFonts w:ascii="Times New Roman" w:hAnsi="Times New Roman" w:cs="Times New Roman"/>
                <w:bCs/>
                <w:sz w:val="20"/>
                <w:szCs w:val="22"/>
              </w:rPr>
              <w:t>Variación interanual</w:t>
            </w:r>
          </w:p>
        </w:tc>
        <w:tc>
          <w:tcPr>
            <w:tcW w:w="4860" w:type="dxa"/>
          </w:tcPr>
          <w:p w:rsidR="00557356" w:rsidRPr="00557356" w:rsidRDefault="00557356" w:rsidP="00557356">
            <w:pPr>
              <w:jc w:val="center"/>
              <w:rPr>
                <w:rFonts w:ascii="Times New Roman" w:hAnsi="Times New Roman" w:cs="Times New Roman"/>
                <w:b/>
                <w:bCs/>
                <w:sz w:val="22"/>
                <w:szCs w:val="22"/>
              </w:rPr>
            </w:pPr>
            <w:r w:rsidRPr="00557356">
              <w:rPr>
                <w:rFonts w:ascii="Times New Roman" w:hAnsi="Times New Roman" w:cs="Times New Roman"/>
                <w:b/>
                <w:bCs/>
                <w:sz w:val="22"/>
                <w:szCs w:val="22"/>
              </w:rPr>
              <w:t>Recaudación Tributaria acumulada</w:t>
            </w:r>
          </w:p>
          <w:p w:rsidR="00557356" w:rsidRPr="00557356" w:rsidRDefault="00557356" w:rsidP="00557356">
            <w:pPr>
              <w:jc w:val="center"/>
              <w:rPr>
                <w:rFonts w:ascii="Times New Roman" w:hAnsi="Times New Roman" w:cs="Times New Roman"/>
                <w:b/>
                <w:bCs/>
                <w:sz w:val="22"/>
                <w:szCs w:val="22"/>
              </w:rPr>
            </w:pPr>
            <w:r w:rsidRPr="00557356">
              <w:rPr>
                <w:rFonts w:ascii="Times New Roman" w:hAnsi="Times New Roman" w:cs="Times New Roman"/>
                <w:b/>
                <w:bCs/>
                <w:sz w:val="22"/>
                <w:szCs w:val="22"/>
              </w:rPr>
              <w:t>Enero – Julio 2020</w:t>
            </w:r>
          </w:p>
          <w:p w:rsidR="00557356" w:rsidRPr="00557356" w:rsidRDefault="00557356" w:rsidP="00557356">
            <w:pPr>
              <w:jc w:val="center"/>
              <w:rPr>
                <w:rFonts w:ascii="Times New Roman" w:hAnsi="Times New Roman" w:cs="Times New Roman"/>
                <w:bCs/>
                <w:sz w:val="22"/>
                <w:szCs w:val="22"/>
              </w:rPr>
            </w:pPr>
            <w:r w:rsidRPr="00557356">
              <w:rPr>
                <w:rFonts w:ascii="Times New Roman" w:hAnsi="Times New Roman" w:cs="Times New Roman"/>
                <w:bCs/>
                <w:sz w:val="20"/>
                <w:szCs w:val="22"/>
              </w:rPr>
              <w:t>En millones de quetzales</w:t>
            </w:r>
          </w:p>
        </w:tc>
      </w:tr>
      <w:tr w:rsidR="00557356" w:rsidRPr="00557356" w:rsidTr="00557356">
        <w:tc>
          <w:tcPr>
            <w:tcW w:w="4405" w:type="dxa"/>
          </w:tcPr>
          <w:p w:rsidR="00557356" w:rsidRPr="00557356" w:rsidRDefault="00557356" w:rsidP="00557356">
            <w:pPr>
              <w:jc w:val="both"/>
              <w:rPr>
                <w:rFonts w:ascii="Times New Roman" w:hAnsi="Times New Roman" w:cs="Times New Roman"/>
                <w:sz w:val="22"/>
                <w:szCs w:val="22"/>
              </w:rPr>
            </w:pPr>
            <w:r w:rsidRPr="00557356">
              <w:rPr>
                <w:rFonts w:ascii="Times New Roman" w:hAnsi="Times New Roman" w:cs="Times New Roman"/>
                <w:noProof/>
                <w:sz w:val="22"/>
                <w:szCs w:val="22"/>
                <w:lang w:val="es-ES"/>
              </w:rPr>
              <w:lastRenderedPageBreak/>
              <w:drawing>
                <wp:anchor distT="0" distB="0" distL="114300" distR="114300" simplePos="0" relativeHeight="251685888" behindDoc="0" locked="0" layoutInCell="1" allowOverlap="1" wp14:anchorId="5E21DAF8" wp14:editId="53DA3A6D">
                  <wp:simplePos x="0" y="0"/>
                  <wp:positionH relativeFrom="margin">
                    <wp:posOffset>40640</wp:posOffset>
                  </wp:positionH>
                  <wp:positionV relativeFrom="paragraph">
                    <wp:posOffset>0</wp:posOffset>
                  </wp:positionV>
                  <wp:extent cx="2615565" cy="1868170"/>
                  <wp:effectExtent l="0" t="0" r="0" b="0"/>
                  <wp:wrapSquare wrapText="bothSides"/>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tc>
        <w:tc>
          <w:tcPr>
            <w:tcW w:w="4860" w:type="dxa"/>
          </w:tcPr>
          <w:p w:rsidR="00557356" w:rsidRPr="00557356" w:rsidRDefault="00557356" w:rsidP="00557356">
            <w:pPr>
              <w:jc w:val="both"/>
              <w:rPr>
                <w:rFonts w:ascii="Times New Roman" w:hAnsi="Times New Roman" w:cs="Times New Roman"/>
                <w:sz w:val="22"/>
                <w:szCs w:val="22"/>
              </w:rPr>
            </w:pPr>
            <w:r w:rsidRPr="00557356">
              <w:rPr>
                <w:rFonts w:ascii="Times New Roman" w:hAnsi="Times New Roman" w:cs="Times New Roman"/>
                <w:noProof/>
                <w:sz w:val="22"/>
                <w:szCs w:val="22"/>
                <w:lang w:val="es-ES"/>
              </w:rPr>
              <w:drawing>
                <wp:anchor distT="0" distB="0" distL="114300" distR="114300" simplePos="0" relativeHeight="251684864" behindDoc="0" locked="0" layoutInCell="1" allowOverlap="1" wp14:anchorId="76005BBC" wp14:editId="06CC29F8">
                  <wp:simplePos x="0" y="0"/>
                  <wp:positionH relativeFrom="margin">
                    <wp:posOffset>66730</wp:posOffset>
                  </wp:positionH>
                  <wp:positionV relativeFrom="paragraph">
                    <wp:posOffset>387</wp:posOffset>
                  </wp:positionV>
                  <wp:extent cx="2806700" cy="1891499"/>
                  <wp:effectExtent l="0" t="0" r="0" b="0"/>
                  <wp:wrapSquare wrapText="bothSides"/>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tc>
      </w:tr>
      <w:tr w:rsidR="00557356" w:rsidRPr="00557356" w:rsidTr="00557356">
        <w:trPr>
          <w:trHeight w:val="270"/>
        </w:trPr>
        <w:tc>
          <w:tcPr>
            <w:tcW w:w="9265" w:type="dxa"/>
            <w:gridSpan w:val="2"/>
          </w:tcPr>
          <w:p w:rsidR="00557356" w:rsidRPr="00D66D20" w:rsidRDefault="00557356" w:rsidP="00557356">
            <w:pPr>
              <w:jc w:val="both"/>
              <w:rPr>
                <w:rFonts w:ascii="Times New Roman" w:hAnsi="Times New Roman" w:cs="Times New Roman"/>
                <w:sz w:val="16"/>
                <w:szCs w:val="22"/>
              </w:rPr>
            </w:pPr>
            <w:r w:rsidRPr="00D66D20">
              <w:rPr>
                <w:rFonts w:ascii="Times New Roman" w:hAnsi="Times New Roman" w:cs="Times New Roman"/>
                <w:bCs/>
                <w:sz w:val="16"/>
                <w:szCs w:val="22"/>
              </w:rPr>
              <w:t>Fuente:</w:t>
            </w:r>
            <w:r w:rsidRPr="00D66D20">
              <w:rPr>
                <w:rFonts w:ascii="Times New Roman" w:hAnsi="Times New Roman" w:cs="Times New Roman"/>
                <w:sz w:val="16"/>
                <w:szCs w:val="22"/>
              </w:rPr>
              <w:t xml:space="preserve"> </w:t>
            </w:r>
            <w:r w:rsidR="001636CB" w:rsidRPr="00D66D20">
              <w:rPr>
                <w:rFonts w:ascii="Times New Roman" w:hAnsi="Times New Roman" w:cs="Times New Roman"/>
                <w:sz w:val="16"/>
                <w:szCs w:val="22"/>
              </w:rPr>
              <w:t>Direcció</w:t>
            </w:r>
            <w:r w:rsidR="00D66D20">
              <w:rPr>
                <w:rFonts w:ascii="Times New Roman" w:hAnsi="Times New Roman" w:cs="Times New Roman"/>
                <w:sz w:val="16"/>
                <w:szCs w:val="22"/>
              </w:rPr>
              <w:t xml:space="preserve">n de Análisis y Política Fiscal, </w:t>
            </w:r>
            <w:r w:rsidRPr="00D66D20">
              <w:rPr>
                <w:rFonts w:ascii="Times New Roman" w:hAnsi="Times New Roman" w:cs="Times New Roman"/>
                <w:sz w:val="16"/>
                <w:szCs w:val="22"/>
              </w:rPr>
              <w:t xml:space="preserve">con información del Banco de Guatemala y </w:t>
            </w:r>
            <w:r w:rsidR="001636CB" w:rsidRPr="00D66D20">
              <w:rPr>
                <w:rFonts w:ascii="Times New Roman" w:hAnsi="Times New Roman" w:cs="Times New Roman"/>
                <w:sz w:val="16"/>
                <w:szCs w:val="22"/>
              </w:rPr>
              <w:t>Empresa Portuaria Quetzal</w:t>
            </w:r>
            <w:r w:rsidRPr="00D66D20">
              <w:rPr>
                <w:rFonts w:ascii="Times New Roman" w:hAnsi="Times New Roman" w:cs="Times New Roman"/>
                <w:sz w:val="16"/>
                <w:szCs w:val="22"/>
              </w:rPr>
              <w:t>.</w:t>
            </w:r>
          </w:p>
          <w:p w:rsidR="00557356" w:rsidRPr="00557356" w:rsidRDefault="00557356" w:rsidP="00557356">
            <w:pPr>
              <w:jc w:val="both"/>
              <w:rPr>
                <w:rFonts w:ascii="Times New Roman" w:hAnsi="Times New Roman" w:cs="Times New Roman"/>
                <w:noProof/>
                <w:sz w:val="22"/>
                <w:szCs w:val="22"/>
                <w:lang w:eastAsia="es-GT"/>
              </w:rPr>
            </w:pPr>
          </w:p>
        </w:tc>
      </w:tr>
    </w:tbl>
    <w:p w:rsidR="00557356" w:rsidRPr="00557356" w:rsidRDefault="00557356" w:rsidP="00557356">
      <w:pPr>
        <w:jc w:val="both"/>
        <w:rPr>
          <w:rFonts w:ascii="Times New Roman" w:hAnsi="Times New Roman" w:cs="Times New Roman"/>
          <w:sz w:val="22"/>
          <w:szCs w:val="22"/>
        </w:rPr>
      </w:pPr>
      <w:r w:rsidRPr="00557356">
        <w:rPr>
          <w:rFonts w:ascii="Times New Roman" w:hAnsi="Times New Roman" w:cs="Times New Roman"/>
          <w:sz w:val="22"/>
          <w:szCs w:val="22"/>
        </w:rPr>
        <w:t>Determinantes de este resultado puede explicarse por las importaciones gravadas que a junio cayeron en valor y volumen, los principales rubros que sufrieron esta caída fueron las gasolinas (-55%), el diésel (-61.8%), maíz amarillo (-77.3%) y el gas propano (-58.9); si se mide a través de los capítulos del sistema arancelario centroamericano se reporta una caída en 19 capítulos de 97, siendo el más afectado el de combustibles minerales (capitulo 27).</w:t>
      </w:r>
    </w:p>
    <w:p w:rsidR="00557356" w:rsidRPr="00557356" w:rsidRDefault="00557356" w:rsidP="00557356">
      <w:pPr>
        <w:jc w:val="both"/>
        <w:rPr>
          <w:rFonts w:ascii="Times New Roman" w:hAnsi="Times New Roman" w:cs="Times New Roman"/>
          <w:sz w:val="22"/>
          <w:szCs w:val="22"/>
        </w:rPr>
      </w:pPr>
    </w:p>
    <w:p w:rsidR="00557356" w:rsidRPr="00557356" w:rsidRDefault="00557356" w:rsidP="00557356">
      <w:pPr>
        <w:jc w:val="both"/>
        <w:rPr>
          <w:rFonts w:ascii="Times New Roman" w:hAnsi="Times New Roman" w:cs="Times New Roman"/>
          <w:sz w:val="22"/>
          <w:szCs w:val="22"/>
        </w:rPr>
      </w:pPr>
      <w:r w:rsidRPr="00557356">
        <w:rPr>
          <w:rFonts w:ascii="Times New Roman" w:hAnsi="Times New Roman" w:cs="Times New Roman"/>
          <w:sz w:val="22"/>
          <w:szCs w:val="22"/>
        </w:rPr>
        <w:t>En el mes de julio dicha brecha siguió ampliándose respecto a lo programado en presupuesto, la misma tendencia se observaba con relación a lo recaudado en 2019, la brecha negativa seguía ampliándose, en agosto mes en el cual la apertura gradual a la “nueva” normalidad cobro relevancia, la recaudación marcó un quiebre en la variación interanual acumulada marcando una caída de 7.3%, para septiembre se observa una mejora en el impuesto de solidaridad, el impuesto a la distribución de bebidas y el de cemento medidos respecto a lo observado en 2019.</w:t>
      </w:r>
    </w:p>
    <w:p w:rsidR="00557356" w:rsidRPr="00557356" w:rsidRDefault="00557356" w:rsidP="00557356">
      <w:pPr>
        <w:jc w:val="both"/>
        <w:rPr>
          <w:rFonts w:ascii="Times New Roman" w:hAnsi="Times New Roman" w:cs="Times New Roman"/>
          <w:sz w:val="22"/>
          <w:szCs w:val="22"/>
        </w:rPr>
      </w:pPr>
    </w:p>
    <w:p w:rsidR="00557356" w:rsidRPr="00557356" w:rsidRDefault="00557356" w:rsidP="00557356">
      <w:pPr>
        <w:jc w:val="both"/>
        <w:rPr>
          <w:rFonts w:ascii="Times New Roman" w:hAnsi="Times New Roman" w:cs="Times New Roman"/>
          <w:sz w:val="22"/>
          <w:szCs w:val="22"/>
        </w:rPr>
      </w:pPr>
      <w:r w:rsidRPr="00557356">
        <w:rPr>
          <w:rFonts w:ascii="Times New Roman" w:hAnsi="Times New Roman" w:cs="Times New Roman"/>
          <w:sz w:val="22"/>
          <w:szCs w:val="22"/>
        </w:rPr>
        <w:t>A septiembre la recaudación tributaria genera una brecha negativa de Q4,831.0 millones, de los cuales el impuesto sobre la renta aporta Q598.9 millones y el impuesto al valor agregado Q2,845.0 millones, los derivados del petróleo dejaron de percibir Q211.3 millones y los derechos arancelarios a la importación Q287.5 millones, las principales variables macroeconómicas que se pueden asociar a recaudación dan muestras de recuperación, las remesas familiares acumuladas a septiembre crecen 4%, el índice mensual de la actividad económica -IMAE- a septiembre da muestra de recuperación, las exportaciones aunque negativas marcan otro ritmo y las importaciones gravadas dan señales también de recuperación.</w:t>
      </w:r>
    </w:p>
    <w:tbl>
      <w:tblPr>
        <w:tblStyle w:val="Tablaconcuadrcula"/>
        <w:tblpPr w:leftFromText="141" w:rightFromText="141" w:vertAnchor="text" w:horzAnchor="margin" w:tblpY="254"/>
        <w:tblW w:w="9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52"/>
        <w:gridCol w:w="2504"/>
        <w:gridCol w:w="2210"/>
        <w:gridCol w:w="2360"/>
      </w:tblGrid>
      <w:tr w:rsidR="00557356" w:rsidTr="00557356">
        <w:trPr>
          <w:trHeight w:val="353"/>
        </w:trPr>
        <w:tc>
          <w:tcPr>
            <w:tcW w:w="2352" w:type="dxa"/>
          </w:tcPr>
          <w:p w:rsidR="00557356" w:rsidRDefault="00557356" w:rsidP="00557356">
            <w:pPr>
              <w:jc w:val="center"/>
              <w:rPr>
                <w:rFonts w:ascii="Times New Roman" w:hAnsi="Times New Roman" w:cs="Times New Roman"/>
                <w:b/>
                <w:bCs/>
                <w:sz w:val="18"/>
                <w:szCs w:val="18"/>
              </w:rPr>
            </w:pPr>
            <w:r w:rsidRPr="00455491">
              <w:rPr>
                <w:rFonts w:ascii="Times New Roman" w:hAnsi="Times New Roman" w:cs="Times New Roman"/>
                <w:b/>
                <w:bCs/>
                <w:sz w:val="18"/>
                <w:szCs w:val="18"/>
              </w:rPr>
              <w:t>Remesas Familiares</w:t>
            </w:r>
          </w:p>
          <w:p w:rsidR="00557356" w:rsidRPr="00455491" w:rsidRDefault="00557356" w:rsidP="00557356">
            <w:pPr>
              <w:jc w:val="center"/>
              <w:rPr>
                <w:rFonts w:ascii="Times New Roman" w:hAnsi="Times New Roman" w:cs="Times New Roman"/>
                <w:sz w:val="18"/>
                <w:szCs w:val="18"/>
              </w:rPr>
            </w:pPr>
            <w:r w:rsidRPr="00455491">
              <w:rPr>
                <w:rFonts w:ascii="Times New Roman" w:hAnsi="Times New Roman" w:cs="Times New Roman"/>
                <w:b/>
                <w:bCs/>
                <w:sz w:val="14"/>
                <w:szCs w:val="14"/>
              </w:rPr>
              <w:t>Variación interanual</w:t>
            </w:r>
          </w:p>
        </w:tc>
        <w:tc>
          <w:tcPr>
            <w:tcW w:w="2504" w:type="dxa"/>
          </w:tcPr>
          <w:p w:rsidR="00557356" w:rsidRDefault="00557356" w:rsidP="00557356">
            <w:pPr>
              <w:jc w:val="center"/>
              <w:rPr>
                <w:rFonts w:ascii="Times New Roman" w:hAnsi="Times New Roman" w:cs="Times New Roman"/>
                <w:b/>
                <w:bCs/>
                <w:sz w:val="18"/>
                <w:szCs w:val="18"/>
              </w:rPr>
            </w:pPr>
            <w:r w:rsidRPr="00455491">
              <w:rPr>
                <w:rFonts w:ascii="Times New Roman" w:hAnsi="Times New Roman" w:cs="Times New Roman"/>
                <w:b/>
                <w:bCs/>
                <w:sz w:val="18"/>
                <w:szCs w:val="18"/>
              </w:rPr>
              <w:t>Exportaciones</w:t>
            </w:r>
          </w:p>
          <w:p w:rsidR="00557356" w:rsidRPr="00455491" w:rsidRDefault="00557356" w:rsidP="00557356">
            <w:pPr>
              <w:jc w:val="center"/>
              <w:rPr>
                <w:rFonts w:ascii="Times New Roman" w:hAnsi="Times New Roman" w:cs="Times New Roman"/>
                <w:sz w:val="18"/>
                <w:szCs w:val="18"/>
              </w:rPr>
            </w:pPr>
            <w:r w:rsidRPr="00455491">
              <w:rPr>
                <w:rFonts w:ascii="Times New Roman" w:hAnsi="Times New Roman" w:cs="Times New Roman"/>
                <w:b/>
                <w:bCs/>
                <w:sz w:val="14"/>
                <w:szCs w:val="14"/>
              </w:rPr>
              <w:t>Variación interanual</w:t>
            </w:r>
          </w:p>
        </w:tc>
        <w:tc>
          <w:tcPr>
            <w:tcW w:w="2210" w:type="dxa"/>
          </w:tcPr>
          <w:p w:rsidR="00557356" w:rsidRDefault="00557356" w:rsidP="00557356">
            <w:pPr>
              <w:jc w:val="center"/>
              <w:rPr>
                <w:rFonts w:ascii="Times New Roman" w:hAnsi="Times New Roman" w:cs="Times New Roman"/>
                <w:b/>
                <w:bCs/>
                <w:sz w:val="18"/>
                <w:szCs w:val="18"/>
              </w:rPr>
            </w:pPr>
            <w:r w:rsidRPr="00455491">
              <w:rPr>
                <w:rFonts w:ascii="Times New Roman" w:hAnsi="Times New Roman" w:cs="Times New Roman"/>
                <w:b/>
                <w:bCs/>
                <w:sz w:val="18"/>
                <w:szCs w:val="18"/>
              </w:rPr>
              <w:t>Importaciones</w:t>
            </w:r>
            <w:r>
              <w:rPr>
                <w:rFonts w:ascii="Times New Roman" w:hAnsi="Times New Roman" w:cs="Times New Roman"/>
                <w:b/>
                <w:bCs/>
                <w:sz w:val="18"/>
                <w:szCs w:val="18"/>
              </w:rPr>
              <w:t xml:space="preserve"> gravadas</w:t>
            </w:r>
          </w:p>
          <w:p w:rsidR="00557356" w:rsidRPr="00455491" w:rsidRDefault="00557356" w:rsidP="00557356">
            <w:pPr>
              <w:jc w:val="center"/>
              <w:rPr>
                <w:rFonts w:ascii="Times New Roman" w:hAnsi="Times New Roman" w:cs="Times New Roman"/>
                <w:sz w:val="18"/>
                <w:szCs w:val="18"/>
              </w:rPr>
            </w:pPr>
            <w:r w:rsidRPr="00455491">
              <w:rPr>
                <w:rFonts w:ascii="Times New Roman" w:hAnsi="Times New Roman" w:cs="Times New Roman"/>
                <w:b/>
                <w:bCs/>
                <w:sz w:val="14"/>
                <w:szCs w:val="14"/>
              </w:rPr>
              <w:t>Variación interanual</w:t>
            </w:r>
          </w:p>
        </w:tc>
        <w:tc>
          <w:tcPr>
            <w:tcW w:w="2358" w:type="dxa"/>
          </w:tcPr>
          <w:p w:rsidR="00557356" w:rsidRDefault="00557356" w:rsidP="00557356">
            <w:pPr>
              <w:jc w:val="center"/>
              <w:rPr>
                <w:rFonts w:ascii="Times New Roman" w:hAnsi="Times New Roman" w:cs="Times New Roman"/>
                <w:b/>
                <w:bCs/>
                <w:sz w:val="18"/>
                <w:szCs w:val="18"/>
              </w:rPr>
            </w:pPr>
            <w:r>
              <w:rPr>
                <w:rFonts w:ascii="Times New Roman" w:hAnsi="Times New Roman" w:cs="Times New Roman"/>
                <w:b/>
                <w:bCs/>
                <w:sz w:val="18"/>
                <w:szCs w:val="18"/>
              </w:rPr>
              <w:t>IMAE</w:t>
            </w:r>
          </w:p>
          <w:p w:rsidR="00557356" w:rsidRPr="00455491" w:rsidRDefault="00557356" w:rsidP="00557356">
            <w:pPr>
              <w:jc w:val="center"/>
              <w:rPr>
                <w:rFonts w:ascii="Times New Roman" w:hAnsi="Times New Roman" w:cs="Times New Roman"/>
                <w:b/>
                <w:bCs/>
                <w:sz w:val="18"/>
                <w:szCs w:val="18"/>
              </w:rPr>
            </w:pPr>
            <w:r w:rsidRPr="0099258F">
              <w:rPr>
                <w:rFonts w:ascii="Times New Roman" w:hAnsi="Times New Roman" w:cs="Times New Roman"/>
                <w:b/>
                <w:bCs/>
                <w:sz w:val="14"/>
                <w:szCs w:val="14"/>
              </w:rPr>
              <w:t>Variación de tendencia ciclo</w:t>
            </w:r>
          </w:p>
        </w:tc>
      </w:tr>
      <w:tr w:rsidR="00557356" w:rsidTr="00557356">
        <w:trPr>
          <w:trHeight w:val="2619"/>
        </w:trPr>
        <w:tc>
          <w:tcPr>
            <w:tcW w:w="2352" w:type="dxa"/>
          </w:tcPr>
          <w:p w:rsidR="00557356" w:rsidRDefault="00557356" w:rsidP="00557356">
            <w:pPr>
              <w:jc w:val="both"/>
              <w:rPr>
                <w:rFonts w:ascii="Times New Roman" w:hAnsi="Times New Roman" w:cs="Times New Roman"/>
              </w:rPr>
            </w:pPr>
            <w:r>
              <w:rPr>
                <w:noProof/>
                <w:lang w:val="es-ES"/>
              </w:rPr>
              <w:lastRenderedPageBreak/>
              <w:drawing>
                <wp:anchor distT="0" distB="0" distL="114300" distR="114300" simplePos="0" relativeHeight="251686912" behindDoc="0" locked="0" layoutInCell="1" allowOverlap="1" wp14:anchorId="6172CD82" wp14:editId="0C42D9D5">
                  <wp:simplePos x="0" y="0"/>
                  <wp:positionH relativeFrom="margin">
                    <wp:posOffset>-67945</wp:posOffset>
                  </wp:positionH>
                  <wp:positionV relativeFrom="page">
                    <wp:posOffset>127000</wp:posOffset>
                  </wp:positionV>
                  <wp:extent cx="1367155" cy="1883410"/>
                  <wp:effectExtent l="0" t="0" r="4445" b="2540"/>
                  <wp:wrapSquare wrapText="bothSides"/>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tc>
        <w:tc>
          <w:tcPr>
            <w:tcW w:w="2504" w:type="dxa"/>
          </w:tcPr>
          <w:p w:rsidR="00557356" w:rsidRPr="00FB5BA0" w:rsidRDefault="00557356" w:rsidP="00557356">
            <w:pPr>
              <w:jc w:val="both"/>
              <w:rPr>
                <w:rFonts w:ascii="Times New Roman" w:hAnsi="Times New Roman" w:cs="Times New Roman"/>
                <w:sz w:val="14"/>
              </w:rPr>
            </w:pPr>
            <w:r>
              <w:rPr>
                <w:noProof/>
                <w:lang w:val="es-ES"/>
              </w:rPr>
              <w:drawing>
                <wp:anchor distT="0" distB="0" distL="114300" distR="114300" simplePos="0" relativeHeight="251687936" behindDoc="0" locked="0" layoutInCell="1" allowOverlap="1" wp14:anchorId="7BAB7F8A" wp14:editId="7D48D60D">
                  <wp:simplePos x="0" y="0"/>
                  <wp:positionH relativeFrom="margin">
                    <wp:posOffset>-68304</wp:posOffset>
                  </wp:positionH>
                  <wp:positionV relativeFrom="page">
                    <wp:posOffset>129871</wp:posOffset>
                  </wp:positionV>
                  <wp:extent cx="1423035" cy="1891665"/>
                  <wp:effectExtent l="0" t="0" r="5715" b="0"/>
                  <wp:wrapSquare wrapText="bothSides"/>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tc>
        <w:tc>
          <w:tcPr>
            <w:tcW w:w="2210" w:type="dxa"/>
          </w:tcPr>
          <w:p w:rsidR="00557356" w:rsidRDefault="00557356" w:rsidP="00557356">
            <w:pPr>
              <w:jc w:val="both"/>
              <w:rPr>
                <w:rFonts w:ascii="Times New Roman" w:hAnsi="Times New Roman" w:cs="Times New Roman"/>
              </w:rPr>
            </w:pPr>
            <w:r>
              <w:rPr>
                <w:noProof/>
                <w:lang w:val="es-ES"/>
              </w:rPr>
              <w:drawing>
                <wp:anchor distT="0" distB="0" distL="114300" distR="114300" simplePos="0" relativeHeight="251688960" behindDoc="0" locked="0" layoutInCell="1" allowOverlap="1" wp14:anchorId="6E48B9EA" wp14:editId="77113653">
                  <wp:simplePos x="0" y="0"/>
                  <wp:positionH relativeFrom="margin">
                    <wp:posOffset>-68442</wp:posOffset>
                  </wp:positionH>
                  <wp:positionV relativeFrom="page">
                    <wp:posOffset>130175</wp:posOffset>
                  </wp:positionV>
                  <wp:extent cx="1398905" cy="1883410"/>
                  <wp:effectExtent l="0" t="0" r="0" b="2540"/>
                  <wp:wrapSquare wrapText="bothSides"/>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tc>
        <w:tc>
          <w:tcPr>
            <w:tcW w:w="2358" w:type="dxa"/>
          </w:tcPr>
          <w:p w:rsidR="00557356" w:rsidRDefault="00557356" w:rsidP="00557356">
            <w:pPr>
              <w:jc w:val="both"/>
              <w:rPr>
                <w:rFonts w:ascii="Times New Roman" w:hAnsi="Times New Roman" w:cs="Times New Roman"/>
              </w:rPr>
            </w:pPr>
            <w:r>
              <w:rPr>
                <w:noProof/>
                <w:lang w:val="es-ES"/>
              </w:rPr>
              <w:drawing>
                <wp:anchor distT="0" distB="0" distL="114300" distR="114300" simplePos="0" relativeHeight="251689984" behindDoc="0" locked="0" layoutInCell="1" allowOverlap="1" wp14:anchorId="6A5DF2C7" wp14:editId="3137BA66">
                  <wp:simplePos x="0" y="0"/>
                  <wp:positionH relativeFrom="margin">
                    <wp:posOffset>-68580</wp:posOffset>
                  </wp:positionH>
                  <wp:positionV relativeFrom="page">
                    <wp:posOffset>55880</wp:posOffset>
                  </wp:positionV>
                  <wp:extent cx="1359535" cy="1962785"/>
                  <wp:effectExtent l="0" t="0" r="0" b="0"/>
                  <wp:wrapSquare wrapText="bothSides"/>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tc>
      </w:tr>
      <w:tr w:rsidR="00557356" w:rsidTr="00557356">
        <w:trPr>
          <w:trHeight w:val="281"/>
        </w:trPr>
        <w:tc>
          <w:tcPr>
            <w:tcW w:w="9426" w:type="dxa"/>
            <w:gridSpan w:val="4"/>
          </w:tcPr>
          <w:p w:rsidR="004C7721" w:rsidRDefault="00D66D20" w:rsidP="001636CB">
            <w:pPr>
              <w:jc w:val="both"/>
              <w:rPr>
                <w:rFonts w:ascii="Times New Roman" w:hAnsi="Times New Roman" w:cs="Times New Roman"/>
                <w:sz w:val="16"/>
                <w:szCs w:val="22"/>
              </w:rPr>
            </w:pPr>
            <w:r>
              <w:rPr>
                <w:rFonts w:ascii="Times New Roman" w:hAnsi="Times New Roman" w:cs="Times New Roman"/>
                <w:bCs/>
                <w:sz w:val="16"/>
                <w:szCs w:val="14"/>
              </w:rPr>
              <w:t>Fuente</w:t>
            </w:r>
            <w:r w:rsidR="001636CB" w:rsidRPr="00557356">
              <w:rPr>
                <w:rFonts w:ascii="Times New Roman" w:hAnsi="Times New Roman" w:cs="Times New Roman"/>
                <w:b/>
                <w:bCs/>
                <w:sz w:val="16"/>
                <w:szCs w:val="22"/>
              </w:rPr>
              <w:t>:</w:t>
            </w:r>
            <w:r w:rsidR="001636CB" w:rsidRPr="00557356">
              <w:rPr>
                <w:rFonts w:ascii="Times New Roman" w:hAnsi="Times New Roman" w:cs="Times New Roman"/>
                <w:sz w:val="16"/>
                <w:szCs w:val="22"/>
              </w:rPr>
              <w:t xml:space="preserve"> </w:t>
            </w:r>
            <w:r w:rsidR="001636CB" w:rsidRPr="00D66D20">
              <w:rPr>
                <w:rFonts w:ascii="Times New Roman" w:hAnsi="Times New Roman" w:cs="Times New Roman"/>
                <w:sz w:val="16"/>
                <w:szCs w:val="22"/>
              </w:rPr>
              <w:t xml:space="preserve">Dirección de Análisis y Política </w:t>
            </w:r>
            <w:r w:rsidRPr="00D66D20">
              <w:rPr>
                <w:rFonts w:ascii="Times New Roman" w:hAnsi="Times New Roman" w:cs="Times New Roman"/>
                <w:sz w:val="16"/>
                <w:szCs w:val="22"/>
              </w:rPr>
              <w:t>Fiscal con</w:t>
            </w:r>
            <w:r w:rsidR="001636CB" w:rsidRPr="00D66D20">
              <w:rPr>
                <w:rFonts w:ascii="Times New Roman" w:hAnsi="Times New Roman" w:cs="Times New Roman"/>
                <w:sz w:val="16"/>
                <w:szCs w:val="22"/>
              </w:rPr>
              <w:t xml:space="preserve"> información del Banco de Guatemala.</w:t>
            </w:r>
          </w:p>
          <w:p w:rsidR="00D66D20" w:rsidRPr="00D66D20" w:rsidRDefault="00D66D20" w:rsidP="001636CB">
            <w:pPr>
              <w:jc w:val="both"/>
              <w:rPr>
                <w:rFonts w:ascii="Times New Roman" w:hAnsi="Times New Roman" w:cs="Times New Roman"/>
                <w:sz w:val="22"/>
              </w:rPr>
            </w:pPr>
          </w:p>
        </w:tc>
      </w:tr>
    </w:tbl>
    <w:p w:rsidR="00557356" w:rsidRPr="00CF4EF0" w:rsidRDefault="00CF4EF0" w:rsidP="00CF4EF0">
      <w:pPr>
        <w:pStyle w:val="Ttulo2"/>
        <w:numPr>
          <w:ilvl w:val="1"/>
          <w:numId w:val="11"/>
        </w:numPr>
        <w:spacing w:before="0"/>
        <w:ind w:left="567"/>
        <w:rPr>
          <w:rFonts w:ascii="Times New Roman" w:hAnsi="Times New Roman" w:cs="Times New Roman"/>
          <w:color w:val="auto"/>
          <w:sz w:val="24"/>
        </w:rPr>
      </w:pPr>
      <w:bookmarkStart w:id="34" w:name="_Toc64025422"/>
      <w:r w:rsidRPr="00CF4EF0">
        <w:rPr>
          <w:rFonts w:ascii="Times New Roman" w:hAnsi="Times New Roman" w:cs="Times New Roman"/>
          <w:color w:val="auto"/>
          <w:sz w:val="24"/>
        </w:rPr>
        <w:t>Recuperación</w:t>
      </w:r>
      <w:r>
        <w:rPr>
          <w:rFonts w:ascii="Times New Roman" w:hAnsi="Times New Roman" w:cs="Times New Roman"/>
          <w:color w:val="auto"/>
          <w:sz w:val="24"/>
        </w:rPr>
        <w:t xml:space="preserve"> </w:t>
      </w:r>
      <w:r w:rsidR="005D391E">
        <w:rPr>
          <w:rFonts w:ascii="Times New Roman" w:hAnsi="Times New Roman" w:cs="Times New Roman"/>
          <w:color w:val="auto"/>
          <w:sz w:val="24"/>
        </w:rPr>
        <w:t>gradual en la recaudación tributaria en el último trimestre</w:t>
      </w:r>
      <w:bookmarkEnd w:id="34"/>
    </w:p>
    <w:p w:rsidR="00CF4EF0" w:rsidRPr="00557356" w:rsidRDefault="00CF4EF0" w:rsidP="00E353E5">
      <w:pPr>
        <w:jc w:val="both"/>
        <w:rPr>
          <w:rFonts w:ascii="Times New Roman" w:hAnsi="Times New Roman" w:cs="Times New Roman"/>
          <w:color w:val="FF0000"/>
          <w:sz w:val="22"/>
          <w:szCs w:val="22"/>
        </w:rPr>
      </w:pPr>
    </w:p>
    <w:p w:rsidR="005D391E" w:rsidRPr="005D391E" w:rsidRDefault="005D391E" w:rsidP="005D391E">
      <w:pPr>
        <w:jc w:val="both"/>
        <w:rPr>
          <w:rFonts w:ascii="Times New Roman" w:hAnsi="Times New Roman" w:cs="Times New Roman"/>
          <w:sz w:val="22"/>
          <w:szCs w:val="22"/>
        </w:rPr>
      </w:pPr>
      <w:r w:rsidRPr="005D391E">
        <w:rPr>
          <w:rFonts w:ascii="Times New Roman" w:hAnsi="Times New Roman" w:cs="Times New Roman"/>
          <w:sz w:val="22"/>
          <w:szCs w:val="22"/>
        </w:rPr>
        <w:t>En los últimos tres meses del ejercicio fiscal 2020 la movilidad empezó a recuperarse gradualmente, la liberación del confinamiento, el relajamiento de las restricciones y las medidas de reapertura gradual del transporte público, centros comerciales, actividades laborales y otros sectores, marcaban la recuperación de la recaudación tributaria esto a pesar de que la movilidad no era igual a los niveles previos al COVID-19.</w:t>
      </w:r>
    </w:p>
    <w:p w:rsidR="005D391E" w:rsidRPr="005D391E" w:rsidRDefault="005D391E" w:rsidP="005D391E">
      <w:pPr>
        <w:jc w:val="both"/>
        <w:rPr>
          <w:rFonts w:ascii="Times New Roman" w:hAnsi="Times New Roman" w:cs="Times New Roman"/>
          <w:sz w:val="22"/>
          <w:szCs w:val="22"/>
          <w:u w:val="single"/>
        </w:rPr>
      </w:pPr>
    </w:p>
    <w:p w:rsidR="005D391E" w:rsidRPr="005D391E" w:rsidRDefault="005D391E" w:rsidP="005D391E">
      <w:pPr>
        <w:jc w:val="both"/>
        <w:rPr>
          <w:rFonts w:ascii="Times New Roman" w:hAnsi="Times New Roman" w:cs="Times New Roman"/>
          <w:sz w:val="22"/>
          <w:szCs w:val="22"/>
        </w:rPr>
      </w:pPr>
      <w:r w:rsidRPr="005D391E">
        <w:rPr>
          <w:rFonts w:ascii="Times New Roman" w:hAnsi="Times New Roman" w:cs="Times New Roman"/>
          <w:sz w:val="22"/>
          <w:szCs w:val="22"/>
        </w:rPr>
        <w:t>La brecha fiscal a finales de diciembre aunque negativa fue menor a lo que originalmente se tenía previsto en los inicios de la pandemia (Q</w:t>
      </w:r>
      <w:r w:rsidR="000D5E74">
        <w:rPr>
          <w:rFonts w:ascii="Times New Roman" w:hAnsi="Times New Roman" w:cs="Times New Roman"/>
          <w:sz w:val="22"/>
          <w:szCs w:val="22"/>
        </w:rPr>
        <w:t xml:space="preserve">6,500 </w:t>
      </w:r>
      <w:r w:rsidRPr="005D391E">
        <w:rPr>
          <w:rFonts w:ascii="Times New Roman" w:hAnsi="Times New Roman" w:cs="Times New Roman"/>
          <w:sz w:val="22"/>
          <w:szCs w:val="22"/>
        </w:rPr>
        <w:t>millones), según datos preliminares de cierre de recaudación tributaria se ubica en Q60,279.4 millones generando una brecha fiscal de Q3,748.3 millones respecto al presupuesto, impuestos que mostraron recuperación en el último trimestre fueron el IVA doméstico y el IVA asociado al comercio exterior, este cierre preliminar representa un grado de ejecución respecto a la meta de presupuesto de 94.1% y representa el 10.1% del Producto Interno Bruto.</w:t>
      </w:r>
    </w:p>
    <w:p w:rsidR="005D391E" w:rsidRPr="005D391E" w:rsidRDefault="005D391E" w:rsidP="005D391E">
      <w:pPr>
        <w:jc w:val="both"/>
        <w:rPr>
          <w:rFonts w:ascii="Times New Roman" w:hAnsi="Times New Roman" w:cs="Times New Roman"/>
          <w:sz w:val="22"/>
          <w:szCs w:val="22"/>
        </w:rPr>
      </w:pPr>
    </w:p>
    <w:p w:rsidR="005D391E" w:rsidRPr="005D391E" w:rsidRDefault="005D391E" w:rsidP="005D391E">
      <w:pPr>
        <w:autoSpaceDE w:val="0"/>
        <w:autoSpaceDN w:val="0"/>
        <w:adjustRightInd w:val="0"/>
        <w:jc w:val="center"/>
        <w:rPr>
          <w:rFonts w:ascii="Times New Roman" w:hAnsi="Times New Roman" w:cs="Times New Roman"/>
          <w:b/>
          <w:bCs/>
          <w:sz w:val="22"/>
          <w:szCs w:val="22"/>
        </w:rPr>
      </w:pPr>
      <w:r w:rsidRPr="005D391E">
        <w:rPr>
          <w:rFonts w:ascii="Times New Roman" w:hAnsi="Times New Roman" w:cs="Times New Roman"/>
          <w:b/>
          <w:bCs/>
          <w:sz w:val="22"/>
          <w:szCs w:val="22"/>
        </w:rPr>
        <w:t xml:space="preserve">Recaudación Tributaria </w:t>
      </w:r>
    </w:p>
    <w:p w:rsidR="005D391E" w:rsidRPr="005D391E" w:rsidRDefault="005D391E" w:rsidP="005D391E">
      <w:pPr>
        <w:autoSpaceDE w:val="0"/>
        <w:autoSpaceDN w:val="0"/>
        <w:adjustRightInd w:val="0"/>
        <w:jc w:val="center"/>
        <w:rPr>
          <w:rFonts w:ascii="Times New Roman" w:hAnsi="Times New Roman" w:cs="Times New Roman"/>
          <w:bCs/>
          <w:sz w:val="20"/>
          <w:szCs w:val="22"/>
        </w:rPr>
      </w:pPr>
      <w:r w:rsidRPr="005D391E">
        <w:rPr>
          <w:rFonts w:ascii="Times New Roman" w:hAnsi="Times New Roman" w:cs="Times New Roman"/>
          <w:bCs/>
          <w:sz w:val="20"/>
          <w:szCs w:val="22"/>
        </w:rPr>
        <w:t>Millones de quetzales</w:t>
      </w:r>
    </w:p>
    <w:p w:rsidR="005D391E" w:rsidRPr="005D391E" w:rsidRDefault="005D391E" w:rsidP="005D391E">
      <w:pPr>
        <w:autoSpaceDE w:val="0"/>
        <w:autoSpaceDN w:val="0"/>
        <w:adjustRightInd w:val="0"/>
        <w:jc w:val="center"/>
        <w:rPr>
          <w:rFonts w:ascii="Times New Roman" w:hAnsi="Times New Roman" w:cs="Times New Roman"/>
          <w:b/>
          <w:bCs/>
          <w:sz w:val="22"/>
          <w:szCs w:val="22"/>
        </w:rPr>
      </w:pPr>
      <w:r w:rsidRPr="005D391E">
        <w:rPr>
          <w:rFonts w:ascii="Times New Roman" w:hAnsi="Times New Roman" w:cs="Times New Roman"/>
          <w:b/>
          <w:noProof/>
          <w:sz w:val="22"/>
          <w:szCs w:val="22"/>
          <w:lang w:val="es-ES"/>
        </w:rPr>
        <w:drawing>
          <wp:inline distT="0" distB="0" distL="0" distR="0" wp14:anchorId="41F6A96E" wp14:editId="2ECEBAA7">
            <wp:extent cx="4657725" cy="264795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D391E" w:rsidRPr="005D391E" w:rsidRDefault="005D391E" w:rsidP="005D391E">
      <w:pPr>
        <w:autoSpaceDE w:val="0"/>
        <w:autoSpaceDN w:val="0"/>
        <w:adjustRightInd w:val="0"/>
        <w:ind w:left="1416"/>
        <w:jc w:val="both"/>
        <w:rPr>
          <w:rFonts w:ascii="Times New Roman" w:hAnsi="Times New Roman" w:cs="Times New Roman"/>
          <w:sz w:val="16"/>
          <w:szCs w:val="16"/>
        </w:rPr>
      </w:pPr>
      <w:r w:rsidRPr="005D391E">
        <w:rPr>
          <w:rFonts w:ascii="Times New Roman" w:hAnsi="Times New Roman" w:cs="Times New Roman"/>
          <w:sz w:val="16"/>
          <w:szCs w:val="16"/>
        </w:rPr>
        <w:t xml:space="preserve">Fuente: Dirección de Análisis </w:t>
      </w:r>
      <w:r w:rsidRPr="00D66D20">
        <w:rPr>
          <w:rFonts w:ascii="Times New Roman" w:hAnsi="Times New Roman" w:cs="Times New Roman"/>
          <w:sz w:val="16"/>
          <w:szCs w:val="16"/>
        </w:rPr>
        <w:t xml:space="preserve">y </w:t>
      </w:r>
      <w:r w:rsidR="00D66D20" w:rsidRPr="00D66D20">
        <w:rPr>
          <w:rFonts w:ascii="Times New Roman" w:hAnsi="Times New Roman" w:cs="Times New Roman"/>
          <w:sz w:val="16"/>
          <w:szCs w:val="16"/>
        </w:rPr>
        <w:t>Polí</w:t>
      </w:r>
      <w:r w:rsidRPr="00D66D20">
        <w:rPr>
          <w:rFonts w:ascii="Times New Roman" w:hAnsi="Times New Roman" w:cs="Times New Roman"/>
          <w:sz w:val="16"/>
          <w:szCs w:val="16"/>
        </w:rPr>
        <w:t>tica Fiscal</w:t>
      </w:r>
      <w:r w:rsidR="00017674">
        <w:rPr>
          <w:rFonts w:ascii="Times New Roman" w:hAnsi="Times New Roman" w:cs="Times New Roman"/>
          <w:sz w:val="16"/>
          <w:szCs w:val="16"/>
        </w:rPr>
        <w:t>.</w:t>
      </w:r>
    </w:p>
    <w:p w:rsidR="005D391E" w:rsidRPr="005D391E" w:rsidRDefault="005D391E" w:rsidP="005D391E">
      <w:pPr>
        <w:jc w:val="both"/>
        <w:rPr>
          <w:rFonts w:ascii="Times New Roman" w:hAnsi="Times New Roman" w:cs="Times New Roman"/>
          <w:sz w:val="22"/>
          <w:szCs w:val="22"/>
        </w:rPr>
      </w:pPr>
    </w:p>
    <w:p w:rsidR="005D391E" w:rsidRDefault="005D391E" w:rsidP="00E353E5">
      <w:pPr>
        <w:jc w:val="both"/>
        <w:rPr>
          <w:rFonts w:ascii="Times New Roman" w:hAnsi="Times New Roman" w:cs="Times New Roman"/>
          <w:sz w:val="22"/>
          <w:szCs w:val="22"/>
        </w:rPr>
      </w:pPr>
      <w:r w:rsidRPr="005D391E">
        <w:rPr>
          <w:rFonts w:ascii="Times New Roman" w:hAnsi="Times New Roman" w:cs="Times New Roman"/>
          <w:sz w:val="22"/>
          <w:szCs w:val="22"/>
        </w:rPr>
        <w:t xml:space="preserve">Como se ha indicado, la reapertura gradual de la economía nacional provocó cambios positivos, varios indicadores de corto plazo apuntan a que la recuperación de la economía nacional era mejor de lo que se había proyectado cuando se declaró la pandemia; la recuperación de la economía nacional provocó que la meta de presupuesto </w:t>
      </w:r>
      <w:r w:rsidR="000D5E74">
        <w:rPr>
          <w:rFonts w:ascii="Times New Roman" w:hAnsi="Times New Roman" w:cs="Times New Roman"/>
          <w:sz w:val="22"/>
          <w:szCs w:val="22"/>
        </w:rPr>
        <w:t xml:space="preserve">de diciembre </w:t>
      </w:r>
      <w:r w:rsidRPr="005D391E">
        <w:rPr>
          <w:rFonts w:ascii="Times New Roman" w:hAnsi="Times New Roman" w:cs="Times New Roman"/>
          <w:sz w:val="22"/>
          <w:szCs w:val="22"/>
        </w:rPr>
        <w:t>se superara en Q7</w:t>
      </w:r>
      <w:r w:rsidR="000D5E74">
        <w:rPr>
          <w:rFonts w:ascii="Times New Roman" w:hAnsi="Times New Roman" w:cs="Times New Roman"/>
          <w:sz w:val="22"/>
          <w:szCs w:val="22"/>
        </w:rPr>
        <w:t>64.0</w:t>
      </w:r>
      <w:r w:rsidRPr="005D391E">
        <w:rPr>
          <w:rFonts w:ascii="Times New Roman" w:hAnsi="Times New Roman" w:cs="Times New Roman"/>
          <w:sz w:val="22"/>
          <w:szCs w:val="22"/>
        </w:rPr>
        <w:t xml:space="preserve"> millones, siendo el ISR, ISO, los derivados del petróleo y el impuesto de circulación de vehículos, los impuestos que contribuyeron con esta brecha positiva. </w:t>
      </w:r>
    </w:p>
    <w:p w:rsidR="004C7721" w:rsidRPr="004C7721" w:rsidRDefault="004C7721" w:rsidP="00E353E5">
      <w:pPr>
        <w:jc w:val="both"/>
        <w:rPr>
          <w:rFonts w:ascii="Times New Roman" w:hAnsi="Times New Roman" w:cs="Times New Roman"/>
          <w:sz w:val="22"/>
          <w:szCs w:val="22"/>
        </w:rPr>
      </w:pPr>
    </w:p>
    <w:p w:rsidR="005D391E" w:rsidRPr="005D391E" w:rsidRDefault="005D391E" w:rsidP="005D391E">
      <w:pPr>
        <w:pStyle w:val="Prrafodelista"/>
        <w:numPr>
          <w:ilvl w:val="0"/>
          <w:numId w:val="32"/>
        </w:numPr>
        <w:jc w:val="both"/>
        <w:outlineLvl w:val="2"/>
        <w:rPr>
          <w:rFonts w:ascii="Times New Roman" w:hAnsi="Times New Roman" w:cs="Times New Roman"/>
          <w:b/>
          <w:vanish/>
          <w:color w:val="FF0000"/>
          <w:lang w:val="es-MX"/>
        </w:rPr>
      </w:pPr>
      <w:bookmarkStart w:id="35" w:name="_Toc31612759"/>
      <w:bookmarkStart w:id="36" w:name="_Toc31612791"/>
      <w:bookmarkStart w:id="37" w:name="_Toc31614817"/>
      <w:bookmarkStart w:id="38" w:name="_Toc31614849"/>
      <w:bookmarkStart w:id="39" w:name="_Toc31618686"/>
      <w:bookmarkStart w:id="40" w:name="_Toc31618719"/>
      <w:bookmarkStart w:id="41" w:name="_Toc31624495"/>
      <w:bookmarkStart w:id="42" w:name="_Toc62724045"/>
      <w:bookmarkStart w:id="43" w:name="_Toc62724108"/>
      <w:bookmarkStart w:id="44" w:name="_Toc62724192"/>
      <w:bookmarkStart w:id="45" w:name="_Toc62724266"/>
      <w:bookmarkStart w:id="46" w:name="_Toc64025423"/>
      <w:bookmarkEnd w:id="35"/>
      <w:bookmarkEnd w:id="36"/>
      <w:bookmarkEnd w:id="37"/>
      <w:bookmarkEnd w:id="38"/>
      <w:bookmarkEnd w:id="39"/>
      <w:bookmarkEnd w:id="40"/>
      <w:bookmarkEnd w:id="41"/>
      <w:bookmarkEnd w:id="42"/>
      <w:bookmarkEnd w:id="43"/>
      <w:bookmarkEnd w:id="44"/>
      <w:bookmarkEnd w:id="45"/>
      <w:bookmarkEnd w:id="46"/>
    </w:p>
    <w:p w:rsidR="005D391E" w:rsidRPr="005D391E" w:rsidRDefault="005D391E" w:rsidP="005D391E">
      <w:pPr>
        <w:pStyle w:val="Prrafodelista"/>
        <w:numPr>
          <w:ilvl w:val="1"/>
          <w:numId w:val="32"/>
        </w:numPr>
        <w:jc w:val="both"/>
        <w:outlineLvl w:val="2"/>
        <w:rPr>
          <w:rFonts w:ascii="Times New Roman" w:hAnsi="Times New Roman" w:cs="Times New Roman"/>
          <w:b/>
          <w:vanish/>
          <w:color w:val="FF0000"/>
          <w:lang w:val="es-MX"/>
        </w:rPr>
      </w:pPr>
      <w:bookmarkStart w:id="47" w:name="_Toc62724046"/>
      <w:bookmarkStart w:id="48" w:name="_Toc62724109"/>
      <w:bookmarkStart w:id="49" w:name="_Toc62724193"/>
      <w:bookmarkStart w:id="50" w:name="_Toc62724267"/>
      <w:bookmarkStart w:id="51" w:name="_Toc64025424"/>
      <w:bookmarkEnd w:id="47"/>
      <w:bookmarkEnd w:id="48"/>
      <w:bookmarkEnd w:id="49"/>
      <w:bookmarkEnd w:id="50"/>
      <w:bookmarkEnd w:id="51"/>
    </w:p>
    <w:p w:rsidR="005D391E" w:rsidRPr="005D391E" w:rsidRDefault="005D391E" w:rsidP="005D391E">
      <w:pPr>
        <w:pStyle w:val="Prrafodelista"/>
        <w:numPr>
          <w:ilvl w:val="1"/>
          <w:numId w:val="32"/>
        </w:numPr>
        <w:jc w:val="both"/>
        <w:outlineLvl w:val="2"/>
        <w:rPr>
          <w:rFonts w:ascii="Times New Roman" w:hAnsi="Times New Roman" w:cs="Times New Roman"/>
          <w:b/>
          <w:vanish/>
          <w:color w:val="FF0000"/>
          <w:lang w:val="es-MX"/>
        </w:rPr>
      </w:pPr>
      <w:bookmarkStart w:id="52" w:name="_Toc62724047"/>
      <w:bookmarkStart w:id="53" w:name="_Toc62724110"/>
      <w:bookmarkStart w:id="54" w:name="_Toc62724194"/>
      <w:bookmarkStart w:id="55" w:name="_Toc62724268"/>
      <w:bookmarkStart w:id="56" w:name="_Toc64025425"/>
      <w:bookmarkEnd w:id="52"/>
      <w:bookmarkEnd w:id="53"/>
      <w:bookmarkEnd w:id="54"/>
      <w:bookmarkEnd w:id="55"/>
      <w:bookmarkEnd w:id="56"/>
    </w:p>
    <w:p w:rsidR="005D391E" w:rsidRPr="005D391E" w:rsidRDefault="005D391E" w:rsidP="005D391E">
      <w:pPr>
        <w:pStyle w:val="Prrafodelista"/>
        <w:numPr>
          <w:ilvl w:val="1"/>
          <w:numId w:val="32"/>
        </w:numPr>
        <w:jc w:val="both"/>
        <w:outlineLvl w:val="2"/>
        <w:rPr>
          <w:rFonts w:ascii="Times New Roman" w:hAnsi="Times New Roman" w:cs="Times New Roman"/>
          <w:b/>
          <w:vanish/>
          <w:color w:val="FF0000"/>
          <w:lang w:val="es-MX"/>
        </w:rPr>
      </w:pPr>
      <w:bookmarkStart w:id="57" w:name="_Toc62724048"/>
      <w:bookmarkStart w:id="58" w:name="_Toc62724111"/>
      <w:bookmarkStart w:id="59" w:name="_Toc62724195"/>
      <w:bookmarkStart w:id="60" w:name="_Toc62724269"/>
      <w:bookmarkStart w:id="61" w:name="_Toc64025426"/>
      <w:bookmarkEnd w:id="57"/>
      <w:bookmarkEnd w:id="58"/>
      <w:bookmarkEnd w:id="59"/>
      <w:bookmarkEnd w:id="60"/>
      <w:bookmarkEnd w:id="61"/>
    </w:p>
    <w:p w:rsidR="005D391E" w:rsidRPr="005D391E" w:rsidRDefault="005D391E" w:rsidP="005D391E">
      <w:pPr>
        <w:pStyle w:val="Prrafodelista"/>
        <w:numPr>
          <w:ilvl w:val="1"/>
          <w:numId w:val="32"/>
        </w:numPr>
        <w:jc w:val="both"/>
        <w:outlineLvl w:val="2"/>
        <w:rPr>
          <w:rFonts w:ascii="Times New Roman" w:hAnsi="Times New Roman" w:cs="Times New Roman"/>
          <w:b/>
          <w:vanish/>
          <w:color w:val="FF0000"/>
          <w:lang w:val="es-MX"/>
        </w:rPr>
      </w:pPr>
      <w:bookmarkStart w:id="62" w:name="_Toc62724049"/>
      <w:bookmarkStart w:id="63" w:name="_Toc62724112"/>
      <w:bookmarkStart w:id="64" w:name="_Toc62724196"/>
      <w:bookmarkStart w:id="65" w:name="_Toc62724270"/>
      <w:bookmarkStart w:id="66" w:name="_Toc64025427"/>
      <w:bookmarkEnd w:id="62"/>
      <w:bookmarkEnd w:id="63"/>
      <w:bookmarkEnd w:id="64"/>
      <w:bookmarkEnd w:id="65"/>
      <w:bookmarkEnd w:id="66"/>
    </w:p>
    <w:p w:rsidR="00E353E5" w:rsidRPr="005D391E" w:rsidRDefault="00E353E5" w:rsidP="005D391E">
      <w:pPr>
        <w:pStyle w:val="Prrafodelista"/>
        <w:numPr>
          <w:ilvl w:val="2"/>
          <w:numId w:val="32"/>
        </w:numPr>
        <w:ind w:left="862"/>
        <w:jc w:val="both"/>
        <w:outlineLvl w:val="2"/>
        <w:rPr>
          <w:rFonts w:ascii="Times New Roman" w:hAnsi="Times New Roman" w:cs="Times New Roman"/>
          <w:b/>
          <w:lang w:val="es-MX"/>
        </w:rPr>
      </w:pPr>
      <w:bookmarkStart w:id="67" w:name="_Toc64025428"/>
      <w:r w:rsidRPr="005D391E">
        <w:rPr>
          <w:rFonts w:ascii="Times New Roman" w:hAnsi="Times New Roman" w:cs="Times New Roman"/>
          <w:b/>
          <w:lang w:val="es-MX"/>
        </w:rPr>
        <w:t>Impuesto sobre la renta -ISR-</w:t>
      </w:r>
      <w:bookmarkEnd w:id="67"/>
    </w:p>
    <w:p w:rsidR="00E353E5" w:rsidRPr="00443624" w:rsidRDefault="00E353E5" w:rsidP="00E353E5">
      <w:pPr>
        <w:jc w:val="both"/>
        <w:rPr>
          <w:rFonts w:ascii="Times New Roman" w:hAnsi="Times New Roman" w:cs="Times New Roman"/>
          <w:color w:val="FF0000"/>
          <w:lang w:val="es-MX"/>
        </w:rPr>
      </w:pPr>
    </w:p>
    <w:p w:rsidR="006B1BB6" w:rsidRDefault="006B1BB6" w:rsidP="006B1BB6">
      <w:pPr>
        <w:jc w:val="both"/>
        <w:rPr>
          <w:rFonts w:ascii="Times New Roman" w:hAnsi="Times New Roman" w:cs="Times New Roman"/>
          <w:sz w:val="22"/>
          <w:szCs w:val="22"/>
          <w:lang w:val="es-MX"/>
        </w:rPr>
      </w:pPr>
      <w:r w:rsidRPr="006B1BB6">
        <w:rPr>
          <w:rFonts w:ascii="Times New Roman" w:hAnsi="Times New Roman" w:cs="Times New Roman"/>
          <w:sz w:val="22"/>
          <w:szCs w:val="22"/>
          <w:lang w:val="es-MX"/>
        </w:rPr>
        <w:t>El ISR luego de vencimientos importantes como la liquidación anual en marzo y los pagos trimestrales percibidos en el año, y los efectos de la pandemia mostró una caída del 2% de manera interanual, el régimen de actividades lucrativas presento una caída de 5.1% siendo el régimen sobre ingresos el que más aportó a este resultado, los otros regímenes (relación de dependencia, retención a no domiciliados, productos financieros y otros ingresos) mostraron resultados positivos.</w:t>
      </w:r>
    </w:p>
    <w:p w:rsidR="006B1BB6" w:rsidRPr="006B1BB6" w:rsidRDefault="006B1BB6" w:rsidP="006B1BB6">
      <w:pPr>
        <w:jc w:val="both"/>
        <w:rPr>
          <w:rFonts w:ascii="Times New Roman" w:hAnsi="Times New Roman" w:cs="Times New Roman"/>
          <w:sz w:val="22"/>
          <w:szCs w:val="22"/>
          <w:lang w:val="es-MX"/>
        </w:rPr>
      </w:pPr>
    </w:p>
    <w:p w:rsidR="006B1BB6" w:rsidRPr="006B1BB6" w:rsidRDefault="006B1BB6" w:rsidP="006B1BB6">
      <w:pPr>
        <w:jc w:val="both"/>
        <w:rPr>
          <w:rFonts w:ascii="Times New Roman" w:hAnsi="Times New Roman" w:cs="Times New Roman"/>
          <w:sz w:val="22"/>
          <w:szCs w:val="22"/>
          <w:lang w:val="es-MX"/>
        </w:rPr>
      </w:pPr>
    </w:p>
    <w:p w:rsidR="006B1BB6" w:rsidRDefault="006B1BB6" w:rsidP="006B1BB6">
      <w:pPr>
        <w:jc w:val="both"/>
        <w:rPr>
          <w:rFonts w:ascii="Times New Roman" w:hAnsi="Times New Roman" w:cs="Times New Roman"/>
          <w:sz w:val="22"/>
          <w:szCs w:val="22"/>
          <w:lang w:val="es-MX"/>
        </w:rPr>
      </w:pPr>
      <w:r w:rsidRPr="006B1BB6">
        <w:rPr>
          <w:rFonts w:ascii="Times New Roman" w:hAnsi="Times New Roman" w:cs="Times New Roman"/>
          <w:sz w:val="22"/>
          <w:szCs w:val="22"/>
          <w:lang w:val="es-MX"/>
        </w:rPr>
        <w:t xml:space="preserve">El impuesto sobre la renta de empresas según clasificación SICOIN refleja una caída interanual de 2.5% producto de la pandemia, dicha caída hubiese sido mayor si la SAT no hubiera implementado mecanismos que permitieran aumentar la percepción de riesgo de los contribuyentes, a la facilitación de suscripción de convenios de pago, mejoras en el RTU, mejoras en la gestión de fiscalización y gestión judicial. </w:t>
      </w:r>
    </w:p>
    <w:p w:rsidR="006B1BB6" w:rsidRDefault="006B1BB6" w:rsidP="006B1BB6">
      <w:pPr>
        <w:jc w:val="both"/>
        <w:rPr>
          <w:rFonts w:ascii="Times New Roman" w:hAnsi="Times New Roman" w:cs="Times New Roman"/>
          <w:sz w:val="22"/>
          <w:szCs w:val="22"/>
          <w:lang w:val="es-MX"/>
        </w:rPr>
      </w:pPr>
    </w:p>
    <w:p w:rsidR="00D80411" w:rsidRDefault="00D80411" w:rsidP="006B1BB6">
      <w:pPr>
        <w:jc w:val="both"/>
        <w:rPr>
          <w:rFonts w:ascii="Times New Roman" w:hAnsi="Times New Roman" w:cs="Times New Roman"/>
          <w:sz w:val="22"/>
          <w:szCs w:val="22"/>
          <w:lang w:val="es-MX"/>
        </w:rPr>
      </w:pPr>
    </w:p>
    <w:p w:rsidR="00D80411" w:rsidRDefault="00D80411" w:rsidP="006B1BB6">
      <w:pPr>
        <w:jc w:val="both"/>
        <w:rPr>
          <w:rFonts w:ascii="Times New Roman" w:hAnsi="Times New Roman" w:cs="Times New Roman"/>
          <w:sz w:val="22"/>
          <w:szCs w:val="22"/>
          <w:lang w:val="es-MX"/>
        </w:rPr>
      </w:pPr>
    </w:p>
    <w:p w:rsidR="00D80411" w:rsidRDefault="00D80411" w:rsidP="006B1BB6">
      <w:pPr>
        <w:jc w:val="both"/>
        <w:rPr>
          <w:rFonts w:ascii="Times New Roman" w:hAnsi="Times New Roman" w:cs="Times New Roman"/>
          <w:sz w:val="22"/>
          <w:szCs w:val="22"/>
          <w:lang w:val="es-MX"/>
        </w:rPr>
      </w:pPr>
    </w:p>
    <w:p w:rsidR="00D80411" w:rsidRPr="006B1BB6" w:rsidRDefault="00D80411" w:rsidP="006B1BB6">
      <w:pPr>
        <w:jc w:val="both"/>
        <w:rPr>
          <w:rFonts w:ascii="Times New Roman" w:hAnsi="Times New Roman" w:cs="Times New Roman"/>
          <w:sz w:val="22"/>
          <w:szCs w:val="22"/>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6B1BB6" w:rsidRPr="006B1BB6" w:rsidTr="00B63DA6">
        <w:tc>
          <w:tcPr>
            <w:tcW w:w="4549" w:type="dxa"/>
          </w:tcPr>
          <w:p w:rsidR="006B1BB6" w:rsidRPr="006B1BB6" w:rsidRDefault="006B1BB6" w:rsidP="006B1BB6">
            <w:pPr>
              <w:jc w:val="center"/>
              <w:rPr>
                <w:rFonts w:ascii="Times New Roman" w:hAnsi="Times New Roman" w:cs="Times New Roman"/>
                <w:b/>
                <w:sz w:val="22"/>
                <w:szCs w:val="22"/>
                <w:lang w:val="es-MX"/>
              </w:rPr>
            </w:pPr>
            <w:r w:rsidRPr="006B1BB6">
              <w:rPr>
                <w:rFonts w:ascii="Times New Roman" w:hAnsi="Times New Roman" w:cs="Times New Roman"/>
                <w:b/>
                <w:sz w:val="22"/>
                <w:szCs w:val="22"/>
                <w:lang w:val="es-MX"/>
              </w:rPr>
              <w:t>Variación del ISR de empresas</w:t>
            </w:r>
          </w:p>
          <w:p w:rsidR="006B1BB6" w:rsidRPr="006B1BB6" w:rsidRDefault="006B1BB6" w:rsidP="006B1BB6">
            <w:pPr>
              <w:jc w:val="center"/>
              <w:rPr>
                <w:rFonts w:ascii="Times New Roman" w:hAnsi="Times New Roman" w:cs="Times New Roman"/>
                <w:sz w:val="22"/>
                <w:szCs w:val="22"/>
                <w:lang w:val="es-MX"/>
              </w:rPr>
            </w:pPr>
            <w:r w:rsidRPr="006B1BB6">
              <w:rPr>
                <w:rFonts w:ascii="Times New Roman" w:hAnsi="Times New Roman" w:cs="Times New Roman"/>
                <w:sz w:val="22"/>
                <w:szCs w:val="22"/>
                <w:lang w:val="es-MX"/>
              </w:rPr>
              <w:t>Porcentajes</w:t>
            </w:r>
          </w:p>
        </w:tc>
        <w:tc>
          <w:tcPr>
            <w:tcW w:w="4549" w:type="dxa"/>
          </w:tcPr>
          <w:p w:rsidR="006B1BB6" w:rsidRPr="006B1BB6" w:rsidRDefault="006B1BB6" w:rsidP="006B1BB6">
            <w:pPr>
              <w:jc w:val="center"/>
              <w:rPr>
                <w:rFonts w:ascii="Times New Roman" w:hAnsi="Times New Roman" w:cs="Times New Roman"/>
                <w:b/>
                <w:sz w:val="22"/>
                <w:szCs w:val="22"/>
                <w:lang w:val="es-MX"/>
              </w:rPr>
            </w:pPr>
            <w:r w:rsidRPr="006B1BB6">
              <w:rPr>
                <w:rFonts w:ascii="Times New Roman" w:hAnsi="Times New Roman" w:cs="Times New Roman"/>
                <w:b/>
                <w:sz w:val="22"/>
                <w:szCs w:val="22"/>
                <w:lang w:val="es-MX"/>
              </w:rPr>
              <w:t>Variación del ISR total</w:t>
            </w:r>
          </w:p>
          <w:p w:rsidR="006B1BB6" w:rsidRPr="006B1BB6" w:rsidRDefault="006B1BB6" w:rsidP="006B1BB6">
            <w:pPr>
              <w:jc w:val="center"/>
              <w:rPr>
                <w:rFonts w:ascii="Times New Roman" w:hAnsi="Times New Roman" w:cs="Times New Roman"/>
                <w:sz w:val="22"/>
                <w:szCs w:val="22"/>
                <w:lang w:val="es-MX"/>
              </w:rPr>
            </w:pPr>
            <w:r w:rsidRPr="006B1BB6">
              <w:rPr>
                <w:rFonts w:ascii="Times New Roman" w:hAnsi="Times New Roman" w:cs="Times New Roman"/>
                <w:sz w:val="22"/>
                <w:szCs w:val="22"/>
                <w:lang w:val="es-MX"/>
              </w:rPr>
              <w:t>Porcentajes</w:t>
            </w:r>
          </w:p>
        </w:tc>
      </w:tr>
      <w:tr w:rsidR="006B1BB6" w:rsidRPr="006B1BB6" w:rsidTr="00B63DA6">
        <w:tc>
          <w:tcPr>
            <w:tcW w:w="4549" w:type="dxa"/>
          </w:tcPr>
          <w:p w:rsidR="006B1BB6" w:rsidRPr="006B1BB6" w:rsidRDefault="006B1BB6" w:rsidP="006B1BB6">
            <w:pPr>
              <w:jc w:val="both"/>
              <w:rPr>
                <w:rFonts w:ascii="Times New Roman" w:hAnsi="Times New Roman" w:cs="Times New Roman"/>
                <w:sz w:val="22"/>
                <w:szCs w:val="22"/>
                <w:lang w:val="es-MX"/>
              </w:rPr>
            </w:pPr>
            <w:r w:rsidRPr="006B1BB6">
              <w:rPr>
                <w:rFonts w:ascii="Times New Roman" w:hAnsi="Times New Roman" w:cs="Times New Roman"/>
                <w:noProof/>
                <w:sz w:val="22"/>
                <w:szCs w:val="22"/>
                <w:lang w:val="es-ES"/>
              </w:rPr>
              <w:drawing>
                <wp:inline distT="0" distB="0" distL="0" distR="0" wp14:anchorId="4BDB5C67" wp14:editId="3974BD0D">
                  <wp:extent cx="2751455" cy="2154803"/>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549" w:type="dxa"/>
          </w:tcPr>
          <w:p w:rsidR="006B1BB6" w:rsidRPr="006B1BB6" w:rsidRDefault="006B1BB6" w:rsidP="006B1BB6">
            <w:pPr>
              <w:jc w:val="both"/>
              <w:rPr>
                <w:rFonts w:ascii="Times New Roman" w:hAnsi="Times New Roman" w:cs="Times New Roman"/>
                <w:sz w:val="22"/>
                <w:szCs w:val="22"/>
                <w:lang w:val="es-MX"/>
              </w:rPr>
            </w:pPr>
            <w:r w:rsidRPr="006B1BB6">
              <w:rPr>
                <w:rFonts w:ascii="Times New Roman" w:hAnsi="Times New Roman" w:cs="Times New Roman"/>
                <w:noProof/>
                <w:sz w:val="22"/>
                <w:szCs w:val="22"/>
                <w:lang w:val="es-ES"/>
              </w:rPr>
              <w:drawing>
                <wp:inline distT="0" distB="0" distL="0" distR="0" wp14:anchorId="4E856933" wp14:editId="6F219C52">
                  <wp:extent cx="2751455" cy="2154555"/>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rsidR="006B1BB6" w:rsidRPr="00017674" w:rsidRDefault="006B1BB6" w:rsidP="006B1BB6">
      <w:pPr>
        <w:jc w:val="both"/>
        <w:rPr>
          <w:rFonts w:ascii="Times New Roman" w:hAnsi="Times New Roman" w:cs="Times New Roman"/>
          <w:sz w:val="16"/>
          <w:szCs w:val="16"/>
          <w:lang w:val="es-MX"/>
        </w:rPr>
      </w:pPr>
      <w:r w:rsidRPr="00017674">
        <w:rPr>
          <w:rFonts w:ascii="Times New Roman" w:hAnsi="Times New Roman" w:cs="Times New Roman"/>
          <w:sz w:val="16"/>
          <w:szCs w:val="16"/>
          <w:lang w:val="es-MX"/>
        </w:rPr>
        <w:t>Fuente: Dirección de Análisis y Política Fiscal</w:t>
      </w:r>
      <w:r w:rsidR="001B6203" w:rsidRPr="00017674">
        <w:rPr>
          <w:rFonts w:ascii="Times New Roman" w:hAnsi="Times New Roman" w:cs="Times New Roman"/>
          <w:sz w:val="16"/>
          <w:szCs w:val="16"/>
          <w:lang w:val="es-MX"/>
        </w:rPr>
        <w:t>.</w:t>
      </w:r>
    </w:p>
    <w:p w:rsidR="004C7721" w:rsidRPr="00443624" w:rsidRDefault="004C7721" w:rsidP="00E353E5">
      <w:pPr>
        <w:jc w:val="both"/>
        <w:rPr>
          <w:rFonts w:ascii="Times New Roman" w:hAnsi="Times New Roman" w:cs="Times New Roman"/>
          <w:color w:val="FF0000"/>
          <w:lang w:val="es-MX"/>
        </w:rPr>
      </w:pPr>
    </w:p>
    <w:p w:rsidR="00E353E5" w:rsidRPr="006B1BB6" w:rsidRDefault="00504015" w:rsidP="00504015">
      <w:pPr>
        <w:pStyle w:val="Prrafodelista"/>
        <w:numPr>
          <w:ilvl w:val="2"/>
          <w:numId w:val="32"/>
        </w:numPr>
        <w:ind w:hanging="578"/>
        <w:jc w:val="both"/>
        <w:outlineLvl w:val="2"/>
        <w:rPr>
          <w:rFonts w:ascii="Times New Roman" w:hAnsi="Times New Roman" w:cs="Times New Roman"/>
          <w:b/>
          <w:lang w:val="es-MX"/>
        </w:rPr>
      </w:pPr>
      <w:bookmarkStart w:id="68" w:name="_Toc64025429"/>
      <w:r w:rsidRPr="006B1BB6">
        <w:rPr>
          <w:rFonts w:ascii="Times New Roman" w:hAnsi="Times New Roman" w:cs="Times New Roman"/>
          <w:b/>
          <w:lang w:val="es-MX"/>
        </w:rPr>
        <w:t>Impuesto al valor agregado</w:t>
      </w:r>
      <w:bookmarkEnd w:id="68"/>
      <w:r w:rsidRPr="006B1BB6">
        <w:rPr>
          <w:rFonts w:ascii="Times New Roman" w:hAnsi="Times New Roman" w:cs="Times New Roman"/>
          <w:b/>
          <w:lang w:val="es-MX"/>
        </w:rPr>
        <w:t xml:space="preserve"> </w:t>
      </w:r>
    </w:p>
    <w:p w:rsidR="00E353E5" w:rsidRPr="004C7721" w:rsidRDefault="00E353E5" w:rsidP="00E353E5">
      <w:pPr>
        <w:jc w:val="both"/>
        <w:rPr>
          <w:rFonts w:ascii="Times New Roman" w:hAnsi="Times New Roman" w:cs="Times New Roman"/>
          <w:color w:val="FF0000"/>
          <w:sz w:val="22"/>
          <w:lang w:val="es-MX"/>
        </w:rPr>
      </w:pPr>
    </w:p>
    <w:p w:rsidR="006B1BB6" w:rsidRDefault="006B1BB6" w:rsidP="006B1BB6">
      <w:pPr>
        <w:jc w:val="both"/>
        <w:rPr>
          <w:rFonts w:ascii="Times New Roman" w:hAnsi="Times New Roman" w:cs="Times New Roman"/>
          <w:sz w:val="22"/>
          <w:lang w:val="es-MX"/>
        </w:rPr>
      </w:pPr>
      <w:r w:rsidRPr="006B1BB6">
        <w:rPr>
          <w:rFonts w:ascii="Times New Roman" w:hAnsi="Times New Roman" w:cs="Times New Roman"/>
          <w:sz w:val="22"/>
          <w:lang w:val="es-MX"/>
        </w:rPr>
        <w:t xml:space="preserve">El comportamiento de este impuesto estuvo marcado por el deterioro en el IVA asociado a las importaciones el cual presentó brechas negativas en todo el ejercicio fiscal respecto a la meta establecida en presupuesto, el IVA total de igual forma que el ISR medido respecto al año anterior mostró una caída de 3.9% (Q 1,160.3 millones) y una caída del 7.7% (Q 2,410.2 millones) respecto a la meta de presupuesto, la caída en la recaudación de IVA importaciones obedece a factores </w:t>
      </w:r>
      <w:r w:rsidRPr="006B1BB6">
        <w:rPr>
          <w:rFonts w:ascii="Times New Roman" w:hAnsi="Times New Roman" w:cs="Times New Roman"/>
          <w:sz w:val="22"/>
          <w:lang w:val="es-MX"/>
        </w:rPr>
        <w:lastRenderedPageBreak/>
        <w:t xml:space="preserve">externos como las variaciones del precio internacional del petróleo, las fluctuaciones del tipo de cambio, la pandemia Covid-19 que marcó una caída en el valor de las importaciones gravadas asociadas a combustibles y lubricantes </w:t>
      </w:r>
      <w:r w:rsidR="00CF5755">
        <w:rPr>
          <w:rFonts w:ascii="Times New Roman" w:hAnsi="Times New Roman" w:cs="Times New Roman"/>
          <w:sz w:val="22"/>
          <w:lang w:val="es-MX"/>
        </w:rPr>
        <w:t>a diciembre</w:t>
      </w:r>
      <w:r w:rsidRPr="006B1BB6">
        <w:rPr>
          <w:rFonts w:ascii="Times New Roman" w:hAnsi="Times New Roman" w:cs="Times New Roman"/>
          <w:sz w:val="22"/>
          <w:lang w:val="es-MX"/>
        </w:rPr>
        <w:t xml:space="preserve"> de 3</w:t>
      </w:r>
      <w:r w:rsidR="00CF5755">
        <w:rPr>
          <w:rFonts w:ascii="Times New Roman" w:hAnsi="Times New Roman" w:cs="Times New Roman"/>
          <w:sz w:val="22"/>
          <w:lang w:val="es-MX"/>
        </w:rPr>
        <w:t>1.3</w:t>
      </w:r>
      <w:r w:rsidRPr="006B1BB6">
        <w:rPr>
          <w:rFonts w:ascii="Times New Roman" w:hAnsi="Times New Roman" w:cs="Times New Roman"/>
          <w:sz w:val="22"/>
          <w:lang w:val="es-MX"/>
        </w:rPr>
        <w:t xml:space="preserve">% respecto a lo observado en 2019. Por su parte, las importaciones no asociadas a combustibles y lubricantes cayeron en </w:t>
      </w:r>
      <w:r w:rsidR="00CF5755">
        <w:rPr>
          <w:rFonts w:ascii="Times New Roman" w:hAnsi="Times New Roman" w:cs="Times New Roman"/>
          <w:sz w:val="22"/>
          <w:lang w:val="es-MX"/>
        </w:rPr>
        <w:t>3</w:t>
      </w:r>
      <w:r w:rsidRPr="006B1BB6">
        <w:rPr>
          <w:rFonts w:ascii="Times New Roman" w:hAnsi="Times New Roman" w:cs="Times New Roman"/>
          <w:sz w:val="22"/>
          <w:lang w:val="es-MX"/>
        </w:rPr>
        <w:t>.4% el volumen de lo importado no asociado a combustibles reflej</w:t>
      </w:r>
      <w:r w:rsidR="00CF5755">
        <w:rPr>
          <w:rFonts w:ascii="Times New Roman" w:hAnsi="Times New Roman" w:cs="Times New Roman"/>
          <w:sz w:val="22"/>
          <w:lang w:val="es-MX"/>
        </w:rPr>
        <w:t xml:space="preserve">ó a diciembre </w:t>
      </w:r>
      <w:r w:rsidRPr="006B1BB6">
        <w:rPr>
          <w:rFonts w:ascii="Times New Roman" w:hAnsi="Times New Roman" w:cs="Times New Roman"/>
          <w:sz w:val="22"/>
          <w:lang w:val="es-MX"/>
        </w:rPr>
        <w:t xml:space="preserve">crecimiento de </w:t>
      </w:r>
      <w:r w:rsidR="00CF5755">
        <w:rPr>
          <w:rFonts w:ascii="Times New Roman" w:hAnsi="Times New Roman" w:cs="Times New Roman"/>
          <w:sz w:val="22"/>
          <w:lang w:val="es-MX"/>
        </w:rPr>
        <w:t>3.6</w:t>
      </w:r>
      <w:r w:rsidRPr="006B1BB6">
        <w:rPr>
          <w:rFonts w:ascii="Times New Roman" w:hAnsi="Times New Roman" w:cs="Times New Roman"/>
          <w:sz w:val="22"/>
          <w:lang w:val="es-MX"/>
        </w:rPr>
        <w:t>% y un aumento en el precio de 5.4% respecto a lo observado en 2019.</w:t>
      </w:r>
    </w:p>
    <w:p w:rsidR="006B1BB6" w:rsidRPr="006B1BB6" w:rsidRDefault="006B1BB6" w:rsidP="006B1BB6">
      <w:pPr>
        <w:jc w:val="both"/>
        <w:rPr>
          <w:rFonts w:ascii="Times New Roman" w:hAnsi="Times New Roman" w:cs="Times New Roman"/>
          <w:sz w:val="22"/>
          <w:lang w:val="es-MX"/>
        </w:rPr>
      </w:pPr>
      <w:r w:rsidRPr="006B1BB6">
        <w:rPr>
          <w:rFonts w:ascii="Times New Roman" w:hAnsi="Times New Roman" w:cs="Times New Roman"/>
          <w:sz w:val="22"/>
          <w:lang w:val="es-MX"/>
        </w:rPr>
        <w:t xml:space="preserve"> </w:t>
      </w:r>
    </w:p>
    <w:p w:rsidR="006B1BB6" w:rsidRDefault="006B1BB6" w:rsidP="006B1BB6">
      <w:pPr>
        <w:jc w:val="both"/>
        <w:rPr>
          <w:rFonts w:ascii="Times New Roman" w:hAnsi="Times New Roman" w:cs="Times New Roman"/>
          <w:sz w:val="22"/>
          <w:lang w:val="es-MX"/>
        </w:rPr>
      </w:pPr>
      <w:r w:rsidRPr="006B1BB6">
        <w:rPr>
          <w:rFonts w:ascii="Times New Roman" w:hAnsi="Times New Roman" w:cs="Times New Roman"/>
          <w:sz w:val="22"/>
          <w:lang w:val="es-MX"/>
        </w:rPr>
        <w:t xml:space="preserve">De acuerdo con información publicada por el Banco de Guatemala las importaciones de bienes consumo acumuladas a </w:t>
      </w:r>
      <w:r w:rsidR="00CF5755">
        <w:rPr>
          <w:rFonts w:ascii="Times New Roman" w:hAnsi="Times New Roman" w:cs="Times New Roman"/>
          <w:sz w:val="22"/>
          <w:lang w:val="es-MX"/>
        </w:rPr>
        <w:t>diciembre</w:t>
      </w:r>
      <w:r w:rsidRPr="006B1BB6">
        <w:rPr>
          <w:rFonts w:ascii="Times New Roman" w:hAnsi="Times New Roman" w:cs="Times New Roman"/>
          <w:sz w:val="22"/>
          <w:lang w:val="es-MX"/>
        </w:rPr>
        <w:t xml:space="preserve"> cayeron en </w:t>
      </w:r>
      <w:r w:rsidR="00CF5755">
        <w:rPr>
          <w:rFonts w:ascii="Times New Roman" w:hAnsi="Times New Roman" w:cs="Times New Roman"/>
          <w:sz w:val="22"/>
          <w:lang w:val="es-MX"/>
        </w:rPr>
        <w:t>5.7</w:t>
      </w:r>
      <w:r w:rsidRPr="006B1BB6">
        <w:rPr>
          <w:rFonts w:ascii="Times New Roman" w:hAnsi="Times New Roman" w:cs="Times New Roman"/>
          <w:sz w:val="22"/>
          <w:lang w:val="es-MX"/>
        </w:rPr>
        <w:t xml:space="preserve">% respecto a lo observado en 2019, a lo interno de los bienes de consumo se observa que los bienes no duraderos en los que se encuentran productos alimenticios, bebidas, tabacos, productos farmacéuticos y vestuario entre otros tienen crecimiento de </w:t>
      </w:r>
      <w:r w:rsidR="00CF5755">
        <w:rPr>
          <w:rFonts w:ascii="Times New Roman" w:hAnsi="Times New Roman" w:cs="Times New Roman"/>
          <w:sz w:val="22"/>
          <w:lang w:val="es-MX"/>
        </w:rPr>
        <w:t>1.9</w:t>
      </w:r>
      <w:r w:rsidRPr="006B1BB6">
        <w:rPr>
          <w:rFonts w:ascii="Times New Roman" w:hAnsi="Times New Roman" w:cs="Times New Roman"/>
          <w:sz w:val="22"/>
          <w:lang w:val="es-MX"/>
        </w:rPr>
        <w:t xml:space="preserve">%, por el contrario los bienes de consumo duradero y semiduraderos tienen caídas de dos dígitos, las importaciones de materiales de construcción de igual manera tienen caída de </w:t>
      </w:r>
      <w:r w:rsidR="00CF5755">
        <w:rPr>
          <w:rFonts w:ascii="Times New Roman" w:hAnsi="Times New Roman" w:cs="Times New Roman"/>
          <w:sz w:val="22"/>
          <w:lang w:val="es-MX"/>
        </w:rPr>
        <w:t>1.1</w:t>
      </w:r>
      <w:r w:rsidRPr="006B1BB6">
        <w:rPr>
          <w:rFonts w:ascii="Times New Roman" w:hAnsi="Times New Roman" w:cs="Times New Roman"/>
          <w:sz w:val="22"/>
          <w:lang w:val="es-MX"/>
        </w:rPr>
        <w:t>%.</w:t>
      </w:r>
    </w:p>
    <w:p w:rsidR="006B1BB6" w:rsidRPr="006B1BB6" w:rsidRDefault="006B1BB6" w:rsidP="006B1BB6">
      <w:pPr>
        <w:jc w:val="both"/>
        <w:rPr>
          <w:rFonts w:ascii="Times New Roman" w:hAnsi="Times New Roman" w:cs="Times New Roman"/>
          <w:sz w:val="22"/>
          <w:lang w:val="es-MX"/>
        </w:rPr>
      </w:pPr>
    </w:p>
    <w:p w:rsidR="006B1BB6" w:rsidRDefault="006B1BB6" w:rsidP="006B1BB6">
      <w:pPr>
        <w:jc w:val="both"/>
        <w:rPr>
          <w:rFonts w:ascii="Times New Roman" w:hAnsi="Times New Roman" w:cs="Times New Roman"/>
          <w:sz w:val="22"/>
          <w:lang w:val="es-MX"/>
        </w:rPr>
      </w:pPr>
      <w:r w:rsidRPr="006B1BB6">
        <w:rPr>
          <w:rFonts w:ascii="Times New Roman" w:hAnsi="Times New Roman" w:cs="Times New Roman"/>
          <w:sz w:val="22"/>
          <w:lang w:val="es-MX"/>
        </w:rPr>
        <w:t>El comercio medido a través del movimiento de contenedores en las portuarias empresa portuaria quetzal EPQ y terminal de contenedores quetzal TCQ, muestran que a partir de agosto hay un cambio en la tendencia, aunque la variación sigue siendo negativa en diciembre es de -0.5% monto menor a la observada en julio 5% mes en cual se observó la menor caída en el movimiento de TEUS</w:t>
      </w:r>
      <w:r w:rsidRPr="006B1BB6">
        <w:rPr>
          <w:rStyle w:val="Refdenotaalpie"/>
          <w:rFonts w:ascii="Times New Roman" w:hAnsi="Times New Roman" w:cs="Times New Roman"/>
          <w:sz w:val="22"/>
          <w:lang w:val="es-MX"/>
        </w:rPr>
        <w:footnoteReference w:id="1"/>
      </w:r>
      <w:r w:rsidRPr="006B1BB6">
        <w:rPr>
          <w:rFonts w:ascii="Times New Roman" w:hAnsi="Times New Roman" w:cs="Times New Roman"/>
          <w:sz w:val="22"/>
          <w:lang w:val="es-MX"/>
        </w:rPr>
        <w:t xml:space="preserve"> dichas comparaciones medidas respecto a 2019, no está demás indicar que el 36% de la recaudación tributaria de IVA de importaciones se obtiene de la aduana de puerto quetzal, de conformidad a información publicada por la Comisión Portuaria Nacional al mes de septiembre de 2020 se observa la misma tendencia en el movimiento de toneladas métricas en el resto de puertos de la nación.</w:t>
      </w:r>
    </w:p>
    <w:p w:rsidR="00BF05F0" w:rsidRDefault="00BF05F0" w:rsidP="006B1BB6">
      <w:pPr>
        <w:jc w:val="both"/>
        <w:rPr>
          <w:rFonts w:ascii="Times New Roman" w:hAnsi="Times New Roman" w:cs="Times New Roman"/>
          <w:sz w:val="22"/>
          <w:lang w:val="es-MX"/>
        </w:rPr>
      </w:pPr>
    </w:p>
    <w:p w:rsidR="00D80411" w:rsidRDefault="00D80411" w:rsidP="006B1BB6">
      <w:pPr>
        <w:jc w:val="both"/>
        <w:rPr>
          <w:rFonts w:ascii="Times New Roman" w:hAnsi="Times New Roman" w:cs="Times New Roman"/>
          <w:sz w:val="22"/>
          <w:lang w:val="es-MX"/>
        </w:rPr>
      </w:pPr>
    </w:p>
    <w:p w:rsidR="00D80411" w:rsidRDefault="00D80411" w:rsidP="006B1BB6">
      <w:pPr>
        <w:jc w:val="both"/>
        <w:rPr>
          <w:rFonts w:ascii="Times New Roman" w:hAnsi="Times New Roman" w:cs="Times New Roman"/>
          <w:sz w:val="22"/>
          <w:lang w:val="es-MX"/>
        </w:rPr>
      </w:pPr>
    </w:p>
    <w:p w:rsidR="00D80411" w:rsidRPr="006B1BB6" w:rsidRDefault="00D80411" w:rsidP="006B1BB6">
      <w:pPr>
        <w:jc w:val="both"/>
        <w:rPr>
          <w:rFonts w:ascii="Times New Roman" w:hAnsi="Times New Roman" w:cs="Times New Roman"/>
          <w:sz w:val="22"/>
          <w:lang w:val="es-MX"/>
        </w:rPr>
      </w:pPr>
    </w:p>
    <w:p w:rsidR="006B1BB6" w:rsidRPr="00A46C83" w:rsidRDefault="006B1BB6" w:rsidP="006B1BB6">
      <w:pPr>
        <w:jc w:val="center"/>
        <w:rPr>
          <w:rFonts w:ascii="Times New Roman" w:hAnsi="Times New Roman" w:cs="Times New Roman"/>
          <w:b/>
          <w:bCs/>
          <w:lang w:val="es-MX"/>
        </w:rPr>
      </w:pPr>
      <w:r w:rsidRPr="00A46C83">
        <w:rPr>
          <w:rFonts w:ascii="Times New Roman" w:hAnsi="Times New Roman" w:cs="Times New Roman"/>
          <w:b/>
          <w:bCs/>
          <w:lang w:val="es-MX"/>
        </w:rPr>
        <w:t>Movimiento de contenedores en EPQ+TCQ</w:t>
      </w:r>
    </w:p>
    <w:p w:rsidR="006B1BB6" w:rsidRPr="006B1BB6" w:rsidRDefault="006B1BB6" w:rsidP="006B1BB6">
      <w:pPr>
        <w:jc w:val="center"/>
        <w:rPr>
          <w:rFonts w:ascii="Times New Roman" w:hAnsi="Times New Roman" w:cs="Times New Roman"/>
          <w:bCs/>
          <w:sz w:val="22"/>
          <w:lang w:val="es-MX"/>
        </w:rPr>
      </w:pPr>
      <w:r w:rsidRPr="006B1BB6">
        <w:rPr>
          <w:rFonts w:ascii="Times New Roman" w:hAnsi="Times New Roman" w:cs="Times New Roman"/>
          <w:bCs/>
          <w:sz w:val="22"/>
          <w:lang w:val="es-MX"/>
        </w:rPr>
        <w:t>Porcentaje de variación</w:t>
      </w:r>
    </w:p>
    <w:p w:rsidR="006B1BB6" w:rsidRDefault="004C7721" w:rsidP="006B1BB6">
      <w:pPr>
        <w:jc w:val="center"/>
        <w:rPr>
          <w:rFonts w:ascii="Times New Roman" w:hAnsi="Times New Roman" w:cs="Times New Roman"/>
          <w:lang w:val="es-MX"/>
        </w:rPr>
      </w:pPr>
      <w:r>
        <w:rPr>
          <w:rFonts w:ascii="Times New Roman" w:hAnsi="Times New Roman" w:cs="Times New Roman"/>
          <w:noProof/>
          <w:lang w:val="es-ES"/>
        </w:rPr>
        <w:drawing>
          <wp:inline distT="0" distB="0" distL="0" distR="0" wp14:anchorId="7776EAF9" wp14:editId="282155F5">
            <wp:extent cx="4563745" cy="2276475"/>
            <wp:effectExtent l="0" t="0" r="8255"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636CB" w:rsidRPr="00557356" w:rsidRDefault="001B6203" w:rsidP="001636CB">
      <w:pPr>
        <w:jc w:val="both"/>
        <w:rPr>
          <w:rFonts w:ascii="Times New Roman" w:hAnsi="Times New Roman" w:cs="Times New Roman"/>
          <w:sz w:val="16"/>
          <w:szCs w:val="22"/>
        </w:rPr>
      </w:pPr>
      <w:r w:rsidRPr="00EF6BE5">
        <w:rPr>
          <w:rFonts w:ascii="Times New Roman" w:hAnsi="Times New Roman" w:cs="Times New Roman"/>
          <w:sz w:val="16"/>
          <w:lang w:val="es-MX"/>
        </w:rPr>
        <w:t>Fuente</w:t>
      </w:r>
      <w:r w:rsidR="001636CB" w:rsidRPr="00EF6BE5">
        <w:rPr>
          <w:rFonts w:ascii="Times New Roman" w:hAnsi="Times New Roman" w:cs="Times New Roman"/>
          <w:b/>
          <w:bCs/>
          <w:sz w:val="16"/>
          <w:szCs w:val="22"/>
        </w:rPr>
        <w:t>:</w:t>
      </w:r>
      <w:r w:rsidR="001636CB" w:rsidRPr="00EF6BE5">
        <w:rPr>
          <w:rFonts w:ascii="Times New Roman" w:hAnsi="Times New Roman" w:cs="Times New Roman"/>
          <w:sz w:val="16"/>
          <w:szCs w:val="22"/>
        </w:rPr>
        <w:t xml:space="preserve"> Dirección de Análisis y Política </w:t>
      </w:r>
      <w:r w:rsidR="00EF6BE5" w:rsidRPr="00EF6BE5">
        <w:rPr>
          <w:rFonts w:ascii="Times New Roman" w:hAnsi="Times New Roman" w:cs="Times New Roman"/>
          <w:sz w:val="16"/>
          <w:szCs w:val="22"/>
        </w:rPr>
        <w:t>Fiscal con</w:t>
      </w:r>
      <w:r w:rsidR="001636CB" w:rsidRPr="00EF6BE5">
        <w:rPr>
          <w:rFonts w:ascii="Times New Roman" w:hAnsi="Times New Roman" w:cs="Times New Roman"/>
          <w:sz w:val="16"/>
          <w:szCs w:val="22"/>
        </w:rPr>
        <w:t xml:space="preserve"> </w:t>
      </w:r>
      <w:r w:rsidR="00EF6BE5" w:rsidRPr="00EF6BE5">
        <w:rPr>
          <w:rFonts w:ascii="Times New Roman" w:hAnsi="Times New Roman" w:cs="Times New Roman"/>
          <w:sz w:val="16"/>
          <w:szCs w:val="22"/>
        </w:rPr>
        <w:t>información de</w:t>
      </w:r>
      <w:r w:rsidR="001636CB" w:rsidRPr="00EF6BE5">
        <w:rPr>
          <w:rFonts w:ascii="Times New Roman" w:hAnsi="Times New Roman" w:cs="Times New Roman"/>
          <w:sz w:val="16"/>
          <w:szCs w:val="22"/>
        </w:rPr>
        <w:t xml:space="preserve"> </w:t>
      </w:r>
      <w:r w:rsidR="00EF6BE5" w:rsidRPr="00EF6BE5">
        <w:rPr>
          <w:rFonts w:ascii="Times New Roman" w:hAnsi="Times New Roman" w:cs="Times New Roman"/>
          <w:sz w:val="16"/>
          <w:szCs w:val="22"/>
        </w:rPr>
        <w:t>la Empresa</w:t>
      </w:r>
      <w:r w:rsidR="001636CB" w:rsidRPr="00EF6BE5">
        <w:rPr>
          <w:rFonts w:ascii="Times New Roman" w:hAnsi="Times New Roman" w:cs="Times New Roman"/>
          <w:sz w:val="16"/>
          <w:szCs w:val="22"/>
        </w:rPr>
        <w:t xml:space="preserve"> Portuaria Quetzal.</w:t>
      </w:r>
    </w:p>
    <w:p w:rsidR="004C7721" w:rsidRPr="001636CB" w:rsidRDefault="004C7721" w:rsidP="001636CB">
      <w:pPr>
        <w:ind w:left="708" w:firstLine="708"/>
        <w:jc w:val="both"/>
        <w:rPr>
          <w:rFonts w:ascii="Times New Roman" w:hAnsi="Times New Roman" w:cs="Times New Roman"/>
          <w:sz w:val="22"/>
        </w:rPr>
      </w:pPr>
    </w:p>
    <w:p w:rsidR="006B1BB6" w:rsidRDefault="006B1BB6" w:rsidP="006B1BB6">
      <w:pPr>
        <w:jc w:val="both"/>
        <w:rPr>
          <w:rFonts w:ascii="Times New Roman" w:hAnsi="Times New Roman" w:cs="Times New Roman"/>
          <w:sz w:val="22"/>
          <w:lang w:val="es-MX"/>
        </w:rPr>
      </w:pPr>
      <w:r w:rsidRPr="006B1BB6">
        <w:rPr>
          <w:rFonts w:ascii="Times New Roman" w:hAnsi="Times New Roman" w:cs="Times New Roman"/>
          <w:sz w:val="22"/>
          <w:lang w:val="es-MX"/>
        </w:rPr>
        <w:t xml:space="preserve">Del IVA asociado al consumo interno es preciso indicar que refleja un crecimiento de 0.4% (Q 60.6 millones) respecto al año anterior y una caída de 5.0% (Q770.1 millones) respecto a la meta de presupuesto, factores que pueden estar determinando este comportamiento obedecen a la ralentización en la economía nacional producto de la pandemia así como a las medidas adoptadas </w:t>
      </w:r>
      <w:r w:rsidRPr="006B1BB6">
        <w:rPr>
          <w:rFonts w:ascii="Times New Roman" w:hAnsi="Times New Roman" w:cs="Times New Roman"/>
          <w:sz w:val="22"/>
          <w:lang w:val="es-MX"/>
        </w:rPr>
        <w:lastRenderedPageBreak/>
        <w:t>para contrarrestar los efectos que incluyeron el cierre de actividades no fundamentales y que incluso llevaron al confinamiento.</w:t>
      </w:r>
    </w:p>
    <w:p w:rsidR="006B1BB6" w:rsidRPr="006B1BB6" w:rsidRDefault="006B1BB6" w:rsidP="006B1BB6">
      <w:pPr>
        <w:jc w:val="both"/>
        <w:rPr>
          <w:rFonts w:ascii="Times New Roman" w:hAnsi="Times New Roman" w:cs="Times New Roman"/>
          <w:sz w:val="22"/>
          <w:lang w:val="es-MX"/>
        </w:rPr>
      </w:pPr>
    </w:p>
    <w:p w:rsidR="006B1BB6" w:rsidRDefault="006B1BB6" w:rsidP="006B1BB6">
      <w:pPr>
        <w:jc w:val="both"/>
        <w:rPr>
          <w:rFonts w:ascii="Times New Roman" w:hAnsi="Times New Roman" w:cs="Times New Roman"/>
          <w:sz w:val="22"/>
          <w:lang w:val="es-MX"/>
        </w:rPr>
      </w:pPr>
      <w:r w:rsidRPr="006B1BB6">
        <w:rPr>
          <w:rFonts w:ascii="Times New Roman" w:hAnsi="Times New Roman" w:cs="Times New Roman"/>
          <w:sz w:val="22"/>
          <w:lang w:val="es-MX"/>
        </w:rPr>
        <w:t>En términos de productividad del impuesto al valor agregado neto observado sin descontar los ingresos extraordinarios muestra desaceleración en este impuesto a partir de 2013 hasta 2016. Luego de acciones tales como adeudos tributarios, exoneraciones, el esfuerzo de la SAT para aumentar la percepción de riesgo de los contribuyentes y la implementación de otros mecanismos como la implementación del nuevo régimen de la factura electrónica en línea permitieron el cambio en la tendencia de la productividad hasta el 2020 que producto de la pandemia Covid-19 muestra un descenso nuevamente tal como se muestra en los gráficos siguientes.</w:t>
      </w:r>
    </w:p>
    <w:p w:rsidR="00BF05F0" w:rsidRPr="006B1BB6" w:rsidRDefault="00BF05F0" w:rsidP="006B1BB6">
      <w:pPr>
        <w:jc w:val="both"/>
        <w:rPr>
          <w:rFonts w:ascii="Times New Roman" w:hAnsi="Times New Roman" w:cs="Times New Roman"/>
          <w:sz w:val="22"/>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7"/>
        <w:gridCol w:w="4370"/>
      </w:tblGrid>
      <w:tr w:rsidR="006B1BB6" w:rsidRPr="00665155" w:rsidTr="00B63DA6">
        <w:tc>
          <w:tcPr>
            <w:tcW w:w="4527" w:type="dxa"/>
          </w:tcPr>
          <w:p w:rsidR="006B1BB6" w:rsidRDefault="006B1BB6" w:rsidP="00B63DA6">
            <w:pPr>
              <w:jc w:val="center"/>
              <w:rPr>
                <w:rFonts w:ascii="Times New Roman" w:hAnsi="Times New Roman" w:cs="Times New Roman"/>
                <w:b/>
                <w:lang w:val="es-MX"/>
              </w:rPr>
            </w:pPr>
            <w:r w:rsidRPr="00665155">
              <w:rPr>
                <w:rFonts w:ascii="Times New Roman" w:hAnsi="Times New Roman" w:cs="Times New Roman"/>
                <w:b/>
                <w:lang w:val="es-MX"/>
              </w:rPr>
              <w:t xml:space="preserve">Productividad </w:t>
            </w:r>
            <w:r>
              <w:rPr>
                <w:rFonts w:ascii="Times New Roman" w:hAnsi="Times New Roman" w:cs="Times New Roman"/>
                <w:b/>
                <w:lang w:val="es-MX"/>
              </w:rPr>
              <w:t>de cada año</w:t>
            </w:r>
          </w:p>
          <w:p w:rsidR="006B1BB6" w:rsidRDefault="006B1BB6" w:rsidP="00B63DA6">
            <w:pPr>
              <w:jc w:val="center"/>
              <w:rPr>
                <w:rFonts w:ascii="Times New Roman" w:hAnsi="Times New Roman" w:cs="Times New Roman"/>
                <w:b/>
                <w:lang w:val="es-MX"/>
              </w:rPr>
            </w:pPr>
            <w:r w:rsidRPr="00665155">
              <w:rPr>
                <w:rFonts w:ascii="Times New Roman" w:hAnsi="Times New Roman" w:cs="Times New Roman"/>
                <w:b/>
                <w:lang w:val="es-MX"/>
              </w:rPr>
              <w:t xml:space="preserve">IVA total </w:t>
            </w:r>
          </w:p>
          <w:p w:rsidR="006B1BB6" w:rsidRPr="009D769A" w:rsidRDefault="006B1BB6" w:rsidP="00B63DA6">
            <w:pPr>
              <w:jc w:val="center"/>
              <w:rPr>
                <w:rFonts w:ascii="Times New Roman" w:hAnsi="Times New Roman" w:cs="Times New Roman"/>
                <w:lang w:val="es-MX"/>
              </w:rPr>
            </w:pPr>
            <w:r w:rsidRPr="006B1BB6">
              <w:rPr>
                <w:rFonts w:ascii="Times New Roman" w:hAnsi="Times New Roman" w:cs="Times New Roman"/>
                <w:sz w:val="20"/>
                <w:lang w:val="es-MX"/>
              </w:rPr>
              <w:t>Porcentajes</w:t>
            </w:r>
          </w:p>
        </w:tc>
        <w:tc>
          <w:tcPr>
            <w:tcW w:w="4370" w:type="dxa"/>
          </w:tcPr>
          <w:p w:rsidR="006B1BB6" w:rsidRDefault="006B1BB6" w:rsidP="00B63DA6">
            <w:pPr>
              <w:jc w:val="center"/>
              <w:rPr>
                <w:rFonts w:ascii="Times New Roman" w:hAnsi="Times New Roman" w:cs="Times New Roman"/>
                <w:b/>
                <w:lang w:val="es-MX"/>
              </w:rPr>
            </w:pPr>
            <w:r>
              <w:rPr>
                <w:rFonts w:ascii="Times New Roman" w:hAnsi="Times New Roman" w:cs="Times New Roman"/>
                <w:b/>
                <w:lang w:val="es-MX"/>
              </w:rPr>
              <w:t>Productividad de cada año</w:t>
            </w:r>
          </w:p>
          <w:p w:rsidR="006B1BB6" w:rsidRDefault="006B1BB6" w:rsidP="00B63DA6">
            <w:pPr>
              <w:jc w:val="center"/>
              <w:rPr>
                <w:rFonts w:ascii="Times New Roman" w:hAnsi="Times New Roman" w:cs="Times New Roman"/>
                <w:b/>
                <w:lang w:val="es-MX"/>
              </w:rPr>
            </w:pPr>
            <w:r w:rsidRPr="00665155">
              <w:rPr>
                <w:rFonts w:ascii="Times New Roman" w:hAnsi="Times New Roman" w:cs="Times New Roman"/>
                <w:b/>
                <w:lang w:val="es-MX"/>
              </w:rPr>
              <w:t>IVA importaciones e IVA doméstico</w:t>
            </w:r>
          </w:p>
          <w:p w:rsidR="006B1BB6" w:rsidRPr="009D769A" w:rsidRDefault="006B1BB6" w:rsidP="00B63DA6">
            <w:pPr>
              <w:jc w:val="center"/>
              <w:rPr>
                <w:rFonts w:ascii="Times New Roman" w:hAnsi="Times New Roman" w:cs="Times New Roman"/>
                <w:lang w:val="es-MX"/>
              </w:rPr>
            </w:pPr>
            <w:r w:rsidRPr="006B1BB6">
              <w:rPr>
                <w:rFonts w:ascii="Times New Roman" w:hAnsi="Times New Roman" w:cs="Times New Roman"/>
                <w:sz w:val="20"/>
                <w:lang w:val="es-MX"/>
              </w:rPr>
              <w:t>Porcentajes</w:t>
            </w:r>
          </w:p>
        </w:tc>
      </w:tr>
      <w:tr w:rsidR="006B1BB6" w:rsidTr="00B63DA6">
        <w:tc>
          <w:tcPr>
            <w:tcW w:w="4527" w:type="dxa"/>
          </w:tcPr>
          <w:p w:rsidR="006B1BB6" w:rsidRDefault="006B1BB6" w:rsidP="00B63DA6">
            <w:pPr>
              <w:jc w:val="both"/>
              <w:rPr>
                <w:rFonts w:ascii="Times New Roman" w:hAnsi="Times New Roman" w:cs="Times New Roman"/>
                <w:lang w:val="es-MX"/>
              </w:rPr>
            </w:pPr>
            <w:r>
              <w:rPr>
                <w:rFonts w:ascii="Times New Roman" w:hAnsi="Times New Roman" w:cs="Times New Roman"/>
                <w:noProof/>
                <w:lang w:val="es-ES"/>
              </w:rPr>
              <w:drawing>
                <wp:inline distT="0" distB="0" distL="0" distR="0" wp14:anchorId="21EB6974" wp14:editId="5F394BA0">
                  <wp:extent cx="2809875" cy="2062886"/>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4370" w:type="dxa"/>
          </w:tcPr>
          <w:p w:rsidR="006B1BB6" w:rsidRDefault="006B1BB6" w:rsidP="00B63DA6">
            <w:pPr>
              <w:jc w:val="both"/>
              <w:rPr>
                <w:rFonts w:ascii="Times New Roman" w:hAnsi="Times New Roman" w:cs="Times New Roman"/>
                <w:lang w:val="es-MX"/>
              </w:rPr>
            </w:pPr>
            <w:r>
              <w:rPr>
                <w:rFonts w:ascii="Times New Roman" w:hAnsi="Times New Roman" w:cs="Times New Roman"/>
                <w:noProof/>
                <w:lang w:val="es-ES"/>
              </w:rPr>
              <w:drawing>
                <wp:inline distT="0" distB="0" distL="0" distR="0" wp14:anchorId="341713B7" wp14:editId="745C1E1B">
                  <wp:extent cx="2686050" cy="2062480"/>
                  <wp:effectExtent l="0" t="0" r="0" b="635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rsidR="006B1BB6" w:rsidRPr="006B1BB6" w:rsidRDefault="006B1BB6" w:rsidP="006B1BB6">
      <w:pPr>
        <w:jc w:val="both"/>
        <w:rPr>
          <w:rFonts w:ascii="Times New Roman" w:hAnsi="Times New Roman" w:cs="Times New Roman"/>
          <w:sz w:val="16"/>
          <w:lang w:val="es-MX"/>
        </w:rPr>
      </w:pPr>
      <w:r w:rsidRPr="006B1BB6">
        <w:rPr>
          <w:rFonts w:ascii="Times New Roman" w:hAnsi="Times New Roman" w:cs="Times New Roman"/>
          <w:sz w:val="16"/>
          <w:lang w:val="es-MX"/>
        </w:rPr>
        <w:t>Fuente: Dirección de Análisis y Política Fiscal</w:t>
      </w:r>
      <w:r w:rsidR="0037418E">
        <w:rPr>
          <w:rFonts w:ascii="Times New Roman" w:hAnsi="Times New Roman" w:cs="Times New Roman"/>
          <w:sz w:val="16"/>
          <w:lang w:val="es-MX"/>
        </w:rPr>
        <w:t>.</w:t>
      </w:r>
    </w:p>
    <w:p w:rsidR="00BF05F0" w:rsidRDefault="00BF05F0" w:rsidP="003F6C74">
      <w:pPr>
        <w:jc w:val="both"/>
        <w:rPr>
          <w:rFonts w:ascii="Times New Roman" w:hAnsi="Times New Roman" w:cs="Times New Roman"/>
          <w:color w:val="FF0000"/>
          <w:lang w:val="es-MX"/>
        </w:rPr>
      </w:pPr>
    </w:p>
    <w:p w:rsidR="0037418E" w:rsidRPr="00443624" w:rsidRDefault="0037418E" w:rsidP="003F6C74">
      <w:pPr>
        <w:jc w:val="both"/>
        <w:rPr>
          <w:rFonts w:ascii="Times New Roman" w:hAnsi="Times New Roman" w:cs="Times New Roman"/>
          <w:color w:val="FF0000"/>
          <w:lang w:val="es-MX"/>
        </w:rPr>
      </w:pPr>
    </w:p>
    <w:p w:rsidR="00243DA8" w:rsidRPr="00AA50BC" w:rsidRDefault="00AA50BC" w:rsidP="00545F8F">
      <w:pPr>
        <w:pStyle w:val="Ttulo2"/>
        <w:numPr>
          <w:ilvl w:val="1"/>
          <w:numId w:val="11"/>
        </w:numPr>
        <w:spacing w:before="0"/>
        <w:ind w:left="567"/>
        <w:rPr>
          <w:rFonts w:ascii="Times New Roman" w:hAnsi="Times New Roman" w:cs="Times New Roman"/>
          <w:color w:val="auto"/>
          <w:sz w:val="24"/>
        </w:rPr>
      </w:pPr>
      <w:bookmarkStart w:id="69" w:name="_Toc471987134"/>
      <w:bookmarkStart w:id="70" w:name="_Toc64025430"/>
      <w:r w:rsidRPr="00AA50BC">
        <w:rPr>
          <w:rFonts w:ascii="Times New Roman" w:hAnsi="Times New Roman" w:cs="Times New Roman"/>
          <w:color w:val="auto"/>
          <w:sz w:val="24"/>
        </w:rPr>
        <w:t>Esfuerzos administrativos logran contener la caída en la c</w:t>
      </w:r>
      <w:r w:rsidR="004F2A43" w:rsidRPr="00AA50BC">
        <w:rPr>
          <w:rFonts w:ascii="Times New Roman" w:hAnsi="Times New Roman" w:cs="Times New Roman"/>
          <w:color w:val="auto"/>
          <w:sz w:val="24"/>
        </w:rPr>
        <w:t>arga tributaria</w:t>
      </w:r>
      <w:bookmarkEnd w:id="69"/>
      <w:bookmarkEnd w:id="70"/>
    </w:p>
    <w:p w:rsidR="00243DA8" w:rsidRPr="00246573" w:rsidRDefault="00243DA8" w:rsidP="00243DA8">
      <w:pPr>
        <w:jc w:val="both"/>
        <w:rPr>
          <w:rFonts w:ascii="Times New Roman" w:hAnsi="Times New Roman" w:cs="Times New Roman"/>
          <w:color w:val="FF0000"/>
          <w:sz w:val="22"/>
          <w:szCs w:val="22"/>
        </w:rPr>
      </w:pPr>
    </w:p>
    <w:p w:rsidR="00206BA3" w:rsidRDefault="00D57B82" w:rsidP="00D57B82">
      <w:pPr>
        <w:jc w:val="both"/>
        <w:rPr>
          <w:rFonts w:ascii="Times New Roman" w:hAnsi="Times New Roman" w:cs="Times New Roman"/>
          <w:sz w:val="22"/>
          <w:szCs w:val="22"/>
          <w:lang w:val="es-MX"/>
        </w:rPr>
      </w:pPr>
      <w:r>
        <w:rPr>
          <w:rFonts w:ascii="Times New Roman" w:hAnsi="Times New Roman" w:cs="Times New Roman"/>
          <w:noProof/>
          <w:lang w:val="es-ES"/>
        </w:rPr>
        <w:drawing>
          <wp:anchor distT="0" distB="0" distL="114300" distR="114300" simplePos="0" relativeHeight="251695104" behindDoc="0" locked="0" layoutInCell="1" allowOverlap="1" wp14:anchorId="0CFBEEB8" wp14:editId="3801B487">
            <wp:simplePos x="0" y="0"/>
            <wp:positionH relativeFrom="column">
              <wp:posOffset>2272665</wp:posOffset>
            </wp:positionH>
            <wp:positionV relativeFrom="paragraph">
              <wp:posOffset>102235</wp:posOffset>
            </wp:positionV>
            <wp:extent cx="3342005" cy="2524125"/>
            <wp:effectExtent l="0" t="0" r="0" b="9525"/>
            <wp:wrapSquare wrapText="bothSides"/>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AA50BC" w:rsidRPr="00AA50BC">
        <w:rPr>
          <w:rFonts w:ascii="Times New Roman" w:hAnsi="Times New Roman" w:cs="Times New Roman"/>
          <w:sz w:val="22"/>
          <w:szCs w:val="22"/>
          <w:lang w:val="es-MX"/>
        </w:rPr>
        <w:t>A pesar de los esfuerzos realizados por SAT para contener la caída en la recaudación tributaria el impacto del resultado a finales de diciembre es notable en la carga tributaria ubicándola en 10.1%, monto inferior incluso que la observada en 2015</w:t>
      </w:r>
      <w:r w:rsidR="00714864">
        <w:rPr>
          <w:rFonts w:ascii="Times New Roman" w:hAnsi="Times New Roman" w:cs="Times New Roman"/>
          <w:sz w:val="22"/>
          <w:szCs w:val="22"/>
          <w:lang w:val="es-MX"/>
        </w:rPr>
        <w:t>,</w:t>
      </w:r>
      <w:r w:rsidR="00AA50BC" w:rsidRPr="00AA50BC">
        <w:rPr>
          <w:rFonts w:ascii="Times New Roman" w:hAnsi="Times New Roman" w:cs="Times New Roman"/>
          <w:sz w:val="22"/>
          <w:szCs w:val="22"/>
          <w:lang w:val="es-MX"/>
        </w:rPr>
        <w:t xml:space="preserve"> año en que se suscitó la crisis institucional de SAT, en los años siguientes este indicador se ve influenciado por recaudación extraordinaria producto de ingresos por concepto de casos judicializados y medidas que implemento SAT en pro del aumento de percepción de riesgo de los contribuyentes, en 2020 no fue la excepción la SAT a través del comité de riesgo puso en marcha medidas que permitirían frenar la caída en la recaudación producto de la pandemia y las medidas que estaba impulsando el Ejecutivo, se implementaron medidas de </w:t>
      </w:r>
      <w:r w:rsidR="00AA50BC" w:rsidRPr="00AA50BC">
        <w:rPr>
          <w:rFonts w:ascii="Times New Roman" w:hAnsi="Times New Roman" w:cs="Times New Roman"/>
          <w:sz w:val="22"/>
          <w:szCs w:val="22"/>
          <w:lang w:val="es-MX"/>
        </w:rPr>
        <w:lastRenderedPageBreak/>
        <w:t>facilitación y control en el RTU, se implementó un monitoreo de cumplimiento tributario, se modificaron las funciones operativas para otorgar audiencias por omisos o sanciones, se fomentó el pago de las obligaciones tributarias, se conformaron mesas técnicas para evaluación de audiencias y procuración judicial y se fortalecieron los controles aduaneros mediante la puesta en marcha de garitas de control, la suma de estos esfuerzos se empezó a notar a partir de octubre cuando la recaudación tributaria supero la meta establecida en presupuesto, los esfuerzos realizados por SAT lograron contener la caída en la brecha que se estimaba cuando inicio la pandemia Covid-19 (Q</w:t>
      </w:r>
      <w:r w:rsidR="00CF5755">
        <w:rPr>
          <w:rFonts w:ascii="Times New Roman" w:hAnsi="Times New Roman" w:cs="Times New Roman"/>
          <w:sz w:val="22"/>
          <w:szCs w:val="22"/>
          <w:lang w:val="es-MX"/>
        </w:rPr>
        <w:t xml:space="preserve">6,500 </w:t>
      </w:r>
      <w:r w:rsidR="00AA50BC" w:rsidRPr="00AA50BC">
        <w:rPr>
          <w:rFonts w:ascii="Times New Roman" w:hAnsi="Times New Roman" w:cs="Times New Roman"/>
          <w:sz w:val="22"/>
          <w:szCs w:val="22"/>
          <w:lang w:val="es-MX"/>
        </w:rPr>
        <w:t>millones), finalmente la brecha de</w:t>
      </w:r>
      <w:r w:rsidR="00AA50BC" w:rsidRPr="004675CE">
        <w:rPr>
          <w:rFonts w:ascii="Times New Roman" w:hAnsi="Times New Roman" w:cs="Times New Roman"/>
          <w:sz w:val="22"/>
          <w:szCs w:val="22"/>
          <w:lang w:val="es-MX"/>
        </w:rPr>
        <w:t xml:space="preserve"> recaudación aunque negativa se ubicó en Q3,748.3 millones. </w:t>
      </w:r>
    </w:p>
    <w:p w:rsidR="00D80411" w:rsidRDefault="00D80411" w:rsidP="00D57B82">
      <w:pPr>
        <w:jc w:val="both"/>
        <w:rPr>
          <w:rFonts w:ascii="Times New Roman" w:hAnsi="Times New Roman" w:cs="Times New Roman"/>
          <w:sz w:val="22"/>
          <w:szCs w:val="22"/>
          <w:lang w:val="es-MX"/>
        </w:rPr>
      </w:pPr>
    </w:p>
    <w:p w:rsidR="00D80411" w:rsidRPr="00557356" w:rsidRDefault="00D80411" w:rsidP="00D80411">
      <w:pPr>
        <w:pStyle w:val="Ttulo2"/>
        <w:numPr>
          <w:ilvl w:val="1"/>
          <w:numId w:val="11"/>
        </w:numPr>
        <w:spacing w:before="0"/>
        <w:rPr>
          <w:rFonts w:ascii="Times New Roman" w:hAnsi="Times New Roman" w:cs="Times New Roman"/>
          <w:color w:val="auto"/>
          <w:sz w:val="24"/>
        </w:rPr>
      </w:pPr>
      <w:bookmarkStart w:id="71" w:name="_Toc64025431"/>
      <w:r w:rsidRPr="00557356">
        <w:rPr>
          <w:rFonts w:ascii="Times New Roman" w:hAnsi="Times New Roman" w:cs="Times New Roman"/>
          <w:color w:val="auto"/>
          <w:sz w:val="24"/>
        </w:rPr>
        <w:t>Recaudación no tributaria</w:t>
      </w:r>
      <w:bookmarkEnd w:id="71"/>
    </w:p>
    <w:p w:rsidR="00D80411" w:rsidRDefault="00D80411" w:rsidP="00D80411">
      <w:pPr>
        <w:rPr>
          <w:rFonts w:ascii="Times New Roman" w:hAnsi="Times New Roman" w:cs="Times New Roman"/>
        </w:rPr>
      </w:pPr>
    </w:p>
    <w:p w:rsidR="00D80411" w:rsidRDefault="00D80411" w:rsidP="00D80411">
      <w:pPr>
        <w:jc w:val="both"/>
        <w:rPr>
          <w:rFonts w:ascii="Times New Roman" w:hAnsi="Times New Roman" w:cs="Times New Roman"/>
          <w:sz w:val="22"/>
          <w:szCs w:val="22"/>
        </w:rPr>
      </w:pPr>
      <w:r w:rsidRPr="00557356">
        <w:rPr>
          <w:rFonts w:ascii="Times New Roman" w:hAnsi="Times New Roman" w:cs="Times New Roman"/>
          <w:sz w:val="22"/>
          <w:szCs w:val="22"/>
        </w:rPr>
        <w:t>Los recursos que se perciben son de fuentes no impositivas, estos de igual manera que los ingresos tributarios se vieron afectados por la pandemia, el cierre preliminar del ejercicio denota que se dejó de percibir Q18</w:t>
      </w:r>
      <w:r>
        <w:rPr>
          <w:rFonts w:ascii="Times New Roman" w:hAnsi="Times New Roman" w:cs="Times New Roman"/>
          <w:sz w:val="22"/>
          <w:szCs w:val="22"/>
        </w:rPr>
        <w:t>5.5</w:t>
      </w:r>
      <w:r w:rsidRPr="00557356">
        <w:rPr>
          <w:rFonts w:ascii="Times New Roman" w:hAnsi="Times New Roman" w:cs="Times New Roman"/>
          <w:sz w:val="22"/>
          <w:szCs w:val="22"/>
        </w:rPr>
        <w:t xml:space="preserve"> millones, lo que significó una caída interanual de 4.</w:t>
      </w:r>
      <w:r>
        <w:rPr>
          <w:rFonts w:ascii="Times New Roman" w:hAnsi="Times New Roman" w:cs="Times New Roman"/>
          <w:sz w:val="22"/>
          <w:szCs w:val="22"/>
        </w:rPr>
        <w:t>7</w:t>
      </w:r>
      <w:r w:rsidRPr="00557356">
        <w:rPr>
          <w:rFonts w:ascii="Times New Roman" w:hAnsi="Times New Roman" w:cs="Times New Roman"/>
          <w:sz w:val="22"/>
          <w:szCs w:val="22"/>
        </w:rPr>
        <w:t>%, de manera mensual el comportamiento de estos ingresos fue errático, las contribuciones a la seguridad y previsión social  representan el 68% del total de ingresos no tributarios, seguido por los ingresos de tasas, derechos, arrendamientos, multas, intereses por mora y otros ingresos no tributarios que representan el 16% y la venta de bienes y servicios de la administración pública que conforman el 10%, el 6% restante está distribuido en rentas de la propiedad y transferencias corrientes.</w:t>
      </w:r>
    </w:p>
    <w:p w:rsidR="00D80411" w:rsidRDefault="00D80411" w:rsidP="00D80411">
      <w:pPr>
        <w:jc w:val="both"/>
        <w:rPr>
          <w:rFonts w:ascii="Times New Roman" w:hAnsi="Times New Roman" w:cs="Times New Roman"/>
          <w:sz w:val="22"/>
          <w:szCs w:val="22"/>
        </w:rPr>
      </w:pPr>
    </w:p>
    <w:p w:rsidR="00D80411" w:rsidRDefault="00D80411" w:rsidP="00D80411">
      <w:pPr>
        <w:jc w:val="both"/>
        <w:rPr>
          <w:rFonts w:ascii="Times New Roman" w:hAnsi="Times New Roman" w:cs="Times New Roman"/>
          <w:sz w:val="22"/>
          <w:szCs w:val="22"/>
        </w:rPr>
      </w:pPr>
    </w:p>
    <w:p w:rsidR="00D80411" w:rsidRPr="00557356" w:rsidRDefault="00D80411" w:rsidP="00D80411">
      <w:pPr>
        <w:jc w:val="both"/>
        <w:rPr>
          <w:rFonts w:ascii="Times New Roman" w:hAnsi="Times New Roman" w:cs="Times New Roman"/>
          <w:sz w:val="22"/>
          <w:szCs w:val="22"/>
        </w:rPr>
      </w:pPr>
      <w:r w:rsidRPr="00CF4EF0">
        <w:rPr>
          <w:rFonts w:ascii="Times New Roman" w:hAnsi="Times New Roman" w:cs="Times New Roman"/>
          <w:noProof/>
          <w:sz w:val="22"/>
          <w:lang w:val="es-ES"/>
        </w:rPr>
        <w:drawing>
          <wp:anchor distT="0" distB="0" distL="114300" distR="114300" simplePos="0" relativeHeight="251727872" behindDoc="0" locked="0" layoutInCell="1" allowOverlap="1" wp14:anchorId="347774E9" wp14:editId="65CCEEA0">
            <wp:simplePos x="0" y="0"/>
            <wp:positionH relativeFrom="column">
              <wp:posOffset>2521585</wp:posOffset>
            </wp:positionH>
            <wp:positionV relativeFrom="paragraph">
              <wp:posOffset>0</wp:posOffset>
            </wp:positionV>
            <wp:extent cx="3300730" cy="2233930"/>
            <wp:effectExtent l="0" t="0" r="0" b="0"/>
            <wp:wrapSquare wrapText="bothSides"/>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rsidR="00D80411" w:rsidRPr="00CF4EF0" w:rsidRDefault="00D80411" w:rsidP="00D80411">
      <w:pPr>
        <w:jc w:val="both"/>
        <w:rPr>
          <w:rFonts w:ascii="Times New Roman" w:hAnsi="Times New Roman" w:cs="Times New Roman"/>
          <w:sz w:val="22"/>
        </w:rPr>
      </w:pPr>
      <w:r w:rsidRPr="00CF4EF0">
        <w:rPr>
          <w:rFonts w:ascii="Times New Roman" w:hAnsi="Times New Roman" w:cs="Times New Roman"/>
          <w:sz w:val="22"/>
        </w:rPr>
        <w:t>En los resultados preliminares de 2020 sobresale que en el rubro de contribuciones a la seguridad y previsión social creció en 9.7% respecto a lo observado en 2019, monto menor al registrado en ese año cuando creció de manera interanual en 19%, la diferencia puede estar explicada por el aumento en la nómina que se dio en 2019.</w:t>
      </w:r>
    </w:p>
    <w:p w:rsidR="00D80411" w:rsidRDefault="00D80411" w:rsidP="00D80411">
      <w:pPr>
        <w:rPr>
          <w:rFonts w:ascii="Times New Roman" w:hAnsi="Times New Roman" w:cs="Times New Roman"/>
        </w:rPr>
      </w:pPr>
    </w:p>
    <w:p w:rsidR="00D80411" w:rsidRDefault="00D80411" w:rsidP="00D80411">
      <w:pPr>
        <w:rPr>
          <w:rFonts w:ascii="Times New Roman" w:hAnsi="Times New Roman" w:cs="Times New Roman"/>
        </w:rPr>
      </w:pPr>
    </w:p>
    <w:p w:rsidR="00D80411" w:rsidRDefault="00D80411" w:rsidP="00D80411">
      <w:pPr>
        <w:rPr>
          <w:rFonts w:ascii="Times New Roman" w:hAnsi="Times New Roman" w:cs="Times New Roman"/>
        </w:rPr>
      </w:pPr>
    </w:p>
    <w:p w:rsidR="0037418E" w:rsidRDefault="0037418E" w:rsidP="00D80411">
      <w:pPr>
        <w:rPr>
          <w:rFonts w:ascii="Times New Roman" w:hAnsi="Times New Roman" w:cs="Times New Roman"/>
        </w:rPr>
      </w:pPr>
    </w:p>
    <w:p w:rsidR="00D80411" w:rsidRPr="0037418E" w:rsidRDefault="00D80411" w:rsidP="00D80411">
      <w:pPr>
        <w:rPr>
          <w:rFonts w:ascii="Times New Roman" w:hAnsi="Times New Roman" w:cs="Times New Roman"/>
          <w:sz w:val="16"/>
        </w:rPr>
      </w:pPr>
    </w:p>
    <w:p w:rsidR="008C0B31" w:rsidRPr="004675CE" w:rsidRDefault="008C0B31" w:rsidP="006924C1">
      <w:pPr>
        <w:pStyle w:val="Prrafodelista"/>
        <w:numPr>
          <w:ilvl w:val="0"/>
          <w:numId w:val="1"/>
        </w:numPr>
        <w:ind w:left="426" w:hanging="426"/>
        <w:jc w:val="both"/>
        <w:outlineLvl w:val="0"/>
        <w:rPr>
          <w:rFonts w:ascii="Times New Roman" w:eastAsiaTheme="majorEastAsia" w:hAnsi="Times New Roman" w:cs="Times New Roman"/>
          <w:b/>
          <w:bCs/>
          <w:sz w:val="24"/>
          <w:szCs w:val="26"/>
          <w:lang w:val="es-ES_tradnl" w:eastAsia="es-ES"/>
        </w:rPr>
      </w:pPr>
      <w:bookmarkStart w:id="72" w:name="_Toc64025432"/>
      <w:r w:rsidRPr="004675CE">
        <w:rPr>
          <w:rFonts w:ascii="Times New Roman" w:eastAsiaTheme="majorEastAsia" w:hAnsi="Times New Roman" w:cs="Times New Roman"/>
          <w:b/>
          <w:bCs/>
          <w:sz w:val="24"/>
          <w:szCs w:val="26"/>
          <w:lang w:val="es-ES_tradnl" w:eastAsia="es-ES"/>
        </w:rPr>
        <w:t>Gasto Público</w:t>
      </w:r>
      <w:bookmarkEnd w:id="72"/>
    </w:p>
    <w:p w:rsidR="00770433" w:rsidRPr="004675CE" w:rsidRDefault="00770433" w:rsidP="00770433">
      <w:pPr>
        <w:pStyle w:val="Prrafodelista"/>
        <w:keepNext/>
        <w:keepLines/>
        <w:numPr>
          <w:ilvl w:val="0"/>
          <w:numId w:val="12"/>
        </w:numPr>
        <w:spacing w:before="200"/>
        <w:contextualSpacing w:val="0"/>
        <w:outlineLvl w:val="1"/>
        <w:rPr>
          <w:rFonts w:ascii="Times New Roman" w:eastAsiaTheme="majorEastAsia" w:hAnsi="Times New Roman" w:cs="Times New Roman"/>
          <w:b/>
          <w:bCs/>
          <w:vanish/>
          <w:sz w:val="24"/>
          <w:szCs w:val="26"/>
          <w:lang w:val="es-ES_tradnl" w:eastAsia="es-ES"/>
        </w:rPr>
      </w:pPr>
      <w:bookmarkStart w:id="73" w:name="_Toc471986932"/>
      <w:bookmarkStart w:id="74" w:name="_Toc471987067"/>
      <w:bookmarkStart w:id="75" w:name="_Toc471987115"/>
      <w:bookmarkStart w:id="76" w:name="_Toc471987137"/>
      <w:bookmarkStart w:id="77" w:name="_Toc472082165"/>
      <w:bookmarkStart w:id="78" w:name="_Toc472082197"/>
      <w:bookmarkStart w:id="79" w:name="_Toc472089913"/>
      <w:bookmarkStart w:id="80" w:name="_Toc472089936"/>
      <w:bookmarkStart w:id="81" w:name="_Toc505346063"/>
      <w:bookmarkStart w:id="82" w:name="_Toc505349878"/>
      <w:bookmarkStart w:id="83" w:name="_Toc534985836"/>
      <w:bookmarkStart w:id="84" w:name="_Toc534988229"/>
      <w:bookmarkStart w:id="85" w:name="_Toc31611549"/>
      <w:bookmarkStart w:id="86" w:name="_Toc31612768"/>
      <w:bookmarkStart w:id="87" w:name="_Toc31612800"/>
      <w:bookmarkStart w:id="88" w:name="_Toc31614826"/>
      <w:bookmarkStart w:id="89" w:name="_Toc31614858"/>
      <w:bookmarkStart w:id="90" w:name="_Toc31618695"/>
      <w:bookmarkStart w:id="91" w:name="_Toc31618728"/>
      <w:bookmarkStart w:id="92" w:name="_Toc31624504"/>
      <w:bookmarkStart w:id="93" w:name="_Toc62724055"/>
      <w:bookmarkStart w:id="94" w:name="_Toc62724118"/>
      <w:bookmarkStart w:id="95" w:name="_Toc62724202"/>
      <w:bookmarkStart w:id="96" w:name="_Toc62724276"/>
      <w:bookmarkStart w:id="97" w:name="_Toc64025433"/>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rsidR="00770433" w:rsidRPr="004675CE" w:rsidRDefault="00770433" w:rsidP="00770433">
      <w:pPr>
        <w:pStyle w:val="Prrafodelista"/>
        <w:keepNext/>
        <w:keepLines/>
        <w:numPr>
          <w:ilvl w:val="0"/>
          <w:numId w:val="12"/>
        </w:numPr>
        <w:spacing w:before="200"/>
        <w:contextualSpacing w:val="0"/>
        <w:outlineLvl w:val="1"/>
        <w:rPr>
          <w:rFonts w:ascii="Times New Roman" w:eastAsiaTheme="majorEastAsia" w:hAnsi="Times New Roman" w:cs="Times New Roman"/>
          <w:b/>
          <w:bCs/>
          <w:vanish/>
          <w:sz w:val="24"/>
          <w:szCs w:val="26"/>
          <w:lang w:val="es-ES_tradnl" w:eastAsia="es-ES"/>
        </w:rPr>
      </w:pPr>
      <w:bookmarkStart w:id="98" w:name="_Toc472082166"/>
      <w:bookmarkStart w:id="99" w:name="_Toc472082198"/>
      <w:bookmarkStart w:id="100" w:name="_Toc472089914"/>
      <w:bookmarkStart w:id="101" w:name="_Toc472089937"/>
      <w:bookmarkStart w:id="102" w:name="_Toc505346064"/>
      <w:bookmarkStart w:id="103" w:name="_Toc505349879"/>
      <w:bookmarkStart w:id="104" w:name="_Toc534985837"/>
      <w:bookmarkStart w:id="105" w:name="_Toc534988230"/>
      <w:bookmarkStart w:id="106" w:name="_Toc31611550"/>
      <w:bookmarkStart w:id="107" w:name="_Toc31612769"/>
      <w:bookmarkStart w:id="108" w:name="_Toc31612801"/>
      <w:bookmarkStart w:id="109" w:name="_Toc31614827"/>
      <w:bookmarkStart w:id="110" w:name="_Toc31614859"/>
      <w:bookmarkStart w:id="111" w:name="_Toc31618696"/>
      <w:bookmarkStart w:id="112" w:name="_Toc31618729"/>
      <w:bookmarkStart w:id="113" w:name="_Toc31624505"/>
      <w:bookmarkStart w:id="114" w:name="_Toc62724056"/>
      <w:bookmarkStart w:id="115" w:name="_Toc62724119"/>
      <w:bookmarkStart w:id="116" w:name="_Toc62724203"/>
      <w:bookmarkStart w:id="117" w:name="_Toc62724277"/>
      <w:bookmarkStart w:id="118" w:name="_Toc64025434"/>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rsidR="000B5E1C" w:rsidRPr="00443624" w:rsidRDefault="004675CE" w:rsidP="006924C1">
      <w:pPr>
        <w:pStyle w:val="Ttulo2"/>
        <w:numPr>
          <w:ilvl w:val="1"/>
          <w:numId w:val="12"/>
        </w:numPr>
        <w:ind w:left="567"/>
        <w:rPr>
          <w:rFonts w:ascii="Times New Roman" w:hAnsi="Times New Roman" w:cs="Times New Roman"/>
          <w:color w:val="FF0000"/>
          <w:sz w:val="24"/>
        </w:rPr>
      </w:pPr>
      <w:bookmarkStart w:id="119" w:name="_Toc64025435"/>
      <w:r w:rsidRPr="004675CE">
        <w:rPr>
          <w:rFonts w:ascii="Times New Roman" w:hAnsi="Times New Roman" w:cs="Times New Roman"/>
          <w:color w:val="auto"/>
          <w:sz w:val="24"/>
        </w:rPr>
        <w:t>La no a</w:t>
      </w:r>
      <w:r w:rsidR="006924C1" w:rsidRPr="004675CE">
        <w:rPr>
          <w:rFonts w:ascii="Times New Roman" w:hAnsi="Times New Roman" w:cs="Times New Roman"/>
          <w:color w:val="auto"/>
          <w:sz w:val="24"/>
        </w:rPr>
        <w:t xml:space="preserve">probación del presupuesto </w:t>
      </w:r>
      <w:r w:rsidRPr="004675CE">
        <w:rPr>
          <w:rFonts w:ascii="Times New Roman" w:hAnsi="Times New Roman" w:cs="Times New Roman"/>
          <w:color w:val="auto"/>
          <w:sz w:val="24"/>
        </w:rPr>
        <w:t>complica</w:t>
      </w:r>
      <w:r w:rsidR="006924C1" w:rsidRPr="004675CE">
        <w:rPr>
          <w:rFonts w:ascii="Times New Roman" w:hAnsi="Times New Roman" w:cs="Times New Roman"/>
          <w:color w:val="auto"/>
          <w:sz w:val="24"/>
        </w:rPr>
        <w:t xml:space="preserve"> la ejecución de gasto</w:t>
      </w:r>
      <w:r w:rsidRPr="004675CE">
        <w:rPr>
          <w:rFonts w:ascii="Times New Roman" w:hAnsi="Times New Roman" w:cs="Times New Roman"/>
          <w:color w:val="auto"/>
          <w:sz w:val="24"/>
        </w:rPr>
        <w:t xml:space="preserve"> público en los primeros meses de 2020</w:t>
      </w:r>
      <w:bookmarkEnd w:id="119"/>
      <w:r w:rsidR="006924C1" w:rsidRPr="00443624">
        <w:rPr>
          <w:rFonts w:ascii="Times New Roman" w:hAnsi="Times New Roman" w:cs="Times New Roman"/>
          <w:color w:val="FF0000"/>
          <w:sz w:val="24"/>
        </w:rPr>
        <w:t xml:space="preserve"> </w:t>
      </w:r>
    </w:p>
    <w:p w:rsidR="000B5E1C" w:rsidRPr="00443624" w:rsidRDefault="000B5E1C" w:rsidP="000B5E1C">
      <w:pPr>
        <w:pStyle w:val="Sinespaciado"/>
        <w:jc w:val="both"/>
        <w:rPr>
          <w:rFonts w:ascii="Times New Roman" w:hAnsi="Times New Roman" w:cs="Times New Roman"/>
          <w:color w:val="FF0000"/>
          <w:lang w:val="es-ES_tradnl"/>
        </w:rPr>
      </w:pPr>
    </w:p>
    <w:p w:rsidR="006924C1" w:rsidRPr="009273D9" w:rsidRDefault="009273D9" w:rsidP="006924C1">
      <w:pPr>
        <w:jc w:val="both"/>
        <w:rPr>
          <w:rFonts w:ascii="Times New Roman" w:hAnsi="Times New Roman" w:cs="Times New Roman"/>
          <w:sz w:val="22"/>
          <w:szCs w:val="22"/>
        </w:rPr>
      </w:pPr>
      <w:r w:rsidRPr="009273D9">
        <w:rPr>
          <w:rFonts w:ascii="Times New Roman" w:hAnsi="Times New Roman" w:cs="Times New Roman"/>
          <w:sz w:val="22"/>
          <w:szCs w:val="22"/>
        </w:rPr>
        <w:t>En los últimos 21 años, en 6 oportunidades no ha sido aprobado el presupuesto del Estado por parte del Congreso de la República. El 2020 dio inicio con una nueva administración pública y un presupuesto que no fue aprobado, lo cual afectó el arranque de la administración, algo que no ocurría desde 2004, cuando la Gran Alianza Nacional (GANA) también arranco su administración sin contar con un presupuesto aprobado.</w:t>
      </w:r>
    </w:p>
    <w:p w:rsidR="009273D9" w:rsidRPr="009273D9" w:rsidRDefault="009273D9" w:rsidP="006924C1">
      <w:pPr>
        <w:jc w:val="both"/>
        <w:rPr>
          <w:rFonts w:ascii="Times New Roman" w:hAnsi="Times New Roman" w:cs="Times New Roman"/>
          <w:sz w:val="22"/>
          <w:szCs w:val="22"/>
        </w:rPr>
      </w:pPr>
    </w:p>
    <w:p w:rsidR="009273D9" w:rsidRPr="00B228D4" w:rsidRDefault="009273D9" w:rsidP="00B228D4">
      <w:pPr>
        <w:pStyle w:val="Sinespaciado"/>
        <w:jc w:val="center"/>
        <w:rPr>
          <w:rFonts w:ascii="Times New Roman" w:hAnsi="Times New Roman" w:cs="Times New Roman"/>
          <w:b/>
        </w:rPr>
      </w:pPr>
      <w:r w:rsidRPr="009273D9">
        <w:rPr>
          <w:rFonts w:ascii="Times New Roman" w:hAnsi="Times New Roman" w:cs="Times New Roman"/>
          <w:b/>
        </w:rPr>
        <w:t>Proyectos de Presupuesto General de Ingresos y Egresos aprobados/no aprob</w:t>
      </w:r>
      <w:r w:rsidR="00B228D4">
        <w:rPr>
          <w:rFonts w:ascii="Times New Roman" w:hAnsi="Times New Roman" w:cs="Times New Roman"/>
          <w:b/>
        </w:rPr>
        <w:t xml:space="preserve">ados por Administración Pública   </w:t>
      </w:r>
      <w:r w:rsidRPr="00B228D4">
        <w:rPr>
          <w:rFonts w:ascii="Times New Roman" w:hAnsi="Times New Roman" w:cs="Times New Roman"/>
          <w:b/>
        </w:rPr>
        <w:t>2004 – 2020</w:t>
      </w:r>
    </w:p>
    <w:p w:rsidR="009273D9" w:rsidRPr="009273D9" w:rsidRDefault="009273D9" w:rsidP="009273D9">
      <w:pPr>
        <w:pStyle w:val="Sinespaciado"/>
        <w:jc w:val="center"/>
        <w:rPr>
          <w:rFonts w:ascii="Times New Roman" w:hAnsi="Times New Roman" w:cs="Times New Roman"/>
          <w:sz w:val="20"/>
        </w:rPr>
      </w:pPr>
      <w:r w:rsidRPr="009273D9">
        <w:rPr>
          <w:rFonts w:ascii="Times New Roman" w:hAnsi="Times New Roman" w:cs="Times New Roman"/>
          <w:sz w:val="20"/>
        </w:rPr>
        <w:t>-Millones de quetzales y porcentajes-</w:t>
      </w:r>
    </w:p>
    <w:tbl>
      <w:tblPr>
        <w:tblpPr w:leftFromText="141" w:rightFromText="141" w:vertAnchor="text" w:horzAnchor="margin" w:tblpXSpec="center" w:tblpY="107"/>
        <w:tblW w:w="7709" w:type="dxa"/>
        <w:tblCellMar>
          <w:left w:w="70" w:type="dxa"/>
          <w:right w:w="70" w:type="dxa"/>
        </w:tblCellMar>
        <w:tblLook w:val="04A0" w:firstRow="1" w:lastRow="0" w:firstColumn="1" w:lastColumn="0" w:noHBand="0" w:noVBand="1"/>
      </w:tblPr>
      <w:tblGrid>
        <w:gridCol w:w="979"/>
        <w:gridCol w:w="2529"/>
        <w:gridCol w:w="4201"/>
      </w:tblGrid>
      <w:tr w:rsidR="009273D9" w:rsidRPr="00B161F8" w:rsidTr="009273D9">
        <w:trPr>
          <w:trHeight w:val="336"/>
        </w:trPr>
        <w:tc>
          <w:tcPr>
            <w:tcW w:w="97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b/>
                <w:bCs/>
                <w:color w:val="000000"/>
                <w:sz w:val="20"/>
                <w:szCs w:val="22"/>
                <w:lang w:eastAsia="es-GT"/>
              </w:rPr>
            </w:pPr>
            <w:r w:rsidRPr="00B161F8">
              <w:rPr>
                <w:rFonts w:ascii="Times New Roman" w:eastAsia="Times New Roman" w:hAnsi="Times New Roman" w:cs="Times New Roman"/>
                <w:b/>
                <w:bCs/>
                <w:color w:val="000000"/>
                <w:sz w:val="20"/>
                <w:szCs w:val="22"/>
                <w:lang w:eastAsia="es-GT"/>
              </w:rPr>
              <w:lastRenderedPageBreak/>
              <w:t>Año</w:t>
            </w:r>
          </w:p>
        </w:tc>
        <w:tc>
          <w:tcPr>
            <w:tcW w:w="2529" w:type="dxa"/>
            <w:tcBorders>
              <w:top w:val="single" w:sz="8" w:space="0" w:color="auto"/>
              <w:left w:val="nil"/>
              <w:bottom w:val="single" w:sz="8" w:space="0" w:color="auto"/>
              <w:right w:val="nil"/>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b/>
                <w:bCs/>
                <w:color w:val="000000"/>
                <w:sz w:val="20"/>
                <w:szCs w:val="22"/>
                <w:lang w:eastAsia="es-GT"/>
              </w:rPr>
            </w:pPr>
            <w:r w:rsidRPr="00B161F8">
              <w:rPr>
                <w:rFonts w:ascii="Times New Roman" w:eastAsia="Times New Roman" w:hAnsi="Times New Roman" w:cs="Times New Roman"/>
                <w:b/>
                <w:bCs/>
                <w:color w:val="000000"/>
                <w:sz w:val="20"/>
                <w:szCs w:val="22"/>
                <w:lang w:eastAsia="es-GT"/>
              </w:rPr>
              <w:t>Proyecto de presupuesto</w:t>
            </w:r>
          </w:p>
        </w:tc>
        <w:tc>
          <w:tcPr>
            <w:tcW w:w="4201"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b/>
                <w:bCs/>
                <w:color w:val="000000"/>
                <w:sz w:val="20"/>
                <w:szCs w:val="22"/>
                <w:lang w:eastAsia="es-GT"/>
              </w:rPr>
            </w:pPr>
            <w:r w:rsidRPr="00B161F8">
              <w:rPr>
                <w:rFonts w:ascii="Times New Roman" w:eastAsia="Times New Roman" w:hAnsi="Times New Roman" w:cs="Times New Roman"/>
                <w:b/>
                <w:bCs/>
                <w:color w:val="000000"/>
                <w:sz w:val="20"/>
                <w:szCs w:val="22"/>
                <w:lang w:eastAsia="es-GT"/>
              </w:rPr>
              <w:t>Administración</w:t>
            </w:r>
          </w:p>
        </w:tc>
      </w:tr>
      <w:tr w:rsidR="009273D9" w:rsidRPr="00B161F8" w:rsidTr="00B161F8">
        <w:trPr>
          <w:trHeight w:val="199"/>
        </w:trPr>
        <w:tc>
          <w:tcPr>
            <w:tcW w:w="979" w:type="dxa"/>
            <w:tcBorders>
              <w:top w:val="nil"/>
              <w:left w:val="single" w:sz="8" w:space="0" w:color="auto"/>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2004</w:t>
            </w:r>
          </w:p>
        </w:tc>
        <w:tc>
          <w:tcPr>
            <w:tcW w:w="2529" w:type="dxa"/>
            <w:tcBorders>
              <w:top w:val="nil"/>
              <w:left w:val="nil"/>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NO APROBADO</w:t>
            </w:r>
          </w:p>
        </w:tc>
        <w:tc>
          <w:tcPr>
            <w:tcW w:w="4201" w:type="dxa"/>
            <w:tcBorders>
              <w:top w:val="nil"/>
              <w:left w:val="nil"/>
              <w:bottom w:val="nil"/>
              <w:right w:val="single" w:sz="8"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Gran Alianza Nacional (GANA)</w:t>
            </w:r>
          </w:p>
        </w:tc>
      </w:tr>
      <w:tr w:rsidR="009273D9" w:rsidRPr="00B161F8" w:rsidTr="00B161F8">
        <w:trPr>
          <w:trHeight w:val="252"/>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2005</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Gran Alianza Nacional (GANA)</w:t>
            </w:r>
          </w:p>
        </w:tc>
      </w:tr>
      <w:tr w:rsidR="009273D9" w:rsidRPr="00B161F8" w:rsidTr="00B161F8">
        <w:trPr>
          <w:trHeight w:val="128"/>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2006</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Gran Alianza Nacional (GANA)</w:t>
            </w:r>
          </w:p>
        </w:tc>
      </w:tr>
      <w:tr w:rsidR="009273D9" w:rsidRPr="00B161F8" w:rsidTr="00B161F8">
        <w:trPr>
          <w:trHeight w:val="188"/>
        </w:trPr>
        <w:tc>
          <w:tcPr>
            <w:tcW w:w="979" w:type="dxa"/>
            <w:tcBorders>
              <w:top w:val="nil"/>
              <w:left w:val="single" w:sz="8" w:space="0" w:color="auto"/>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2007</w:t>
            </w:r>
          </w:p>
        </w:tc>
        <w:tc>
          <w:tcPr>
            <w:tcW w:w="2529" w:type="dxa"/>
            <w:tcBorders>
              <w:top w:val="nil"/>
              <w:left w:val="nil"/>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NO APROBADO</w:t>
            </w:r>
          </w:p>
        </w:tc>
        <w:tc>
          <w:tcPr>
            <w:tcW w:w="4201" w:type="dxa"/>
            <w:tcBorders>
              <w:top w:val="nil"/>
              <w:left w:val="nil"/>
              <w:bottom w:val="nil"/>
              <w:right w:val="single" w:sz="8"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Gran Alianza Nacional (GANA)</w:t>
            </w:r>
          </w:p>
        </w:tc>
      </w:tr>
      <w:tr w:rsidR="009273D9" w:rsidRPr="00B161F8" w:rsidTr="00B161F8">
        <w:trPr>
          <w:trHeight w:val="248"/>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2008</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Unidad Nacional de la Esperanza (UNE)</w:t>
            </w:r>
          </w:p>
        </w:tc>
      </w:tr>
      <w:tr w:rsidR="009273D9" w:rsidRPr="00B161F8" w:rsidTr="00B161F8">
        <w:trPr>
          <w:trHeight w:val="279"/>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2009</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Unidad Nacional de la Esperanza (UNE)</w:t>
            </w:r>
          </w:p>
        </w:tc>
      </w:tr>
      <w:tr w:rsidR="009273D9" w:rsidRPr="00B161F8" w:rsidTr="00B161F8">
        <w:trPr>
          <w:trHeight w:val="284"/>
        </w:trPr>
        <w:tc>
          <w:tcPr>
            <w:tcW w:w="979" w:type="dxa"/>
            <w:tcBorders>
              <w:top w:val="nil"/>
              <w:left w:val="single" w:sz="8" w:space="0" w:color="auto"/>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2010</w:t>
            </w:r>
          </w:p>
        </w:tc>
        <w:tc>
          <w:tcPr>
            <w:tcW w:w="2529" w:type="dxa"/>
            <w:tcBorders>
              <w:top w:val="nil"/>
              <w:left w:val="nil"/>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NO APROBADO</w:t>
            </w:r>
          </w:p>
        </w:tc>
        <w:tc>
          <w:tcPr>
            <w:tcW w:w="4201" w:type="dxa"/>
            <w:tcBorders>
              <w:top w:val="nil"/>
              <w:left w:val="nil"/>
              <w:bottom w:val="nil"/>
              <w:right w:val="single" w:sz="8"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Unidad Nacional de la Esperanza (UNE)</w:t>
            </w:r>
          </w:p>
        </w:tc>
      </w:tr>
      <w:tr w:rsidR="009273D9" w:rsidRPr="00B161F8" w:rsidTr="00B228D4">
        <w:trPr>
          <w:trHeight w:val="145"/>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2011</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Unidad Nacional de la Esperanza (UNE)</w:t>
            </w:r>
          </w:p>
        </w:tc>
      </w:tr>
      <w:tr w:rsidR="009273D9" w:rsidRPr="00B161F8" w:rsidTr="00B228D4">
        <w:trPr>
          <w:trHeight w:val="192"/>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2012</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Partido Patriota (PP)</w:t>
            </w:r>
          </w:p>
        </w:tc>
      </w:tr>
      <w:tr w:rsidR="009273D9" w:rsidRPr="00B161F8" w:rsidTr="00B228D4">
        <w:trPr>
          <w:trHeight w:val="238"/>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2013</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Partido Patriota (PP)</w:t>
            </w:r>
          </w:p>
        </w:tc>
      </w:tr>
      <w:tr w:rsidR="009273D9" w:rsidRPr="00B161F8" w:rsidTr="00B228D4">
        <w:trPr>
          <w:trHeight w:val="284"/>
        </w:trPr>
        <w:tc>
          <w:tcPr>
            <w:tcW w:w="979" w:type="dxa"/>
            <w:tcBorders>
              <w:top w:val="nil"/>
              <w:left w:val="single" w:sz="8" w:space="0" w:color="auto"/>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2014</w:t>
            </w:r>
          </w:p>
        </w:tc>
        <w:tc>
          <w:tcPr>
            <w:tcW w:w="2529" w:type="dxa"/>
            <w:tcBorders>
              <w:top w:val="nil"/>
              <w:left w:val="nil"/>
              <w:bottom w:val="nil"/>
              <w:right w:val="nil"/>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NO APROBADO</w:t>
            </w:r>
          </w:p>
        </w:tc>
        <w:tc>
          <w:tcPr>
            <w:tcW w:w="4201" w:type="dxa"/>
            <w:tcBorders>
              <w:top w:val="nil"/>
              <w:left w:val="single" w:sz="4" w:space="0" w:color="auto"/>
              <w:bottom w:val="nil"/>
              <w:right w:val="single" w:sz="8"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Partido Patriota (PP)</w:t>
            </w:r>
          </w:p>
        </w:tc>
      </w:tr>
      <w:tr w:rsidR="009273D9" w:rsidRPr="00B161F8" w:rsidTr="00B228D4">
        <w:trPr>
          <w:trHeight w:val="160"/>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2015</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Partido Patriota (PP)</w:t>
            </w:r>
          </w:p>
        </w:tc>
      </w:tr>
      <w:tr w:rsidR="009273D9" w:rsidRPr="00B161F8" w:rsidTr="00B228D4">
        <w:trPr>
          <w:trHeight w:val="206"/>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2016</w:t>
            </w:r>
          </w:p>
        </w:tc>
        <w:tc>
          <w:tcPr>
            <w:tcW w:w="2529" w:type="dxa"/>
            <w:tcBorders>
              <w:top w:val="nil"/>
              <w:left w:val="nil"/>
              <w:bottom w:val="nil"/>
              <w:right w:val="nil"/>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single" w:sz="4" w:space="0" w:color="auto"/>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Frente de Convergencia Nacional (FCN)</w:t>
            </w:r>
          </w:p>
        </w:tc>
      </w:tr>
      <w:tr w:rsidR="009273D9" w:rsidRPr="00B161F8" w:rsidTr="00B228D4">
        <w:trPr>
          <w:trHeight w:val="266"/>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2017</w:t>
            </w:r>
          </w:p>
        </w:tc>
        <w:tc>
          <w:tcPr>
            <w:tcW w:w="2529" w:type="dxa"/>
            <w:tcBorders>
              <w:top w:val="nil"/>
              <w:left w:val="nil"/>
              <w:bottom w:val="nil"/>
              <w:right w:val="nil"/>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single" w:sz="4" w:space="0" w:color="auto"/>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Frente de Convergencia Nacional (FCN)</w:t>
            </w:r>
          </w:p>
        </w:tc>
      </w:tr>
      <w:tr w:rsidR="009273D9" w:rsidRPr="00B161F8" w:rsidTr="00B228D4">
        <w:trPr>
          <w:trHeight w:val="283"/>
        </w:trPr>
        <w:tc>
          <w:tcPr>
            <w:tcW w:w="979" w:type="dxa"/>
            <w:tcBorders>
              <w:top w:val="nil"/>
              <w:left w:val="single" w:sz="8" w:space="0" w:color="auto"/>
              <w:bottom w:val="nil"/>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2018</w:t>
            </w:r>
          </w:p>
        </w:tc>
        <w:tc>
          <w:tcPr>
            <w:tcW w:w="2529" w:type="dxa"/>
            <w:tcBorders>
              <w:top w:val="nil"/>
              <w:left w:val="nil"/>
              <w:bottom w:val="nil"/>
              <w:right w:val="nil"/>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NO APROBADO</w:t>
            </w:r>
          </w:p>
        </w:tc>
        <w:tc>
          <w:tcPr>
            <w:tcW w:w="4201" w:type="dxa"/>
            <w:tcBorders>
              <w:top w:val="nil"/>
              <w:left w:val="single" w:sz="4" w:space="0" w:color="auto"/>
              <w:bottom w:val="nil"/>
              <w:right w:val="single" w:sz="8"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Frente de Convergencia Nacional (FCN)</w:t>
            </w:r>
          </w:p>
        </w:tc>
      </w:tr>
      <w:tr w:rsidR="009273D9" w:rsidRPr="00B161F8" w:rsidTr="00B228D4">
        <w:trPr>
          <w:trHeight w:val="274"/>
        </w:trPr>
        <w:tc>
          <w:tcPr>
            <w:tcW w:w="979" w:type="dxa"/>
            <w:tcBorders>
              <w:top w:val="nil"/>
              <w:left w:val="single" w:sz="8" w:space="0" w:color="auto"/>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2019</w:t>
            </w:r>
          </w:p>
        </w:tc>
        <w:tc>
          <w:tcPr>
            <w:tcW w:w="2529" w:type="dxa"/>
            <w:tcBorders>
              <w:top w:val="nil"/>
              <w:left w:val="nil"/>
              <w:bottom w:val="nil"/>
              <w:right w:val="single" w:sz="4"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APROBADO</w:t>
            </w:r>
          </w:p>
        </w:tc>
        <w:tc>
          <w:tcPr>
            <w:tcW w:w="4201" w:type="dxa"/>
            <w:tcBorders>
              <w:top w:val="nil"/>
              <w:left w:val="nil"/>
              <w:bottom w:val="nil"/>
              <w:right w:val="single" w:sz="8" w:space="0" w:color="auto"/>
            </w:tcBorders>
            <w:shd w:val="clear" w:color="auto" w:fill="auto"/>
            <w:noWrap/>
            <w:vAlign w:val="center"/>
            <w:hideMark/>
          </w:tcPr>
          <w:p w:rsidR="009273D9" w:rsidRPr="00B161F8" w:rsidRDefault="009273D9" w:rsidP="00B63DA6">
            <w:pPr>
              <w:jc w:val="center"/>
              <w:rPr>
                <w:rFonts w:ascii="Times New Roman" w:eastAsia="Times New Roman" w:hAnsi="Times New Roman" w:cs="Times New Roman"/>
                <w:color w:val="000000"/>
                <w:sz w:val="20"/>
                <w:szCs w:val="22"/>
                <w:lang w:eastAsia="es-GT"/>
              </w:rPr>
            </w:pPr>
            <w:r w:rsidRPr="00B161F8">
              <w:rPr>
                <w:rFonts w:ascii="Times New Roman" w:eastAsia="Times New Roman" w:hAnsi="Times New Roman" w:cs="Times New Roman"/>
                <w:color w:val="000000"/>
                <w:sz w:val="20"/>
                <w:szCs w:val="22"/>
                <w:lang w:eastAsia="es-GT"/>
              </w:rPr>
              <w:t>Frente de Convergencia Nacional (FCN)</w:t>
            </w:r>
          </w:p>
        </w:tc>
      </w:tr>
      <w:tr w:rsidR="009273D9" w:rsidRPr="00B161F8" w:rsidTr="00B228D4">
        <w:trPr>
          <w:trHeight w:val="135"/>
        </w:trPr>
        <w:tc>
          <w:tcPr>
            <w:tcW w:w="979" w:type="dxa"/>
            <w:tcBorders>
              <w:top w:val="nil"/>
              <w:left w:val="single" w:sz="8" w:space="0" w:color="auto"/>
              <w:bottom w:val="single" w:sz="8" w:space="0" w:color="auto"/>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2020</w:t>
            </w:r>
          </w:p>
        </w:tc>
        <w:tc>
          <w:tcPr>
            <w:tcW w:w="2529" w:type="dxa"/>
            <w:tcBorders>
              <w:top w:val="nil"/>
              <w:left w:val="nil"/>
              <w:bottom w:val="single" w:sz="8" w:space="0" w:color="auto"/>
              <w:right w:val="single" w:sz="4"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NO APROBADO</w:t>
            </w:r>
          </w:p>
        </w:tc>
        <w:tc>
          <w:tcPr>
            <w:tcW w:w="4201" w:type="dxa"/>
            <w:tcBorders>
              <w:top w:val="nil"/>
              <w:left w:val="nil"/>
              <w:bottom w:val="single" w:sz="8" w:space="0" w:color="auto"/>
              <w:right w:val="single" w:sz="8" w:space="0" w:color="auto"/>
            </w:tcBorders>
            <w:shd w:val="clear" w:color="auto" w:fill="244061" w:themeFill="accent1" w:themeFillShade="80"/>
            <w:noWrap/>
            <w:vAlign w:val="center"/>
            <w:hideMark/>
          </w:tcPr>
          <w:p w:rsidR="009273D9" w:rsidRPr="00B161F8" w:rsidRDefault="009273D9" w:rsidP="00B63DA6">
            <w:pPr>
              <w:jc w:val="center"/>
              <w:rPr>
                <w:rFonts w:ascii="Times New Roman" w:eastAsia="Times New Roman" w:hAnsi="Times New Roman" w:cs="Times New Roman"/>
                <w:b/>
                <w:bCs/>
                <w:color w:val="FFFFFF"/>
                <w:sz w:val="20"/>
                <w:szCs w:val="22"/>
                <w:lang w:eastAsia="es-GT"/>
              </w:rPr>
            </w:pPr>
            <w:r w:rsidRPr="00B161F8">
              <w:rPr>
                <w:rFonts w:ascii="Times New Roman" w:eastAsia="Times New Roman" w:hAnsi="Times New Roman" w:cs="Times New Roman"/>
                <w:b/>
                <w:bCs/>
                <w:color w:val="FFFFFF"/>
                <w:sz w:val="20"/>
                <w:szCs w:val="22"/>
                <w:lang w:eastAsia="es-GT"/>
              </w:rPr>
              <w:t>Partido VAMOS</w:t>
            </w:r>
          </w:p>
        </w:tc>
      </w:tr>
    </w:tbl>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pStyle w:val="Sinespaciado"/>
        <w:jc w:val="both"/>
        <w:rPr>
          <w:rFonts w:ascii="Times New Roman" w:hAnsi="Times New Roman" w:cs="Times New Roman"/>
        </w:rPr>
      </w:pPr>
      <w:r w:rsidRPr="009273D9">
        <w:rPr>
          <w:rFonts w:ascii="Times New Roman" w:hAnsi="Times New Roman" w:cs="Times New Roman"/>
        </w:rPr>
        <w:t xml:space="preserve"> </w:t>
      </w:r>
    </w:p>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pStyle w:val="Sinespaciado"/>
        <w:jc w:val="both"/>
        <w:rPr>
          <w:rFonts w:ascii="Times New Roman" w:hAnsi="Times New Roman" w:cs="Times New Roman"/>
        </w:rPr>
      </w:pPr>
    </w:p>
    <w:p w:rsidR="009273D9" w:rsidRPr="009273D9" w:rsidRDefault="009273D9" w:rsidP="009273D9">
      <w:pPr>
        <w:rPr>
          <w:rFonts w:ascii="Times New Roman" w:hAnsi="Times New Roman" w:cs="Times New Roman"/>
          <w:b/>
          <w:sz w:val="22"/>
          <w:szCs w:val="22"/>
        </w:rPr>
      </w:pPr>
    </w:p>
    <w:p w:rsidR="009273D9" w:rsidRPr="009273D9" w:rsidRDefault="009273D9" w:rsidP="009273D9">
      <w:pPr>
        <w:rPr>
          <w:rFonts w:ascii="Times New Roman" w:hAnsi="Times New Roman" w:cs="Times New Roman"/>
          <w:b/>
          <w:sz w:val="22"/>
          <w:szCs w:val="22"/>
        </w:rPr>
      </w:pPr>
    </w:p>
    <w:p w:rsidR="009273D9" w:rsidRPr="009273D9" w:rsidRDefault="009273D9" w:rsidP="009273D9">
      <w:pPr>
        <w:rPr>
          <w:rFonts w:ascii="Times New Roman" w:hAnsi="Times New Roman" w:cs="Times New Roman"/>
          <w:b/>
          <w:sz w:val="22"/>
          <w:szCs w:val="22"/>
        </w:rPr>
      </w:pPr>
    </w:p>
    <w:p w:rsidR="009273D9" w:rsidRPr="009273D9" w:rsidRDefault="009273D9" w:rsidP="009273D9">
      <w:pPr>
        <w:rPr>
          <w:rFonts w:ascii="Times New Roman" w:hAnsi="Times New Roman" w:cs="Times New Roman"/>
          <w:b/>
          <w:sz w:val="22"/>
          <w:szCs w:val="22"/>
        </w:rPr>
      </w:pPr>
    </w:p>
    <w:p w:rsidR="009273D9" w:rsidRPr="009273D9" w:rsidRDefault="009273D9" w:rsidP="009273D9">
      <w:pPr>
        <w:rPr>
          <w:rFonts w:ascii="Times New Roman" w:hAnsi="Times New Roman" w:cs="Times New Roman"/>
          <w:b/>
          <w:sz w:val="22"/>
          <w:szCs w:val="22"/>
        </w:rPr>
      </w:pPr>
    </w:p>
    <w:p w:rsidR="009273D9" w:rsidRPr="009273D9" w:rsidRDefault="009273D9" w:rsidP="009273D9">
      <w:pPr>
        <w:rPr>
          <w:rFonts w:ascii="Times New Roman" w:hAnsi="Times New Roman" w:cs="Times New Roman"/>
          <w:b/>
          <w:sz w:val="22"/>
          <w:szCs w:val="22"/>
        </w:rPr>
      </w:pPr>
    </w:p>
    <w:p w:rsidR="009273D9" w:rsidRDefault="009273D9" w:rsidP="009273D9">
      <w:pPr>
        <w:rPr>
          <w:rFonts w:ascii="Times New Roman" w:hAnsi="Times New Roman" w:cs="Times New Roman"/>
          <w:b/>
          <w:sz w:val="22"/>
          <w:szCs w:val="22"/>
        </w:rPr>
      </w:pPr>
    </w:p>
    <w:p w:rsidR="009273D9" w:rsidRDefault="009273D9" w:rsidP="009273D9">
      <w:pPr>
        <w:rPr>
          <w:rFonts w:ascii="Times New Roman" w:hAnsi="Times New Roman" w:cs="Times New Roman"/>
          <w:b/>
          <w:sz w:val="22"/>
          <w:szCs w:val="22"/>
        </w:rPr>
      </w:pPr>
    </w:p>
    <w:p w:rsidR="009273D9" w:rsidRDefault="009273D9" w:rsidP="009273D9">
      <w:pPr>
        <w:rPr>
          <w:rFonts w:ascii="Times New Roman" w:hAnsi="Times New Roman" w:cs="Times New Roman"/>
          <w:b/>
          <w:sz w:val="22"/>
          <w:szCs w:val="22"/>
        </w:rPr>
      </w:pPr>
    </w:p>
    <w:p w:rsidR="009273D9" w:rsidRDefault="009273D9" w:rsidP="009273D9">
      <w:pPr>
        <w:rPr>
          <w:rFonts w:ascii="Times New Roman" w:hAnsi="Times New Roman" w:cs="Times New Roman"/>
          <w:b/>
          <w:sz w:val="22"/>
          <w:szCs w:val="22"/>
        </w:rPr>
      </w:pPr>
    </w:p>
    <w:p w:rsidR="009273D9" w:rsidRPr="009273D9" w:rsidRDefault="009273D9" w:rsidP="00017674">
      <w:pPr>
        <w:ind w:firstLine="708"/>
        <w:jc w:val="both"/>
        <w:rPr>
          <w:rFonts w:ascii="Times New Roman" w:hAnsi="Times New Roman" w:cs="Times New Roman"/>
          <w:sz w:val="16"/>
          <w:szCs w:val="16"/>
        </w:rPr>
      </w:pPr>
      <w:r w:rsidRPr="009273D9">
        <w:rPr>
          <w:rFonts w:ascii="Times New Roman" w:hAnsi="Times New Roman" w:cs="Times New Roman"/>
          <w:sz w:val="16"/>
          <w:szCs w:val="16"/>
        </w:rPr>
        <w:t xml:space="preserve">Fuente: </w:t>
      </w:r>
      <w:r w:rsidR="00E6627E">
        <w:rPr>
          <w:rFonts w:ascii="Times New Roman" w:hAnsi="Times New Roman" w:cs="Times New Roman"/>
          <w:sz w:val="16"/>
          <w:szCs w:val="16"/>
        </w:rPr>
        <w:t>Dirección de Análisis y Política Fiscal</w:t>
      </w:r>
      <w:r w:rsidR="00017674">
        <w:rPr>
          <w:rFonts w:ascii="Times New Roman" w:hAnsi="Times New Roman" w:cs="Times New Roman"/>
          <w:sz w:val="16"/>
          <w:szCs w:val="16"/>
        </w:rPr>
        <w:t>.</w:t>
      </w:r>
    </w:p>
    <w:p w:rsidR="009273D9" w:rsidRPr="009273D9" w:rsidRDefault="009273D9" w:rsidP="009273D9">
      <w:pPr>
        <w:jc w:val="both"/>
        <w:rPr>
          <w:rFonts w:ascii="Times New Roman" w:hAnsi="Times New Roman" w:cs="Times New Roman"/>
          <w:b/>
          <w:sz w:val="22"/>
          <w:szCs w:val="22"/>
        </w:rPr>
      </w:pPr>
    </w:p>
    <w:p w:rsidR="009273D9" w:rsidRPr="009273D9" w:rsidRDefault="009273D9" w:rsidP="009273D9">
      <w:pPr>
        <w:jc w:val="both"/>
        <w:rPr>
          <w:rFonts w:ascii="Times New Roman" w:eastAsia="Times New Roman" w:hAnsi="Times New Roman" w:cs="Times New Roman"/>
          <w:sz w:val="22"/>
          <w:szCs w:val="22"/>
        </w:rPr>
      </w:pPr>
      <w:r w:rsidRPr="009273D9">
        <w:rPr>
          <w:rFonts w:ascii="Times New Roman" w:eastAsia="Times New Roman" w:hAnsi="Times New Roman" w:cs="Times New Roman"/>
          <w:sz w:val="22"/>
          <w:szCs w:val="22"/>
        </w:rPr>
        <w:t xml:space="preserve">Por lo anterior, para el ejercicio fiscal 2020 entró en vigencia el último presupuesto aprobado siendo el Presupuesto General de Ingresos y Egresos del Estado para el ejercicio fiscal 2019, aprobado mediante el Decreto 25-2018. </w:t>
      </w:r>
    </w:p>
    <w:p w:rsidR="009273D9" w:rsidRPr="009273D9" w:rsidRDefault="009273D9" w:rsidP="009273D9">
      <w:pPr>
        <w:jc w:val="both"/>
        <w:rPr>
          <w:rFonts w:ascii="Times New Roman" w:eastAsia="Times New Roman" w:hAnsi="Times New Roman" w:cs="Times New Roman"/>
          <w:sz w:val="22"/>
          <w:szCs w:val="22"/>
        </w:rPr>
      </w:pPr>
    </w:p>
    <w:p w:rsidR="009273D9" w:rsidRPr="009273D9" w:rsidRDefault="009273D9" w:rsidP="009273D9">
      <w:pPr>
        <w:jc w:val="both"/>
        <w:rPr>
          <w:rFonts w:ascii="Times New Roman" w:eastAsia="Times New Roman" w:hAnsi="Times New Roman" w:cs="Times New Roman"/>
          <w:sz w:val="22"/>
          <w:szCs w:val="22"/>
        </w:rPr>
      </w:pPr>
      <w:r w:rsidRPr="009273D9">
        <w:rPr>
          <w:rFonts w:ascii="Times New Roman" w:eastAsia="Times New Roman" w:hAnsi="Times New Roman" w:cs="Times New Roman"/>
          <w:sz w:val="22"/>
          <w:szCs w:val="22"/>
        </w:rPr>
        <w:t>No contar con un presupuesto aprobado supone que la programación no se encuentra acorde a las necesidades que fueron presentadas por las diversas instituciones por medio del ejercicio de Presupuesto Abierto, en el cual por medio de mesas técnicas y talleres se conocen y discuten las propuestas institucionales para darle atención a las necesidades de la población guatemalteca. Lo anterior supuso un letargo en la ejecución del gasto público en los primeros meses del año. No obstante, para finales de año el gasto público fue significativamente mayor al promedio de años anteriores.</w:t>
      </w:r>
    </w:p>
    <w:p w:rsidR="009273D9" w:rsidRPr="009273D9" w:rsidRDefault="009273D9" w:rsidP="009273D9">
      <w:pPr>
        <w:jc w:val="both"/>
        <w:rPr>
          <w:rFonts w:ascii="Times New Roman" w:eastAsia="Times New Roman" w:hAnsi="Times New Roman" w:cs="Times New Roman"/>
          <w:sz w:val="22"/>
          <w:szCs w:val="22"/>
        </w:rPr>
      </w:pPr>
    </w:p>
    <w:p w:rsidR="009273D9" w:rsidRPr="009273D9" w:rsidRDefault="009273D9" w:rsidP="009273D9">
      <w:pPr>
        <w:jc w:val="both"/>
        <w:rPr>
          <w:rFonts w:ascii="Times New Roman" w:eastAsia="Times New Roman" w:hAnsi="Times New Roman" w:cs="Times New Roman"/>
          <w:sz w:val="22"/>
          <w:szCs w:val="22"/>
        </w:rPr>
      </w:pPr>
      <w:r w:rsidRPr="009273D9">
        <w:rPr>
          <w:rFonts w:ascii="Times New Roman" w:eastAsia="Times New Roman" w:hAnsi="Times New Roman" w:cs="Times New Roman"/>
          <w:sz w:val="22"/>
          <w:szCs w:val="22"/>
        </w:rPr>
        <w:t>Entre los elementos más importantes que influenciaron la ejecución de gasto en 2020, destacan:</w:t>
      </w:r>
    </w:p>
    <w:p w:rsidR="009273D9" w:rsidRPr="009273D9" w:rsidRDefault="009273D9" w:rsidP="009273D9">
      <w:pPr>
        <w:contextualSpacing/>
        <w:jc w:val="both"/>
        <w:rPr>
          <w:rFonts w:ascii="Times New Roman" w:eastAsia="Calibri" w:hAnsi="Times New Roman" w:cs="Times New Roman"/>
          <w:sz w:val="22"/>
          <w:szCs w:val="22"/>
        </w:rPr>
      </w:pPr>
    </w:p>
    <w:p w:rsidR="009273D9" w:rsidRPr="009273D9" w:rsidRDefault="009273D9" w:rsidP="009273D9">
      <w:pPr>
        <w:jc w:val="both"/>
        <w:rPr>
          <w:rFonts w:ascii="Times New Roman" w:eastAsia="Times New Roman" w:hAnsi="Times New Roman" w:cs="Times New Roman"/>
          <w:sz w:val="22"/>
          <w:szCs w:val="22"/>
        </w:rPr>
      </w:pPr>
      <w:r w:rsidRPr="009273D9">
        <w:rPr>
          <w:rFonts w:ascii="Times New Roman" w:eastAsia="Times New Roman" w:hAnsi="Times New Roman" w:cs="Times New Roman"/>
          <w:sz w:val="22"/>
          <w:szCs w:val="22"/>
        </w:rPr>
        <w:t xml:space="preserve">El crecimiento interanual del gasto público en el primer cuatrimestre fue significativamente menor al observado en 2019, lo cual estuvo asociado a los compromisos que se tuvieron en 2019, tales como el aporte extraordinario al Tribunal Supremo Electoral (TSE) para el financiamiento de las elecciones generales llevadas a cabo en ese año y el aporte de la alimentación escolar, la cual aumentó en ese año la asignación diaria por estudiante.   </w:t>
      </w:r>
    </w:p>
    <w:p w:rsidR="009273D9" w:rsidRPr="009273D9" w:rsidRDefault="009273D9" w:rsidP="009273D9">
      <w:pPr>
        <w:pStyle w:val="Prrafodelista"/>
        <w:ind w:left="360"/>
        <w:jc w:val="both"/>
        <w:rPr>
          <w:rFonts w:ascii="Times New Roman" w:eastAsia="Times New Roman" w:hAnsi="Times New Roman" w:cs="Times New Roman"/>
          <w:lang w:eastAsia="es-ES"/>
        </w:rPr>
      </w:pPr>
    </w:p>
    <w:p w:rsidR="009273D9" w:rsidRPr="009273D9" w:rsidRDefault="009273D9" w:rsidP="009273D9">
      <w:pPr>
        <w:contextualSpacing/>
        <w:jc w:val="both"/>
        <w:rPr>
          <w:rFonts w:ascii="Times New Roman" w:eastAsia="Calibri" w:hAnsi="Times New Roman" w:cs="Times New Roman"/>
          <w:sz w:val="22"/>
          <w:szCs w:val="22"/>
        </w:rPr>
      </w:pPr>
      <w:r w:rsidRPr="009273D9">
        <w:rPr>
          <w:rFonts w:ascii="Times New Roman" w:eastAsia="Calibri" w:hAnsi="Times New Roman" w:cs="Times New Roman"/>
          <w:sz w:val="22"/>
          <w:szCs w:val="22"/>
        </w:rPr>
        <w:t xml:space="preserve">Después del primer cuatrimestre del año, la dinámica del gasto público estuvo influenciada por la propagación de la pandemia COVID-19 en Guatemala, la cual provocó una crisis sanitaria y económica sin precedentes, se adoptaron medidas de confinamiento y de distanciamiento social, afectando los ingresos de las familias y las empresas. Para mitigar y reducir los efectos sanitarios y económicos adversos para los guatemaltecos, fue importante la intervención del Estado, es por ello que el gobierno diseño una serie de programas sociales y económicos para la atención del COVID-19, los cuales impulsaron el gasto público. </w:t>
      </w:r>
    </w:p>
    <w:p w:rsidR="009273D9" w:rsidRPr="009273D9" w:rsidRDefault="009273D9" w:rsidP="009273D9">
      <w:pPr>
        <w:jc w:val="both"/>
        <w:rPr>
          <w:rFonts w:ascii="Times New Roman" w:eastAsia="Calibri" w:hAnsi="Times New Roman" w:cs="Times New Roman"/>
          <w:sz w:val="22"/>
          <w:szCs w:val="22"/>
        </w:rPr>
      </w:pPr>
    </w:p>
    <w:p w:rsidR="009273D9" w:rsidRDefault="009273D9" w:rsidP="009273D9">
      <w:pPr>
        <w:jc w:val="both"/>
        <w:rPr>
          <w:rFonts w:ascii="Times New Roman" w:eastAsia="Times New Roman" w:hAnsi="Times New Roman" w:cs="Times New Roman"/>
          <w:sz w:val="22"/>
          <w:szCs w:val="22"/>
        </w:rPr>
      </w:pPr>
      <w:r w:rsidRPr="009273D9">
        <w:rPr>
          <w:rFonts w:ascii="Times New Roman" w:eastAsia="Times New Roman" w:hAnsi="Times New Roman" w:cs="Times New Roman"/>
          <w:sz w:val="22"/>
          <w:szCs w:val="22"/>
        </w:rPr>
        <w:t xml:space="preserve">Derivado de la pandemia COVID-19, las entidades debían hacer las readecuaciones presupuestarias acorde a las nuevas necesidades coyunturales. Se aprobaron tres decretos, los cuales sumaron </w:t>
      </w:r>
      <w:r w:rsidRPr="009273D9">
        <w:rPr>
          <w:rFonts w:ascii="Times New Roman" w:eastAsia="Times New Roman" w:hAnsi="Times New Roman" w:cs="Times New Roman"/>
          <w:sz w:val="22"/>
          <w:szCs w:val="22"/>
        </w:rPr>
        <w:lastRenderedPageBreak/>
        <w:t>ampliaciones presupuestarias por Q19,806.4 millones, las cuales estaban enfocadas en su gran mayoría a la atención de los efectos del COVID-19.</w:t>
      </w:r>
    </w:p>
    <w:p w:rsidR="009273D9" w:rsidRPr="009273D9" w:rsidRDefault="009273D9" w:rsidP="009273D9">
      <w:pPr>
        <w:jc w:val="both"/>
        <w:rPr>
          <w:rFonts w:ascii="Times New Roman" w:eastAsia="Times New Roman" w:hAnsi="Times New Roman" w:cs="Times New Roman"/>
          <w:sz w:val="22"/>
          <w:szCs w:val="22"/>
        </w:rPr>
      </w:pPr>
    </w:p>
    <w:p w:rsidR="009273D9" w:rsidRPr="009273D9" w:rsidRDefault="009273D9" w:rsidP="009273D9">
      <w:pPr>
        <w:jc w:val="both"/>
        <w:rPr>
          <w:rFonts w:ascii="Times New Roman" w:eastAsia="Calibri" w:hAnsi="Times New Roman" w:cs="Times New Roman"/>
          <w:sz w:val="22"/>
          <w:szCs w:val="22"/>
        </w:rPr>
      </w:pPr>
      <w:r w:rsidRPr="009273D9">
        <w:rPr>
          <w:rFonts w:ascii="Times New Roman" w:eastAsia="Calibri" w:hAnsi="Times New Roman" w:cs="Times New Roman"/>
          <w:sz w:val="22"/>
          <w:szCs w:val="22"/>
        </w:rPr>
        <w:t xml:space="preserve">La recaudación tributaria quedó por debajo de la meta prevista en el presupuesto, situación que mermó los recursos disponibles para la ejecución presupuestaria de aquellas entidades, cuyo financiamiento está asociado a los ingresos corrientes, principalmente en los primeros ocho meses del año. No obstante, la brecha fiscal de la recaudación fue mejorando gradualmente ya que inicialmente se preveía una brecha al final del año de Q6,500 millones, pero derivado del proceso de apertura de la economía y un mejor desempeño en el último trimestre del año la brecha se fue reduciendo hasta alcanzar el monto de Q3,784.3 millones. </w:t>
      </w:r>
    </w:p>
    <w:p w:rsidR="009273D9" w:rsidRPr="009273D9" w:rsidRDefault="009273D9" w:rsidP="009273D9">
      <w:pPr>
        <w:ind w:left="360"/>
        <w:contextualSpacing/>
        <w:jc w:val="both"/>
        <w:rPr>
          <w:rFonts w:ascii="Times New Roman" w:eastAsia="Calibri" w:hAnsi="Times New Roman" w:cs="Times New Roman"/>
          <w:sz w:val="22"/>
          <w:szCs w:val="22"/>
        </w:rPr>
      </w:pPr>
    </w:p>
    <w:p w:rsidR="009273D9" w:rsidRPr="009273D9" w:rsidRDefault="009273D9" w:rsidP="009273D9">
      <w:pPr>
        <w:contextualSpacing/>
        <w:jc w:val="both"/>
        <w:rPr>
          <w:rFonts w:ascii="Times New Roman" w:eastAsia="Calibri" w:hAnsi="Times New Roman" w:cs="Times New Roman"/>
          <w:sz w:val="22"/>
          <w:szCs w:val="22"/>
        </w:rPr>
      </w:pPr>
      <w:r w:rsidRPr="009273D9">
        <w:rPr>
          <w:rFonts w:ascii="Times New Roman" w:eastAsia="Calibri" w:hAnsi="Times New Roman" w:cs="Times New Roman"/>
          <w:sz w:val="22"/>
          <w:szCs w:val="22"/>
        </w:rPr>
        <w:t xml:space="preserve">Se dio una alta colocación de bonos internos y un importante nivel de desembolsos de préstamos externos. Además, se realizó la colocación de un eurobono por US$1,200 millones en condiciones financieras favorables. Esto posibilitó el financiamiento del esfuerzo del gobierno para la atención del COVID-19, en un contexto de caída de los ingresos tributarios derivado de la contracción económica nacional e internacional. </w:t>
      </w:r>
    </w:p>
    <w:p w:rsidR="009273D9" w:rsidRPr="009273D9" w:rsidRDefault="009273D9" w:rsidP="009273D9">
      <w:pPr>
        <w:ind w:left="360"/>
        <w:contextualSpacing/>
        <w:jc w:val="both"/>
        <w:rPr>
          <w:rFonts w:ascii="Times New Roman" w:eastAsia="Calibri" w:hAnsi="Times New Roman" w:cs="Times New Roman"/>
          <w:sz w:val="22"/>
          <w:szCs w:val="22"/>
        </w:rPr>
      </w:pPr>
    </w:p>
    <w:p w:rsidR="009273D9" w:rsidRDefault="009273D9" w:rsidP="009273D9">
      <w:pPr>
        <w:jc w:val="both"/>
        <w:rPr>
          <w:rFonts w:ascii="Times New Roman" w:eastAsia="Times New Roman" w:hAnsi="Times New Roman" w:cs="Times New Roman"/>
          <w:sz w:val="22"/>
          <w:szCs w:val="22"/>
        </w:rPr>
      </w:pPr>
      <w:r w:rsidRPr="009273D9">
        <w:rPr>
          <w:rFonts w:ascii="Times New Roman" w:eastAsia="Times New Roman" w:hAnsi="Times New Roman" w:cs="Times New Roman"/>
          <w:sz w:val="22"/>
          <w:szCs w:val="22"/>
        </w:rPr>
        <w:t xml:space="preserve">Una ejecución moderada es relativamente normal en el primer año de una nueva administración pública, ya que se da un proceso de adaptación de las nuevas autoridades y funcionarios al que hacer de la administración pública. El 2020 fue la excepción a este comportamiento observado, pero hay que tener en cuenta las particularidades derivadas del COVID-19 que hicieron necesaria una fuerte intervención por parte del Estado. </w:t>
      </w:r>
    </w:p>
    <w:p w:rsidR="009273D9" w:rsidRPr="009273D9" w:rsidRDefault="009273D9" w:rsidP="009273D9">
      <w:pPr>
        <w:jc w:val="both"/>
        <w:rPr>
          <w:rFonts w:ascii="Times New Roman" w:eastAsia="Times New Roman" w:hAnsi="Times New Roman" w:cs="Times New Roman"/>
          <w:sz w:val="22"/>
          <w:szCs w:val="22"/>
        </w:rPr>
      </w:pPr>
    </w:p>
    <w:p w:rsidR="009273D9" w:rsidRPr="009273D9" w:rsidRDefault="009273D9" w:rsidP="009273D9">
      <w:pPr>
        <w:jc w:val="both"/>
        <w:rPr>
          <w:rFonts w:ascii="Times New Roman" w:hAnsi="Times New Roman" w:cs="Times New Roman"/>
          <w:color w:val="FF0000"/>
          <w:sz w:val="22"/>
          <w:szCs w:val="22"/>
        </w:rPr>
      </w:pPr>
      <w:r w:rsidRPr="009273D9">
        <w:rPr>
          <w:rFonts w:ascii="Times New Roman" w:eastAsia="Times New Roman" w:hAnsi="Times New Roman" w:cs="Times New Roman"/>
          <w:sz w:val="22"/>
          <w:szCs w:val="22"/>
        </w:rPr>
        <w:t>Aunque existen otros elementos que incidieron en la ejecución de gasto de 2020, estos serán abordados en secciones posteriores, los mencionados anteriormente se pueden considerar los más relevantes, algunos por una parte reducen la capacidad del gobierno en gastar y otros son aceleradores de la ejecución, no obstante, el efecto neto de estos elementos fue una aceleración del gasto público durante 2020 como consecuencia de la singularidad y particularidad de ese ejercicio fiscal.</w:t>
      </w:r>
    </w:p>
    <w:p w:rsidR="009273D9" w:rsidRPr="00443624" w:rsidRDefault="009273D9" w:rsidP="006924C1">
      <w:pPr>
        <w:jc w:val="both"/>
        <w:rPr>
          <w:rFonts w:ascii="Times New Roman" w:hAnsi="Times New Roman" w:cs="Times New Roman"/>
          <w:color w:val="FF0000"/>
          <w:sz w:val="22"/>
          <w:szCs w:val="16"/>
          <w:lang w:val="es-MX"/>
        </w:rPr>
      </w:pPr>
    </w:p>
    <w:p w:rsidR="00364844" w:rsidRPr="00443624" w:rsidRDefault="009273D9" w:rsidP="006924C1">
      <w:pPr>
        <w:pStyle w:val="Ttulo2"/>
        <w:numPr>
          <w:ilvl w:val="1"/>
          <w:numId w:val="12"/>
        </w:numPr>
        <w:spacing w:before="0"/>
        <w:ind w:left="567"/>
        <w:rPr>
          <w:rFonts w:ascii="Times New Roman" w:hAnsi="Times New Roman" w:cs="Times New Roman"/>
          <w:color w:val="FF0000"/>
          <w:sz w:val="24"/>
        </w:rPr>
      </w:pPr>
      <w:bookmarkStart w:id="120" w:name="_Toc64025436"/>
      <w:r w:rsidRPr="009F2118">
        <w:rPr>
          <w:rFonts w:ascii="Times New Roman" w:hAnsi="Times New Roman" w:cs="Times New Roman"/>
          <w:color w:val="auto"/>
          <w:sz w:val="24"/>
        </w:rPr>
        <w:t>Alto</w:t>
      </w:r>
      <w:r w:rsidR="009F2118" w:rsidRPr="009F2118">
        <w:rPr>
          <w:rFonts w:ascii="Times New Roman" w:hAnsi="Times New Roman" w:cs="Times New Roman"/>
          <w:color w:val="auto"/>
          <w:sz w:val="24"/>
        </w:rPr>
        <w:t xml:space="preserve"> dinamismo en la </w:t>
      </w:r>
      <w:r w:rsidR="006924C1" w:rsidRPr="009F2118">
        <w:rPr>
          <w:rFonts w:ascii="Times New Roman" w:hAnsi="Times New Roman" w:cs="Times New Roman"/>
          <w:color w:val="auto"/>
          <w:sz w:val="24"/>
        </w:rPr>
        <w:t>ejecución de gasto en 20</w:t>
      </w:r>
      <w:r w:rsidR="009F2118" w:rsidRPr="009F2118">
        <w:rPr>
          <w:rFonts w:ascii="Times New Roman" w:hAnsi="Times New Roman" w:cs="Times New Roman"/>
          <w:color w:val="auto"/>
          <w:sz w:val="24"/>
        </w:rPr>
        <w:t>20</w:t>
      </w:r>
      <w:bookmarkEnd w:id="120"/>
      <w:r w:rsidR="00364844" w:rsidRPr="00443624">
        <w:rPr>
          <w:rFonts w:ascii="Times New Roman" w:hAnsi="Times New Roman" w:cs="Times New Roman"/>
          <w:color w:val="FF0000"/>
          <w:sz w:val="24"/>
        </w:rPr>
        <w:t xml:space="preserve"> </w:t>
      </w:r>
    </w:p>
    <w:p w:rsidR="00364844" w:rsidRPr="009F2118" w:rsidRDefault="00364844" w:rsidP="00364844">
      <w:pPr>
        <w:rPr>
          <w:color w:val="FF0000"/>
          <w:sz w:val="22"/>
        </w:rPr>
      </w:pP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 xml:space="preserve">La ejecución de gasto al cierre de 2020 se situó en Q93,529.0 millones (sin incluir amortizaciones de la deuda pública), superior en Q13,692.8 millones al cierre de 2019, lo que representa el mayor dinamismo en la ejecución de los últimos años, el promedio de crecimiento del gasto es de 7.5% (período 2016-2019) y para 2020 el crecimiento interanual del gasto público fue de 17.2%. </w:t>
      </w:r>
    </w:p>
    <w:p w:rsidR="009F2118" w:rsidRPr="009F2118" w:rsidRDefault="009F2118" w:rsidP="009F2118">
      <w:pPr>
        <w:jc w:val="both"/>
        <w:rPr>
          <w:rFonts w:ascii="Times New Roman" w:hAnsi="Times New Roman" w:cs="Times New Roman"/>
          <w:sz w:val="22"/>
          <w:szCs w:val="22"/>
        </w:rPr>
      </w:pP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A principio de año el dinamismo del gasto se encontraba dentro de lo normal al ser el primer año de una nueva administración pública, aunque con la particularidad de no contar con un presupuesto aprobado para el ejercicio fiscal, por ello las entidades se encontraban en proceso de hacer las readecuaciones presupuestarias que consideraban necesarias de acuerdo a la programación realizada y en búsqueda del financiamiento para viabilizar su ejecución.</w:t>
      </w:r>
    </w:p>
    <w:p w:rsidR="009F2118" w:rsidRPr="009F2118" w:rsidRDefault="009F2118" w:rsidP="009F2118">
      <w:pPr>
        <w:jc w:val="both"/>
        <w:rPr>
          <w:rFonts w:ascii="Times New Roman" w:hAnsi="Times New Roman" w:cs="Times New Roman"/>
          <w:sz w:val="22"/>
          <w:szCs w:val="22"/>
        </w:rPr>
      </w:pP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 xml:space="preserve">De esa cuenta, en enero y febrero el dinamismo del gasto público fue positivo pero moderado, además durante los primeros meses de 2019 se dio un crecimiento importante en el gasto público derivado de los compromisos propios de dicho ejercicio fiscal, tales como los aportes al Tribunal Supremo Electoral para las elecciones generales y el aporte a la alimentación escolar, el cual se desembolsó en buena medida durante el primer trimestre. </w:t>
      </w:r>
    </w:p>
    <w:p w:rsidR="009F2118" w:rsidRPr="009F2118" w:rsidRDefault="009F2118" w:rsidP="009F2118">
      <w:pPr>
        <w:jc w:val="both"/>
        <w:rPr>
          <w:rFonts w:ascii="Times New Roman" w:hAnsi="Times New Roman" w:cs="Times New Roman"/>
          <w:sz w:val="22"/>
          <w:szCs w:val="22"/>
        </w:rPr>
      </w:pP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 xml:space="preserve">El 13 de marzo se confirmó el primer caso de COVID-19 en territorio nacional, el dinamismo del gasto público fue de 2.4% y en abril se desaceleró, cayendo a -2.0%, dado que en estos meses las </w:t>
      </w:r>
      <w:r w:rsidRPr="009F2118">
        <w:rPr>
          <w:rFonts w:ascii="Times New Roman" w:hAnsi="Times New Roman" w:cs="Times New Roman"/>
          <w:sz w:val="22"/>
          <w:szCs w:val="22"/>
        </w:rPr>
        <w:lastRenderedPageBreak/>
        <w:t>entidades de gobierno estaban enfocando los esfuerzos en la arquitectura y diseño de los programas y actividades que conformarían la atención integral del COVID-19, al programa 94 “Atención por desastres naturales y Calamidades Públicas” se le adicionó el subprograma 09 “Estado de Calamidad Pública por Emergencia COVID-19 (DG 5-2020)”. Adicionalmente, se diseñó un Tablero de Seguimiento de los programas sociales y económicos en atención al COVID-19 que incorporaba acciones adicionales.</w:t>
      </w:r>
    </w:p>
    <w:p w:rsidR="009F2118" w:rsidRPr="009F2118" w:rsidRDefault="009F2118" w:rsidP="009F2118">
      <w:pPr>
        <w:jc w:val="both"/>
        <w:rPr>
          <w:rFonts w:ascii="Times New Roman" w:hAnsi="Times New Roman" w:cs="Times New Roman"/>
          <w:sz w:val="22"/>
          <w:szCs w:val="22"/>
          <w:highlight w:val="yellow"/>
        </w:rPr>
      </w:pPr>
      <w:r w:rsidRPr="009F2118">
        <w:rPr>
          <w:rFonts w:ascii="Times New Roman" w:hAnsi="Times New Roman" w:cs="Times New Roman"/>
          <w:sz w:val="22"/>
          <w:szCs w:val="22"/>
        </w:rPr>
        <w:t xml:space="preserve"> </w:t>
      </w: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 xml:space="preserve">A partir de mayo, se empieza a observar una aceleración de la ejecución del gasto que se mantuvo a lo largo del año, lo cual es producto, como se ha indicado, de las acciones emprendidas para darle atención a los efectos del COVID-19. El gasto identificado por medio del Tablero de Seguimiento orientado a la atención del COVID-19 fue de Q13,530.1 millones, equivalente al 2.3% del PIB, el cual representa un 14.5% del gasto público, siendo importante considerar que de no haberse dado el gasto asociado al COVID-19 el crecimiento del gasto público hubiera sido únicamente de 0.2%. </w:t>
      </w:r>
    </w:p>
    <w:p w:rsidR="009F2118" w:rsidRPr="009F2118" w:rsidRDefault="009F2118" w:rsidP="009F2118">
      <w:pPr>
        <w:jc w:val="both"/>
        <w:rPr>
          <w:rFonts w:ascii="Times New Roman" w:hAnsi="Times New Roman" w:cs="Times New Roman"/>
          <w:sz w:val="22"/>
          <w:szCs w:val="22"/>
        </w:rPr>
      </w:pPr>
    </w:p>
    <w:p w:rsidR="009F2118" w:rsidRPr="009F2118" w:rsidRDefault="009F2118" w:rsidP="009F2118">
      <w:pPr>
        <w:jc w:val="both"/>
        <w:rPr>
          <w:rFonts w:ascii="Times New Roman" w:hAnsi="Times New Roman" w:cs="Times New Roman"/>
          <w:iCs/>
          <w:sz w:val="22"/>
          <w:szCs w:val="22"/>
        </w:rPr>
      </w:pPr>
      <w:r w:rsidRPr="009F2118">
        <w:rPr>
          <w:rFonts w:ascii="Times New Roman" w:hAnsi="Times New Roman" w:cs="Times New Roman"/>
          <w:iCs/>
          <w:sz w:val="22"/>
          <w:szCs w:val="22"/>
        </w:rPr>
        <w:t xml:space="preserve">No obstante, es importante tener presente que, para la atención de las necesidades coyunturales, el gobierno incurrió en un alto déficit fiscal, dado que el aumento del gasto público se dio en medio de una caída de los ingresos tributarios derivada de la contracción económica, por lo cual fue necesario recurrir a financiamiento interno y externo. El impulso del gasto público observado en 2020 es de carácter temporal, dado que las medidas adoptadas para la atención de la crisis, no se encuentran vigentes para el ejercicio fiscal 2021, para los próximos años se buscará la consolidación fiscal, es decir, con déficit más moderados. Por lo descrito anteriormente, para los próximos ejercicios fiscales se observará un menor dinamismo e incluso una contracción en el gasto público. </w:t>
      </w:r>
    </w:p>
    <w:p w:rsidR="009F2118" w:rsidRDefault="009F2118" w:rsidP="009F2118">
      <w:pPr>
        <w:jc w:val="both"/>
        <w:rPr>
          <w:rFonts w:ascii="Times New Roman" w:hAnsi="Times New Roman" w:cs="Times New Roman"/>
        </w:rPr>
      </w:pPr>
    </w:p>
    <w:p w:rsidR="009F2118" w:rsidRPr="00C354FD" w:rsidRDefault="009F2118" w:rsidP="009F2118">
      <w:pPr>
        <w:jc w:val="center"/>
        <w:rPr>
          <w:rFonts w:ascii="Times New Roman" w:hAnsi="Times New Roman" w:cs="Times New Roman"/>
          <w:b/>
        </w:rPr>
      </w:pPr>
      <w:r w:rsidRPr="00C354FD">
        <w:rPr>
          <w:rFonts w:ascii="Times New Roman" w:hAnsi="Times New Roman" w:cs="Times New Roman"/>
          <w:b/>
        </w:rPr>
        <w:t>Ritmo de ejecución del gasto público</w:t>
      </w:r>
      <w:r>
        <w:rPr>
          <w:rFonts w:ascii="Times New Roman" w:hAnsi="Times New Roman" w:cs="Times New Roman"/>
          <w:b/>
        </w:rPr>
        <w:t>*</w:t>
      </w:r>
    </w:p>
    <w:p w:rsidR="009F2118" w:rsidRPr="009F2118" w:rsidRDefault="009F2118" w:rsidP="009F2118">
      <w:pPr>
        <w:jc w:val="center"/>
        <w:rPr>
          <w:rFonts w:ascii="Times New Roman" w:hAnsi="Times New Roman" w:cs="Times New Roman"/>
          <w:sz w:val="22"/>
          <w:szCs w:val="22"/>
        </w:rPr>
      </w:pPr>
      <w:r w:rsidRPr="009F2118">
        <w:rPr>
          <w:rFonts w:ascii="Times New Roman" w:hAnsi="Times New Roman" w:cs="Times New Roman"/>
          <w:sz w:val="22"/>
          <w:szCs w:val="22"/>
        </w:rPr>
        <w:t>Mensual 2016-2020</w:t>
      </w:r>
    </w:p>
    <w:p w:rsidR="009F2118" w:rsidRPr="009F2118" w:rsidRDefault="009F2118" w:rsidP="009F2118">
      <w:pPr>
        <w:jc w:val="center"/>
        <w:rPr>
          <w:sz w:val="22"/>
          <w:szCs w:val="22"/>
        </w:rPr>
      </w:pPr>
      <w:r w:rsidRPr="00C354FD">
        <w:rPr>
          <w:rFonts w:ascii="Times New Roman" w:hAnsi="Times New Roman" w:cs="Times New Roman"/>
          <w:noProof/>
          <w:lang w:val="es-ES"/>
        </w:rPr>
        <w:drawing>
          <wp:anchor distT="0" distB="0" distL="114300" distR="114300" simplePos="0" relativeHeight="251697152" behindDoc="0" locked="0" layoutInCell="1" allowOverlap="1" wp14:anchorId="01EB641E" wp14:editId="3E6C8D45">
            <wp:simplePos x="0" y="0"/>
            <wp:positionH relativeFrom="column">
              <wp:posOffset>358775</wp:posOffset>
            </wp:positionH>
            <wp:positionV relativeFrom="paragraph">
              <wp:posOffset>163195</wp:posOffset>
            </wp:positionV>
            <wp:extent cx="5144135" cy="2703195"/>
            <wp:effectExtent l="0" t="0" r="0" b="1905"/>
            <wp:wrapSquare wrapText="bothSides"/>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Pr="009F2118">
        <w:rPr>
          <w:rFonts w:ascii="Times New Roman" w:hAnsi="Times New Roman" w:cs="Times New Roman"/>
          <w:sz w:val="22"/>
          <w:szCs w:val="22"/>
        </w:rPr>
        <w:t>Porcentajes</w:t>
      </w: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9F2118" w:rsidRDefault="009F2118" w:rsidP="009F2118">
      <w:pPr>
        <w:rPr>
          <w:rFonts w:ascii="Times New Roman" w:hAnsi="Times New Roman" w:cs="Times New Roman"/>
          <w:sz w:val="16"/>
        </w:rPr>
      </w:pPr>
    </w:p>
    <w:p w:rsidR="00B228D4" w:rsidRDefault="00B228D4" w:rsidP="009F2118">
      <w:pPr>
        <w:rPr>
          <w:rFonts w:ascii="Times New Roman" w:hAnsi="Times New Roman" w:cs="Times New Roman"/>
          <w:sz w:val="16"/>
        </w:rPr>
      </w:pPr>
    </w:p>
    <w:p w:rsidR="009F2118" w:rsidRDefault="009F2118" w:rsidP="009F2118">
      <w:pPr>
        <w:rPr>
          <w:rFonts w:ascii="Times New Roman" w:hAnsi="Times New Roman" w:cs="Times New Roman"/>
          <w:sz w:val="16"/>
        </w:rPr>
      </w:pPr>
      <w:r>
        <w:rPr>
          <w:rFonts w:ascii="Times New Roman" w:hAnsi="Times New Roman" w:cs="Times New Roman"/>
          <w:sz w:val="16"/>
        </w:rPr>
        <w:t>*No incluye amortizaciones de la deuda pública</w:t>
      </w:r>
    </w:p>
    <w:p w:rsidR="009F2118" w:rsidRPr="00C354FD" w:rsidRDefault="009F2118" w:rsidP="009F2118">
      <w:pPr>
        <w:rPr>
          <w:rFonts w:ascii="Times New Roman" w:hAnsi="Times New Roman" w:cs="Times New Roman"/>
          <w:sz w:val="16"/>
        </w:rPr>
      </w:pPr>
      <w:r w:rsidRPr="00C354FD">
        <w:rPr>
          <w:rFonts w:ascii="Times New Roman" w:hAnsi="Times New Roman" w:cs="Times New Roman"/>
          <w:sz w:val="16"/>
        </w:rPr>
        <w:t>Fuente: Dirección de Análisis y Política Fiscal</w:t>
      </w:r>
    </w:p>
    <w:p w:rsidR="009F2118" w:rsidRPr="002301FC" w:rsidRDefault="009F2118" w:rsidP="009F2118">
      <w:pPr>
        <w:rPr>
          <w:sz w:val="2"/>
        </w:rPr>
      </w:pPr>
    </w:p>
    <w:p w:rsidR="009F2118" w:rsidRDefault="009F2118" w:rsidP="009F2118">
      <w:pPr>
        <w:pStyle w:val="Sinespaciado"/>
        <w:jc w:val="both"/>
        <w:rPr>
          <w:rFonts w:ascii="Times New Roman" w:hAnsi="Times New Roman" w:cs="Times New Roman"/>
          <w:lang w:val="es-MX"/>
        </w:rPr>
      </w:pPr>
    </w:p>
    <w:p w:rsidR="009F2118" w:rsidRPr="009F2118" w:rsidRDefault="009F2118" w:rsidP="009F2118">
      <w:pPr>
        <w:pStyle w:val="Sinespaciado"/>
        <w:jc w:val="both"/>
        <w:rPr>
          <w:rFonts w:ascii="Times New Roman" w:hAnsi="Times New Roman" w:cs="Times New Roman"/>
          <w:lang w:val="es-MX"/>
        </w:rPr>
      </w:pPr>
      <w:r w:rsidRPr="009F2118">
        <w:rPr>
          <w:rFonts w:ascii="Times New Roman" w:hAnsi="Times New Roman" w:cs="Times New Roman"/>
          <w:lang w:val="es-MX"/>
        </w:rPr>
        <w:t xml:space="preserve">A nivel de los diferentes rubros por cuenta económica del gasto, se puede observar que el rubro de las transferencias corrientes, fue el que tuvo el mayor aumento en 2020, principalmente por las transferencias otorgadas a personas individuales y al sector privado, esto se debió a que los programas COVID-19 más importantes como el Bono Familia por Q6,000 millones y el Fondo de Protección de Empleo por Q2,000 millones se registraron en dicho rubro, incluyendo los Q150 </w:t>
      </w:r>
      <w:r w:rsidRPr="009F2118">
        <w:rPr>
          <w:rFonts w:ascii="Times New Roman" w:hAnsi="Times New Roman" w:cs="Times New Roman"/>
          <w:lang w:val="es-MX"/>
        </w:rPr>
        <w:lastRenderedPageBreak/>
        <w:t xml:space="preserve">millones que se reorientaron para pensionados y jubilados del Estado. En lo que respecta a las transferencias corrientes al sector público, reportan un crecimiento interanual moderado de 3.1%, como resultado del desempeño mostrado por la recaudación tributaria, cuyo impacto fue visible en una menor disponibilidad de recursos para las entidades que por mandato legal reciben transferencias a su presupuesto provenientes de la recaudación tributaria. </w:t>
      </w:r>
    </w:p>
    <w:p w:rsidR="009F2118" w:rsidRPr="009F2118" w:rsidRDefault="009F2118" w:rsidP="009F2118">
      <w:pPr>
        <w:pStyle w:val="Sinespaciado"/>
        <w:jc w:val="both"/>
        <w:rPr>
          <w:rFonts w:ascii="Times New Roman" w:hAnsi="Times New Roman" w:cs="Times New Roman"/>
          <w:lang w:val="es-MX"/>
        </w:rPr>
      </w:pPr>
    </w:p>
    <w:p w:rsidR="009F2118" w:rsidRPr="009F2118" w:rsidRDefault="009F2118" w:rsidP="009F2118">
      <w:pPr>
        <w:pStyle w:val="Sinespaciado"/>
        <w:jc w:val="both"/>
        <w:rPr>
          <w:rFonts w:ascii="Times New Roman" w:hAnsi="Times New Roman" w:cs="Times New Roman"/>
          <w:lang w:val="es-MX"/>
        </w:rPr>
      </w:pPr>
      <w:r w:rsidRPr="009F2118">
        <w:rPr>
          <w:rFonts w:ascii="Times New Roman" w:hAnsi="Times New Roman" w:cs="Times New Roman"/>
          <w:lang w:val="es-MX"/>
        </w:rPr>
        <w:t xml:space="preserve">Asimismo, el rubro de la inversión financiera reportó un crecimiento negativo en 2019 y en 2020 creció de forma exponencial, esto debido a que en este rubro se registra la concesión de préstamos y para la atención del COVID-19, son ejecutados mediante el Fondo de Capital de Trabajo por Q250 millones, el Fondo de Crédito de Capital de Trabajo por Q2,300 millones y el Fondo para las Micro, Pequeñas y Medianas empresas por Q400 millones, los cuales se enfocaban en otorgar recursos económicos en forma de préstamos en condiciones blandas a las empresas (micro, pequeñas y medianas) para blindar su capacidad de mantenerse a flote mientras estuvieran en vigencia las medidas sanitarias y de confinamiento. </w:t>
      </w:r>
    </w:p>
    <w:p w:rsidR="009F2118" w:rsidRPr="009F2118" w:rsidRDefault="009F2118" w:rsidP="009F2118">
      <w:pPr>
        <w:pStyle w:val="Sinespaciado"/>
        <w:jc w:val="both"/>
        <w:rPr>
          <w:rFonts w:ascii="Times New Roman" w:hAnsi="Times New Roman" w:cs="Times New Roman"/>
          <w:lang w:val="es-MX"/>
        </w:rPr>
      </w:pPr>
    </w:p>
    <w:p w:rsidR="009F2118" w:rsidRPr="009F2118" w:rsidRDefault="009F2118" w:rsidP="009F2118">
      <w:pPr>
        <w:pStyle w:val="Sinespaciado"/>
        <w:jc w:val="both"/>
        <w:rPr>
          <w:rFonts w:ascii="Times New Roman" w:hAnsi="Times New Roman" w:cs="Times New Roman"/>
          <w:lang w:val="es-MX"/>
        </w:rPr>
      </w:pPr>
      <w:r w:rsidRPr="009F2118">
        <w:rPr>
          <w:rFonts w:ascii="Times New Roman" w:hAnsi="Times New Roman" w:cs="Times New Roman"/>
          <w:lang w:val="es-MX"/>
        </w:rPr>
        <w:t xml:space="preserve">Por su parte, las remuneraciones crecieron (6.3%), aunque en menor proporción a lo observado durante 2019 (11.8%), esto se explica porque en 2019 se dieron mejoras salariales principalmente en el Ministerio de Educación al magisterio nacional, en el Ministerio de Salud Pública y Asistencia Social se realizó un ajuste en función del ingreso beneficiando a los trabajadores con las remuneraciones más bajas para personal médico y administrativo y por último en el Ministerio de Gobernación el aumento salarial otorgado beneficiaba a agentes de policía, inspectores y cargos superiores, estos incrementos aumentaron el volumen de la nómina estatal significativamente en 2019 y en 2020 se continuó viendo el efecto de las negociaciones realizadas en otros años, en el Ministerio de Educación el efecto es de 5% de incremento salarial, de acuerdo a lo acordado en el pacto colectivo firmado en 2018, adicionalmente se tiene el incremento que corresponde al escalafón o por antigüedad. Además, en Gobernación se cumplió con el compromiso adquirido en el pacto colectivo por el incremento salarial a los agentes de la Policía Nacional Civil (PNC). Durante 2020 no se negociaron nuevos pactos colectivos. </w:t>
      </w:r>
    </w:p>
    <w:p w:rsidR="009F2118" w:rsidRPr="009F2118" w:rsidRDefault="009F2118" w:rsidP="009F2118">
      <w:pPr>
        <w:pStyle w:val="Sinespaciado"/>
        <w:jc w:val="both"/>
        <w:rPr>
          <w:rFonts w:ascii="Times New Roman" w:hAnsi="Times New Roman" w:cs="Times New Roman"/>
          <w:lang w:val="es-MX"/>
        </w:rPr>
      </w:pPr>
    </w:p>
    <w:p w:rsidR="009F2118" w:rsidRPr="009F2118" w:rsidRDefault="009F2118" w:rsidP="009F2118">
      <w:pPr>
        <w:pStyle w:val="Sinespaciado"/>
        <w:jc w:val="both"/>
        <w:rPr>
          <w:rFonts w:ascii="Times New Roman" w:hAnsi="Times New Roman" w:cs="Times New Roman"/>
        </w:rPr>
      </w:pPr>
      <w:r w:rsidRPr="009F2118">
        <w:rPr>
          <w:rFonts w:ascii="Times New Roman" w:hAnsi="Times New Roman" w:cs="Times New Roman"/>
        </w:rPr>
        <w:t>En cuanto al rubro de bienes y servicios, este reporta un crecimiento de 14.2%, siendo el Ministerio de Economía la entidad con el mayor crecimiento en dicho rubro, aunque se encuentra asociado a la sentencia judicial y al cumplimiento de la obligación de pago a Teco Guatemala Holdings por Q292.5 millones. En esta sección es importante resaltar el pago realizado por el caso de arbitraje, dado que dicho pago permitió descongelar los recursos en el Banco de New York Mellon y realizar el pago de cupón a los tenedores del eurobono 2026, evitando caer en un default, lo cual coadyuvó a que Guatemala continué su relación positiva con inversionistas y organismos financieros internacionales. Adicionalmente, mientras se solventaba la situación generada por este arbitraje, se mantuvo estrecha comunicación con calificadoras de riesgo, situación que permitió que Standard and Poor’s le devolviera a Guatemala la perspectiva estable y Fitch Ratings confirmo la calificación de Guatemala con perspectiva estable en moneda extranjera a largo plazo.</w:t>
      </w:r>
    </w:p>
    <w:p w:rsidR="009F2118" w:rsidRPr="009F2118" w:rsidRDefault="009F2118" w:rsidP="009F2118">
      <w:pPr>
        <w:pStyle w:val="Sinespaciado"/>
        <w:jc w:val="both"/>
        <w:rPr>
          <w:rFonts w:ascii="Times New Roman" w:hAnsi="Times New Roman" w:cs="Times New Roman"/>
        </w:rPr>
      </w:pPr>
    </w:p>
    <w:p w:rsidR="009F2118" w:rsidRP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sz w:val="20"/>
          <w:szCs w:val="22"/>
          <w:lang w:val="es-MX"/>
        </w:rPr>
      </w:pPr>
      <w:r w:rsidRPr="009F2118">
        <w:rPr>
          <w:rFonts w:ascii="Times New Roman" w:hAnsi="Times New Roman" w:cs="Times New Roman"/>
          <w:b/>
          <w:sz w:val="20"/>
          <w:szCs w:val="22"/>
          <w:lang w:val="es-MX"/>
        </w:rPr>
        <w:t>TECO PROCESO DE EJECUCIÓN EN CONTRA DEL ESTADO DE GUATEMALA</w:t>
      </w:r>
    </w:p>
    <w:p w:rsid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rsid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9F2118">
        <w:rPr>
          <w:rFonts w:ascii="Times New Roman" w:hAnsi="Times New Roman" w:cs="Times New Roman"/>
          <w:sz w:val="20"/>
          <w:szCs w:val="22"/>
          <w:lang w:val="es-MX"/>
        </w:rPr>
        <w:t>La controversia inicial surge con fundamento en el Capítulo 10.5 de Inversión del Tratado de Libre Comercio entre República Dominicana, Centroamérica y Estados Unidos de América, en la cual TECO invoca, que Guatemala violentó dicho capitulo, al no otorgar un trato justo y equitativo respecto de su inversión, como consecuencia de imponer injustificadamente un valor agregado de distribución a EEGSA, afectando así su inversión.</w:t>
      </w:r>
    </w:p>
    <w:p w:rsidR="009F2118" w:rsidRP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rsid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9F2118">
        <w:rPr>
          <w:rFonts w:ascii="Times New Roman" w:hAnsi="Times New Roman" w:cs="Times New Roman"/>
          <w:sz w:val="20"/>
          <w:szCs w:val="22"/>
          <w:lang w:val="es-MX"/>
        </w:rPr>
        <w:t xml:space="preserve">El 19 de diciembre del año 2013, el Tribunal Arbitral emitió el laudo en el cual resuelve que Guatemala violentó la obligación de otorgar un trato justo a TECO en virtud del GAFTA-DR, </w:t>
      </w:r>
      <w:r w:rsidRPr="009F2118">
        <w:rPr>
          <w:rFonts w:ascii="Times New Roman" w:hAnsi="Times New Roman" w:cs="Times New Roman"/>
          <w:sz w:val="20"/>
          <w:szCs w:val="22"/>
          <w:lang w:val="es-MX"/>
        </w:rPr>
        <w:lastRenderedPageBreak/>
        <w:t>condenando a Guatemala al pago de US$21.1 millones en concepto de indemnización por los daños generados hasta la venta de participación de TECO en EEGSA, más intereses.</w:t>
      </w:r>
    </w:p>
    <w:p w:rsidR="009F2118" w:rsidRP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rsidR="009F2118" w:rsidRDefault="009F2118" w:rsidP="00B161F8">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9F2118">
        <w:rPr>
          <w:rFonts w:ascii="Times New Roman" w:hAnsi="Times New Roman" w:cs="Times New Roman"/>
          <w:sz w:val="20"/>
          <w:szCs w:val="22"/>
          <w:lang w:val="es-MX"/>
        </w:rPr>
        <w:t xml:space="preserve">Posteriormente ambas partes, en 2014 y 2015 respectivamente, solicitaron la anulación de dicho laudo y el 05 de abril de 2016, un comité </w:t>
      </w:r>
      <w:r w:rsidRPr="009F2118">
        <w:rPr>
          <w:rFonts w:ascii="Times New Roman" w:hAnsi="Times New Roman" w:cs="Times New Roman"/>
          <w:i/>
          <w:sz w:val="20"/>
          <w:szCs w:val="22"/>
          <w:lang w:val="es-MX"/>
        </w:rPr>
        <w:t xml:space="preserve">ad-hoc, </w:t>
      </w:r>
      <w:r w:rsidRPr="009F2118">
        <w:rPr>
          <w:rFonts w:ascii="Times New Roman" w:hAnsi="Times New Roman" w:cs="Times New Roman"/>
          <w:sz w:val="20"/>
          <w:szCs w:val="22"/>
          <w:lang w:val="es-MX"/>
        </w:rPr>
        <w:t>decidió anular la decisión de daños del laudo por la reclamación de pérdida de valor, así como anular la decisión sobre intereses respecto de daños históricos del Laudo para el período entre el 1 de agosto de 2009 y el 21 de octubre de 2010.</w:t>
      </w:r>
      <w:r w:rsidR="00B161F8">
        <w:rPr>
          <w:rFonts w:ascii="Times New Roman" w:hAnsi="Times New Roman" w:cs="Times New Roman"/>
          <w:sz w:val="20"/>
          <w:szCs w:val="22"/>
          <w:lang w:val="es-MX"/>
        </w:rPr>
        <w:t xml:space="preserve">  </w:t>
      </w:r>
      <w:r w:rsidRPr="009F2118">
        <w:rPr>
          <w:rFonts w:ascii="Times New Roman" w:hAnsi="Times New Roman" w:cs="Times New Roman"/>
          <w:sz w:val="20"/>
          <w:szCs w:val="22"/>
          <w:lang w:val="es-MX"/>
        </w:rPr>
        <w:t>El 16 de enero de 2017 TECO presentó ante la Corte Federal del Distrito de Columbia una petición para confirmación de la parte no anulada del laudo, emitido por el CIADI en el arbitraje No. ARB/10/23.</w:t>
      </w:r>
    </w:p>
    <w:p w:rsidR="009F2118" w:rsidRP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rsidR="009F2118" w:rsidRDefault="009F2118"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9F2118">
        <w:rPr>
          <w:rFonts w:ascii="Times New Roman" w:hAnsi="Times New Roman" w:cs="Times New Roman"/>
          <w:sz w:val="20"/>
          <w:szCs w:val="22"/>
          <w:lang w:val="es-MX"/>
        </w:rPr>
        <w:t xml:space="preserve">En </w:t>
      </w:r>
      <w:r w:rsidR="001401B2">
        <w:rPr>
          <w:rFonts w:ascii="Times New Roman" w:hAnsi="Times New Roman" w:cs="Times New Roman"/>
          <w:sz w:val="20"/>
          <w:szCs w:val="22"/>
          <w:lang w:val="es-MX"/>
        </w:rPr>
        <w:t>noviem</w:t>
      </w:r>
      <w:r w:rsidRPr="009F2118">
        <w:rPr>
          <w:rFonts w:ascii="Times New Roman" w:hAnsi="Times New Roman" w:cs="Times New Roman"/>
          <w:sz w:val="20"/>
          <w:szCs w:val="22"/>
          <w:lang w:val="es-MX"/>
        </w:rPr>
        <w:t>bre de 2020 Guatemala efectuó el pago del monto por el cual TECO le estaba ejecutando, lo cual asciende a Q 292.5 millones, en concepto de la parte no anulada del primer laudo, lo cual incluye US$21.1 millones en concepto de daños, más el interés devengado a la tasa de interés preferencial de Estados Unidos de América más un 2% de interés adicional a partir del 21 de octubre de 2010 hasta la fecha de cancelación del adeudo. De esa cuenta, al haberse efectuado el pago por parte del Estado de Guatemala, se han concluido los procesos judiciales en las Cortes de Estados Unidos de América, liberando de cualquier obligación al Estado relacionada con dicho caso.</w:t>
      </w:r>
    </w:p>
    <w:p w:rsidR="00B228D4" w:rsidRPr="009F2118" w:rsidRDefault="00B228D4" w:rsidP="00D85325">
      <w:pPr>
        <w:pBdr>
          <w:top w:val="single" w:sz="4" w:space="1"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rsidR="009F2118" w:rsidRPr="009F2118" w:rsidRDefault="009F2118" w:rsidP="009F2118">
      <w:pPr>
        <w:pStyle w:val="Sinespaciado"/>
        <w:jc w:val="both"/>
        <w:rPr>
          <w:rFonts w:ascii="Times New Roman" w:hAnsi="Times New Roman" w:cs="Times New Roman"/>
          <w:lang w:val="es-MX"/>
        </w:rPr>
      </w:pPr>
    </w:p>
    <w:p w:rsidR="009F2118" w:rsidRPr="009F2118" w:rsidRDefault="009F2118" w:rsidP="009F2118">
      <w:pPr>
        <w:pStyle w:val="Sinespaciado"/>
        <w:jc w:val="both"/>
        <w:rPr>
          <w:rFonts w:ascii="Times New Roman" w:hAnsi="Times New Roman" w:cs="Times New Roman"/>
        </w:rPr>
      </w:pPr>
      <w:r w:rsidRPr="009F2118">
        <w:rPr>
          <w:rFonts w:ascii="Times New Roman" w:hAnsi="Times New Roman" w:cs="Times New Roman"/>
          <w:lang w:val="es-MX"/>
        </w:rPr>
        <w:t>E</w:t>
      </w:r>
      <w:r w:rsidRPr="009F2118">
        <w:rPr>
          <w:rFonts w:ascii="Times New Roman" w:hAnsi="Times New Roman" w:cs="Times New Roman"/>
        </w:rPr>
        <w:t xml:space="preserve">l rubro de bienes y servicios del Ministerio de Agricultura, Ganadería y Alimentación y del Ministerio de Desarrollo Social, está asociado a la dotación alimentaria para asegurar la seguridad alimentaria a personas vulnerables por los efectos del COVID-19. Por su parte, el Ministerio de Salud Pública y Asistencia Social reporta un aumento de Q395.1 millones, asociado a mayores desembolsos en los servicios médicos-sanitarios, útiles menores, suministros e instrumental médico quirúrgico, de laboratorio y cuidado de la salud, los cuales se deben en gran medida a las intervenciones que realiza este Ministerio para atender la emergencia del COVID-19. Mientras que el Ministerio de Comunicaciones aumentó su ejecución en este rubro en Q350.3 millones por el mantenimiento de obras.  </w:t>
      </w:r>
    </w:p>
    <w:p w:rsidR="009F2118" w:rsidRPr="009F2118" w:rsidRDefault="009F2118" w:rsidP="009F2118">
      <w:pPr>
        <w:pStyle w:val="Sinespaciado"/>
        <w:jc w:val="both"/>
        <w:rPr>
          <w:rFonts w:ascii="Times New Roman" w:hAnsi="Times New Roman" w:cs="Times New Roman"/>
        </w:rPr>
      </w:pP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 xml:space="preserve">En cuanto a los intereses de la deuda pública, dicho rubro aumentó de forma moderada en Q641.7 millones a lo observado en 2019, de los cuales se dio un aumento en los intereses de la deuda interna por Q244.5 millones. Asimismo, los intereses de la deuda externa aumentaron en Q397.2 millones, principalmente por la colocación de Eurobonos, para final de año el tipo de cambio tuvo una depreciación lo que genera que el pago de intereses en moneda extranjera aumente. </w:t>
      </w:r>
    </w:p>
    <w:p w:rsidR="009F2118" w:rsidRPr="009F2118" w:rsidRDefault="009F2118" w:rsidP="009F2118">
      <w:pPr>
        <w:jc w:val="both"/>
        <w:rPr>
          <w:rFonts w:ascii="Times New Roman" w:hAnsi="Times New Roman" w:cs="Times New Roman"/>
          <w:sz w:val="22"/>
          <w:szCs w:val="22"/>
        </w:rPr>
      </w:pP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En las transferencias de capital también se observa un aumento de Q387.8 millones en 2020, que junto con la inversión financiera hacen apuntalar el gasto de capital del gobierno en este año.  Este comportamiento en las transferencias de capital se debió principalmente al aumento en el aporte a los Consejos Departamentales de Desarrollo (CODEDES) por Q490.1 millones, los cuales tendrían como destino proyectos de reactivación económica luego de la contracción que se dio en la economía guatemalteca por los efectos adversos del COVID-19. Por su parte, el aporte a las municipalidades fue menor a lo presupuestado y por debajo de lo observado en 2019 (en Q204.7 millones), debido a la contracción en los ingresos tributarios.</w:t>
      </w:r>
    </w:p>
    <w:p w:rsidR="009F2118" w:rsidRPr="009F2118" w:rsidRDefault="009F2118" w:rsidP="009F2118">
      <w:pPr>
        <w:jc w:val="both"/>
        <w:rPr>
          <w:rFonts w:ascii="Times New Roman" w:hAnsi="Times New Roman" w:cs="Times New Roman"/>
          <w:sz w:val="22"/>
          <w:szCs w:val="22"/>
        </w:rPr>
      </w:pPr>
    </w:p>
    <w:p w:rsidR="009F2118" w:rsidRP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 xml:space="preserve">En cuanto a las prestaciones a la seguridad social, que incluye el pago de pensiones y jubilaciones a los trabajadores del Estado, estas dan cuenta de un leve crecimiento de Q25.8 millones respecto a lo observado en 2019.  En 2020 el programa del Adulto Mayor reporto una menor ejecución (-Q2.5 millones) y los Q150 millones del Fondo de Protección de Empleo que se reorientaron hacia un bono único de pensionados y jubilados del Estado con el propósito de apoyarlos ante los efectos de la pandemia, se encuentran registrados en las transferencias corrientes a personas individuales. </w:t>
      </w:r>
    </w:p>
    <w:p w:rsidR="009F2118" w:rsidRDefault="009F2118" w:rsidP="009F2118">
      <w:pPr>
        <w:pStyle w:val="Sinespaciado"/>
        <w:jc w:val="center"/>
        <w:rPr>
          <w:rFonts w:ascii="Times New Roman" w:hAnsi="Times New Roman" w:cs="Times New Roman"/>
          <w:b/>
          <w:sz w:val="24"/>
        </w:rPr>
      </w:pPr>
    </w:p>
    <w:p w:rsidR="009F2118" w:rsidRPr="009F2118" w:rsidRDefault="009F2118" w:rsidP="009F2118">
      <w:pPr>
        <w:pStyle w:val="Sinespaciado"/>
        <w:jc w:val="center"/>
        <w:rPr>
          <w:rFonts w:ascii="Times New Roman" w:hAnsi="Times New Roman" w:cs="Times New Roman"/>
          <w:b/>
        </w:rPr>
      </w:pPr>
      <w:r w:rsidRPr="009F2118">
        <w:rPr>
          <w:rFonts w:ascii="Times New Roman" w:hAnsi="Times New Roman" w:cs="Times New Roman"/>
          <w:b/>
        </w:rPr>
        <w:t>Ejecución por rubro de Cuenta Económica</w:t>
      </w:r>
    </w:p>
    <w:p w:rsidR="009F2118" w:rsidRPr="006924C1" w:rsidRDefault="009F2118" w:rsidP="009F2118">
      <w:pPr>
        <w:pStyle w:val="Sinespaciado"/>
        <w:jc w:val="center"/>
        <w:rPr>
          <w:rFonts w:ascii="Times New Roman" w:hAnsi="Times New Roman" w:cs="Times New Roman"/>
          <w:sz w:val="20"/>
        </w:rPr>
      </w:pPr>
      <w:r w:rsidRPr="006924C1">
        <w:rPr>
          <w:rFonts w:ascii="Times New Roman" w:hAnsi="Times New Roman" w:cs="Times New Roman"/>
          <w:sz w:val="20"/>
        </w:rPr>
        <w:lastRenderedPageBreak/>
        <w:t>20</w:t>
      </w:r>
      <w:r>
        <w:rPr>
          <w:rFonts w:ascii="Times New Roman" w:hAnsi="Times New Roman" w:cs="Times New Roman"/>
          <w:sz w:val="20"/>
        </w:rPr>
        <w:t>20 – 2019</w:t>
      </w:r>
    </w:p>
    <w:p w:rsidR="009F2118" w:rsidRDefault="009F2118" w:rsidP="009F2118">
      <w:pPr>
        <w:jc w:val="center"/>
        <w:rPr>
          <w:rFonts w:ascii="Times New Roman" w:hAnsi="Times New Roman" w:cs="Times New Roman"/>
          <w:sz w:val="20"/>
        </w:rPr>
      </w:pPr>
      <w:r w:rsidRPr="006924C1">
        <w:rPr>
          <w:rFonts w:ascii="Times New Roman" w:hAnsi="Times New Roman" w:cs="Times New Roman"/>
          <w:sz w:val="20"/>
        </w:rPr>
        <w:t>Variación absoluta interanual</w:t>
      </w:r>
      <w:r>
        <w:rPr>
          <w:rFonts w:ascii="Times New Roman" w:hAnsi="Times New Roman" w:cs="Times New Roman"/>
          <w:sz w:val="20"/>
        </w:rPr>
        <w:t xml:space="preserve"> en millones de quetzales</w:t>
      </w:r>
    </w:p>
    <w:p w:rsidR="0037418E" w:rsidRDefault="0037418E" w:rsidP="009F2118">
      <w:pPr>
        <w:jc w:val="center"/>
        <w:rPr>
          <w:rFonts w:ascii="Times New Roman" w:hAnsi="Times New Roman" w:cs="Times New Roman"/>
          <w:sz w:val="20"/>
        </w:rPr>
      </w:pPr>
      <w:r>
        <w:rPr>
          <w:rFonts w:ascii="Times New Roman" w:hAnsi="Times New Roman" w:cs="Times New Roman"/>
          <w:b/>
          <w:noProof/>
          <w:sz w:val="36"/>
          <w:szCs w:val="36"/>
          <w:lang w:val="es-ES"/>
        </w:rPr>
        <w:drawing>
          <wp:anchor distT="0" distB="0" distL="114300" distR="114300" simplePos="0" relativeHeight="251698176" behindDoc="0" locked="0" layoutInCell="1" allowOverlap="1" wp14:anchorId="657456A6" wp14:editId="3B2D1332">
            <wp:simplePos x="0" y="0"/>
            <wp:positionH relativeFrom="column">
              <wp:posOffset>491490</wp:posOffset>
            </wp:positionH>
            <wp:positionV relativeFrom="paragraph">
              <wp:posOffset>41275</wp:posOffset>
            </wp:positionV>
            <wp:extent cx="4676775" cy="2819400"/>
            <wp:effectExtent l="0" t="0" r="0" b="0"/>
            <wp:wrapSquare wrapText="bothSides"/>
            <wp:docPr id="4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37418E" w:rsidRDefault="0037418E" w:rsidP="009F2118">
      <w:pPr>
        <w:jc w:val="center"/>
        <w:rPr>
          <w:rFonts w:ascii="Times New Roman" w:hAnsi="Times New Roman" w:cs="Times New Roman"/>
          <w:sz w:val="20"/>
        </w:rPr>
      </w:pPr>
    </w:p>
    <w:p w:rsidR="0037418E" w:rsidRDefault="0037418E" w:rsidP="009F2118">
      <w:pPr>
        <w:jc w:val="center"/>
        <w:rPr>
          <w:rFonts w:ascii="Times New Roman" w:hAnsi="Times New Roman" w:cs="Times New Roman"/>
          <w:sz w:val="20"/>
        </w:rPr>
      </w:pPr>
    </w:p>
    <w:p w:rsidR="0037418E" w:rsidRDefault="0037418E" w:rsidP="009F2118">
      <w:pPr>
        <w:jc w:val="center"/>
        <w:rPr>
          <w:rFonts w:ascii="Times New Roman" w:hAnsi="Times New Roman" w:cs="Times New Roman"/>
          <w:sz w:val="20"/>
        </w:rPr>
      </w:pPr>
    </w:p>
    <w:p w:rsidR="0037418E" w:rsidRDefault="0037418E" w:rsidP="009F2118">
      <w:pPr>
        <w:jc w:val="center"/>
        <w:rPr>
          <w:rFonts w:ascii="Times New Roman" w:hAnsi="Times New Roman" w:cs="Times New Roman"/>
          <w:sz w:val="20"/>
        </w:rPr>
      </w:pPr>
    </w:p>
    <w:p w:rsidR="0037418E" w:rsidRDefault="0037418E" w:rsidP="009F2118">
      <w:pPr>
        <w:jc w:val="center"/>
        <w:rPr>
          <w:rFonts w:ascii="Times New Roman" w:hAnsi="Times New Roman" w:cs="Times New Roman"/>
          <w:szCs w:val="36"/>
        </w:rPr>
      </w:pPr>
    </w:p>
    <w:p w:rsidR="0037418E" w:rsidRDefault="0037418E" w:rsidP="009F2118">
      <w:pPr>
        <w:jc w:val="center"/>
        <w:rPr>
          <w:rFonts w:ascii="Times New Roman" w:hAnsi="Times New Roman" w:cs="Times New Roman"/>
          <w:szCs w:val="36"/>
        </w:rPr>
      </w:pPr>
    </w:p>
    <w:p w:rsidR="0037418E" w:rsidRDefault="0037418E" w:rsidP="009F2118">
      <w:pPr>
        <w:jc w:val="center"/>
        <w:rPr>
          <w:rFonts w:ascii="Times New Roman" w:hAnsi="Times New Roman" w:cs="Times New Roman"/>
          <w:szCs w:val="36"/>
        </w:rPr>
      </w:pPr>
    </w:p>
    <w:p w:rsidR="0037418E" w:rsidRDefault="0037418E" w:rsidP="009F2118">
      <w:pPr>
        <w:jc w:val="center"/>
        <w:rPr>
          <w:rFonts w:ascii="Times New Roman" w:hAnsi="Times New Roman" w:cs="Times New Roman"/>
          <w:szCs w:val="36"/>
        </w:rPr>
      </w:pPr>
    </w:p>
    <w:p w:rsidR="0037418E" w:rsidRDefault="0037418E" w:rsidP="009F2118">
      <w:pPr>
        <w:jc w:val="center"/>
        <w:rPr>
          <w:rFonts w:ascii="Times New Roman" w:hAnsi="Times New Roman" w:cs="Times New Roman"/>
          <w:szCs w:val="36"/>
        </w:rPr>
      </w:pPr>
    </w:p>
    <w:p w:rsidR="0037418E" w:rsidRDefault="0037418E" w:rsidP="009F2118">
      <w:pPr>
        <w:jc w:val="center"/>
        <w:rPr>
          <w:rFonts w:ascii="Times New Roman" w:hAnsi="Times New Roman" w:cs="Times New Roman"/>
          <w:szCs w:val="36"/>
        </w:rPr>
      </w:pPr>
    </w:p>
    <w:p w:rsidR="0037418E" w:rsidRPr="00D02365" w:rsidRDefault="0037418E" w:rsidP="009F2118">
      <w:pPr>
        <w:jc w:val="center"/>
        <w:rPr>
          <w:rFonts w:ascii="Times New Roman" w:hAnsi="Times New Roman" w:cs="Times New Roman"/>
          <w:szCs w:val="36"/>
        </w:rPr>
      </w:pPr>
    </w:p>
    <w:p w:rsidR="009F2118" w:rsidRDefault="009F2118" w:rsidP="009F2118">
      <w:pPr>
        <w:rPr>
          <w:rFonts w:ascii="Times New Roman" w:hAnsi="Times New Roman" w:cs="Times New Roman"/>
          <w:sz w:val="16"/>
        </w:rPr>
      </w:pPr>
    </w:p>
    <w:p w:rsidR="0037418E" w:rsidRDefault="0037418E" w:rsidP="009F2118">
      <w:pPr>
        <w:rPr>
          <w:rFonts w:ascii="Times New Roman" w:hAnsi="Times New Roman" w:cs="Times New Roman"/>
          <w:sz w:val="16"/>
        </w:rPr>
      </w:pPr>
    </w:p>
    <w:p w:rsidR="0037418E" w:rsidRDefault="0037418E" w:rsidP="009F2118">
      <w:pPr>
        <w:rPr>
          <w:rFonts w:ascii="Times New Roman" w:hAnsi="Times New Roman" w:cs="Times New Roman"/>
          <w:sz w:val="16"/>
        </w:rPr>
      </w:pPr>
    </w:p>
    <w:p w:rsidR="0037418E" w:rsidRDefault="0037418E" w:rsidP="009F2118">
      <w:pPr>
        <w:rPr>
          <w:rFonts w:ascii="Times New Roman" w:hAnsi="Times New Roman" w:cs="Times New Roman"/>
          <w:sz w:val="16"/>
        </w:rPr>
      </w:pPr>
    </w:p>
    <w:p w:rsidR="0037418E" w:rsidRDefault="0037418E" w:rsidP="009F2118">
      <w:pPr>
        <w:rPr>
          <w:rFonts w:ascii="Times New Roman" w:hAnsi="Times New Roman" w:cs="Times New Roman"/>
          <w:sz w:val="16"/>
        </w:rPr>
      </w:pPr>
    </w:p>
    <w:p w:rsidR="0037418E" w:rsidRDefault="0037418E" w:rsidP="009F2118">
      <w:pPr>
        <w:rPr>
          <w:rFonts w:ascii="Times New Roman" w:hAnsi="Times New Roman" w:cs="Times New Roman"/>
          <w:sz w:val="16"/>
        </w:rPr>
      </w:pPr>
    </w:p>
    <w:p w:rsidR="0037418E" w:rsidRDefault="0037418E" w:rsidP="009F2118">
      <w:pPr>
        <w:rPr>
          <w:rFonts w:ascii="Times New Roman" w:hAnsi="Times New Roman" w:cs="Times New Roman"/>
          <w:sz w:val="16"/>
        </w:rPr>
      </w:pPr>
    </w:p>
    <w:p w:rsidR="0037418E" w:rsidRDefault="0037418E" w:rsidP="009F2118">
      <w:pPr>
        <w:rPr>
          <w:rFonts w:ascii="Times New Roman" w:hAnsi="Times New Roman" w:cs="Times New Roman"/>
          <w:sz w:val="16"/>
        </w:rPr>
      </w:pPr>
    </w:p>
    <w:p w:rsidR="00D85325" w:rsidRPr="00C354FD" w:rsidRDefault="009F2118" w:rsidP="0037418E">
      <w:pPr>
        <w:ind w:firstLine="708"/>
        <w:rPr>
          <w:rFonts w:ascii="Times New Roman" w:hAnsi="Times New Roman" w:cs="Times New Roman"/>
          <w:sz w:val="16"/>
        </w:rPr>
      </w:pPr>
      <w:r w:rsidRPr="00C354FD">
        <w:rPr>
          <w:rFonts w:ascii="Times New Roman" w:hAnsi="Times New Roman" w:cs="Times New Roman"/>
          <w:sz w:val="16"/>
        </w:rPr>
        <w:t>Fuente: Dirección de Análisis y Política Fiscal</w:t>
      </w:r>
      <w:r w:rsidR="0037418E">
        <w:rPr>
          <w:rFonts w:ascii="Times New Roman" w:hAnsi="Times New Roman" w:cs="Times New Roman"/>
          <w:sz w:val="16"/>
        </w:rPr>
        <w:t>.</w:t>
      </w:r>
    </w:p>
    <w:p w:rsidR="0037418E" w:rsidRDefault="0037418E" w:rsidP="009F2118">
      <w:pPr>
        <w:jc w:val="both"/>
        <w:rPr>
          <w:rFonts w:ascii="Times New Roman" w:hAnsi="Times New Roman" w:cs="Times New Roman"/>
          <w:sz w:val="22"/>
          <w:szCs w:val="22"/>
        </w:rPr>
      </w:pPr>
    </w:p>
    <w:p w:rsidR="009F2118" w:rsidRDefault="009F2118" w:rsidP="009F2118">
      <w:pPr>
        <w:jc w:val="both"/>
        <w:rPr>
          <w:rFonts w:ascii="Times New Roman" w:hAnsi="Times New Roman" w:cs="Times New Roman"/>
          <w:sz w:val="22"/>
          <w:szCs w:val="22"/>
        </w:rPr>
      </w:pPr>
      <w:r w:rsidRPr="009F2118">
        <w:rPr>
          <w:rFonts w:ascii="Times New Roman" w:hAnsi="Times New Roman" w:cs="Times New Roman"/>
          <w:sz w:val="22"/>
          <w:szCs w:val="22"/>
        </w:rPr>
        <w:t xml:space="preserve">El principal ajuste del gasto en 2020 se refleja en la inversión real directa, al cierre de 2020 cayó en 41.4%, siendo equivalente a Q2,039.8 millones, en línea con el bajo dinamismo en la ejecución por parte del Ministerio de Comunicaciones, siendo una de las entidades más rezagadas en cuanto a nivel de ejecución (69.6%), equivalente a una caída interanual de 17.8%. Esta situación se debió en parte a las medidas de confinamiento y distanciamiento social que se establecieron en varios meses del año y al bajo nivel de recaudación tributaria que afecto varios rubros de gasto especialmente la inversión. </w:t>
      </w:r>
    </w:p>
    <w:p w:rsidR="009F2118" w:rsidRPr="009F2118" w:rsidRDefault="009F2118" w:rsidP="009F2118">
      <w:pPr>
        <w:jc w:val="both"/>
        <w:rPr>
          <w:rFonts w:ascii="Times New Roman" w:hAnsi="Times New Roman" w:cs="Times New Roman"/>
          <w:sz w:val="22"/>
          <w:szCs w:val="22"/>
        </w:rPr>
      </w:pPr>
    </w:p>
    <w:p w:rsidR="009F2118" w:rsidRPr="009F2118" w:rsidRDefault="009F2118" w:rsidP="009F2118">
      <w:pPr>
        <w:jc w:val="both"/>
        <w:rPr>
          <w:rFonts w:ascii="Times New Roman" w:hAnsi="Times New Roman" w:cs="Times New Roman"/>
          <w:b/>
          <w:sz w:val="22"/>
          <w:szCs w:val="22"/>
        </w:rPr>
      </w:pPr>
      <w:r w:rsidRPr="009F2118">
        <w:rPr>
          <w:rFonts w:ascii="Times New Roman" w:hAnsi="Times New Roman" w:cs="Times New Roman"/>
          <w:sz w:val="22"/>
          <w:szCs w:val="22"/>
        </w:rPr>
        <w:t xml:space="preserve">Es importante indicar que, el alto crecimiento del gasto público no estuvo relacionado a la inversión real directa, ya que la mayor parte de los gastos estuvieron destinados a gastos de funcionamiento y de inversión financiera en atención a la crisis del COVID-19, a excepción de la construcción y equipamiento de hospitales que si constituyen un impulso a la inversión real directa. Para el ejercicio fiscal 2021 el enfoque del gasto público será la reactivación económica y los esfuerzos se focalizarán en proyectos de infraestructura vial por la capacidad que tienen de generar empleo y aumentar el ingreso por su efecto multiplicador. </w:t>
      </w:r>
    </w:p>
    <w:p w:rsidR="006924C1" w:rsidRPr="00443624" w:rsidRDefault="006924C1" w:rsidP="00364844">
      <w:pPr>
        <w:jc w:val="both"/>
        <w:rPr>
          <w:rFonts w:ascii="Times New Roman" w:hAnsi="Times New Roman" w:cs="Times New Roman"/>
          <w:color w:val="FF0000"/>
          <w:sz w:val="22"/>
          <w:szCs w:val="22"/>
          <w:lang w:val="es-MX"/>
        </w:rPr>
      </w:pPr>
    </w:p>
    <w:p w:rsidR="00364844" w:rsidRPr="00811C41" w:rsidRDefault="00811C41" w:rsidP="00EE52DF">
      <w:pPr>
        <w:pStyle w:val="Ttulo2"/>
        <w:numPr>
          <w:ilvl w:val="1"/>
          <w:numId w:val="12"/>
        </w:numPr>
        <w:spacing w:before="0"/>
        <w:ind w:left="567"/>
        <w:rPr>
          <w:rFonts w:ascii="Times New Roman" w:hAnsi="Times New Roman" w:cs="Times New Roman"/>
          <w:color w:val="auto"/>
          <w:sz w:val="24"/>
        </w:rPr>
      </w:pPr>
      <w:bookmarkStart w:id="121" w:name="_Toc64025437"/>
      <w:r w:rsidRPr="00811C41">
        <w:rPr>
          <w:rFonts w:ascii="Times New Roman" w:hAnsi="Times New Roman" w:cs="Times New Roman"/>
          <w:color w:val="auto"/>
          <w:sz w:val="24"/>
        </w:rPr>
        <w:t>Disminución</w:t>
      </w:r>
      <w:r w:rsidR="006924C1" w:rsidRPr="00811C41">
        <w:rPr>
          <w:rFonts w:ascii="Times New Roman" w:hAnsi="Times New Roman" w:cs="Times New Roman"/>
          <w:color w:val="auto"/>
          <w:sz w:val="24"/>
        </w:rPr>
        <w:t xml:space="preserve"> de gastos no esenciales</w:t>
      </w:r>
      <w:bookmarkEnd w:id="121"/>
    </w:p>
    <w:p w:rsidR="00364844" w:rsidRPr="00811C41" w:rsidRDefault="00364844" w:rsidP="00364844">
      <w:pPr>
        <w:rPr>
          <w:color w:val="FF0000"/>
          <w:sz w:val="22"/>
        </w:rPr>
      </w:pPr>
    </w:p>
    <w:p w:rsidR="00811C41" w:rsidRDefault="00811C41" w:rsidP="00811C41">
      <w:pPr>
        <w:jc w:val="both"/>
        <w:rPr>
          <w:rFonts w:ascii="Times New Roman" w:hAnsi="Times New Roman" w:cs="Times New Roman"/>
          <w:sz w:val="22"/>
        </w:rPr>
      </w:pPr>
      <w:r w:rsidRPr="00811C41">
        <w:rPr>
          <w:rFonts w:ascii="Times New Roman" w:hAnsi="Times New Roman" w:cs="Times New Roman"/>
          <w:sz w:val="22"/>
        </w:rPr>
        <w:t>Durante 2020 se dieron una serie de disposiciones presidenciales por la calamidad pública derivada de la pandemia COVID-19, las cuales fueron de estricto cumplimiento en la administración pública. Entre las medidas adoptadas se decretó el control, contención y priorización del gasto público para que los recursos se utilizaran con racionalidad y prudencia de forma que se garantizara a la población la prestación de los servicios públicos esenciales en la coyuntura del COVID-19.</w:t>
      </w:r>
    </w:p>
    <w:p w:rsidR="00811C41" w:rsidRPr="00811C41" w:rsidRDefault="00811C41" w:rsidP="00811C41">
      <w:pPr>
        <w:jc w:val="both"/>
        <w:rPr>
          <w:rFonts w:ascii="Times New Roman" w:hAnsi="Times New Roman" w:cs="Times New Roman"/>
          <w:sz w:val="22"/>
        </w:rPr>
      </w:pPr>
    </w:p>
    <w:p w:rsidR="00811C41" w:rsidRPr="00811C41" w:rsidRDefault="00811C41" w:rsidP="00811C41">
      <w:pPr>
        <w:jc w:val="both"/>
        <w:rPr>
          <w:rFonts w:ascii="Times New Roman" w:hAnsi="Times New Roman" w:cs="Times New Roman"/>
          <w:sz w:val="22"/>
        </w:rPr>
      </w:pPr>
      <w:r w:rsidRPr="00811C41">
        <w:rPr>
          <w:rFonts w:ascii="Times New Roman" w:hAnsi="Times New Roman" w:cs="Times New Roman"/>
          <w:sz w:val="22"/>
        </w:rPr>
        <w:t xml:space="preserve">El Estado de Calamidad Pública conllevó a un confinamiento de la población y al cierre temporal de actividades económicas impactando en los niveles de recaudación tributaria entre marzo y agosto. La falta de recursos limitó la asignación de cuotas financieras en los rubros de gasto que contaban con dicha fuente de financiamiento, dado que se evidenció que los flujos de ingresos no iban a ser los previstos inicialmente. </w:t>
      </w:r>
    </w:p>
    <w:p w:rsidR="00811C41" w:rsidRDefault="00811C41" w:rsidP="00811C41">
      <w:pPr>
        <w:jc w:val="both"/>
        <w:rPr>
          <w:rFonts w:ascii="Times New Roman" w:hAnsi="Times New Roman" w:cs="Times New Roman"/>
          <w:sz w:val="22"/>
        </w:rPr>
      </w:pPr>
      <w:r w:rsidRPr="00811C41">
        <w:rPr>
          <w:rFonts w:ascii="Times New Roman" w:hAnsi="Times New Roman" w:cs="Times New Roman"/>
          <w:sz w:val="22"/>
        </w:rPr>
        <w:lastRenderedPageBreak/>
        <w:t>Con la política de contención de gasto se buscaba privilegiar el gasto destinado a la atención de la emergencia y mantener el gasto social, lo cual se logró dado que los gastos considerados como no esenciales -los renglones asociados a contratos de personal temporal (029), contrataciones de servicios profesionales excluyendo los relacionados a la salud (sub grupo 18), gasto en combustible, viáticos del interior y exterior, y gastos en divulgación e información-, en su conjunto disminuyeron en 16.8%, equivalente a Q519.9 millones menos que en 2019. El gasto de los renglones no esenciales para 2020 fue incluso inferior al observado en 2018, lo que da cuenta de un esfuerzo por parte de las entidades de gobierno de mantener estos renglones de gasto restringidos al máximo.</w:t>
      </w:r>
    </w:p>
    <w:p w:rsidR="00811C41" w:rsidRPr="00811C41" w:rsidRDefault="00811C41" w:rsidP="00811C41">
      <w:pPr>
        <w:jc w:val="both"/>
        <w:rPr>
          <w:rFonts w:ascii="Times New Roman" w:hAnsi="Times New Roman" w:cs="Times New Roman"/>
          <w:sz w:val="22"/>
        </w:rPr>
      </w:pPr>
    </w:p>
    <w:p w:rsidR="00811C41" w:rsidRDefault="00811C41" w:rsidP="00811C41">
      <w:pPr>
        <w:jc w:val="both"/>
        <w:rPr>
          <w:rFonts w:ascii="Times New Roman" w:hAnsi="Times New Roman" w:cs="Times New Roman"/>
          <w:sz w:val="22"/>
        </w:rPr>
      </w:pPr>
      <w:r w:rsidRPr="00811C41">
        <w:rPr>
          <w:rFonts w:ascii="Times New Roman" w:hAnsi="Times New Roman" w:cs="Times New Roman"/>
          <w:sz w:val="22"/>
        </w:rPr>
        <w:t>De las disminuciones sobresale el recorte en el subgrupo 18, el cual cayó 23.8%, equivalente a Q249.8 millones respecto a lo observado en 2019. Se excluye del análisis los servicios médicos y sanitarios del Ministerio de Salud Pública y Asistencia Social, dado que este renglón creció derivado de las contrataciones de personal para la atención de los hospitales temporales y los Centros de Aislamiento Temporal necesarios para aumentar la capacidad de atención de los pacientes diagnosticados con COVID-19.</w:t>
      </w:r>
    </w:p>
    <w:p w:rsidR="00811C41" w:rsidRPr="00811C41" w:rsidRDefault="00811C41" w:rsidP="00811C41">
      <w:pPr>
        <w:jc w:val="both"/>
        <w:rPr>
          <w:rFonts w:ascii="Times New Roman" w:hAnsi="Times New Roman" w:cs="Times New Roman"/>
          <w:sz w:val="22"/>
        </w:rPr>
      </w:pPr>
    </w:p>
    <w:p w:rsidR="00D85325" w:rsidRDefault="00811C41" w:rsidP="00811C41">
      <w:pPr>
        <w:jc w:val="both"/>
        <w:rPr>
          <w:rFonts w:ascii="Times New Roman" w:hAnsi="Times New Roman" w:cs="Times New Roman"/>
          <w:sz w:val="22"/>
        </w:rPr>
      </w:pPr>
      <w:r w:rsidRPr="00811C41">
        <w:rPr>
          <w:rFonts w:ascii="Times New Roman" w:hAnsi="Times New Roman" w:cs="Times New Roman"/>
          <w:sz w:val="22"/>
        </w:rPr>
        <w:t>El gasto en el renglón 029 tuvo una ejecución de Q1,401.8 millones con un crecimiento interanual negativo de 14.5%, equivalente a Q237.0 millones. Las entidades que reportaron las disminuciones más importantes en dicha erogación son Agricultura (-25.3%, equivalente a -Q101.7 millones), Secretarias (-33.9%, equivalente a -Q.74.5 millones), Gobernación (-13.8%, equivalente a –Q21.3 millones), Cultura y Deportes (-17.0%, equivalente a –Q13.4 millones) y Finanzas Públicas (-22.8%, equivalente a -Q13.1 millones). Entre el resto de las entidades tuvieron una disminución neta de Q13.0 millones.</w:t>
      </w:r>
    </w:p>
    <w:p w:rsidR="0037418E" w:rsidRPr="00B228D4" w:rsidRDefault="0037418E" w:rsidP="00811C41">
      <w:pPr>
        <w:jc w:val="both"/>
        <w:rPr>
          <w:rFonts w:ascii="Times New Roman" w:hAnsi="Times New Roman" w:cs="Times New Roman"/>
          <w:sz w:val="22"/>
        </w:rPr>
      </w:pPr>
    </w:p>
    <w:p w:rsidR="00811C41" w:rsidRPr="00D85325" w:rsidRDefault="00811C41" w:rsidP="00811C41">
      <w:pPr>
        <w:pStyle w:val="Sinespaciado"/>
        <w:jc w:val="center"/>
        <w:rPr>
          <w:rFonts w:ascii="Times New Roman" w:hAnsi="Times New Roman" w:cs="Times New Roman"/>
          <w:b/>
        </w:rPr>
      </w:pPr>
      <w:r w:rsidRPr="00D85325">
        <w:rPr>
          <w:rFonts w:ascii="Times New Roman" w:hAnsi="Times New Roman" w:cs="Times New Roman"/>
          <w:b/>
        </w:rPr>
        <w:t>Caída interanual en el personal temporal renglón 029 por entidad</w:t>
      </w:r>
    </w:p>
    <w:p w:rsidR="00811C41" w:rsidRDefault="00811C41" w:rsidP="00811C41">
      <w:pPr>
        <w:jc w:val="center"/>
        <w:rPr>
          <w:rFonts w:ascii="Times New Roman" w:hAnsi="Times New Roman" w:cs="Times New Roman"/>
          <w:sz w:val="20"/>
        </w:rPr>
      </w:pPr>
      <w:r>
        <w:rPr>
          <w:rFonts w:ascii="Times New Roman" w:hAnsi="Times New Roman" w:cs="Times New Roman"/>
          <w:noProof/>
          <w:lang w:val="es-ES"/>
        </w:rPr>
        <w:drawing>
          <wp:anchor distT="0" distB="0" distL="114300" distR="114300" simplePos="0" relativeHeight="251701248" behindDoc="0" locked="0" layoutInCell="1" allowOverlap="1" wp14:anchorId="4B46266D" wp14:editId="5D3D0574">
            <wp:simplePos x="0" y="0"/>
            <wp:positionH relativeFrom="column">
              <wp:posOffset>175895</wp:posOffset>
            </wp:positionH>
            <wp:positionV relativeFrom="paragraph">
              <wp:posOffset>195580</wp:posOffset>
            </wp:positionV>
            <wp:extent cx="5508625" cy="2726690"/>
            <wp:effectExtent l="0" t="0" r="0" b="0"/>
            <wp:wrapSquare wrapText="bothSides"/>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Pr>
          <w:rFonts w:ascii="Times New Roman" w:hAnsi="Times New Roman" w:cs="Times New Roman"/>
          <w:sz w:val="20"/>
        </w:rPr>
        <w:t>Variación absoluta interanual en millones de quetzales y en porcentajes</w:t>
      </w:r>
    </w:p>
    <w:p w:rsidR="00811C41" w:rsidRDefault="00D85325" w:rsidP="00811C41">
      <w:pPr>
        <w:rPr>
          <w:rFonts w:ascii="Times New Roman" w:hAnsi="Times New Roman" w:cs="Times New Roman"/>
          <w:sz w:val="16"/>
        </w:rPr>
      </w:pPr>
      <w:r>
        <w:rPr>
          <w:rFonts w:ascii="Times New Roman" w:hAnsi="Times New Roman" w:cs="Times New Roman"/>
          <w:sz w:val="16"/>
        </w:rPr>
        <w:t xml:space="preserve">           </w:t>
      </w:r>
      <w:r w:rsidR="00811C41" w:rsidRPr="00C354FD">
        <w:rPr>
          <w:rFonts w:ascii="Times New Roman" w:hAnsi="Times New Roman" w:cs="Times New Roman"/>
          <w:sz w:val="16"/>
        </w:rPr>
        <w:t>Fuente: Dirección de Análisis y Política Fiscal</w:t>
      </w:r>
      <w:r w:rsidR="0037418E">
        <w:rPr>
          <w:rFonts w:ascii="Times New Roman" w:hAnsi="Times New Roman" w:cs="Times New Roman"/>
          <w:sz w:val="16"/>
        </w:rPr>
        <w:t>.</w:t>
      </w:r>
    </w:p>
    <w:p w:rsidR="00811C41" w:rsidRPr="0037418E" w:rsidRDefault="00811C41" w:rsidP="00811C41">
      <w:pPr>
        <w:jc w:val="both"/>
        <w:rPr>
          <w:rFonts w:ascii="Times New Roman" w:hAnsi="Times New Roman" w:cs="Times New Roman"/>
          <w:sz w:val="22"/>
        </w:rPr>
      </w:pPr>
    </w:p>
    <w:p w:rsidR="00811C41" w:rsidRDefault="00811C41" w:rsidP="00811C41">
      <w:pPr>
        <w:jc w:val="both"/>
        <w:rPr>
          <w:rFonts w:ascii="Times New Roman" w:hAnsi="Times New Roman" w:cs="Times New Roman"/>
          <w:sz w:val="22"/>
        </w:rPr>
      </w:pPr>
      <w:r w:rsidRPr="00811C41">
        <w:rPr>
          <w:rFonts w:ascii="Times New Roman" w:hAnsi="Times New Roman" w:cs="Times New Roman"/>
          <w:sz w:val="22"/>
        </w:rPr>
        <w:t xml:space="preserve">El rubro de los viáticos en el exterior e interior da cuenta de una caída de 58.0%, equivalente a Q62.4 millones, el confinamiento y limitaciones en la movilidad entre departamentos ante el incremento de casos de COVID-19 estuvieron en vigencia durante varios meses en 2020, lo cual coadyuvó al resultado obtenido en dicho rubro. </w:t>
      </w:r>
    </w:p>
    <w:p w:rsidR="00D85325" w:rsidRPr="00811C41" w:rsidRDefault="00D85325" w:rsidP="00811C41">
      <w:pPr>
        <w:jc w:val="both"/>
        <w:rPr>
          <w:rFonts w:ascii="Times New Roman" w:hAnsi="Times New Roman" w:cs="Times New Roman"/>
          <w:sz w:val="22"/>
        </w:rPr>
      </w:pPr>
    </w:p>
    <w:p w:rsidR="00811C41" w:rsidRDefault="00811C41" w:rsidP="00811C41">
      <w:pPr>
        <w:jc w:val="both"/>
        <w:rPr>
          <w:rFonts w:ascii="Times New Roman" w:hAnsi="Times New Roman" w:cs="Times New Roman"/>
          <w:sz w:val="22"/>
        </w:rPr>
      </w:pPr>
      <w:r w:rsidRPr="00811C41">
        <w:rPr>
          <w:rFonts w:ascii="Times New Roman" w:hAnsi="Times New Roman" w:cs="Times New Roman"/>
          <w:sz w:val="22"/>
        </w:rPr>
        <w:lastRenderedPageBreak/>
        <w:t xml:space="preserve">Únicamente dos rubros reportaron crecimiento, combustibles y la divulgación e información. En el caso de los combustibles, el aumento total fue de Q2.0 millones, los aumentos más importantes se observaron en el Ministerio de Gobernación por Q18.2 millones, específicamente en la Dirección General de la Policía Nacional Civil en el programa de servicios de seguridad a las personas y su patrimonio. Por su parte, el Ministerio de Comunicaciones, Infraestructura y Vivienda en su conjunto tuvo un incremento de Q7.1 millones, siendo explicado por el incremento observado en la Dirección General de Caminos en la supervisión y administración de la red vial registrada en el país. </w:t>
      </w:r>
    </w:p>
    <w:p w:rsidR="00D85325" w:rsidRPr="00811C41" w:rsidRDefault="00D85325" w:rsidP="00811C41">
      <w:pPr>
        <w:jc w:val="both"/>
        <w:rPr>
          <w:rFonts w:ascii="Times New Roman" w:hAnsi="Times New Roman" w:cs="Times New Roman"/>
          <w:sz w:val="22"/>
        </w:rPr>
      </w:pPr>
    </w:p>
    <w:p w:rsidR="00811C41" w:rsidRDefault="00811C41" w:rsidP="00811C41">
      <w:pPr>
        <w:jc w:val="both"/>
        <w:rPr>
          <w:rFonts w:ascii="Times New Roman" w:hAnsi="Times New Roman" w:cs="Times New Roman"/>
          <w:sz w:val="22"/>
        </w:rPr>
      </w:pPr>
      <w:r w:rsidRPr="00811C41">
        <w:rPr>
          <w:rFonts w:ascii="Times New Roman" w:hAnsi="Times New Roman" w:cs="Times New Roman"/>
          <w:sz w:val="22"/>
        </w:rPr>
        <w:t>El caso de divulgación e información, si bien el monto ejecutado es relativamente bajo (Q40.9 millones) con respecto a los rubros indicados anteriormente, la tasa de crecimiento de este fue significativa, siendo de dos dígitos (27.3%). Al analizar las entidades que tuvieron un incremento en este rubro resalta las Secretarias del Ejecutivo, específicamente la Secretaria de Comunicación Social de la Presidencia, el Ministerio de Desarrollo Social y el Ministerio de Salud Pública y Asistencia Social, siendo esto comprensible dadas las necesidades de difundir por medio de campañas masivas información relacionada a la prevención y cuidados necesarios por la pandemia y en el caso de Desarrollo Social fue necesario publicar información del programa Bono Familia, el cual incluso contó con su propia página web, donde se indicaba todo lo relacionado a los requisitos, inscripción y retiro del efectivo proporcionado por medio del programa.</w:t>
      </w:r>
    </w:p>
    <w:p w:rsidR="00D85325" w:rsidRDefault="00D85325" w:rsidP="00811C41">
      <w:pPr>
        <w:jc w:val="both"/>
        <w:rPr>
          <w:rFonts w:ascii="Times New Roman" w:hAnsi="Times New Roman" w:cs="Times New Roman"/>
          <w:sz w:val="22"/>
        </w:rPr>
      </w:pPr>
    </w:p>
    <w:p w:rsidR="00D85325" w:rsidRDefault="00D85325" w:rsidP="00811C41">
      <w:pPr>
        <w:jc w:val="both"/>
        <w:rPr>
          <w:rFonts w:ascii="Times New Roman" w:hAnsi="Times New Roman" w:cs="Times New Roman"/>
          <w:sz w:val="22"/>
        </w:rPr>
      </w:pPr>
    </w:p>
    <w:p w:rsidR="00D85325" w:rsidRDefault="00D85325" w:rsidP="00811C41">
      <w:pPr>
        <w:jc w:val="both"/>
        <w:rPr>
          <w:rFonts w:ascii="Times New Roman" w:hAnsi="Times New Roman" w:cs="Times New Roman"/>
          <w:sz w:val="22"/>
        </w:rPr>
      </w:pPr>
    </w:p>
    <w:p w:rsidR="00D85325" w:rsidRPr="00811C41" w:rsidRDefault="00D85325" w:rsidP="00811C41">
      <w:pPr>
        <w:jc w:val="both"/>
        <w:rPr>
          <w:rFonts w:ascii="Times New Roman" w:hAnsi="Times New Roman" w:cs="Times New Roman"/>
          <w:sz w:val="22"/>
        </w:rPr>
      </w:pPr>
    </w:p>
    <w:p w:rsidR="00811C41" w:rsidRPr="00D85325" w:rsidRDefault="00811C41" w:rsidP="00811C41">
      <w:pPr>
        <w:pStyle w:val="Sinespaciado"/>
        <w:jc w:val="center"/>
        <w:rPr>
          <w:rFonts w:ascii="Times New Roman" w:hAnsi="Times New Roman" w:cs="Times New Roman"/>
          <w:b/>
        </w:rPr>
      </w:pPr>
      <w:r w:rsidRPr="00D85325">
        <w:rPr>
          <w:rFonts w:ascii="Times New Roman" w:hAnsi="Times New Roman" w:cs="Times New Roman"/>
          <w:b/>
        </w:rPr>
        <w:t xml:space="preserve">Gastos no esenciales 2017-2020 </w:t>
      </w:r>
    </w:p>
    <w:p w:rsidR="00811C41" w:rsidRPr="006924C1" w:rsidRDefault="0037418E" w:rsidP="00811C41">
      <w:pPr>
        <w:pStyle w:val="Sinespaciado"/>
        <w:jc w:val="center"/>
        <w:rPr>
          <w:rFonts w:ascii="Times New Roman" w:hAnsi="Times New Roman" w:cs="Times New Roman"/>
          <w:sz w:val="20"/>
        </w:rPr>
      </w:pPr>
      <w:r w:rsidRPr="00C07E71">
        <w:rPr>
          <w:rFonts w:ascii="Times New Roman" w:hAnsi="Times New Roman" w:cs="Times New Roman"/>
          <w:noProof/>
          <w:shd w:val="clear" w:color="auto" w:fill="4F81BD" w:themeFill="accent1"/>
          <w:lang w:val="es-ES" w:eastAsia="es-ES"/>
        </w:rPr>
        <w:drawing>
          <wp:anchor distT="0" distB="0" distL="114300" distR="114300" simplePos="0" relativeHeight="251700224" behindDoc="0" locked="0" layoutInCell="1" allowOverlap="1" wp14:anchorId="09071586" wp14:editId="6FD17C1C">
            <wp:simplePos x="0" y="0"/>
            <wp:positionH relativeFrom="column">
              <wp:posOffset>158115</wp:posOffset>
            </wp:positionH>
            <wp:positionV relativeFrom="paragraph">
              <wp:posOffset>207010</wp:posOffset>
            </wp:positionV>
            <wp:extent cx="5612130" cy="2895600"/>
            <wp:effectExtent l="0" t="0" r="7620" b="0"/>
            <wp:wrapSquare wrapText="bothSides"/>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008A3B13" w:rsidRPr="00413476">
        <w:rPr>
          <w:rFonts w:ascii="Times New Roman" w:hAnsi="Times New Roman" w:cs="Times New Roman"/>
          <w:noProof/>
          <w:sz w:val="20"/>
          <w:lang w:val="es-ES" w:eastAsia="es-ES"/>
        </w:rPr>
        <mc:AlternateContent>
          <mc:Choice Requires="wps">
            <w:drawing>
              <wp:anchor distT="45720" distB="45720" distL="114300" distR="114300" simplePos="0" relativeHeight="251702272" behindDoc="0" locked="0" layoutInCell="1" allowOverlap="1" wp14:anchorId="5293347C" wp14:editId="74514BB1">
                <wp:simplePos x="0" y="0"/>
                <wp:positionH relativeFrom="column">
                  <wp:posOffset>4469406</wp:posOffset>
                </wp:positionH>
                <wp:positionV relativeFrom="paragraph">
                  <wp:posOffset>307975</wp:posOffset>
                </wp:positionV>
                <wp:extent cx="1104265" cy="3892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389255"/>
                        </a:xfrm>
                        <a:prstGeom prst="rect">
                          <a:avLst/>
                        </a:prstGeom>
                        <a:noFill/>
                        <a:ln w="9525">
                          <a:noFill/>
                          <a:miter lim="800000"/>
                          <a:headEnd/>
                          <a:tailEnd/>
                        </a:ln>
                      </wps:spPr>
                      <wps:txbx>
                        <w:txbxContent>
                          <w:p w:rsidR="001B6203" w:rsidRPr="00413476" w:rsidRDefault="001B6203" w:rsidP="00811C41">
                            <w:pPr>
                              <w:jc w:val="center"/>
                              <w:rPr>
                                <w:rFonts w:ascii="Times New Roman" w:hAnsi="Times New Roman" w:cs="Times New Roman"/>
                                <w:b/>
                                <w:color w:val="C00000"/>
                                <w:sz w:val="20"/>
                                <w:lang w:val="en-US"/>
                              </w:rPr>
                            </w:pPr>
                            <w:r w:rsidRPr="00413476">
                              <w:rPr>
                                <w:rFonts w:ascii="Times New Roman" w:hAnsi="Times New Roman" w:cs="Times New Roman"/>
                                <w:b/>
                                <w:color w:val="C00000"/>
                                <w:sz w:val="20"/>
                              </w:rPr>
                              <w:t>Caída de Q519.9 millones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5293347C" id="_x0000_t202" coordsize="21600,21600" o:spt="202" path="m,l,21600r21600,l21600,xe">
                <v:stroke joinstyle="miter"/>
                <v:path gradientshapeok="t" o:connecttype="rect"/>
              </v:shapetype>
              <v:shape id="Text Box 2" o:spid="_x0000_s1026" type="#_x0000_t202" style="position:absolute;left:0;text-align:left;margin-left:351.9pt;margin-top:24.25pt;width:86.95pt;height:30.6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" filled="f" stroked="f">
                <v:textbox>
                  <w:txbxContent>
                    <w:p w:rsidR="001B6203" w:rsidRPr="00413476" w:rsidRDefault="001B6203" w:rsidP="00811C41">
                      <w:pPr>
                        <w:jc w:val="center"/>
                        <w:rPr>
                          <w:rFonts w:ascii="Times New Roman" w:hAnsi="Times New Roman" w:cs="Times New Roman"/>
                          <w:b/>
                          <w:color w:val="C00000"/>
                          <w:sz w:val="20"/>
                          <w:lang w:val="en-US"/>
                        </w:rPr>
                      </w:pPr>
                      <w:r w:rsidRPr="00413476">
                        <w:rPr>
                          <w:rFonts w:ascii="Times New Roman" w:hAnsi="Times New Roman" w:cs="Times New Roman"/>
                          <w:b/>
                          <w:color w:val="C00000"/>
                          <w:sz w:val="20"/>
                        </w:rPr>
                        <w:t>Caída de Q519.9 millones</w:t>
                      </w:r>
                    </w:p>
                  </w:txbxContent>
                </v:textbox>
                <w10:wrap type="square"/>
              </v:shape>
            </w:pict>
          </mc:Fallback>
        </mc:AlternateContent>
      </w:r>
      <w:r w:rsidR="00811C41">
        <w:rPr>
          <w:rFonts w:ascii="Times New Roman" w:hAnsi="Times New Roman" w:cs="Times New Roman"/>
          <w:sz w:val="20"/>
        </w:rPr>
        <w:t>Millones de quetzales</w:t>
      </w:r>
    </w:p>
    <w:p w:rsidR="00811C41" w:rsidRDefault="00D85325" w:rsidP="00811C41">
      <w:pPr>
        <w:rPr>
          <w:rFonts w:ascii="Times New Roman" w:hAnsi="Times New Roman" w:cs="Times New Roman"/>
          <w:sz w:val="16"/>
        </w:rPr>
      </w:pPr>
      <w:r>
        <w:rPr>
          <w:rFonts w:ascii="Times New Roman" w:hAnsi="Times New Roman" w:cs="Times New Roman"/>
          <w:sz w:val="16"/>
        </w:rPr>
        <w:t xml:space="preserve">            </w:t>
      </w:r>
      <w:r w:rsidR="00811C41" w:rsidRPr="00C354FD">
        <w:rPr>
          <w:rFonts w:ascii="Times New Roman" w:hAnsi="Times New Roman" w:cs="Times New Roman"/>
          <w:sz w:val="16"/>
        </w:rPr>
        <w:t>Fuente: Dirección de Análisis y Política Fiscal</w:t>
      </w:r>
      <w:r w:rsidR="0037418E">
        <w:rPr>
          <w:rFonts w:ascii="Times New Roman" w:hAnsi="Times New Roman" w:cs="Times New Roman"/>
          <w:sz w:val="16"/>
        </w:rPr>
        <w:t>.</w:t>
      </w:r>
    </w:p>
    <w:p w:rsidR="00811C41" w:rsidRPr="0037418E" w:rsidRDefault="00811C41" w:rsidP="00811C41">
      <w:pPr>
        <w:jc w:val="both"/>
        <w:rPr>
          <w:rFonts w:ascii="Times New Roman" w:hAnsi="Times New Roman" w:cs="Times New Roman"/>
          <w:sz w:val="20"/>
        </w:rPr>
      </w:pPr>
    </w:p>
    <w:p w:rsidR="00811C41" w:rsidRDefault="00811C41" w:rsidP="00811C41">
      <w:pPr>
        <w:jc w:val="both"/>
        <w:rPr>
          <w:rFonts w:ascii="Times New Roman" w:hAnsi="Times New Roman" w:cs="Times New Roman"/>
          <w:sz w:val="22"/>
        </w:rPr>
      </w:pPr>
      <w:r w:rsidRPr="00811C41">
        <w:rPr>
          <w:rFonts w:ascii="Times New Roman" w:hAnsi="Times New Roman" w:cs="Times New Roman"/>
          <w:sz w:val="22"/>
        </w:rPr>
        <w:t xml:space="preserve">Adicionalmente, las erogaciones en transporte, arrendamiento de edificios y locales adicionales a los existentes, remozamiento de oficinas, mobiliario y equipo de oficinas, equipo informático, uniformes y las contrataciones destinadas a la capacitación de personal, eventos y otros no prioritarios quedaron bastante limitadas. </w:t>
      </w:r>
    </w:p>
    <w:p w:rsidR="00D85325" w:rsidRPr="00811C41" w:rsidRDefault="00D85325" w:rsidP="00811C41">
      <w:pPr>
        <w:jc w:val="both"/>
        <w:rPr>
          <w:rFonts w:ascii="Times New Roman" w:hAnsi="Times New Roman" w:cs="Times New Roman"/>
          <w:sz w:val="22"/>
        </w:rPr>
      </w:pPr>
    </w:p>
    <w:p w:rsidR="00811C41" w:rsidRPr="00811C41" w:rsidRDefault="00811C41" w:rsidP="00811C41">
      <w:pPr>
        <w:jc w:val="both"/>
        <w:rPr>
          <w:rFonts w:ascii="Times New Roman" w:hAnsi="Times New Roman" w:cs="Times New Roman"/>
          <w:color w:val="FF0000"/>
          <w:sz w:val="14"/>
          <w:szCs w:val="22"/>
          <w:lang w:val="es-MX"/>
        </w:rPr>
      </w:pPr>
      <w:r w:rsidRPr="00811C41">
        <w:rPr>
          <w:rFonts w:ascii="Times New Roman" w:hAnsi="Times New Roman" w:cs="Times New Roman"/>
          <w:sz w:val="22"/>
        </w:rPr>
        <w:lastRenderedPageBreak/>
        <w:t>Se exceptuaron de varias de las disposiciones de contención del gasto, principalmente el Ministerio de Salud Pública, Gobernación y Defensa Nacional dado que la prestación de servicios de salud, seguridad ciudadana y defensa se consideraron esenciales e indispensables para atender la emergencia ocasionada por el COVID-19.</w:t>
      </w:r>
    </w:p>
    <w:p w:rsidR="00DD5841" w:rsidRPr="00443624" w:rsidRDefault="00DD5841" w:rsidP="00DD5841">
      <w:pPr>
        <w:jc w:val="both"/>
        <w:rPr>
          <w:rFonts w:ascii="Times New Roman" w:hAnsi="Times New Roman" w:cs="Times New Roman"/>
          <w:color w:val="FF0000"/>
          <w:lang w:val="es-MX"/>
        </w:rPr>
      </w:pPr>
    </w:p>
    <w:p w:rsidR="005460B1" w:rsidRPr="00D85325" w:rsidRDefault="00D85325" w:rsidP="00EE52DF">
      <w:pPr>
        <w:pStyle w:val="Ttulo2"/>
        <w:numPr>
          <w:ilvl w:val="1"/>
          <w:numId w:val="12"/>
        </w:numPr>
        <w:spacing w:before="0"/>
        <w:ind w:left="567"/>
        <w:rPr>
          <w:rFonts w:ascii="Times New Roman" w:hAnsi="Times New Roman" w:cs="Times New Roman"/>
          <w:color w:val="auto"/>
          <w:sz w:val="24"/>
        </w:rPr>
      </w:pPr>
      <w:bookmarkStart w:id="122" w:name="_Toc64025438"/>
      <w:r w:rsidRPr="00D85325">
        <w:rPr>
          <w:rFonts w:ascii="Times New Roman" w:hAnsi="Times New Roman" w:cs="Times New Roman"/>
          <w:color w:val="auto"/>
          <w:sz w:val="24"/>
        </w:rPr>
        <w:t>Moderado aumento en el</w:t>
      </w:r>
      <w:r w:rsidR="00EE52DF" w:rsidRPr="00D85325">
        <w:rPr>
          <w:rFonts w:ascii="Times New Roman" w:hAnsi="Times New Roman" w:cs="Times New Roman"/>
          <w:color w:val="auto"/>
          <w:sz w:val="24"/>
        </w:rPr>
        <w:t xml:space="preserve"> gasto social</w:t>
      </w:r>
      <w:bookmarkEnd w:id="122"/>
    </w:p>
    <w:p w:rsidR="00EE52DF" w:rsidRPr="00443624" w:rsidRDefault="00EE52DF" w:rsidP="00EE52DF">
      <w:pPr>
        <w:rPr>
          <w:color w:val="FF0000"/>
          <w:sz w:val="22"/>
          <w:lang w:val="es-MX" w:eastAsia="en-US"/>
        </w:rPr>
      </w:pPr>
    </w:p>
    <w:p w:rsidR="00F51181" w:rsidRDefault="00F51181" w:rsidP="00F51181">
      <w:pPr>
        <w:jc w:val="both"/>
        <w:rPr>
          <w:rFonts w:ascii="Times New Roman" w:hAnsi="Times New Roman" w:cs="Times New Roman"/>
          <w:sz w:val="22"/>
        </w:rPr>
      </w:pPr>
      <w:r w:rsidRPr="00F51181">
        <w:rPr>
          <w:rFonts w:ascii="Times New Roman" w:hAnsi="Times New Roman" w:cs="Times New Roman"/>
          <w:sz w:val="22"/>
        </w:rPr>
        <w:t xml:space="preserve">El gasto social entendido como el gasto sectorial de los Acuerdos de Paz, orientados a los sectores de salud y asistencia social, educación, ciencia y cultura, y vivienda, mostraron en su conjunto, una ejecución de Q32,367.6 millones, con un crecimiento interanual negativo de -0.2%, siendo inferior en Q68.1 millones a lo observado en 2019. </w:t>
      </w:r>
    </w:p>
    <w:p w:rsidR="00F51181" w:rsidRPr="00F51181" w:rsidRDefault="00F51181" w:rsidP="00F51181">
      <w:pPr>
        <w:jc w:val="both"/>
        <w:rPr>
          <w:rFonts w:ascii="Times New Roman" w:hAnsi="Times New Roman" w:cs="Times New Roman"/>
          <w:sz w:val="22"/>
        </w:rPr>
      </w:pPr>
    </w:p>
    <w:p w:rsidR="00F51181" w:rsidRDefault="00F51181" w:rsidP="00F51181">
      <w:pPr>
        <w:jc w:val="both"/>
        <w:rPr>
          <w:rFonts w:ascii="Times New Roman" w:hAnsi="Times New Roman" w:cs="Times New Roman"/>
          <w:sz w:val="22"/>
        </w:rPr>
      </w:pPr>
      <w:r w:rsidRPr="00F51181">
        <w:rPr>
          <w:rFonts w:ascii="Times New Roman" w:hAnsi="Times New Roman" w:cs="Times New Roman"/>
          <w:sz w:val="22"/>
        </w:rPr>
        <w:t>El sector de salud y asistencia social reporta una menor ejecución que en 2019, siendo la caída de Q641.9 millones, lo cual sobresale tomando en consideración que esta finalidad tuvo mucha atención e importancia a lo largo de 2020 por la crisis sanitaria ocasionada por el COVID-19. Al evaluar el gasto por función, la reducción de la contaminación, la protección ambiental, otros riesgos de exclusión social y la protección social son los que reportan una menor ejecución.</w:t>
      </w:r>
    </w:p>
    <w:p w:rsidR="00F51181" w:rsidRPr="00F51181" w:rsidRDefault="00F51181" w:rsidP="00F51181">
      <w:pPr>
        <w:jc w:val="both"/>
        <w:rPr>
          <w:rFonts w:ascii="Times New Roman" w:hAnsi="Times New Roman" w:cs="Times New Roman"/>
          <w:sz w:val="22"/>
        </w:rPr>
      </w:pPr>
    </w:p>
    <w:p w:rsidR="00F51181" w:rsidRPr="00F51181" w:rsidRDefault="00F51181" w:rsidP="00F51181">
      <w:pPr>
        <w:jc w:val="both"/>
        <w:rPr>
          <w:rFonts w:ascii="Times New Roman" w:hAnsi="Times New Roman" w:cs="Times New Roman"/>
          <w:sz w:val="22"/>
        </w:rPr>
      </w:pPr>
      <w:r w:rsidRPr="00F51181">
        <w:rPr>
          <w:rFonts w:ascii="Times New Roman" w:hAnsi="Times New Roman" w:cs="Times New Roman"/>
          <w:sz w:val="22"/>
        </w:rPr>
        <w:t xml:space="preserve">En el caso de la función de servicios de salud pública tuvo una reducción de Q570.3 millones dado que está relacionada a la gestión de bancos de sangre, diagnóstico de enfermedades (cáncer, tuberculosis, enfermedades venéreas), prevención (inmunización), servicios de planificación familiar, etc. Por su parte, la función de servicios hospitalarios aumentó Q131.9 millones, relacionado al aumento de hospitalizaciones, dado que varios pacientes diagnosticados positivos por COVID-19 requirieron estancia en un hospital temporal por el tiempo que durara su tratamiento.  </w:t>
      </w:r>
    </w:p>
    <w:p w:rsidR="00F51181" w:rsidRDefault="00F51181" w:rsidP="00F51181">
      <w:pPr>
        <w:jc w:val="both"/>
        <w:rPr>
          <w:rFonts w:ascii="Times New Roman" w:hAnsi="Times New Roman" w:cs="Times New Roman"/>
          <w:sz w:val="22"/>
        </w:rPr>
      </w:pPr>
      <w:r w:rsidRPr="00F51181">
        <w:rPr>
          <w:rFonts w:ascii="Times New Roman" w:hAnsi="Times New Roman" w:cs="Times New Roman"/>
          <w:sz w:val="22"/>
        </w:rPr>
        <w:t>En cuanto al sector vivienda, fue el que reportó el mayor dinamismo, con un crecimiento interanual de 35.3%, debido al mejor desempeño que tuvo FOPAVI en 2020 derivado de los subsidios que otorga esta institución.</w:t>
      </w:r>
      <w:r w:rsidR="00EC0821">
        <w:rPr>
          <w:rFonts w:ascii="Times New Roman" w:hAnsi="Times New Roman" w:cs="Times New Roman"/>
          <w:sz w:val="22"/>
        </w:rPr>
        <w:t xml:space="preserve">  </w:t>
      </w:r>
      <w:r w:rsidRPr="00F51181">
        <w:rPr>
          <w:rFonts w:ascii="Times New Roman" w:hAnsi="Times New Roman" w:cs="Times New Roman"/>
          <w:sz w:val="22"/>
        </w:rPr>
        <w:t xml:space="preserve">Asimismo, el sector de educación, ciencia y cultura, también mostró un alto dinamismo, con un grado de ejecución de 93.0%, encontrándose por arriba de la ejecución total del gasto social, aunque el crecimiento interanual fue moderado, siendo de 2.3%. </w:t>
      </w:r>
    </w:p>
    <w:p w:rsidR="00F51181" w:rsidRPr="00F51181" w:rsidRDefault="00F51181" w:rsidP="00F51181">
      <w:pPr>
        <w:jc w:val="both"/>
        <w:rPr>
          <w:rFonts w:ascii="Times New Roman" w:hAnsi="Times New Roman" w:cs="Times New Roman"/>
          <w:sz w:val="22"/>
        </w:rPr>
      </w:pPr>
    </w:p>
    <w:p w:rsidR="00F51181" w:rsidRDefault="00F51181" w:rsidP="00F51181">
      <w:pPr>
        <w:jc w:val="both"/>
        <w:rPr>
          <w:rFonts w:ascii="Times New Roman" w:hAnsi="Times New Roman" w:cs="Times New Roman"/>
          <w:sz w:val="22"/>
        </w:rPr>
      </w:pPr>
      <w:r w:rsidRPr="00F51181">
        <w:rPr>
          <w:rFonts w:ascii="Times New Roman" w:hAnsi="Times New Roman" w:cs="Times New Roman"/>
          <w:sz w:val="22"/>
        </w:rPr>
        <w:t xml:space="preserve">En lo que respecta a los otros componentes del gasto de los Acuerdos de Paz, que comprende el gasto en seguridad interna y las transferencias al Organismo Judicial, Corte de Constitucionalidad y Ministerio Público, en su conjunto mostraron una ejecución de Q9,661.6 millones, la cual muestra una variación interanual de 9.7%, principalmente asociado al traslado, prácticamente en su totalidad, del aporte corriente al Organismo Judicial y la Corte de Constitucionalidad.  </w:t>
      </w:r>
    </w:p>
    <w:p w:rsidR="00F51181" w:rsidRPr="00F51181" w:rsidRDefault="00F51181" w:rsidP="00F51181">
      <w:pPr>
        <w:jc w:val="both"/>
        <w:rPr>
          <w:rFonts w:ascii="Times New Roman" w:hAnsi="Times New Roman" w:cs="Times New Roman"/>
          <w:sz w:val="22"/>
        </w:rPr>
      </w:pPr>
    </w:p>
    <w:p w:rsidR="00F51181" w:rsidRPr="00F51181" w:rsidRDefault="00F51181" w:rsidP="00F51181">
      <w:pPr>
        <w:jc w:val="both"/>
        <w:rPr>
          <w:rFonts w:ascii="Times New Roman" w:hAnsi="Times New Roman" w:cs="Times New Roman"/>
          <w:sz w:val="22"/>
        </w:rPr>
      </w:pPr>
      <w:r w:rsidRPr="00F51181">
        <w:rPr>
          <w:rFonts w:ascii="Times New Roman" w:hAnsi="Times New Roman" w:cs="Times New Roman"/>
          <w:sz w:val="22"/>
        </w:rPr>
        <w:t>El gasto social total de los Acuerdos de Paz se ubicó en Q 42,029.3 millones, con un crecimiento interanual de 1.9% y experimentó un grado de ejecución presupuestaria de 90.1%.</w:t>
      </w:r>
    </w:p>
    <w:p w:rsidR="00F51181" w:rsidRPr="0037418E" w:rsidRDefault="00F51181" w:rsidP="00F51181">
      <w:pPr>
        <w:pStyle w:val="Sinespaciado"/>
        <w:jc w:val="center"/>
        <w:rPr>
          <w:rFonts w:ascii="Times New Roman" w:hAnsi="Times New Roman" w:cs="Times New Roman"/>
          <w:b/>
          <w:sz w:val="18"/>
        </w:rPr>
      </w:pPr>
    </w:p>
    <w:p w:rsidR="00F51181" w:rsidRPr="00F51181" w:rsidRDefault="00F51181" w:rsidP="00F51181">
      <w:pPr>
        <w:pStyle w:val="Sinespaciado"/>
        <w:jc w:val="center"/>
        <w:rPr>
          <w:rFonts w:ascii="Times New Roman" w:hAnsi="Times New Roman" w:cs="Times New Roman"/>
          <w:b/>
        </w:rPr>
      </w:pPr>
      <w:r w:rsidRPr="00F51181">
        <w:rPr>
          <w:rFonts w:ascii="Times New Roman" w:hAnsi="Times New Roman" w:cs="Times New Roman"/>
          <w:b/>
        </w:rPr>
        <w:t>Ejecución del Gasto social y de los Acuerdos de Paz</w:t>
      </w:r>
    </w:p>
    <w:p w:rsidR="00F51181" w:rsidRPr="00EE52DF" w:rsidRDefault="00F51181" w:rsidP="00F51181">
      <w:pPr>
        <w:pStyle w:val="Sinespaciado"/>
        <w:jc w:val="center"/>
        <w:rPr>
          <w:rFonts w:ascii="Times New Roman" w:hAnsi="Times New Roman" w:cs="Times New Roman"/>
          <w:sz w:val="20"/>
          <w:szCs w:val="20"/>
        </w:rPr>
      </w:pPr>
      <w:r w:rsidRPr="00EE52DF">
        <w:rPr>
          <w:rFonts w:ascii="Times New Roman" w:hAnsi="Times New Roman" w:cs="Times New Roman"/>
          <w:sz w:val="20"/>
          <w:szCs w:val="20"/>
        </w:rPr>
        <w:t>201</w:t>
      </w:r>
      <w:r>
        <w:rPr>
          <w:rFonts w:ascii="Times New Roman" w:hAnsi="Times New Roman" w:cs="Times New Roman"/>
          <w:sz w:val="20"/>
          <w:szCs w:val="20"/>
        </w:rPr>
        <w:t>9</w:t>
      </w:r>
      <w:r w:rsidRPr="00EE52DF">
        <w:rPr>
          <w:rFonts w:ascii="Times New Roman" w:hAnsi="Times New Roman" w:cs="Times New Roman"/>
          <w:sz w:val="20"/>
          <w:szCs w:val="20"/>
        </w:rPr>
        <w:t xml:space="preserve"> – 2</w:t>
      </w:r>
      <w:r>
        <w:rPr>
          <w:rFonts w:ascii="Times New Roman" w:hAnsi="Times New Roman" w:cs="Times New Roman"/>
          <w:sz w:val="20"/>
          <w:szCs w:val="20"/>
        </w:rPr>
        <w:t>020</w:t>
      </w:r>
    </w:p>
    <w:p w:rsidR="00F51181" w:rsidRDefault="00F51181" w:rsidP="00F51181">
      <w:pPr>
        <w:pStyle w:val="Sinespaciado"/>
        <w:jc w:val="center"/>
        <w:rPr>
          <w:rFonts w:ascii="Times New Roman" w:hAnsi="Times New Roman" w:cs="Times New Roman"/>
          <w:sz w:val="20"/>
          <w:szCs w:val="20"/>
        </w:rPr>
      </w:pPr>
      <w:r w:rsidRPr="00EE52DF">
        <w:rPr>
          <w:rFonts w:ascii="Times New Roman" w:hAnsi="Times New Roman" w:cs="Times New Roman"/>
          <w:sz w:val="20"/>
          <w:szCs w:val="20"/>
        </w:rPr>
        <w:t>-Millones de quetzales y porcentajes-</w:t>
      </w:r>
    </w:p>
    <w:tbl>
      <w:tblPr>
        <w:tblW w:w="8647" w:type="dxa"/>
        <w:jc w:val="center"/>
        <w:tblCellMar>
          <w:left w:w="70" w:type="dxa"/>
          <w:right w:w="70" w:type="dxa"/>
        </w:tblCellMar>
        <w:tblLook w:val="04A0" w:firstRow="1" w:lastRow="0" w:firstColumn="1" w:lastColumn="0" w:noHBand="0" w:noVBand="1"/>
      </w:tblPr>
      <w:tblGrid>
        <w:gridCol w:w="2552"/>
        <w:gridCol w:w="1559"/>
        <w:gridCol w:w="1418"/>
        <w:gridCol w:w="1559"/>
        <w:gridCol w:w="1559"/>
      </w:tblGrid>
      <w:tr w:rsidR="00F51181" w:rsidRPr="00615478" w:rsidTr="00F57DB3">
        <w:trPr>
          <w:trHeight w:val="204"/>
          <w:jc w:val="center"/>
        </w:trPr>
        <w:tc>
          <w:tcPr>
            <w:tcW w:w="2552" w:type="dxa"/>
            <w:vMerge w:val="restart"/>
            <w:tcBorders>
              <w:top w:val="single" w:sz="8" w:space="0" w:color="auto"/>
              <w:left w:val="single" w:sz="8" w:space="0" w:color="auto"/>
              <w:bottom w:val="single" w:sz="4" w:space="0" w:color="000000"/>
              <w:right w:val="single" w:sz="4" w:space="0" w:color="auto"/>
            </w:tcBorders>
            <w:shd w:val="clear" w:color="000000" w:fill="525252"/>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Sector</w:t>
            </w:r>
          </w:p>
        </w:tc>
        <w:tc>
          <w:tcPr>
            <w:tcW w:w="2977" w:type="dxa"/>
            <w:gridSpan w:val="2"/>
            <w:tcBorders>
              <w:top w:val="single" w:sz="8" w:space="0" w:color="auto"/>
              <w:left w:val="nil"/>
              <w:bottom w:val="single" w:sz="4" w:space="0" w:color="auto"/>
              <w:right w:val="single" w:sz="4" w:space="0" w:color="000000"/>
            </w:tcBorders>
            <w:shd w:val="clear" w:color="000000" w:fill="525252"/>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Ejecución</w:t>
            </w:r>
          </w:p>
        </w:tc>
        <w:tc>
          <w:tcPr>
            <w:tcW w:w="1559" w:type="dxa"/>
            <w:tcBorders>
              <w:top w:val="single" w:sz="8" w:space="0" w:color="auto"/>
              <w:left w:val="nil"/>
              <w:bottom w:val="single" w:sz="4" w:space="0" w:color="auto"/>
              <w:right w:val="single" w:sz="4" w:space="0" w:color="auto"/>
            </w:tcBorders>
            <w:shd w:val="clear" w:color="000000" w:fill="525252"/>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Variación</w:t>
            </w:r>
          </w:p>
        </w:tc>
        <w:tc>
          <w:tcPr>
            <w:tcW w:w="1559" w:type="dxa"/>
            <w:vMerge w:val="restart"/>
            <w:tcBorders>
              <w:top w:val="single" w:sz="8" w:space="0" w:color="auto"/>
              <w:left w:val="nil"/>
              <w:bottom w:val="single" w:sz="4" w:space="0" w:color="000000"/>
              <w:right w:val="single" w:sz="8" w:space="0" w:color="auto"/>
            </w:tcBorders>
            <w:shd w:val="clear" w:color="000000" w:fill="525252"/>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 de Ejecución 2020</w:t>
            </w:r>
          </w:p>
        </w:tc>
      </w:tr>
      <w:tr w:rsidR="00F51181" w:rsidRPr="00615478" w:rsidTr="00F51181">
        <w:trPr>
          <w:trHeight w:val="457"/>
          <w:jc w:val="center"/>
        </w:trPr>
        <w:tc>
          <w:tcPr>
            <w:tcW w:w="2552" w:type="dxa"/>
            <w:vMerge/>
            <w:tcBorders>
              <w:top w:val="single" w:sz="8" w:space="0" w:color="auto"/>
              <w:left w:val="single" w:sz="8" w:space="0" w:color="auto"/>
              <w:bottom w:val="single" w:sz="4" w:space="0" w:color="000000"/>
              <w:right w:val="single" w:sz="4" w:space="0" w:color="auto"/>
            </w:tcBorders>
            <w:vAlign w:val="center"/>
            <w:hideMark/>
          </w:tcPr>
          <w:p w:rsidR="00F51181" w:rsidRPr="00615478" w:rsidRDefault="00F51181" w:rsidP="00B63DA6">
            <w:pPr>
              <w:rPr>
                <w:rFonts w:ascii="Times New Roman" w:eastAsia="Times New Roman" w:hAnsi="Times New Roman" w:cs="Times New Roman"/>
                <w:b/>
                <w:bCs/>
                <w:color w:val="FFFFFF"/>
                <w:sz w:val="20"/>
                <w:szCs w:val="20"/>
                <w:lang w:eastAsia="es-GT"/>
              </w:rPr>
            </w:pPr>
          </w:p>
        </w:tc>
        <w:tc>
          <w:tcPr>
            <w:tcW w:w="1559" w:type="dxa"/>
            <w:tcBorders>
              <w:top w:val="nil"/>
              <w:left w:val="nil"/>
              <w:bottom w:val="single" w:sz="4" w:space="0" w:color="auto"/>
              <w:right w:val="single" w:sz="4" w:space="0" w:color="auto"/>
            </w:tcBorders>
            <w:shd w:val="clear" w:color="000000" w:fill="525252"/>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2019</w:t>
            </w:r>
          </w:p>
        </w:tc>
        <w:tc>
          <w:tcPr>
            <w:tcW w:w="1418" w:type="dxa"/>
            <w:tcBorders>
              <w:top w:val="nil"/>
              <w:left w:val="nil"/>
              <w:bottom w:val="single" w:sz="4" w:space="0" w:color="auto"/>
              <w:right w:val="single" w:sz="4" w:space="0" w:color="auto"/>
            </w:tcBorders>
            <w:shd w:val="clear" w:color="000000" w:fill="525252"/>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2020</w:t>
            </w:r>
          </w:p>
        </w:tc>
        <w:tc>
          <w:tcPr>
            <w:tcW w:w="1559" w:type="dxa"/>
            <w:tcBorders>
              <w:top w:val="nil"/>
              <w:left w:val="nil"/>
              <w:bottom w:val="single" w:sz="4" w:space="0" w:color="auto"/>
              <w:right w:val="single" w:sz="4" w:space="0" w:color="auto"/>
            </w:tcBorders>
            <w:shd w:val="clear" w:color="000000" w:fill="525252"/>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Relativa</w:t>
            </w:r>
            <w:r w:rsidRPr="00615478">
              <w:rPr>
                <w:rFonts w:ascii="Times New Roman" w:eastAsia="Times New Roman" w:hAnsi="Times New Roman" w:cs="Times New Roman"/>
                <w:b/>
                <w:bCs/>
                <w:color w:val="FFFFFF"/>
                <w:sz w:val="20"/>
                <w:szCs w:val="20"/>
                <w:lang w:eastAsia="es-GT"/>
              </w:rPr>
              <w:br/>
              <w:t xml:space="preserve"> 20-19</w:t>
            </w:r>
          </w:p>
        </w:tc>
        <w:tc>
          <w:tcPr>
            <w:tcW w:w="1559" w:type="dxa"/>
            <w:vMerge/>
            <w:tcBorders>
              <w:top w:val="single" w:sz="8" w:space="0" w:color="auto"/>
              <w:left w:val="nil"/>
              <w:bottom w:val="single" w:sz="4" w:space="0" w:color="000000"/>
              <w:right w:val="single" w:sz="8" w:space="0" w:color="auto"/>
            </w:tcBorders>
            <w:vAlign w:val="center"/>
            <w:hideMark/>
          </w:tcPr>
          <w:p w:rsidR="00F51181" w:rsidRPr="00615478" w:rsidRDefault="00F51181" w:rsidP="00B63DA6">
            <w:pPr>
              <w:rPr>
                <w:rFonts w:ascii="Times New Roman" w:eastAsia="Times New Roman" w:hAnsi="Times New Roman" w:cs="Times New Roman"/>
                <w:b/>
                <w:bCs/>
                <w:color w:val="FFFFFF"/>
                <w:sz w:val="20"/>
                <w:szCs w:val="20"/>
                <w:lang w:eastAsia="es-GT"/>
              </w:rPr>
            </w:pPr>
          </w:p>
        </w:tc>
      </w:tr>
      <w:tr w:rsidR="00F51181" w:rsidRPr="00615478" w:rsidTr="00F51181">
        <w:trPr>
          <w:trHeight w:val="134"/>
          <w:jc w:val="center"/>
        </w:trPr>
        <w:tc>
          <w:tcPr>
            <w:tcW w:w="2552" w:type="dxa"/>
            <w:tcBorders>
              <w:top w:val="nil"/>
              <w:left w:val="single" w:sz="8" w:space="0" w:color="auto"/>
              <w:bottom w:val="nil"/>
              <w:right w:val="single" w:sz="4" w:space="0" w:color="auto"/>
            </w:tcBorders>
            <w:shd w:val="clear" w:color="auto" w:fill="auto"/>
            <w:noWrap/>
            <w:vAlign w:val="center"/>
            <w:hideMark/>
          </w:tcPr>
          <w:p w:rsidR="00F51181" w:rsidRPr="00615478" w:rsidRDefault="00F51181" w:rsidP="00B63DA6">
            <w:pP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Salud y Asistencia Social</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11,786.8</w:t>
            </w:r>
          </w:p>
        </w:tc>
        <w:tc>
          <w:tcPr>
            <w:tcW w:w="1418"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11,144.9</w:t>
            </w:r>
          </w:p>
        </w:tc>
        <w:tc>
          <w:tcPr>
            <w:tcW w:w="1559" w:type="dxa"/>
            <w:tcBorders>
              <w:top w:val="nil"/>
              <w:left w:val="single" w:sz="4" w:space="0" w:color="auto"/>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-5.4</w:t>
            </w:r>
          </w:p>
        </w:tc>
        <w:tc>
          <w:tcPr>
            <w:tcW w:w="1559" w:type="dxa"/>
            <w:tcBorders>
              <w:top w:val="nil"/>
              <w:left w:val="nil"/>
              <w:bottom w:val="nil"/>
              <w:right w:val="single" w:sz="8"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86.9%</w:t>
            </w:r>
          </w:p>
        </w:tc>
      </w:tr>
      <w:tr w:rsidR="00F51181" w:rsidRPr="00615478" w:rsidTr="00F51181">
        <w:trPr>
          <w:trHeight w:val="189"/>
          <w:jc w:val="center"/>
        </w:trPr>
        <w:tc>
          <w:tcPr>
            <w:tcW w:w="2552" w:type="dxa"/>
            <w:tcBorders>
              <w:top w:val="nil"/>
              <w:left w:val="single" w:sz="8" w:space="0" w:color="auto"/>
              <w:bottom w:val="nil"/>
              <w:right w:val="single" w:sz="4" w:space="0" w:color="auto"/>
            </w:tcBorders>
            <w:shd w:val="clear" w:color="auto" w:fill="auto"/>
            <w:noWrap/>
            <w:vAlign w:val="center"/>
            <w:hideMark/>
          </w:tcPr>
          <w:p w:rsidR="00F51181" w:rsidRPr="00615478" w:rsidRDefault="00F51181" w:rsidP="00B63DA6">
            <w:pP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Educación, Ciencia y Cultura</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20,346.8</w:t>
            </w:r>
          </w:p>
        </w:tc>
        <w:tc>
          <w:tcPr>
            <w:tcW w:w="1418"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20,813.9</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2.3</w:t>
            </w:r>
          </w:p>
        </w:tc>
        <w:tc>
          <w:tcPr>
            <w:tcW w:w="1559" w:type="dxa"/>
            <w:tcBorders>
              <w:top w:val="nil"/>
              <w:left w:val="nil"/>
              <w:bottom w:val="nil"/>
              <w:right w:val="single" w:sz="8"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93.0%</w:t>
            </w:r>
          </w:p>
        </w:tc>
      </w:tr>
      <w:tr w:rsidR="00F51181" w:rsidRPr="00615478" w:rsidTr="00F51181">
        <w:trPr>
          <w:trHeight w:val="235"/>
          <w:jc w:val="center"/>
        </w:trPr>
        <w:tc>
          <w:tcPr>
            <w:tcW w:w="2552" w:type="dxa"/>
            <w:tcBorders>
              <w:top w:val="nil"/>
              <w:left w:val="single" w:sz="8" w:space="0" w:color="auto"/>
              <w:bottom w:val="nil"/>
              <w:right w:val="single" w:sz="4" w:space="0" w:color="auto"/>
            </w:tcBorders>
            <w:shd w:val="clear" w:color="auto" w:fill="auto"/>
            <w:noWrap/>
            <w:vAlign w:val="center"/>
            <w:hideMark/>
          </w:tcPr>
          <w:p w:rsidR="00F51181" w:rsidRPr="00615478" w:rsidRDefault="00F51181" w:rsidP="00B63DA6">
            <w:pP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Vivienda</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302.2</w:t>
            </w:r>
          </w:p>
        </w:tc>
        <w:tc>
          <w:tcPr>
            <w:tcW w:w="1418"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408.9</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35.3</w:t>
            </w:r>
          </w:p>
        </w:tc>
        <w:tc>
          <w:tcPr>
            <w:tcW w:w="1559" w:type="dxa"/>
            <w:tcBorders>
              <w:top w:val="nil"/>
              <w:left w:val="nil"/>
              <w:bottom w:val="nil"/>
              <w:right w:val="single" w:sz="8"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66.8%</w:t>
            </w:r>
          </w:p>
        </w:tc>
      </w:tr>
      <w:tr w:rsidR="00F51181" w:rsidRPr="00615478" w:rsidTr="00F51181">
        <w:trPr>
          <w:trHeight w:val="275"/>
          <w:jc w:val="center"/>
        </w:trPr>
        <w:tc>
          <w:tcPr>
            <w:tcW w:w="2552"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Gasto Social</w:t>
            </w:r>
          </w:p>
        </w:tc>
        <w:tc>
          <w:tcPr>
            <w:tcW w:w="1559" w:type="dxa"/>
            <w:tcBorders>
              <w:top w:val="single" w:sz="8" w:space="0" w:color="auto"/>
              <w:left w:val="nil"/>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32,435.7</w:t>
            </w:r>
          </w:p>
        </w:tc>
        <w:tc>
          <w:tcPr>
            <w:tcW w:w="1418" w:type="dxa"/>
            <w:tcBorders>
              <w:top w:val="single" w:sz="8" w:space="0" w:color="auto"/>
              <w:left w:val="nil"/>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32,367.6</w:t>
            </w:r>
          </w:p>
        </w:tc>
        <w:tc>
          <w:tcPr>
            <w:tcW w:w="1559"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-0.2</w:t>
            </w:r>
          </w:p>
        </w:tc>
        <w:tc>
          <w:tcPr>
            <w:tcW w:w="1559" w:type="dxa"/>
            <w:tcBorders>
              <w:top w:val="single" w:sz="8" w:space="0" w:color="auto"/>
              <w:left w:val="nil"/>
              <w:bottom w:val="single" w:sz="8" w:space="0" w:color="auto"/>
              <w:right w:val="single" w:sz="8"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90.4%</w:t>
            </w:r>
          </w:p>
        </w:tc>
      </w:tr>
      <w:tr w:rsidR="00F51181" w:rsidRPr="00615478" w:rsidTr="00F51181">
        <w:trPr>
          <w:trHeight w:val="251"/>
          <w:jc w:val="center"/>
        </w:trPr>
        <w:tc>
          <w:tcPr>
            <w:tcW w:w="2552" w:type="dxa"/>
            <w:tcBorders>
              <w:top w:val="nil"/>
              <w:left w:val="single" w:sz="8" w:space="0" w:color="auto"/>
              <w:bottom w:val="nil"/>
              <w:right w:val="single" w:sz="4" w:space="0" w:color="auto"/>
            </w:tcBorders>
            <w:shd w:val="clear" w:color="auto" w:fill="auto"/>
            <w:noWrap/>
            <w:vAlign w:val="center"/>
            <w:hideMark/>
          </w:tcPr>
          <w:p w:rsidR="00F51181" w:rsidRPr="00615478" w:rsidRDefault="00F51181" w:rsidP="00B63DA6">
            <w:pP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Seguridad Interna</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4,961.5</w:t>
            </w:r>
          </w:p>
        </w:tc>
        <w:tc>
          <w:tcPr>
            <w:tcW w:w="1418"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5,359.7</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8.0</w:t>
            </w:r>
          </w:p>
        </w:tc>
        <w:tc>
          <w:tcPr>
            <w:tcW w:w="1559" w:type="dxa"/>
            <w:tcBorders>
              <w:top w:val="nil"/>
              <w:left w:val="nil"/>
              <w:bottom w:val="nil"/>
              <w:right w:val="single" w:sz="8"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86.0%</w:t>
            </w:r>
          </w:p>
        </w:tc>
      </w:tr>
      <w:tr w:rsidR="00F51181" w:rsidRPr="00615478" w:rsidTr="00F51181">
        <w:trPr>
          <w:trHeight w:val="133"/>
          <w:jc w:val="center"/>
        </w:trPr>
        <w:tc>
          <w:tcPr>
            <w:tcW w:w="2552" w:type="dxa"/>
            <w:tcBorders>
              <w:top w:val="nil"/>
              <w:left w:val="single" w:sz="8" w:space="0" w:color="auto"/>
              <w:bottom w:val="nil"/>
              <w:right w:val="single" w:sz="4" w:space="0" w:color="auto"/>
            </w:tcBorders>
            <w:shd w:val="clear" w:color="auto" w:fill="auto"/>
            <w:noWrap/>
            <w:vAlign w:val="center"/>
            <w:hideMark/>
          </w:tcPr>
          <w:p w:rsidR="00F51181" w:rsidRPr="00615478" w:rsidRDefault="00F51181" w:rsidP="00B63DA6">
            <w:pP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Organismo Judicial y CC</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2,153.1</w:t>
            </w:r>
          </w:p>
        </w:tc>
        <w:tc>
          <w:tcPr>
            <w:tcW w:w="1418"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2,483.3</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15.3</w:t>
            </w:r>
          </w:p>
        </w:tc>
        <w:tc>
          <w:tcPr>
            <w:tcW w:w="1559" w:type="dxa"/>
            <w:tcBorders>
              <w:top w:val="nil"/>
              <w:left w:val="nil"/>
              <w:bottom w:val="nil"/>
              <w:right w:val="single" w:sz="8"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99.2%</w:t>
            </w:r>
          </w:p>
        </w:tc>
      </w:tr>
      <w:tr w:rsidR="00F51181" w:rsidRPr="00615478" w:rsidTr="00F51181">
        <w:trPr>
          <w:trHeight w:val="193"/>
          <w:jc w:val="center"/>
        </w:trPr>
        <w:tc>
          <w:tcPr>
            <w:tcW w:w="2552" w:type="dxa"/>
            <w:tcBorders>
              <w:top w:val="nil"/>
              <w:left w:val="single" w:sz="8" w:space="0" w:color="auto"/>
              <w:bottom w:val="nil"/>
              <w:right w:val="single" w:sz="4" w:space="0" w:color="auto"/>
            </w:tcBorders>
            <w:shd w:val="clear" w:color="auto" w:fill="auto"/>
            <w:noWrap/>
            <w:vAlign w:val="center"/>
            <w:hideMark/>
          </w:tcPr>
          <w:p w:rsidR="00F51181" w:rsidRPr="00615478" w:rsidRDefault="00F51181" w:rsidP="00B63DA6">
            <w:pP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lastRenderedPageBreak/>
              <w:t>Ministerio Público</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1,691.5</w:t>
            </w:r>
          </w:p>
        </w:tc>
        <w:tc>
          <w:tcPr>
            <w:tcW w:w="1418"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1,818.6</w:t>
            </w:r>
          </w:p>
        </w:tc>
        <w:tc>
          <w:tcPr>
            <w:tcW w:w="1559" w:type="dxa"/>
            <w:tcBorders>
              <w:top w:val="nil"/>
              <w:left w:val="nil"/>
              <w:bottom w:val="nil"/>
              <w:right w:val="single" w:sz="4"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7.5</w:t>
            </w:r>
          </w:p>
        </w:tc>
        <w:tc>
          <w:tcPr>
            <w:tcW w:w="1559" w:type="dxa"/>
            <w:tcBorders>
              <w:top w:val="nil"/>
              <w:left w:val="nil"/>
              <w:bottom w:val="nil"/>
              <w:right w:val="single" w:sz="8" w:space="0" w:color="auto"/>
            </w:tcBorders>
            <w:shd w:val="clear" w:color="auto" w:fill="auto"/>
            <w:noWrap/>
            <w:vAlign w:val="center"/>
            <w:hideMark/>
          </w:tcPr>
          <w:p w:rsidR="00F51181" w:rsidRPr="00615478" w:rsidRDefault="00F51181" w:rsidP="00B63DA6">
            <w:pPr>
              <w:jc w:val="center"/>
              <w:rPr>
                <w:rFonts w:ascii="Times New Roman" w:eastAsia="Times New Roman" w:hAnsi="Times New Roman" w:cs="Times New Roman"/>
                <w:color w:val="000000"/>
                <w:sz w:val="20"/>
                <w:szCs w:val="20"/>
                <w:lang w:eastAsia="es-GT"/>
              </w:rPr>
            </w:pPr>
            <w:r w:rsidRPr="00615478">
              <w:rPr>
                <w:rFonts w:ascii="Times New Roman" w:eastAsia="Times New Roman" w:hAnsi="Times New Roman" w:cs="Times New Roman"/>
                <w:color w:val="000000"/>
                <w:sz w:val="20"/>
                <w:szCs w:val="20"/>
                <w:lang w:eastAsia="es-GT"/>
              </w:rPr>
              <w:t>86.3%</w:t>
            </w:r>
          </w:p>
        </w:tc>
      </w:tr>
      <w:tr w:rsidR="00F51181" w:rsidRPr="00615478" w:rsidTr="00F51181">
        <w:trPr>
          <w:trHeight w:val="234"/>
          <w:jc w:val="center"/>
        </w:trPr>
        <w:tc>
          <w:tcPr>
            <w:tcW w:w="2552"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Otros sectores sociales</w:t>
            </w:r>
          </w:p>
        </w:tc>
        <w:tc>
          <w:tcPr>
            <w:tcW w:w="1559" w:type="dxa"/>
            <w:tcBorders>
              <w:top w:val="single" w:sz="8" w:space="0" w:color="auto"/>
              <w:left w:val="nil"/>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8,806.1</w:t>
            </w:r>
          </w:p>
        </w:tc>
        <w:tc>
          <w:tcPr>
            <w:tcW w:w="1418" w:type="dxa"/>
            <w:tcBorders>
              <w:top w:val="single" w:sz="8" w:space="0" w:color="auto"/>
              <w:left w:val="nil"/>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9,661.6</w:t>
            </w:r>
          </w:p>
        </w:tc>
        <w:tc>
          <w:tcPr>
            <w:tcW w:w="1559" w:type="dxa"/>
            <w:tcBorders>
              <w:top w:val="single" w:sz="8" w:space="0" w:color="auto"/>
              <w:left w:val="single" w:sz="4" w:space="0" w:color="auto"/>
              <w:bottom w:val="single" w:sz="8" w:space="0" w:color="auto"/>
              <w:right w:val="single" w:sz="4"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9.7</w:t>
            </w:r>
          </w:p>
        </w:tc>
        <w:tc>
          <w:tcPr>
            <w:tcW w:w="1559" w:type="dxa"/>
            <w:tcBorders>
              <w:top w:val="single" w:sz="8" w:space="0" w:color="auto"/>
              <w:left w:val="nil"/>
              <w:bottom w:val="single" w:sz="8" w:space="0" w:color="auto"/>
              <w:right w:val="single" w:sz="8" w:space="0" w:color="auto"/>
            </w:tcBorders>
            <w:shd w:val="clear" w:color="000000" w:fill="D9D9D9"/>
            <w:noWrap/>
            <w:vAlign w:val="center"/>
            <w:hideMark/>
          </w:tcPr>
          <w:p w:rsidR="00F51181" w:rsidRPr="00615478" w:rsidRDefault="00F51181" w:rsidP="00B63DA6">
            <w:pPr>
              <w:jc w:val="center"/>
              <w:rPr>
                <w:rFonts w:ascii="Times New Roman" w:eastAsia="Times New Roman" w:hAnsi="Times New Roman" w:cs="Times New Roman"/>
                <w:b/>
                <w:bCs/>
                <w:color w:val="000000"/>
                <w:sz w:val="20"/>
                <w:szCs w:val="20"/>
                <w:lang w:eastAsia="es-GT"/>
              </w:rPr>
            </w:pPr>
            <w:r w:rsidRPr="00615478">
              <w:rPr>
                <w:rFonts w:ascii="Times New Roman" w:eastAsia="Times New Roman" w:hAnsi="Times New Roman" w:cs="Times New Roman"/>
                <w:b/>
                <w:bCs/>
                <w:color w:val="000000"/>
                <w:sz w:val="20"/>
                <w:szCs w:val="20"/>
                <w:lang w:eastAsia="es-GT"/>
              </w:rPr>
              <w:t>89.1%</w:t>
            </w:r>
          </w:p>
        </w:tc>
      </w:tr>
      <w:tr w:rsidR="00F51181" w:rsidRPr="00615478" w:rsidTr="00F51181">
        <w:trPr>
          <w:trHeight w:val="109"/>
          <w:jc w:val="center"/>
        </w:trPr>
        <w:tc>
          <w:tcPr>
            <w:tcW w:w="2552" w:type="dxa"/>
            <w:tcBorders>
              <w:top w:val="nil"/>
              <w:left w:val="single" w:sz="8" w:space="0" w:color="auto"/>
              <w:bottom w:val="single" w:sz="8" w:space="0" w:color="auto"/>
              <w:right w:val="single" w:sz="4" w:space="0" w:color="auto"/>
            </w:tcBorders>
            <w:shd w:val="clear" w:color="000000" w:fill="808080"/>
            <w:noWrap/>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Total</w:t>
            </w:r>
          </w:p>
        </w:tc>
        <w:tc>
          <w:tcPr>
            <w:tcW w:w="1559" w:type="dxa"/>
            <w:tcBorders>
              <w:top w:val="nil"/>
              <w:left w:val="nil"/>
              <w:bottom w:val="single" w:sz="8" w:space="0" w:color="auto"/>
              <w:right w:val="single" w:sz="4" w:space="0" w:color="auto"/>
            </w:tcBorders>
            <w:shd w:val="clear" w:color="000000" w:fill="808080"/>
            <w:noWrap/>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41,241.8</w:t>
            </w:r>
          </w:p>
        </w:tc>
        <w:tc>
          <w:tcPr>
            <w:tcW w:w="1418" w:type="dxa"/>
            <w:tcBorders>
              <w:top w:val="nil"/>
              <w:left w:val="nil"/>
              <w:bottom w:val="single" w:sz="8" w:space="0" w:color="auto"/>
              <w:right w:val="single" w:sz="4" w:space="0" w:color="auto"/>
            </w:tcBorders>
            <w:shd w:val="clear" w:color="000000" w:fill="808080"/>
            <w:noWrap/>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42,029.3</w:t>
            </w:r>
          </w:p>
        </w:tc>
        <w:tc>
          <w:tcPr>
            <w:tcW w:w="1559" w:type="dxa"/>
            <w:tcBorders>
              <w:top w:val="nil"/>
              <w:left w:val="single" w:sz="4" w:space="0" w:color="auto"/>
              <w:bottom w:val="single" w:sz="8" w:space="0" w:color="auto"/>
              <w:right w:val="single" w:sz="4" w:space="0" w:color="auto"/>
            </w:tcBorders>
            <w:shd w:val="clear" w:color="000000" w:fill="808080"/>
            <w:noWrap/>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1.9</w:t>
            </w:r>
          </w:p>
        </w:tc>
        <w:tc>
          <w:tcPr>
            <w:tcW w:w="1559" w:type="dxa"/>
            <w:tcBorders>
              <w:top w:val="nil"/>
              <w:left w:val="nil"/>
              <w:bottom w:val="single" w:sz="8" w:space="0" w:color="auto"/>
              <w:right w:val="single" w:sz="8" w:space="0" w:color="auto"/>
            </w:tcBorders>
            <w:shd w:val="clear" w:color="000000" w:fill="808080"/>
            <w:noWrap/>
            <w:vAlign w:val="center"/>
            <w:hideMark/>
          </w:tcPr>
          <w:p w:rsidR="00F51181" w:rsidRPr="00615478" w:rsidRDefault="00F51181" w:rsidP="00B63DA6">
            <w:pPr>
              <w:jc w:val="center"/>
              <w:rPr>
                <w:rFonts w:ascii="Times New Roman" w:eastAsia="Times New Roman" w:hAnsi="Times New Roman" w:cs="Times New Roman"/>
                <w:b/>
                <w:bCs/>
                <w:color w:val="FFFFFF"/>
                <w:sz w:val="20"/>
                <w:szCs w:val="20"/>
                <w:lang w:eastAsia="es-GT"/>
              </w:rPr>
            </w:pPr>
            <w:r w:rsidRPr="00615478">
              <w:rPr>
                <w:rFonts w:ascii="Times New Roman" w:eastAsia="Times New Roman" w:hAnsi="Times New Roman" w:cs="Times New Roman"/>
                <w:b/>
                <w:bCs/>
                <w:color w:val="FFFFFF"/>
                <w:sz w:val="20"/>
                <w:szCs w:val="20"/>
                <w:lang w:eastAsia="es-GT"/>
              </w:rPr>
              <w:t>90.1%</w:t>
            </w:r>
          </w:p>
        </w:tc>
      </w:tr>
    </w:tbl>
    <w:p w:rsidR="00F51181" w:rsidRDefault="00F51181" w:rsidP="00F51181">
      <w:pPr>
        <w:rPr>
          <w:rFonts w:ascii="Times New Roman" w:hAnsi="Times New Roman" w:cs="Times New Roman"/>
          <w:sz w:val="16"/>
        </w:rPr>
      </w:pPr>
      <w:r>
        <w:rPr>
          <w:rFonts w:ascii="Times New Roman" w:hAnsi="Times New Roman" w:cs="Times New Roman"/>
          <w:sz w:val="16"/>
        </w:rPr>
        <w:t xml:space="preserve">              </w:t>
      </w:r>
      <w:r w:rsidRPr="00C354FD">
        <w:rPr>
          <w:rFonts w:ascii="Times New Roman" w:hAnsi="Times New Roman" w:cs="Times New Roman"/>
          <w:sz w:val="16"/>
        </w:rPr>
        <w:t>Fuente: Dirección de Análisis y Política Fiscal</w:t>
      </w:r>
      <w:r w:rsidR="00017674">
        <w:rPr>
          <w:rFonts w:ascii="Times New Roman" w:hAnsi="Times New Roman" w:cs="Times New Roman"/>
          <w:sz w:val="16"/>
        </w:rPr>
        <w:t>.</w:t>
      </w:r>
    </w:p>
    <w:p w:rsidR="00795274" w:rsidRPr="0037418E" w:rsidRDefault="00795274" w:rsidP="00795274">
      <w:pPr>
        <w:ind w:firstLine="708"/>
        <w:rPr>
          <w:rFonts w:ascii="Times New Roman" w:hAnsi="Times New Roman" w:cs="Times New Roman"/>
          <w:sz w:val="22"/>
        </w:rPr>
      </w:pPr>
    </w:p>
    <w:p w:rsidR="00364844" w:rsidRPr="00465D69" w:rsidRDefault="00724C04" w:rsidP="00795274">
      <w:pPr>
        <w:pStyle w:val="Ttulo2"/>
        <w:numPr>
          <w:ilvl w:val="1"/>
          <w:numId w:val="12"/>
        </w:numPr>
        <w:spacing w:before="0"/>
        <w:ind w:left="567"/>
        <w:rPr>
          <w:rFonts w:ascii="Times New Roman" w:hAnsi="Times New Roman" w:cs="Times New Roman"/>
          <w:color w:val="auto"/>
          <w:sz w:val="24"/>
        </w:rPr>
      </w:pPr>
      <w:bookmarkStart w:id="123" w:name="_Toc64025439"/>
      <w:r w:rsidRPr="00465D69">
        <w:rPr>
          <w:rFonts w:ascii="Times New Roman" w:hAnsi="Times New Roman" w:cs="Times New Roman"/>
          <w:color w:val="auto"/>
          <w:sz w:val="24"/>
        </w:rPr>
        <w:t>E</w:t>
      </w:r>
      <w:r w:rsidR="00EE52DF" w:rsidRPr="00465D69">
        <w:rPr>
          <w:rFonts w:ascii="Times New Roman" w:hAnsi="Times New Roman" w:cs="Times New Roman"/>
          <w:color w:val="auto"/>
          <w:sz w:val="24"/>
        </w:rPr>
        <w:t>jecución institucional</w:t>
      </w:r>
      <w:bookmarkEnd w:id="123"/>
    </w:p>
    <w:p w:rsidR="00364844" w:rsidRPr="00443624" w:rsidRDefault="00364844" w:rsidP="00364844">
      <w:pPr>
        <w:pStyle w:val="Sinespaciado"/>
        <w:jc w:val="both"/>
        <w:rPr>
          <w:rFonts w:ascii="Times New Roman" w:hAnsi="Times New Roman" w:cs="Times New Roman"/>
          <w:color w:val="FF0000"/>
          <w:lang w:val="es-MX"/>
        </w:rPr>
      </w:pPr>
    </w:p>
    <w:p w:rsidR="00EC0821" w:rsidRDefault="00EC0821" w:rsidP="00EC0821">
      <w:pPr>
        <w:jc w:val="both"/>
        <w:rPr>
          <w:rFonts w:ascii="Times New Roman" w:hAnsi="Times New Roman" w:cs="Times New Roman"/>
          <w:sz w:val="22"/>
        </w:rPr>
      </w:pPr>
      <w:r w:rsidRPr="00EC0821">
        <w:rPr>
          <w:rFonts w:ascii="Times New Roman" w:hAnsi="Times New Roman" w:cs="Times New Roman"/>
          <w:sz w:val="22"/>
        </w:rPr>
        <w:t xml:space="preserve">El grado de ejecución presupuestaria, a nivel institucional, se ubicó en Q96,625.4 millones, equivalente a un grado de ejecución de 89.7%. Dentro de las entidades es posible observar una alta dispersión, la cual está asociada a la capacidad real de ejecución de cada institución, de las fuentes de financiamiento disponibles, de la reprogramación que pudieran haber hecho durante el año dada la no aprobación del proyecto de presupuesto 2020 y de variables exógenas como rigideces legales o institucionales y durante dicho ejercicio fiscal la particularidad de la pandemia COVID-19 agregó un nuevo elemento, dado que se le otorgó una mayor importancia en presupuesto y seguimiento a las entidades que tenían a su cargo la ejecución de programas económicos y sociales relacionados a la atención de la emergencia. </w:t>
      </w:r>
    </w:p>
    <w:p w:rsidR="00EC0821" w:rsidRPr="00EC0821" w:rsidRDefault="00EC0821" w:rsidP="00EC0821">
      <w:pPr>
        <w:jc w:val="both"/>
        <w:rPr>
          <w:rFonts w:ascii="Times New Roman" w:hAnsi="Times New Roman" w:cs="Times New Roman"/>
          <w:sz w:val="22"/>
        </w:rPr>
      </w:pPr>
      <w:r w:rsidRPr="00EC0821">
        <w:rPr>
          <w:rFonts w:ascii="Times New Roman" w:hAnsi="Times New Roman" w:cs="Times New Roman"/>
          <w:sz w:val="22"/>
        </w:rPr>
        <w:t xml:space="preserve"> </w:t>
      </w:r>
    </w:p>
    <w:p w:rsidR="00EC0821" w:rsidRDefault="00EC0821" w:rsidP="00EC0821">
      <w:pPr>
        <w:jc w:val="both"/>
        <w:rPr>
          <w:rFonts w:ascii="Times New Roman" w:hAnsi="Times New Roman" w:cs="Times New Roman"/>
          <w:sz w:val="22"/>
        </w:rPr>
      </w:pPr>
      <w:r w:rsidRPr="00EC0821">
        <w:rPr>
          <w:rFonts w:ascii="Times New Roman" w:hAnsi="Times New Roman" w:cs="Times New Roman"/>
          <w:sz w:val="22"/>
        </w:rPr>
        <w:t>De esa cuenta, la entidad que mostró el mayor grado de ejecución fue el Ministerio de Economía, con 96.7%, siendo impulsado principalmente por el programa 94 “Atención por Desastres y Calamidades Públicas” y el subprograma 09 “Estado de Calamidad Pública por Emergencia del COVID-19”, el cual fue ejecutado en su totalidad. Asimismo, el Ministerio de Desarrollo Social tuvo una alta ejecución, siendo de 96.1%, asociado también a las actividades que tuvo a su cargo para la atención de la emergencia del COVID-19, también resalta la alta ejecución en las transferencias monetarias en salud y educación enfocadas en la prevención de la desnutrición crónica y el programa de apoyo en el consumo adecuado de alimentos.</w:t>
      </w:r>
    </w:p>
    <w:p w:rsidR="00EC0821" w:rsidRPr="00EC0821" w:rsidRDefault="00EC0821" w:rsidP="00EC0821">
      <w:pPr>
        <w:jc w:val="both"/>
        <w:rPr>
          <w:rFonts w:ascii="Times New Roman" w:hAnsi="Times New Roman" w:cs="Times New Roman"/>
          <w:sz w:val="22"/>
        </w:rPr>
      </w:pPr>
      <w:r w:rsidRPr="00EC0821">
        <w:rPr>
          <w:rFonts w:ascii="Times New Roman" w:hAnsi="Times New Roman" w:cs="Times New Roman"/>
          <w:sz w:val="22"/>
        </w:rPr>
        <w:t xml:space="preserve"> </w:t>
      </w:r>
    </w:p>
    <w:p w:rsidR="00EC0821" w:rsidRDefault="00EC0821" w:rsidP="00EC0821">
      <w:pPr>
        <w:jc w:val="both"/>
        <w:rPr>
          <w:rFonts w:ascii="Times New Roman" w:hAnsi="Times New Roman" w:cs="Times New Roman"/>
          <w:sz w:val="22"/>
        </w:rPr>
      </w:pPr>
      <w:r w:rsidRPr="00EC0821">
        <w:rPr>
          <w:rFonts w:ascii="Times New Roman" w:hAnsi="Times New Roman" w:cs="Times New Roman"/>
          <w:sz w:val="22"/>
        </w:rPr>
        <w:t>En cuanto al Ministerio de Defensa Nacional, este reportó una ejecución de 94.8%, asociado al programa Defensa de la Soberanía e Integridad Territorial, siendo el programa más importante de esta entidad. Por su parte, el Ministerio de Educación reporto un nivel de ejecución de 94.1%, de esta entidad resalta el programa de apoyo para el consumo adecuado de alimentos que reporta un crecimiento interanual de 11.0%, a pesar de la suspensión de clases en los centros educativos públicos, se facultó a las Organizaciones de Padres de Familia (OPF) a adquirir alimentos y en los casos en los que los centros educativos no contarán con una OPF, las direcciones departamentales serían las encargadas de la compra y distribución de los alimentos. Este programa es muy relevante, muchos niños dependen de la alimentación escolar para su subsistencia y con el cierre de las escuelas, por la propagación del COVID-19, su nutrición podía verse comprometida.</w:t>
      </w:r>
    </w:p>
    <w:p w:rsidR="00EC0821" w:rsidRPr="00EC0821" w:rsidRDefault="00EC0821" w:rsidP="00EC0821">
      <w:pPr>
        <w:jc w:val="both"/>
        <w:rPr>
          <w:rFonts w:ascii="Times New Roman" w:hAnsi="Times New Roman" w:cs="Times New Roman"/>
          <w:sz w:val="22"/>
        </w:rPr>
      </w:pPr>
    </w:p>
    <w:p w:rsidR="00EC0821" w:rsidRDefault="00EC0821" w:rsidP="00EC0821">
      <w:pPr>
        <w:jc w:val="both"/>
        <w:rPr>
          <w:rFonts w:ascii="Times New Roman" w:hAnsi="Times New Roman" w:cs="Times New Roman"/>
          <w:sz w:val="22"/>
        </w:rPr>
      </w:pPr>
      <w:r w:rsidRPr="00EC0821">
        <w:rPr>
          <w:rFonts w:ascii="Times New Roman" w:hAnsi="Times New Roman" w:cs="Times New Roman"/>
          <w:sz w:val="22"/>
        </w:rPr>
        <w:t>La entidad virtual del Servicio de la Deuda Pública le sigue con un nivel de 91.9%, siendo importante dado que es ahí donde se registra el pago de intereses, comisiones y amortizaciones de deuda pública por compromisos adquiridos con tenedores de títulos de deuda.</w:t>
      </w:r>
      <w:r w:rsidR="00F57DB3">
        <w:rPr>
          <w:rFonts w:ascii="Times New Roman" w:hAnsi="Times New Roman" w:cs="Times New Roman"/>
          <w:sz w:val="22"/>
        </w:rPr>
        <w:t xml:space="preserve">  </w:t>
      </w:r>
      <w:r w:rsidRPr="00EC0821">
        <w:rPr>
          <w:rFonts w:ascii="Times New Roman" w:hAnsi="Times New Roman" w:cs="Times New Roman"/>
          <w:sz w:val="22"/>
        </w:rPr>
        <w:t xml:space="preserve">Otras entidades cuyo nivel de ejecución se encuentra por arriba de la ejecución total son las Obligaciones del Estado (91.6%), Relaciones Exteriores (91.6%), la PGN (91.2%) y Trabajo y Previsión Social (91.0%). </w:t>
      </w:r>
      <w:r w:rsidR="0037418E">
        <w:rPr>
          <w:rFonts w:ascii="Times New Roman" w:hAnsi="Times New Roman" w:cs="Times New Roman"/>
          <w:sz w:val="22"/>
        </w:rPr>
        <w:t xml:space="preserve"> </w:t>
      </w:r>
      <w:r w:rsidRPr="00EC0821">
        <w:rPr>
          <w:rFonts w:ascii="Times New Roman" w:hAnsi="Times New Roman" w:cs="Times New Roman"/>
          <w:sz w:val="22"/>
        </w:rPr>
        <w:t>Por su parte, el resto de entidades se encuentra por debajo de la ejecución institucional total. Resalta el caso de Agricultura, Ganadería y Alimentación (70.7%), Comunicaciones, Infraestructura y Vivienda (69.6%) y Cultura y Deportes (65.4%). En el caso de Agricultura, tuvo un incremento significativo en su presupuesto por los programas asociados a la atención del COVID-19, de los cuales el programa de agricultura campesina no logró viabilizar su ejecución, la cual fue nula y en el caso de la dotación alimentaria se tuvieron retrasos en la regularización de los recursos a pesar que el anticipo fue dado por el total presupuestado.</w:t>
      </w:r>
    </w:p>
    <w:p w:rsidR="00EC0821" w:rsidRPr="00EC0821" w:rsidRDefault="00EC0821" w:rsidP="00EC0821">
      <w:pPr>
        <w:jc w:val="both"/>
        <w:rPr>
          <w:rFonts w:ascii="Times New Roman" w:hAnsi="Times New Roman" w:cs="Times New Roman"/>
          <w:sz w:val="22"/>
        </w:rPr>
      </w:pPr>
    </w:p>
    <w:p w:rsidR="00EC0821" w:rsidRDefault="00EC0821" w:rsidP="00EC0821">
      <w:pPr>
        <w:jc w:val="both"/>
        <w:rPr>
          <w:rFonts w:ascii="Times New Roman" w:hAnsi="Times New Roman" w:cs="Times New Roman"/>
          <w:sz w:val="22"/>
        </w:rPr>
      </w:pPr>
      <w:r w:rsidRPr="00EC0821">
        <w:rPr>
          <w:rFonts w:ascii="Times New Roman" w:hAnsi="Times New Roman" w:cs="Times New Roman"/>
          <w:sz w:val="22"/>
        </w:rPr>
        <w:lastRenderedPageBreak/>
        <w:t>El Ministerio de Comunicaciones fue la entidad que más cayó en términos absolutos, con Q1,045.7 millones de ejecución menos a lo reportado en 2019, lo cual se encuentra asociado principalmente a la caída en la inversión real directa.</w:t>
      </w:r>
    </w:p>
    <w:p w:rsidR="00F57DB3" w:rsidRPr="00F57DB3" w:rsidRDefault="00F57DB3" w:rsidP="00EC0821">
      <w:pPr>
        <w:jc w:val="both"/>
        <w:rPr>
          <w:rFonts w:ascii="Times New Roman" w:hAnsi="Times New Roman" w:cs="Times New Roman"/>
          <w:sz w:val="22"/>
        </w:rPr>
      </w:pPr>
    </w:p>
    <w:p w:rsidR="00EC0821" w:rsidRPr="00776B26" w:rsidRDefault="00EC0821" w:rsidP="00EC0821">
      <w:pPr>
        <w:pStyle w:val="Sinespaciado"/>
        <w:jc w:val="center"/>
        <w:rPr>
          <w:rFonts w:ascii="Times New Roman" w:hAnsi="Times New Roman" w:cs="Times New Roman"/>
          <w:b/>
          <w:sz w:val="24"/>
        </w:rPr>
      </w:pPr>
      <w:r w:rsidRPr="00EC0821">
        <w:rPr>
          <w:rFonts w:ascii="Times New Roman" w:hAnsi="Times New Roman" w:cs="Times New Roman"/>
          <w:b/>
        </w:rPr>
        <w:t>Ejecución Institucional 2020</w:t>
      </w:r>
    </w:p>
    <w:p w:rsidR="00EC0821" w:rsidRPr="00EE52DF" w:rsidRDefault="00F57DB3" w:rsidP="00EC0821">
      <w:pPr>
        <w:pStyle w:val="Sinespaciado"/>
        <w:jc w:val="center"/>
        <w:rPr>
          <w:rFonts w:ascii="Times New Roman" w:hAnsi="Times New Roman" w:cs="Times New Roman"/>
          <w:sz w:val="20"/>
        </w:rPr>
      </w:pPr>
      <w:r w:rsidRPr="007F49C2">
        <w:rPr>
          <w:rFonts w:ascii="Times New Roman" w:hAnsi="Times New Roman" w:cs="Times New Roman"/>
          <w:b/>
          <w:noProof/>
          <w:sz w:val="36"/>
          <w:szCs w:val="36"/>
          <w:lang w:val="es-ES" w:eastAsia="es-ES"/>
        </w:rPr>
        <w:drawing>
          <wp:anchor distT="0" distB="0" distL="114300" distR="114300" simplePos="0" relativeHeight="251704320" behindDoc="0" locked="0" layoutInCell="1" allowOverlap="1" wp14:anchorId="6DD1AC8D" wp14:editId="1FD582C1">
            <wp:simplePos x="0" y="0"/>
            <wp:positionH relativeFrom="column">
              <wp:posOffset>81915</wp:posOffset>
            </wp:positionH>
            <wp:positionV relativeFrom="paragraph">
              <wp:posOffset>176530</wp:posOffset>
            </wp:positionV>
            <wp:extent cx="5852160" cy="2476500"/>
            <wp:effectExtent l="0" t="0" r="0" b="0"/>
            <wp:wrapSquare wrapText="bothSides"/>
            <wp:docPr id="4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00EC0821" w:rsidRPr="00EE52DF">
        <w:rPr>
          <w:rFonts w:ascii="Times New Roman" w:hAnsi="Times New Roman" w:cs="Times New Roman"/>
          <w:sz w:val="20"/>
        </w:rPr>
        <w:t>Millones de quetzales y Porcentajes de Ejecución</w:t>
      </w:r>
    </w:p>
    <w:p w:rsidR="00EC0821" w:rsidRDefault="00EC0821" w:rsidP="00EC0821">
      <w:pPr>
        <w:rPr>
          <w:rFonts w:ascii="Times New Roman" w:hAnsi="Times New Roman" w:cs="Times New Roman"/>
          <w:sz w:val="16"/>
        </w:rPr>
      </w:pPr>
      <w:r>
        <w:rPr>
          <w:rFonts w:ascii="Times New Roman" w:hAnsi="Times New Roman" w:cs="Times New Roman"/>
          <w:sz w:val="16"/>
        </w:rPr>
        <w:t xml:space="preserve">          </w:t>
      </w:r>
      <w:r w:rsidRPr="00C354FD">
        <w:rPr>
          <w:rFonts w:ascii="Times New Roman" w:hAnsi="Times New Roman" w:cs="Times New Roman"/>
          <w:sz w:val="16"/>
        </w:rPr>
        <w:t>Fuente: Dirección de Análisis y Política Fiscal</w:t>
      </w:r>
      <w:r w:rsidR="0037418E">
        <w:rPr>
          <w:rFonts w:ascii="Times New Roman" w:hAnsi="Times New Roman" w:cs="Times New Roman"/>
          <w:sz w:val="16"/>
        </w:rPr>
        <w:t>.</w:t>
      </w:r>
    </w:p>
    <w:p w:rsidR="00EC0821" w:rsidRPr="00EC0821" w:rsidRDefault="00EC0821" w:rsidP="00EC0821">
      <w:pPr>
        <w:pStyle w:val="Sinespaciado"/>
        <w:jc w:val="both"/>
        <w:rPr>
          <w:rFonts w:ascii="Times New Roman" w:hAnsi="Times New Roman" w:cs="Times New Roman"/>
          <w:sz w:val="20"/>
        </w:rPr>
      </w:pPr>
    </w:p>
    <w:p w:rsidR="00364844" w:rsidRDefault="00EC0821" w:rsidP="00EC0821">
      <w:pPr>
        <w:jc w:val="both"/>
        <w:rPr>
          <w:rFonts w:ascii="Times New Roman" w:hAnsi="Times New Roman" w:cs="Times New Roman"/>
          <w:sz w:val="22"/>
        </w:rPr>
      </w:pPr>
      <w:r w:rsidRPr="00EC0821">
        <w:rPr>
          <w:rFonts w:ascii="Times New Roman" w:hAnsi="Times New Roman" w:cs="Times New Roman"/>
          <w:sz w:val="22"/>
        </w:rPr>
        <w:t>Al finalizar 2020, el grado de ejecución institucional es inferior a la obtenida en 2019 (93.8%), derivado que, aunque en 2020 se obtuvo el mayor crecimiento interanual del gasto total (16.6%), el presupuesto se amplió de forma significativa en Q20,045.7 millones y derivado de esto se da un efecto en la ejecución, por lo tanto, podría percibirse como una ejecución moderada.</w:t>
      </w:r>
    </w:p>
    <w:p w:rsidR="00EC0821" w:rsidRPr="00EC0821" w:rsidRDefault="00EC0821" w:rsidP="00EC0821">
      <w:pPr>
        <w:jc w:val="both"/>
        <w:rPr>
          <w:rFonts w:ascii="Times New Roman" w:hAnsi="Times New Roman" w:cs="Times New Roman"/>
          <w:color w:val="FF0000"/>
          <w:sz w:val="22"/>
          <w:lang w:val="es-MX"/>
        </w:rPr>
      </w:pPr>
    </w:p>
    <w:p w:rsidR="00364844" w:rsidRPr="00556E54" w:rsidRDefault="00556E54" w:rsidP="00EC0821">
      <w:pPr>
        <w:pStyle w:val="Ttulo2"/>
        <w:numPr>
          <w:ilvl w:val="1"/>
          <w:numId w:val="12"/>
        </w:numPr>
        <w:spacing w:before="0"/>
        <w:ind w:left="567"/>
        <w:rPr>
          <w:rFonts w:ascii="Times New Roman" w:hAnsi="Times New Roman" w:cs="Times New Roman"/>
          <w:color w:val="auto"/>
          <w:sz w:val="24"/>
        </w:rPr>
      </w:pPr>
      <w:bookmarkStart w:id="124" w:name="_Toc64025440"/>
      <w:r w:rsidRPr="00556E54">
        <w:rPr>
          <w:rFonts w:ascii="Times New Roman" w:hAnsi="Times New Roman" w:cs="Times New Roman"/>
          <w:color w:val="auto"/>
          <w:sz w:val="24"/>
        </w:rPr>
        <w:t>Seguimiento de los Programas Sociales y Económicos asociados al COVID-19 e intervenciones realizadas para la atención de daños provocados por la depresión tropical ETA</w:t>
      </w:r>
      <w:bookmarkEnd w:id="124"/>
    </w:p>
    <w:p w:rsidR="00364844" w:rsidRPr="00B228D4" w:rsidRDefault="00364844" w:rsidP="00364844">
      <w:pPr>
        <w:rPr>
          <w:color w:val="FF0000"/>
          <w:sz w:val="20"/>
        </w:rPr>
      </w:pPr>
    </w:p>
    <w:p w:rsidR="00556E54" w:rsidRPr="00556E54" w:rsidRDefault="00556E54" w:rsidP="00556E54">
      <w:pPr>
        <w:pStyle w:val="Prrafodelista"/>
        <w:numPr>
          <w:ilvl w:val="0"/>
          <w:numId w:val="32"/>
        </w:numPr>
        <w:jc w:val="both"/>
        <w:outlineLvl w:val="2"/>
        <w:rPr>
          <w:vanish/>
          <w:color w:val="FF0000"/>
        </w:rPr>
      </w:pPr>
      <w:bookmarkStart w:id="125" w:name="_Toc62724063"/>
      <w:bookmarkStart w:id="126" w:name="_Toc62724126"/>
      <w:bookmarkStart w:id="127" w:name="_Toc62724210"/>
      <w:bookmarkStart w:id="128" w:name="_Toc62724284"/>
      <w:bookmarkStart w:id="129" w:name="_Toc64025441"/>
      <w:bookmarkEnd w:id="125"/>
      <w:bookmarkEnd w:id="126"/>
      <w:bookmarkEnd w:id="127"/>
      <w:bookmarkEnd w:id="128"/>
      <w:bookmarkEnd w:id="129"/>
    </w:p>
    <w:p w:rsidR="00556E54" w:rsidRPr="00556E54" w:rsidRDefault="00556E54" w:rsidP="00556E54">
      <w:pPr>
        <w:pStyle w:val="Prrafodelista"/>
        <w:numPr>
          <w:ilvl w:val="1"/>
          <w:numId w:val="32"/>
        </w:numPr>
        <w:jc w:val="both"/>
        <w:outlineLvl w:val="2"/>
        <w:rPr>
          <w:vanish/>
          <w:color w:val="FF0000"/>
        </w:rPr>
      </w:pPr>
      <w:bookmarkStart w:id="130" w:name="_Toc62724064"/>
      <w:bookmarkStart w:id="131" w:name="_Toc62724127"/>
      <w:bookmarkStart w:id="132" w:name="_Toc62724211"/>
      <w:bookmarkStart w:id="133" w:name="_Toc62724285"/>
      <w:bookmarkStart w:id="134" w:name="_Toc64025442"/>
      <w:bookmarkEnd w:id="130"/>
      <w:bookmarkEnd w:id="131"/>
      <w:bookmarkEnd w:id="132"/>
      <w:bookmarkEnd w:id="133"/>
      <w:bookmarkEnd w:id="134"/>
    </w:p>
    <w:p w:rsidR="00556E54" w:rsidRPr="00556E54" w:rsidRDefault="00556E54" w:rsidP="00556E54">
      <w:pPr>
        <w:pStyle w:val="Prrafodelista"/>
        <w:numPr>
          <w:ilvl w:val="1"/>
          <w:numId w:val="32"/>
        </w:numPr>
        <w:jc w:val="both"/>
        <w:outlineLvl w:val="2"/>
        <w:rPr>
          <w:vanish/>
          <w:color w:val="FF0000"/>
        </w:rPr>
      </w:pPr>
      <w:bookmarkStart w:id="135" w:name="_Toc62724065"/>
      <w:bookmarkStart w:id="136" w:name="_Toc62724128"/>
      <w:bookmarkStart w:id="137" w:name="_Toc62724212"/>
      <w:bookmarkStart w:id="138" w:name="_Toc62724286"/>
      <w:bookmarkStart w:id="139" w:name="_Toc64025443"/>
      <w:bookmarkEnd w:id="135"/>
      <w:bookmarkEnd w:id="136"/>
      <w:bookmarkEnd w:id="137"/>
      <w:bookmarkEnd w:id="138"/>
      <w:bookmarkEnd w:id="139"/>
    </w:p>
    <w:p w:rsidR="00556E54" w:rsidRPr="00556E54" w:rsidRDefault="00556E54" w:rsidP="00556E54">
      <w:pPr>
        <w:pStyle w:val="Prrafodelista"/>
        <w:numPr>
          <w:ilvl w:val="1"/>
          <w:numId w:val="32"/>
        </w:numPr>
        <w:jc w:val="both"/>
        <w:outlineLvl w:val="2"/>
        <w:rPr>
          <w:vanish/>
          <w:color w:val="FF0000"/>
        </w:rPr>
      </w:pPr>
      <w:bookmarkStart w:id="140" w:name="_Toc62724066"/>
      <w:bookmarkStart w:id="141" w:name="_Toc62724129"/>
      <w:bookmarkStart w:id="142" w:name="_Toc62724213"/>
      <w:bookmarkStart w:id="143" w:name="_Toc62724287"/>
      <w:bookmarkStart w:id="144" w:name="_Toc64025444"/>
      <w:bookmarkEnd w:id="140"/>
      <w:bookmarkEnd w:id="141"/>
      <w:bookmarkEnd w:id="142"/>
      <w:bookmarkEnd w:id="143"/>
      <w:bookmarkEnd w:id="144"/>
    </w:p>
    <w:p w:rsidR="00556E54" w:rsidRPr="00556E54" w:rsidRDefault="00556E54" w:rsidP="00556E54">
      <w:pPr>
        <w:pStyle w:val="Prrafodelista"/>
        <w:numPr>
          <w:ilvl w:val="1"/>
          <w:numId w:val="32"/>
        </w:numPr>
        <w:jc w:val="both"/>
        <w:outlineLvl w:val="2"/>
        <w:rPr>
          <w:vanish/>
          <w:color w:val="FF0000"/>
        </w:rPr>
      </w:pPr>
      <w:bookmarkStart w:id="145" w:name="_Toc62724067"/>
      <w:bookmarkStart w:id="146" w:name="_Toc62724130"/>
      <w:bookmarkStart w:id="147" w:name="_Toc62724214"/>
      <w:bookmarkStart w:id="148" w:name="_Toc62724288"/>
      <w:bookmarkStart w:id="149" w:name="_Toc64025445"/>
      <w:bookmarkEnd w:id="145"/>
      <w:bookmarkEnd w:id="146"/>
      <w:bookmarkEnd w:id="147"/>
      <w:bookmarkEnd w:id="148"/>
      <w:bookmarkEnd w:id="149"/>
    </w:p>
    <w:p w:rsidR="00556E54" w:rsidRPr="00556E54" w:rsidRDefault="00556E54" w:rsidP="00556E54">
      <w:pPr>
        <w:pStyle w:val="Prrafodelista"/>
        <w:numPr>
          <w:ilvl w:val="1"/>
          <w:numId w:val="32"/>
        </w:numPr>
        <w:jc w:val="both"/>
        <w:outlineLvl w:val="2"/>
        <w:rPr>
          <w:vanish/>
          <w:color w:val="FF0000"/>
        </w:rPr>
      </w:pPr>
      <w:bookmarkStart w:id="150" w:name="_Toc62724068"/>
      <w:bookmarkStart w:id="151" w:name="_Toc62724131"/>
      <w:bookmarkStart w:id="152" w:name="_Toc62724215"/>
      <w:bookmarkStart w:id="153" w:name="_Toc62724289"/>
      <w:bookmarkStart w:id="154" w:name="_Toc64025446"/>
      <w:bookmarkEnd w:id="150"/>
      <w:bookmarkEnd w:id="151"/>
      <w:bookmarkEnd w:id="152"/>
      <w:bookmarkEnd w:id="153"/>
      <w:bookmarkEnd w:id="154"/>
    </w:p>
    <w:p w:rsidR="00556E54" w:rsidRPr="00556E54" w:rsidRDefault="00556E54" w:rsidP="00556E54">
      <w:pPr>
        <w:pStyle w:val="Prrafodelista"/>
        <w:numPr>
          <w:ilvl w:val="1"/>
          <w:numId w:val="32"/>
        </w:numPr>
        <w:jc w:val="both"/>
        <w:outlineLvl w:val="2"/>
        <w:rPr>
          <w:vanish/>
          <w:color w:val="FF0000"/>
        </w:rPr>
      </w:pPr>
      <w:bookmarkStart w:id="155" w:name="_Toc62724069"/>
      <w:bookmarkStart w:id="156" w:name="_Toc62724132"/>
      <w:bookmarkStart w:id="157" w:name="_Toc62724216"/>
      <w:bookmarkStart w:id="158" w:name="_Toc62724290"/>
      <w:bookmarkStart w:id="159" w:name="_Toc64025447"/>
      <w:bookmarkEnd w:id="155"/>
      <w:bookmarkEnd w:id="156"/>
      <w:bookmarkEnd w:id="157"/>
      <w:bookmarkEnd w:id="158"/>
      <w:bookmarkEnd w:id="159"/>
    </w:p>
    <w:p w:rsidR="00556E54" w:rsidRPr="00556E54" w:rsidRDefault="00556E54" w:rsidP="00556E54">
      <w:pPr>
        <w:pStyle w:val="Prrafodelista"/>
        <w:numPr>
          <w:ilvl w:val="2"/>
          <w:numId w:val="32"/>
        </w:numPr>
        <w:tabs>
          <w:tab w:val="left" w:pos="1134"/>
        </w:tabs>
        <w:ind w:left="993" w:hanging="436"/>
        <w:jc w:val="both"/>
        <w:outlineLvl w:val="2"/>
        <w:rPr>
          <w:rFonts w:ascii="Times New Roman" w:hAnsi="Times New Roman" w:cs="Times New Roman"/>
          <w:b/>
        </w:rPr>
      </w:pPr>
      <w:bookmarkStart w:id="160" w:name="_Toc64025448"/>
      <w:r w:rsidRPr="00556E54">
        <w:rPr>
          <w:rFonts w:ascii="Times New Roman" w:hAnsi="Times New Roman" w:cs="Times New Roman"/>
          <w:b/>
        </w:rPr>
        <w:t>Programas Sociales y Económicos asociados al COVID-19</w:t>
      </w:r>
      <w:bookmarkEnd w:id="160"/>
    </w:p>
    <w:p w:rsidR="00556E54" w:rsidRDefault="00556E54" w:rsidP="00EE52DF">
      <w:pPr>
        <w:pStyle w:val="BodyText2Sgl"/>
        <w:spacing w:after="0"/>
        <w:ind w:firstLine="0"/>
        <w:jc w:val="both"/>
        <w:rPr>
          <w:rFonts w:cs="Times New Roman"/>
          <w:color w:val="FF0000"/>
          <w:sz w:val="22"/>
          <w:szCs w:val="22"/>
          <w:lang w:val="es-GT"/>
        </w:rPr>
      </w:pPr>
      <w:bookmarkStart w:id="161" w:name="_Toc411347499"/>
    </w:p>
    <w:p w:rsidR="00F7193D" w:rsidRPr="00F7193D" w:rsidRDefault="00F7193D" w:rsidP="00F7193D">
      <w:pPr>
        <w:jc w:val="both"/>
        <w:rPr>
          <w:rFonts w:ascii="Times New Roman" w:hAnsi="Times New Roman" w:cs="Times New Roman"/>
          <w:sz w:val="22"/>
        </w:rPr>
      </w:pPr>
      <w:r w:rsidRPr="00F7193D">
        <w:rPr>
          <w:rFonts w:ascii="Times New Roman" w:hAnsi="Times New Roman" w:cs="Times New Roman"/>
          <w:sz w:val="22"/>
        </w:rPr>
        <w:t xml:space="preserve">A través del Tablero de Seguimiento de Programas Sociales y Económicos del COVID-19 se le da seguimiento a la ejecución de los programas sociales y económicos para la atención del COVID-19. </w:t>
      </w:r>
    </w:p>
    <w:p w:rsidR="00F7193D" w:rsidRPr="00F7193D" w:rsidRDefault="00F7193D" w:rsidP="00F7193D">
      <w:pPr>
        <w:jc w:val="both"/>
        <w:rPr>
          <w:rFonts w:ascii="Times New Roman" w:hAnsi="Times New Roman" w:cs="Times New Roman"/>
          <w:sz w:val="22"/>
        </w:rPr>
      </w:pPr>
      <w:r w:rsidRPr="00F7193D">
        <w:rPr>
          <w:rFonts w:ascii="Times New Roman" w:hAnsi="Times New Roman" w:cs="Times New Roman"/>
          <w:sz w:val="22"/>
        </w:rPr>
        <w:t xml:space="preserve">El presupuesto de todas las actividades ascendió a Q14,599.1 millones para entidades de la Administración Central y las Obligaciones del Estado a Cargo del Tesoro. Al cierre de 2020 se reporta una ejecución de Q13,520.2 millones, con un nivel de ejecución del 92.6%. </w:t>
      </w:r>
    </w:p>
    <w:p w:rsidR="00F7193D" w:rsidRPr="00F7193D" w:rsidRDefault="00F7193D" w:rsidP="00F7193D">
      <w:pPr>
        <w:jc w:val="both"/>
        <w:rPr>
          <w:rFonts w:ascii="Times New Roman" w:hAnsi="Times New Roman" w:cs="Times New Roman"/>
          <w:sz w:val="22"/>
        </w:rPr>
      </w:pPr>
    </w:p>
    <w:p w:rsidR="00F7193D" w:rsidRPr="00F7193D" w:rsidRDefault="00F7193D" w:rsidP="00F7193D">
      <w:pPr>
        <w:jc w:val="both"/>
        <w:rPr>
          <w:rFonts w:ascii="Times New Roman" w:hAnsi="Times New Roman" w:cs="Times New Roman"/>
          <w:sz w:val="22"/>
        </w:rPr>
      </w:pPr>
      <w:r w:rsidRPr="00F7193D">
        <w:rPr>
          <w:rFonts w:ascii="Times New Roman" w:hAnsi="Times New Roman" w:cs="Times New Roman"/>
          <w:sz w:val="22"/>
        </w:rPr>
        <w:t xml:space="preserve">Al evaluar la ejecución por decretos y actividades, resalta del Decreto 12-2020 “Ley de Emergencia COVID-19”, que únicamente el Fondo de Protección de Capitales y el Fondo para las Micro, Pequeñas y Medianas empresas fue ejecutado en su totalidad. </w:t>
      </w:r>
    </w:p>
    <w:p w:rsidR="00F7193D" w:rsidRPr="00F7193D" w:rsidRDefault="00F7193D" w:rsidP="00F7193D">
      <w:pPr>
        <w:jc w:val="both"/>
        <w:rPr>
          <w:rFonts w:ascii="Times New Roman" w:hAnsi="Times New Roman" w:cs="Times New Roman"/>
          <w:sz w:val="22"/>
        </w:rPr>
      </w:pPr>
    </w:p>
    <w:p w:rsidR="00F57DB3" w:rsidRDefault="00F7193D" w:rsidP="00F7193D">
      <w:pPr>
        <w:jc w:val="both"/>
        <w:rPr>
          <w:rFonts w:ascii="Times New Roman" w:hAnsi="Times New Roman" w:cs="Times New Roman"/>
          <w:sz w:val="22"/>
        </w:rPr>
      </w:pPr>
      <w:r w:rsidRPr="00F7193D">
        <w:rPr>
          <w:rFonts w:ascii="Times New Roman" w:hAnsi="Times New Roman" w:cs="Times New Roman"/>
          <w:sz w:val="22"/>
        </w:rPr>
        <w:t>La ejecución del Fondo de Protección de Capitales correspondió al traslado de recursos hacia el Crédito Hipotecario Nacional (CHN) por Q250 millones para el otorgamiento de préstamos, con el fin de mantener la capacidad productiva en condiciones blandas, siendo los beneficios del Fondo:</w:t>
      </w:r>
    </w:p>
    <w:p w:rsidR="00F7193D" w:rsidRPr="00556E54" w:rsidRDefault="00F7193D" w:rsidP="00F7193D">
      <w:pPr>
        <w:jc w:val="both"/>
        <w:rPr>
          <w:rFonts w:ascii="Times New Roman" w:hAnsi="Times New Roman" w:cs="Times New Roman"/>
          <w:sz w:val="22"/>
        </w:rPr>
      </w:pPr>
    </w:p>
    <w:p w:rsidR="00F7193D" w:rsidRPr="00556E54" w:rsidRDefault="00F7193D" w:rsidP="00F7193D">
      <w:pPr>
        <w:numPr>
          <w:ilvl w:val="0"/>
          <w:numId w:val="37"/>
        </w:numPr>
        <w:contextualSpacing/>
        <w:jc w:val="both"/>
        <w:rPr>
          <w:rFonts w:ascii="Times New Roman" w:hAnsi="Times New Roman" w:cs="Times New Roman"/>
          <w:sz w:val="22"/>
        </w:rPr>
      </w:pPr>
      <w:r w:rsidRPr="00556E54">
        <w:rPr>
          <w:rFonts w:ascii="Times New Roman" w:hAnsi="Times New Roman" w:cs="Times New Roman"/>
          <w:sz w:val="22"/>
        </w:rPr>
        <w:t>Amplios plazos de financiamiento</w:t>
      </w:r>
    </w:p>
    <w:p w:rsidR="00F7193D" w:rsidRPr="00556E54" w:rsidRDefault="00F7193D" w:rsidP="00F7193D">
      <w:pPr>
        <w:numPr>
          <w:ilvl w:val="0"/>
          <w:numId w:val="37"/>
        </w:numPr>
        <w:contextualSpacing/>
        <w:jc w:val="both"/>
        <w:rPr>
          <w:rFonts w:ascii="Times New Roman" w:hAnsi="Times New Roman" w:cs="Times New Roman"/>
          <w:sz w:val="22"/>
        </w:rPr>
      </w:pPr>
      <w:r w:rsidRPr="00556E54">
        <w:rPr>
          <w:rFonts w:ascii="Times New Roman" w:hAnsi="Times New Roman" w:cs="Times New Roman"/>
          <w:sz w:val="22"/>
        </w:rPr>
        <w:t>Montos otorgados con base al destino</w:t>
      </w:r>
    </w:p>
    <w:p w:rsidR="00F7193D" w:rsidRPr="00556E54" w:rsidRDefault="00F7193D" w:rsidP="00F7193D">
      <w:pPr>
        <w:numPr>
          <w:ilvl w:val="0"/>
          <w:numId w:val="37"/>
        </w:numPr>
        <w:contextualSpacing/>
        <w:jc w:val="both"/>
        <w:rPr>
          <w:rFonts w:ascii="Times New Roman" w:hAnsi="Times New Roman" w:cs="Times New Roman"/>
          <w:sz w:val="22"/>
        </w:rPr>
      </w:pPr>
      <w:r w:rsidRPr="00556E54">
        <w:rPr>
          <w:rFonts w:ascii="Times New Roman" w:hAnsi="Times New Roman" w:cs="Times New Roman"/>
          <w:sz w:val="22"/>
        </w:rPr>
        <w:lastRenderedPageBreak/>
        <w:t>Período de gracia de 12 meses para el pago de capital, intereses pagaderos mensualmente</w:t>
      </w:r>
    </w:p>
    <w:p w:rsidR="00F7193D" w:rsidRPr="00556E54" w:rsidRDefault="00F7193D" w:rsidP="00F7193D">
      <w:pPr>
        <w:numPr>
          <w:ilvl w:val="0"/>
          <w:numId w:val="37"/>
        </w:numPr>
        <w:contextualSpacing/>
        <w:jc w:val="both"/>
        <w:rPr>
          <w:rFonts w:ascii="Times New Roman" w:hAnsi="Times New Roman" w:cs="Times New Roman"/>
          <w:sz w:val="22"/>
        </w:rPr>
      </w:pPr>
      <w:r w:rsidRPr="00556E54">
        <w:rPr>
          <w:rFonts w:ascii="Times New Roman" w:hAnsi="Times New Roman" w:cs="Times New Roman"/>
          <w:sz w:val="22"/>
        </w:rPr>
        <w:t>Pagos a ventanilla o débito en cuenta CHN</w:t>
      </w:r>
    </w:p>
    <w:p w:rsidR="00F7193D" w:rsidRPr="00556E54" w:rsidRDefault="00F7193D" w:rsidP="00F7193D">
      <w:pPr>
        <w:numPr>
          <w:ilvl w:val="0"/>
          <w:numId w:val="37"/>
        </w:numPr>
        <w:contextualSpacing/>
        <w:jc w:val="both"/>
        <w:rPr>
          <w:rFonts w:ascii="Times New Roman" w:hAnsi="Times New Roman" w:cs="Times New Roman"/>
          <w:sz w:val="22"/>
        </w:rPr>
      </w:pPr>
      <w:r w:rsidRPr="00556E54">
        <w:rPr>
          <w:rFonts w:ascii="Times New Roman" w:hAnsi="Times New Roman" w:cs="Times New Roman"/>
          <w:sz w:val="22"/>
        </w:rPr>
        <w:t>Los montos aprobados son:</w:t>
      </w:r>
    </w:p>
    <w:p w:rsidR="00F7193D" w:rsidRPr="00556E54" w:rsidRDefault="00F7193D" w:rsidP="00F7193D">
      <w:pPr>
        <w:numPr>
          <w:ilvl w:val="1"/>
          <w:numId w:val="37"/>
        </w:numPr>
        <w:contextualSpacing/>
        <w:jc w:val="both"/>
        <w:rPr>
          <w:rFonts w:ascii="Times New Roman" w:hAnsi="Times New Roman" w:cs="Times New Roman"/>
          <w:sz w:val="22"/>
        </w:rPr>
      </w:pPr>
      <w:r w:rsidRPr="00556E54">
        <w:rPr>
          <w:rFonts w:ascii="Times New Roman" w:hAnsi="Times New Roman" w:cs="Times New Roman"/>
          <w:sz w:val="22"/>
        </w:rPr>
        <w:t xml:space="preserve">Emprendedores hasta Q30,000.00 </w:t>
      </w:r>
    </w:p>
    <w:p w:rsidR="00F7193D" w:rsidRPr="00556E54" w:rsidRDefault="00F7193D" w:rsidP="00F7193D">
      <w:pPr>
        <w:numPr>
          <w:ilvl w:val="1"/>
          <w:numId w:val="37"/>
        </w:numPr>
        <w:contextualSpacing/>
        <w:jc w:val="both"/>
        <w:rPr>
          <w:rFonts w:ascii="Times New Roman" w:hAnsi="Times New Roman" w:cs="Times New Roman"/>
          <w:sz w:val="22"/>
        </w:rPr>
      </w:pPr>
      <w:r w:rsidRPr="00556E54">
        <w:rPr>
          <w:rFonts w:ascii="Times New Roman" w:hAnsi="Times New Roman" w:cs="Times New Roman"/>
          <w:sz w:val="22"/>
        </w:rPr>
        <w:t>Profesionales hasta Q100,000.00</w:t>
      </w:r>
    </w:p>
    <w:p w:rsidR="00F7193D" w:rsidRPr="00556E54" w:rsidRDefault="00F7193D" w:rsidP="00F7193D">
      <w:pPr>
        <w:numPr>
          <w:ilvl w:val="1"/>
          <w:numId w:val="37"/>
        </w:numPr>
        <w:contextualSpacing/>
        <w:jc w:val="both"/>
        <w:rPr>
          <w:rFonts w:ascii="Times New Roman" w:hAnsi="Times New Roman" w:cs="Times New Roman"/>
          <w:sz w:val="22"/>
        </w:rPr>
      </w:pPr>
      <w:r w:rsidRPr="00556E54">
        <w:rPr>
          <w:rFonts w:ascii="Times New Roman" w:hAnsi="Times New Roman" w:cs="Times New Roman"/>
          <w:sz w:val="22"/>
        </w:rPr>
        <w:t>Comerciante Individual Q160,000.00</w:t>
      </w:r>
    </w:p>
    <w:p w:rsidR="00F7193D" w:rsidRPr="00556E54" w:rsidRDefault="00F7193D" w:rsidP="00F7193D">
      <w:pPr>
        <w:numPr>
          <w:ilvl w:val="1"/>
          <w:numId w:val="37"/>
        </w:numPr>
        <w:contextualSpacing/>
        <w:jc w:val="both"/>
        <w:rPr>
          <w:rFonts w:ascii="Times New Roman" w:hAnsi="Times New Roman" w:cs="Times New Roman"/>
          <w:sz w:val="22"/>
        </w:rPr>
      </w:pPr>
      <w:r w:rsidRPr="00556E54">
        <w:rPr>
          <w:rFonts w:ascii="Times New Roman" w:hAnsi="Times New Roman" w:cs="Times New Roman"/>
          <w:sz w:val="22"/>
        </w:rPr>
        <w:t>Empresas hasta Q2,000,000.00</w:t>
      </w:r>
    </w:p>
    <w:p w:rsidR="00F7193D" w:rsidRDefault="00F7193D" w:rsidP="00F7193D">
      <w:pPr>
        <w:numPr>
          <w:ilvl w:val="1"/>
          <w:numId w:val="37"/>
        </w:numPr>
        <w:contextualSpacing/>
        <w:jc w:val="both"/>
        <w:rPr>
          <w:rFonts w:ascii="Times New Roman" w:hAnsi="Times New Roman" w:cs="Times New Roman"/>
          <w:sz w:val="22"/>
        </w:rPr>
      </w:pPr>
      <w:r w:rsidRPr="00556E54">
        <w:rPr>
          <w:rFonts w:ascii="Times New Roman" w:hAnsi="Times New Roman" w:cs="Times New Roman"/>
          <w:sz w:val="22"/>
        </w:rPr>
        <w:t xml:space="preserve">Cooperativas de Ahorro y Crédito hasta Q5,000,000.00 </w:t>
      </w:r>
    </w:p>
    <w:p w:rsidR="00F57DB3" w:rsidRPr="00556E54" w:rsidRDefault="00F57DB3" w:rsidP="00F57DB3">
      <w:pPr>
        <w:ind w:left="1440"/>
        <w:contextualSpacing/>
        <w:jc w:val="both"/>
        <w:rPr>
          <w:rFonts w:ascii="Times New Roman" w:hAnsi="Times New Roman" w:cs="Times New Roman"/>
          <w:sz w:val="22"/>
        </w:rPr>
      </w:pPr>
    </w:p>
    <w:p w:rsidR="00556E54" w:rsidRPr="00071382" w:rsidRDefault="00556E54" w:rsidP="00556E54">
      <w:pPr>
        <w:jc w:val="both"/>
        <w:rPr>
          <w:rFonts w:ascii="Times New Roman" w:hAnsi="Times New Roman" w:cs="Times New Roman"/>
          <w:sz w:val="2"/>
          <w:szCs w:val="36"/>
          <w:highlight w:val="yellow"/>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 xml:space="preserve">En 2020 el CHN atendió 494 solicitudes de créditos que totalizaron Q243.9 millones. Los préstamos fueron otorgados casi en su totalidad en la región metropolitana y son concedidos con una tasa de interés preferencial no mayor al promedio de la tasa pasiva vigente que se rige en el sistema bancario, de esa cuenta la tasa promedio ponderada de las solicitudes de créditos es de 4.72%. </w:t>
      </w:r>
    </w:p>
    <w:p w:rsidR="00F7193D" w:rsidRPr="00F7193D" w:rsidRDefault="00F7193D" w:rsidP="00F7193D">
      <w:pPr>
        <w:jc w:val="both"/>
        <w:rPr>
          <w:rFonts w:ascii="Times New Roman" w:hAnsi="Times New Roman" w:cs="Times New Roman"/>
          <w:sz w:val="22"/>
          <w:szCs w:val="36"/>
        </w:rPr>
      </w:pPr>
    </w:p>
    <w:p w:rsidR="00F57DB3" w:rsidRPr="00556E54"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Respecto al Fondo para las Micro, Pequeñas y Medianas empresas fue ejecutado en su totalidad por Q400 millones, este tiene como destino créditos para emprendedores y empresarios de mipymes, el cual sería ejecutado por medio del Banco de Desarrollo Rural (Banrural). El apoyo financiero forma parte de las acciones en apoyo a la reactivación económica del país, se da por medio de la colocación de créditos a nivel nacional y en condiciones favorables (plazo y de tasas de interés).</w:t>
      </w:r>
    </w:p>
    <w:p w:rsidR="00F7193D" w:rsidRDefault="00F7193D" w:rsidP="00556E54">
      <w:pPr>
        <w:jc w:val="both"/>
        <w:rPr>
          <w:rFonts w:ascii="Times New Roman" w:hAnsi="Times New Roman" w:cs="Times New Roman"/>
          <w:sz w:val="22"/>
          <w:szCs w:val="36"/>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 xml:space="preserve">Del programa de remodelación e infraestructura de hospitales y centros de salud a cargo del Ministerio de Salud Pública se dio una ejecución de 83.6% y de la actividad Dotación Alimentaria, a cargo del Ministerio de Desarrollo Social en el área urbana y Ministerio de Agricultura en el área rural, se dieron anticipos al Programa Mundial de Alimentos (PMA), el cual consiste en cupones canjeables y entregas en especie en apoyo a familias en situación de alta vulnerabilidad, incluyendo adultos mayores. Sin embargo, al cierre del año se habían regularizado Q484.5 millones del anticipo otorgado, lo cual ubica la ejecución en 69.2%, hasta concluida la ejecución y liquidación del convenio con el PMA podrá observarse en el sistema presupuestario la ejecución por la totalidad del programa. </w:t>
      </w:r>
    </w:p>
    <w:p w:rsidR="00F7193D" w:rsidRPr="00F7193D" w:rsidRDefault="00F7193D" w:rsidP="00F7193D">
      <w:pPr>
        <w:jc w:val="both"/>
        <w:rPr>
          <w:rFonts w:ascii="Times New Roman" w:hAnsi="Times New Roman" w:cs="Times New Roman"/>
          <w:sz w:val="22"/>
          <w:szCs w:val="36"/>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Por su parte, el Programa de Adulto Mayor a cargo del Ministerio de Trabajo da cuenta de una ejecución de 46.2%, aunque hay que tomar en cuenta que esta es una extensión del aporte económico al adulto mayor que se da desde hace varios años y, por último, el programa de agricultura campesina a cargo del Ministerio de Agricultura no tuvo ejecución, aunque hay que considerar que dentro del Ministerio existen otros programas de apoyo a la agricultura familiar y de apoyo a la productividad y competitividad agropecuaria.</w:t>
      </w:r>
    </w:p>
    <w:p w:rsidR="00F7193D" w:rsidRPr="00F7193D" w:rsidRDefault="00F7193D" w:rsidP="00F7193D">
      <w:pPr>
        <w:jc w:val="both"/>
        <w:rPr>
          <w:rFonts w:ascii="Times New Roman" w:hAnsi="Times New Roman" w:cs="Times New Roman"/>
          <w:sz w:val="22"/>
          <w:szCs w:val="36"/>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 xml:space="preserve">Respecto al Decreto 13-2020 “Ley de Rescate Económico para Familias”, este concentró los gastos más importantes dentro de los programas COVID-19 por presupuesto y cantidad de beneficiarios, tres programas reportaron una ejecución en su totalidad, siendo el Bono Familia (Q6,000 millones), el Fondo de Protección de Empleo (Q2,000 millones) y el subsidio a la energía eléctrica (Q270 millones). </w:t>
      </w:r>
    </w:p>
    <w:p w:rsidR="00F7193D" w:rsidRPr="00F7193D" w:rsidRDefault="00F7193D" w:rsidP="00F7193D">
      <w:pPr>
        <w:jc w:val="both"/>
        <w:rPr>
          <w:rFonts w:ascii="Times New Roman" w:hAnsi="Times New Roman" w:cs="Times New Roman"/>
          <w:sz w:val="22"/>
          <w:szCs w:val="36"/>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 xml:space="preserve">Con el Fondo de Protección de Empleo, se buscaba apoyar a los trabajadores con Q75 diarios por cada día de suspensión provocada por la crisis del COVID-19 y con esto disminuir el impacto social y económico apoyando a las empresas a evitar despidos, minimizando el efecto en el desempleo. De acuerdo con información del Ministerio de Economía, al cierre del ejercicio fiscal 2020, fueron beneficiadas 17,175 empresas y 191,110 trabajadores, cuatro actividades comerciales reportan el 72.6% de los fondos cobrados, siendo estas: industria manufacturera (20.1%), hoteles, ocio, viajes y </w:t>
      </w:r>
      <w:r w:rsidRPr="00F7193D">
        <w:rPr>
          <w:rFonts w:ascii="Times New Roman" w:hAnsi="Times New Roman" w:cs="Times New Roman"/>
          <w:sz w:val="22"/>
          <w:szCs w:val="36"/>
        </w:rPr>
        <w:lastRenderedPageBreak/>
        <w:t xml:space="preserve">restaurantes (18.7%), comercio (17.4%) y los servicios profesionales, administrativos y financieros (16.4%).  </w:t>
      </w:r>
    </w:p>
    <w:p w:rsidR="00F7193D" w:rsidRPr="00F7193D" w:rsidRDefault="00F7193D" w:rsidP="00F7193D">
      <w:pPr>
        <w:jc w:val="both"/>
        <w:rPr>
          <w:rFonts w:ascii="Times New Roman" w:hAnsi="Times New Roman" w:cs="Times New Roman"/>
          <w:sz w:val="22"/>
          <w:szCs w:val="36"/>
        </w:rPr>
      </w:pPr>
    </w:p>
    <w:p w:rsid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Adicionalmente, de los recursos asignados al Fondo de Protección de Empleo, el Congreso de la República aprobó por medio del Decreto 25-2020 “Ley de Bonificación a Pensionados y Jubilados del Estado” un bono único con el propósito de apoyar a los jubilados y pensionados del Estado ante los efectos de la pandemia, el presupuesto asignado fue de Q150 millones, el cual se ejecutó en su totalidad, beneficiando a 103,692 pensionados y jubilados con esta medida, quienes recibiero</w:t>
      </w:r>
      <w:r>
        <w:rPr>
          <w:rFonts w:ascii="Times New Roman" w:hAnsi="Times New Roman" w:cs="Times New Roman"/>
          <w:sz w:val="22"/>
          <w:szCs w:val="36"/>
        </w:rPr>
        <w:t xml:space="preserve">n un aporte único de Q1,446.6.   </w:t>
      </w:r>
    </w:p>
    <w:p w:rsidR="00F7193D" w:rsidRDefault="00F7193D" w:rsidP="00F7193D">
      <w:pPr>
        <w:jc w:val="both"/>
        <w:rPr>
          <w:rFonts w:ascii="Times New Roman" w:hAnsi="Times New Roman" w:cs="Times New Roman"/>
          <w:sz w:val="22"/>
          <w:szCs w:val="36"/>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Por último, del Decreto 13-2020 únicamente el Fondo de Crédito Capital de Trabajo, no fue ejecutado en su totalidad (84.2%). Conto con un presupuesto de Q2,730 millones, de los cuales el Gobierno traslado al CHN Q2,300.0 millones para el otorgamiento de créditos con condiciones blandas para mantener la capacidad productiva y la continuidad en las operaciones de negocio, el monto máximo de acceso era de Q 250,000 por crédito. Entre los beneficios más relevantes del fondo se encuentra:</w:t>
      </w:r>
    </w:p>
    <w:p w:rsidR="00F7193D" w:rsidRPr="00F7193D" w:rsidRDefault="00F7193D" w:rsidP="00F7193D">
      <w:pPr>
        <w:jc w:val="both"/>
        <w:rPr>
          <w:rFonts w:ascii="Times New Roman" w:hAnsi="Times New Roman" w:cs="Times New Roman"/>
          <w:sz w:val="20"/>
          <w:szCs w:val="36"/>
        </w:rPr>
      </w:pPr>
    </w:p>
    <w:p w:rsidR="00F7193D" w:rsidRPr="00F7193D" w:rsidRDefault="00F7193D" w:rsidP="00F7193D">
      <w:pPr>
        <w:pStyle w:val="Prrafodelista"/>
        <w:numPr>
          <w:ilvl w:val="0"/>
          <w:numId w:val="47"/>
        </w:numPr>
        <w:jc w:val="both"/>
        <w:rPr>
          <w:rFonts w:ascii="Times New Roman" w:hAnsi="Times New Roman" w:cs="Times New Roman"/>
          <w:szCs w:val="36"/>
        </w:rPr>
      </w:pPr>
      <w:r w:rsidRPr="00F7193D">
        <w:rPr>
          <w:rFonts w:ascii="Times New Roman" w:hAnsi="Times New Roman" w:cs="Times New Roman"/>
          <w:szCs w:val="36"/>
        </w:rPr>
        <w:t>Amplios plazos de financiamiento hasta de 8 años</w:t>
      </w:r>
    </w:p>
    <w:p w:rsidR="00F7193D" w:rsidRPr="00F7193D" w:rsidRDefault="00F7193D" w:rsidP="00F7193D">
      <w:pPr>
        <w:pStyle w:val="Prrafodelista"/>
        <w:numPr>
          <w:ilvl w:val="0"/>
          <w:numId w:val="47"/>
        </w:numPr>
        <w:jc w:val="both"/>
        <w:rPr>
          <w:rFonts w:ascii="Times New Roman" w:hAnsi="Times New Roman" w:cs="Times New Roman"/>
          <w:szCs w:val="36"/>
        </w:rPr>
      </w:pPr>
      <w:r w:rsidRPr="00F7193D">
        <w:rPr>
          <w:rFonts w:ascii="Times New Roman" w:hAnsi="Times New Roman" w:cs="Times New Roman"/>
          <w:szCs w:val="36"/>
        </w:rPr>
        <w:t xml:space="preserve">Período de gracia de 18 meses para pago de capital </w:t>
      </w:r>
    </w:p>
    <w:p w:rsidR="00F7193D" w:rsidRPr="00F7193D" w:rsidRDefault="00F7193D" w:rsidP="00F7193D">
      <w:pPr>
        <w:pStyle w:val="Prrafodelista"/>
        <w:numPr>
          <w:ilvl w:val="0"/>
          <w:numId w:val="47"/>
        </w:numPr>
        <w:jc w:val="both"/>
        <w:rPr>
          <w:rFonts w:ascii="Times New Roman" w:hAnsi="Times New Roman" w:cs="Times New Roman"/>
          <w:szCs w:val="36"/>
        </w:rPr>
      </w:pPr>
      <w:r w:rsidRPr="00F7193D">
        <w:rPr>
          <w:rFonts w:ascii="Times New Roman" w:hAnsi="Times New Roman" w:cs="Times New Roman"/>
          <w:szCs w:val="36"/>
        </w:rPr>
        <w:t xml:space="preserve">Tasa de interés del 6% en Instituciones Financieras Supervisadas y 6.5% en Cooperativas </w:t>
      </w:r>
    </w:p>
    <w:p w:rsidR="00F7193D" w:rsidRPr="00F7193D" w:rsidRDefault="00F7193D" w:rsidP="00F7193D">
      <w:pPr>
        <w:jc w:val="both"/>
        <w:rPr>
          <w:rFonts w:ascii="Times New Roman" w:hAnsi="Times New Roman" w:cs="Times New Roman"/>
          <w:sz w:val="20"/>
          <w:szCs w:val="36"/>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Con el fin de coadyuvar al esfuerzo por simplificar trámites y agilizar la autorización y desembolso de créditos se autorizó al CHN a calificar, evaluar y autorizar el traslado parcial de recursos a Instituciones Financieras y a Cooperativas de Ahorro y Crédito, de esa cuenta los recursos de este fondo fueron manejados por el CHN e Instituciones Financieras y Cooperativas de Ahorro y Crédito.</w:t>
      </w: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 xml:space="preserve">Del Fondo de Crédito de Capital de Trabajo se otorgaron 18,881 créditos que totalizaron Q1,989.0 millones. </w:t>
      </w:r>
    </w:p>
    <w:p w:rsidR="00F7193D" w:rsidRPr="00F7193D" w:rsidRDefault="00F7193D" w:rsidP="00F7193D">
      <w:pPr>
        <w:jc w:val="both"/>
        <w:rPr>
          <w:rFonts w:ascii="Times New Roman" w:hAnsi="Times New Roman" w:cs="Times New Roman"/>
          <w:sz w:val="22"/>
          <w:szCs w:val="36"/>
        </w:rPr>
      </w:pPr>
    </w:p>
    <w:p w:rsidR="00F7193D" w:rsidRPr="00F7193D"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En lo que respecta a las actividades del Decreto 20-2020 Ampliación Presupuestaria 2020, tuvieron una ejecución de Q1,123.7 millones, con un grado de 82.6%. Únicamente el subsidio a la energía eléctrica por Q360 millones fue ejecutado en su totalidad. Por su parte, los proyectos de reactivación económica contaron con una ejecución de 81.7%, lo cual corresponde al traslado de recursos hacia los Consejos Departamentales de Desarrollo (CODEDE), en coordinación con la Secretaria de Coordinación Ejecutiva de la Presidencia (SCEP) para viabilizar obras nuevas que contribuyan a la reactivación de la economía.</w:t>
      </w:r>
    </w:p>
    <w:p w:rsidR="00F7193D" w:rsidRPr="00F7193D" w:rsidRDefault="00F7193D" w:rsidP="00F7193D">
      <w:pPr>
        <w:jc w:val="both"/>
        <w:rPr>
          <w:rFonts w:ascii="Times New Roman" w:hAnsi="Times New Roman" w:cs="Times New Roman"/>
          <w:sz w:val="22"/>
          <w:szCs w:val="36"/>
        </w:rPr>
      </w:pPr>
    </w:p>
    <w:p w:rsidR="00556E54" w:rsidRPr="00556E54" w:rsidRDefault="00F7193D" w:rsidP="00F7193D">
      <w:pPr>
        <w:jc w:val="both"/>
        <w:rPr>
          <w:rFonts w:ascii="Times New Roman" w:hAnsi="Times New Roman" w:cs="Times New Roman"/>
          <w:sz w:val="22"/>
          <w:szCs w:val="36"/>
        </w:rPr>
      </w:pPr>
      <w:r w:rsidRPr="00F7193D">
        <w:rPr>
          <w:rFonts w:ascii="Times New Roman" w:hAnsi="Times New Roman" w:cs="Times New Roman"/>
          <w:sz w:val="22"/>
          <w:szCs w:val="36"/>
        </w:rPr>
        <w:t>Las actividades de adquisición de ventiladores, pruebas COVID-19 y Equipo, Trajes y Materiales de Protección Personal (EPP) reporta una ejecución de 73.9%, mientras que la actividad infraestructura en salud no logró viabilizar su ejecución, siendo financiada por préstamos con el Banco Centroamericano de Integración Económica (BCIE) y el Banco Interamericano de Desarrollo (BID), cada uno por Q15 millones.</w:t>
      </w:r>
    </w:p>
    <w:p w:rsidR="00246573" w:rsidRDefault="00246573" w:rsidP="00556E54">
      <w:pPr>
        <w:jc w:val="both"/>
        <w:rPr>
          <w:rFonts w:ascii="Times New Roman" w:hAnsi="Times New Roman" w:cs="Times New Roman"/>
          <w:szCs w:val="36"/>
        </w:rPr>
        <w:sectPr w:rsidR="00246573" w:rsidSect="004F4021">
          <w:headerReference w:type="default" r:id="rId29"/>
          <w:footerReference w:type="default" r:id="rId30"/>
          <w:pgSz w:w="12240" w:h="15840" w:code="1"/>
          <w:pgMar w:top="1418" w:right="1701" w:bottom="1418" w:left="1701" w:header="709" w:footer="709" w:gutter="0"/>
          <w:cols w:space="708"/>
          <w:titlePg/>
          <w:docGrid w:linePitch="360"/>
        </w:sectPr>
      </w:pPr>
    </w:p>
    <w:p w:rsidR="00556E54" w:rsidRDefault="00556E54" w:rsidP="00556E54">
      <w:pPr>
        <w:jc w:val="both"/>
        <w:rPr>
          <w:rFonts w:ascii="Times New Roman" w:hAnsi="Times New Roman" w:cs="Times New Roman"/>
          <w:szCs w:val="36"/>
        </w:rPr>
      </w:pPr>
    </w:p>
    <w:p w:rsidR="00246573" w:rsidRPr="00246573" w:rsidRDefault="00F7193D" w:rsidP="00246573">
      <w:pPr>
        <w:jc w:val="center"/>
        <w:rPr>
          <w:rFonts w:ascii="Times New Roman" w:hAnsi="Times New Roman" w:cs="Times New Roman"/>
          <w:b/>
          <w:sz w:val="20"/>
        </w:rPr>
      </w:pPr>
      <w:r w:rsidRPr="00246573">
        <w:rPr>
          <w:rFonts w:ascii="Times New Roman" w:hAnsi="Times New Roman" w:cs="Times New Roman"/>
          <w:noProof/>
          <w:sz w:val="18"/>
          <w:lang w:val="es-ES"/>
        </w:rPr>
        <w:lastRenderedPageBreak/>
        <mc:AlternateContent>
          <mc:Choice Requires="wpg">
            <w:drawing>
              <wp:anchor distT="0" distB="0" distL="114300" distR="114300" simplePos="0" relativeHeight="251730944" behindDoc="0" locked="0" layoutInCell="1" allowOverlap="1" wp14:anchorId="44161DF5" wp14:editId="1F882276">
                <wp:simplePos x="0" y="0"/>
                <wp:positionH relativeFrom="column">
                  <wp:posOffset>-3810</wp:posOffset>
                </wp:positionH>
                <wp:positionV relativeFrom="paragraph">
                  <wp:posOffset>581025</wp:posOffset>
                </wp:positionV>
                <wp:extent cx="5748655" cy="2457450"/>
                <wp:effectExtent l="0" t="0" r="4445" b="0"/>
                <wp:wrapSquare wrapText="bothSides"/>
                <wp:docPr id="8" name="Group 8"/>
                <wp:cNvGraphicFramePr/>
                <a:graphic xmlns:a="http://schemas.openxmlformats.org/drawingml/2006/main">
                  <a:graphicData uri="http://schemas.microsoft.com/office/word/2010/wordprocessingGroup">
                    <wpg:wgp>
                      <wpg:cNvGrpSpPr/>
                      <wpg:grpSpPr>
                        <a:xfrm>
                          <a:off x="0" y="0"/>
                          <a:ext cx="5748655" cy="2457450"/>
                          <a:chOff x="0" y="0"/>
                          <a:chExt cx="6209238" cy="2743200"/>
                        </a:xfrm>
                      </wpg:grpSpPr>
                      <wpg:graphicFrame>
                        <wpg:cNvPr id="14" name="Chart 6"/>
                        <wpg:cNvFrPr/>
                        <wpg:xfrm>
                          <a:off x="0" y="47767"/>
                          <a:ext cx="2981325" cy="2692400"/>
                        </wpg:xfrm>
                        <a:graphic>
                          <a:graphicData uri="http://schemas.openxmlformats.org/drawingml/2006/chart">
                            <c:chart xmlns:c="http://schemas.openxmlformats.org/drawingml/2006/chart" xmlns:r="http://schemas.openxmlformats.org/officeDocument/2006/relationships" r:id="rId31"/>
                          </a:graphicData>
                        </a:graphic>
                      </wpg:graphicFrame>
                      <wpg:graphicFrame>
                        <wpg:cNvPr id="16" name="Chart 20"/>
                        <wpg:cNvFrPr/>
                        <wpg:xfrm>
                          <a:off x="3057098" y="0"/>
                          <a:ext cx="3152140" cy="2743200"/>
                        </wpg:xfrm>
                        <a:graphic>
                          <a:graphicData uri="http://schemas.openxmlformats.org/drawingml/2006/chart">
                            <c:chart xmlns:c="http://schemas.openxmlformats.org/drawingml/2006/chart" xmlns:r="http://schemas.openxmlformats.org/officeDocument/2006/relationships" r:id="rId32"/>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5D5F97B8" id="Group 8" o:spid="_x0000_s1026" style="position:absolute;margin-left:-.3pt;margin-top:45.75pt;width:452.65pt;height:193.5pt;z-index:251730944;mso-width-relative:margin;mso-height-relative:margin" coordsize="62092,27432" o:gfxdata="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6" o:spid="_x0000_s1027" type="#_x0000_t75" style="position:absolute;top:476;width:29827;height:269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">
                  <v:imagedata r:id="rId33" o:title=""/>
                  <o:lock v:ext="edit" aspectratio="f"/>
                </v:shape>
                <v:shape id="Chart 20" o:spid="_x0000_s1028" type="#_x0000_t75" style="position:absolute;left:30551;width:31540;height:274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">
                  <v:imagedata r:id="rId34" o:title=""/>
                  <o:lock v:ext="edit" aspectratio="f"/>
                </v:shape>
                <w10:wrap type="square"/>
              </v:group>
              <o:OLEObject Type="Embed" ProgID="Excel.Chart.8" ShapeID="Chart 6" DrawAspect="Content" ObjectID="_1675233284" r:id="rId35">
                <o:FieldCodes>\s</o:FieldCodes>
              </o:OLEObject>
              <o:OLEObject Type="Embed" ProgID="Excel.Chart.8" ShapeID="Chart 20" DrawAspect="Content" ObjectID="_1675233285" r:id="rId36">
                <o:FieldCodes>\s</o:FieldCodes>
              </o:OLEObject>
            </w:pict>
          </mc:Fallback>
        </mc:AlternateContent>
      </w:r>
      <w:r w:rsidR="00246573" w:rsidRPr="00246573">
        <w:rPr>
          <w:rFonts w:ascii="Times New Roman" w:hAnsi="Times New Roman" w:cs="Times New Roman"/>
          <w:b/>
          <w:sz w:val="20"/>
        </w:rPr>
        <w:t>Ejecución acumulada de los programas sociales     y económicos en atención al COVID-19</w:t>
      </w:r>
    </w:p>
    <w:p w:rsidR="00246573" w:rsidRPr="00246573" w:rsidRDefault="00246573" w:rsidP="00246573">
      <w:pPr>
        <w:jc w:val="center"/>
        <w:rPr>
          <w:rFonts w:ascii="Times New Roman" w:hAnsi="Times New Roman" w:cs="Times New Roman"/>
          <w:sz w:val="20"/>
        </w:rPr>
      </w:pPr>
      <w:r w:rsidRPr="00246573">
        <w:rPr>
          <w:rFonts w:ascii="Times New Roman" w:hAnsi="Times New Roman" w:cs="Times New Roman"/>
          <w:sz w:val="18"/>
        </w:rPr>
        <w:t>de mayo a diciembre 2020</w:t>
      </w:r>
    </w:p>
    <w:p w:rsidR="00246573" w:rsidRPr="00246573" w:rsidRDefault="00246573" w:rsidP="00246573">
      <w:pPr>
        <w:jc w:val="center"/>
        <w:rPr>
          <w:rFonts w:ascii="Times New Roman" w:hAnsi="Times New Roman" w:cs="Times New Roman"/>
          <w:noProof/>
          <w:lang w:eastAsia="es-GT"/>
        </w:rPr>
      </w:pPr>
      <w:r w:rsidRPr="00246573">
        <w:rPr>
          <w:rFonts w:ascii="Times New Roman" w:hAnsi="Times New Roman" w:cs="Times New Roman"/>
          <w:sz w:val="18"/>
        </w:rPr>
        <w:t>Millones de quetzales y porcentajes</w:t>
      </w:r>
    </w:p>
    <w:p w:rsidR="00246573" w:rsidRDefault="00246573" w:rsidP="00246573">
      <w:pPr>
        <w:jc w:val="center"/>
        <w:rPr>
          <w:rFonts w:ascii="Times New Roman" w:hAnsi="Times New Roman" w:cs="Times New Roman"/>
          <w:b/>
          <w:color w:val="C0504D" w:themeColor="accent2"/>
          <w:sz w:val="20"/>
        </w:rPr>
      </w:pPr>
    </w:p>
    <w:p w:rsidR="00246573" w:rsidRPr="00246573" w:rsidRDefault="00246573" w:rsidP="00246573">
      <w:pPr>
        <w:jc w:val="center"/>
        <w:rPr>
          <w:rFonts w:ascii="Times New Roman" w:hAnsi="Times New Roman" w:cs="Times New Roman"/>
          <w:b/>
          <w:sz w:val="20"/>
        </w:rPr>
      </w:pPr>
      <w:r w:rsidRPr="00246573">
        <w:rPr>
          <w:rFonts w:ascii="Times New Roman" w:hAnsi="Times New Roman" w:cs="Times New Roman"/>
          <w:b/>
          <w:sz w:val="20"/>
        </w:rPr>
        <w:lastRenderedPageBreak/>
        <w:t>Ejecución por decreto de los programas sociales y económicos en atención al COVID-19</w:t>
      </w:r>
    </w:p>
    <w:p w:rsidR="00246573" w:rsidRPr="00246573" w:rsidRDefault="00246573" w:rsidP="00246573">
      <w:pPr>
        <w:jc w:val="center"/>
        <w:rPr>
          <w:rFonts w:ascii="Times New Roman" w:hAnsi="Times New Roman" w:cs="Times New Roman"/>
          <w:sz w:val="18"/>
        </w:rPr>
      </w:pPr>
      <w:r w:rsidRPr="00246573">
        <w:rPr>
          <w:rFonts w:ascii="Times New Roman" w:hAnsi="Times New Roman" w:cs="Times New Roman"/>
          <w:sz w:val="18"/>
        </w:rPr>
        <w:t>A diciembre 2020</w:t>
      </w:r>
    </w:p>
    <w:p w:rsidR="00246573" w:rsidRPr="00246573" w:rsidRDefault="00246573" w:rsidP="00246573">
      <w:pPr>
        <w:jc w:val="center"/>
        <w:rPr>
          <w:rFonts w:ascii="Times New Roman" w:hAnsi="Times New Roman" w:cs="Times New Roman"/>
          <w:sz w:val="18"/>
        </w:rPr>
        <w:sectPr w:rsidR="00246573" w:rsidRPr="00246573" w:rsidSect="00575B63">
          <w:type w:val="continuous"/>
          <w:pgSz w:w="12240" w:h="15840"/>
          <w:pgMar w:top="1417" w:right="1701" w:bottom="1417" w:left="1701" w:header="708" w:footer="708" w:gutter="0"/>
          <w:cols w:num="2" w:space="708"/>
          <w:docGrid w:linePitch="360"/>
        </w:sectPr>
      </w:pPr>
      <w:r w:rsidRPr="00246573">
        <w:rPr>
          <w:rFonts w:ascii="Times New Roman" w:hAnsi="Times New Roman" w:cs="Times New Roman"/>
          <w:sz w:val="18"/>
        </w:rPr>
        <w:t>Millones de quetzales y porcentajes</w:t>
      </w:r>
    </w:p>
    <w:p w:rsidR="00246573" w:rsidRDefault="00246573" w:rsidP="00246573">
      <w:pPr>
        <w:rPr>
          <w:rFonts w:ascii="Times New Roman" w:hAnsi="Times New Roman" w:cs="Times New Roman"/>
          <w:sz w:val="16"/>
        </w:rPr>
      </w:pPr>
      <w:r w:rsidRPr="0037418E">
        <w:rPr>
          <w:rFonts w:ascii="Times New Roman" w:hAnsi="Times New Roman" w:cs="Times New Roman"/>
          <w:sz w:val="16"/>
        </w:rPr>
        <w:lastRenderedPageBreak/>
        <w:t>Fuente: Dirección de Análisis y Política Fiscal</w:t>
      </w:r>
      <w:r w:rsidR="0037418E" w:rsidRPr="0037418E">
        <w:rPr>
          <w:rFonts w:ascii="Times New Roman" w:hAnsi="Times New Roman" w:cs="Times New Roman"/>
          <w:sz w:val="16"/>
        </w:rPr>
        <w:t>.</w:t>
      </w:r>
    </w:p>
    <w:p w:rsidR="00246573" w:rsidRDefault="00246573" w:rsidP="00556E54">
      <w:pPr>
        <w:jc w:val="both"/>
        <w:rPr>
          <w:rFonts w:ascii="Times New Roman" w:hAnsi="Times New Roman" w:cs="Times New Roman"/>
          <w:szCs w:val="36"/>
        </w:rPr>
      </w:pPr>
    </w:p>
    <w:p w:rsidR="009C497E" w:rsidRPr="009C497E" w:rsidRDefault="009C497E" w:rsidP="009C497E">
      <w:pPr>
        <w:pStyle w:val="Prrafodelista"/>
        <w:numPr>
          <w:ilvl w:val="2"/>
          <w:numId w:val="32"/>
        </w:numPr>
        <w:tabs>
          <w:tab w:val="left" w:pos="1134"/>
        </w:tabs>
        <w:ind w:left="993" w:hanging="436"/>
        <w:jc w:val="both"/>
        <w:outlineLvl w:val="2"/>
        <w:rPr>
          <w:rFonts w:ascii="Times New Roman" w:hAnsi="Times New Roman" w:cs="Times New Roman"/>
          <w:b/>
          <w:szCs w:val="36"/>
        </w:rPr>
      </w:pPr>
      <w:bookmarkStart w:id="162" w:name="_Toc64025449"/>
      <w:r w:rsidRPr="009C497E">
        <w:rPr>
          <w:rFonts w:ascii="Times New Roman" w:hAnsi="Times New Roman" w:cs="Times New Roman"/>
          <w:b/>
          <w:szCs w:val="36"/>
        </w:rPr>
        <w:t>Intervenciones realizadas para la atención de daños provocados por la depresión tropical ETA</w:t>
      </w:r>
      <w:bookmarkEnd w:id="162"/>
    </w:p>
    <w:p w:rsidR="009C497E" w:rsidRDefault="009C497E" w:rsidP="00556E54">
      <w:pPr>
        <w:jc w:val="both"/>
        <w:rPr>
          <w:rFonts w:ascii="Times New Roman" w:hAnsi="Times New Roman" w:cs="Times New Roman"/>
          <w:szCs w:val="36"/>
        </w:rPr>
      </w:pPr>
    </w:p>
    <w:p w:rsidR="009C497E" w:rsidRPr="009C497E" w:rsidRDefault="009C497E" w:rsidP="009C497E">
      <w:pPr>
        <w:jc w:val="both"/>
        <w:rPr>
          <w:rFonts w:ascii="Times New Roman" w:hAnsi="Times New Roman" w:cs="Times New Roman"/>
          <w:sz w:val="22"/>
          <w:szCs w:val="22"/>
        </w:rPr>
      </w:pPr>
      <w:r w:rsidRPr="009C497E">
        <w:rPr>
          <w:rFonts w:ascii="Times New Roman" w:hAnsi="Times New Roman" w:cs="Times New Roman"/>
          <w:sz w:val="22"/>
          <w:szCs w:val="22"/>
        </w:rPr>
        <w:t xml:space="preserve">A finales de 2020, el país fue azotado por dos tormentas tropicales identificadas como ETA e IOTA, las cuales causaron significativos daños y pérdidas en el territorio nacional. Derivado de ello, el gobierno reaccionó creando el subprograma 11 “Estado de Calamidad Pública por Depresión Tropical ETA”, el cual lleva registro de las intervenciones realizadas para la atención de daños provocados por la depresión tropical, este se encuentra bajo el programa 94 “Atención por Desastres Naturales y Calamidades Públicas”. </w:t>
      </w:r>
    </w:p>
    <w:p w:rsidR="009C497E" w:rsidRPr="009C497E" w:rsidRDefault="009C497E" w:rsidP="009C497E">
      <w:pPr>
        <w:jc w:val="both"/>
        <w:rPr>
          <w:rFonts w:ascii="Times New Roman" w:hAnsi="Times New Roman" w:cs="Times New Roman"/>
          <w:sz w:val="22"/>
          <w:szCs w:val="22"/>
        </w:rPr>
      </w:pPr>
    </w:p>
    <w:p w:rsidR="009C497E" w:rsidRPr="009C497E" w:rsidRDefault="009C497E" w:rsidP="009C497E">
      <w:pPr>
        <w:jc w:val="both"/>
        <w:rPr>
          <w:rFonts w:ascii="Times New Roman" w:hAnsi="Times New Roman" w:cs="Times New Roman"/>
          <w:sz w:val="22"/>
          <w:szCs w:val="22"/>
        </w:rPr>
      </w:pPr>
      <w:r w:rsidRPr="009C497E">
        <w:rPr>
          <w:rFonts w:ascii="Times New Roman" w:hAnsi="Times New Roman" w:cs="Times New Roman"/>
          <w:sz w:val="22"/>
          <w:szCs w:val="22"/>
        </w:rPr>
        <w:t xml:space="preserve">De esa cuenta, se le asignó un presupuesto de Q353.1 millones, para la atención de la emergencia provocada por la depresión tropical, obteniendo una ejecución de Q86.7 millones al final del ejercicio, siendo equivalente a un grado de 24.3%. </w:t>
      </w:r>
    </w:p>
    <w:p w:rsidR="009C497E" w:rsidRPr="009C497E" w:rsidRDefault="009C497E" w:rsidP="009C497E">
      <w:pPr>
        <w:jc w:val="both"/>
        <w:rPr>
          <w:rFonts w:ascii="Times New Roman" w:hAnsi="Times New Roman" w:cs="Times New Roman"/>
          <w:sz w:val="22"/>
          <w:szCs w:val="22"/>
        </w:rPr>
      </w:pPr>
    </w:p>
    <w:p w:rsidR="009C497E" w:rsidRPr="009C497E" w:rsidRDefault="009C497E" w:rsidP="009C497E">
      <w:pPr>
        <w:jc w:val="both"/>
        <w:rPr>
          <w:rFonts w:ascii="Times New Roman" w:hAnsi="Times New Roman" w:cs="Times New Roman"/>
          <w:sz w:val="22"/>
          <w:szCs w:val="22"/>
        </w:rPr>
      </w:pPr>
      <w:r w:rsidRPr="009C497E">
        <w:rPr>
          <w:rFonts w:ascii="Times New Roman" w:hAnsi="Times New Roman" w:cs="Times New Roman"/>
          <w:sz w:val="22"/>
          <w:szCs w:val="22"/>
        </w:rPr>
        <w:t xml:space="preserve">De las actividades correspondientes, únicamente la transferencia al Registro Nacional de las Personas (RENAP) reporta una ejecución del 100%, esto corresponde a que el RENAP exoneró del pago de las tarifas establecidas para la emisión de certificaciones registrales y la reposición por extravío del Documento Personal de Identificación (DPI) a los habitantes damnificados por la tormenta tropical ETA. </w:t>
      </w:r>
    </w:p>
    <w:p w:rsidR="009C497E" w:rsidRPr="009C497E" w:rsidRDefault="009C497E" w:rsidP="009C497E">
      <w:pPr>
        <w:jc w:val="both"/>
        <w:rPr>
          <w:rFonts w:ascii="Times New Roman" w:hAnsi="Times New Roman" w:cs="Times New Roman"/>
          <w:sz w:val="22"/>
          <w:szCs w:val="22"/>
        </w:rPr>
      </w:pPr>
    </w:p>
    <w:p w:rsidR="009C497E" w:rsidRPr="009C497E" w:rsidRDefault="009C497E" w:rsidP="009C497E">
      <w:pPr>
        <w:jc w:val="both"/>
        <w:rPr>
          <w:rFonts w:ascii="Times New Roman" w:hAnsi="Times New Roman" w:cs="Times New Roman"/>
          <w:sz w:val="22"/>
          <w:szCs w:val="22"/>
        </w:rPr>
      </w:pPr>
      <w:r w:rsidRPr="009C497E">
        <w:rPr>
          <w:rFonts w:ascii="Times New Roman" w:hAnsi="Times New Roman" w:cs="Times New Roman"/>
          <w:sz w:val="22"/>
          <w:szCs w:val="22"/>
        </w:rPr>
        <w:t>En lo que respecta al Ministerio de Desarrollo Social, tuvo a su cargo la dotación de alimentos para contribuir a la seguridad alimentaria de la población damnificada, dicha actividad tuvo una ejecución del 93.9%, mientras que otras raciones de alimentos reportaron una ejecución de 89.9% y de la actividad de entrega de materiales de construcción y enseres se tuvo una ejecución de 23.2%.</w:t>
      </w:r>
    </w:p>
    <w:p w:rsidR="009C497E" w:rsidRPr="009C497E" w:rsidRDefault="009C497E" w:rsidP="009C497E">
      <w:pPr>
        <w:jc w:val="both"/>
        <w:rPr>
          <w:rFonts w:ascii="Times New Roman" w:hAnsi="Times New Roman" w:cs="Times New Roman"/>
          <w:sz w:val="22"/>
          <w:szCs w:val="22"/>
        </w:rPr>
      </w:pPr>
    </w:p>
    <w:p w:rsidR="009C497E" w:rsidRPr="009C497E" w:rsidRDefault="009C497E" w:rsidP="009C497E">
      <w:pPr>
        <w:jc w:val="both"/>
        <w:rPr>
          <w:rFonts w:ascii="Times New Roman" w:hAnsi="Times New Roman" w:cs="Times New Roman"/>
          <w:sz w:val="22"/>
          <w:szCs w:val="22"/>
        </w:rPr>
      </w:pPr>
      <w:r w:rsidRPr="009C497E">
        <w:rPr>
          <w:rFonts w:ascii="Times New Roman" w:hAnsi="Times New Roman" w:cs="Times New Roman"/>
          <w:sz w:val="22"/>
          <w:szCs w:val="22"/>
        </w:rPr>
        <w:t>En lo que respecta al Ministerio de Comunicaciones, Infraestructura y Vivienda reporta una ejecución de Q49.4 millones, con un grado de ejecución de 17.8%, que corresponde al mantenimiento y reparación de los bienes nacionales correspondiente a carreteras y puentes.</w:t>
      </w:r>
    </w:p>
    <w:p w:rsidR="009C497E" w:rsidRPr="009C497E" w:rsidRDefault="009C497E" w:rsidP="009C497E">
      <w:pPr>
        <w:jc w:val="both"/>
        <w:rPr>
          <w:rFonts w:ascii="Times New Roman" w:hAnsi="Times New Roman" w:cs="Times New Roman"/>
          <w:sz w:val="22"/>
          <w:szCs w:val="22"/>
        </w:rPr>
      </w:pPr>
    </w:p>
    <w:p w:rsidR="00575B63" w:rsidRDefault="009C497E" w:rsidP="009C497E">
      <w:pPr>
        <w:jc w:val="both"/>
        <w:rPr>
          <w:rFonts w:ascii="Times New Roman" w:hAnsi="Times New Roman" w:cs="Times New Roman"/>
          <w:sz w:val="22"/>
          <w:szCs w:val="22"/>
        </w:rPr>
      </w:pPr>
      <w:r w:rsidRPr="009C497E">
        <w:rPr>
          <w:rFonts w:ascii="Times New Roman" w:hAnsi="Times New Roman" w:cs="Times New Roman"/>
          <w:sz w:val="22"/>
          <w:szCs w:val="22"/>
        </w:rPr>
        <w:lastRenderedPageBreak/>
        <w:t>El Ministerio de Agricultura, Ganadería y Alimentación reportó una ejecución de Q4.4 millones en la actividad de insumos agropecuarios en apoyo a la recuperación de la producción agrícola. Por su parte, el Ministerio de Cultura y Deportes no reporta ejecución alguna, aunque contó con un presupuesto de Q2.0 millones para el mantenimiento y repara</w:t>
      </w:r>
      <w:r w:rsidR="0037418E">
        <w:rPr>
          <w:rFonts w:ascii="Times New Roman" w:hAnsi="Times New Roman" w:cs="Times New Roman"/>
          <w:sz w:val="22"/>
          <w:szCs w:val="22"/>
        </w:rPr>
        <w:t xml:space="preserve">ción de obras e instalaciones. </w:t>
      </w:r>
    </w:p>
    <w:p w:rsidR="0037418E" w:rsidRPr="0037418E" w:rsidRDefault="0037418E" w:rsidP="009C497E">
      <w:pPr>
        <w:jc w:val="both"/>
        <w:rPr>
          <w:rFonts w:ascii="Times New Roman" w:hAnsi="Times New Roman" w:cs="Times New Roman"/>
          <w:sz w:val="22"/>
          <w:szCs w:val="22"/>
        </w:rPr>
      </w:pPr>
    </w:p>
    <w:p w:rsidR="009C497E" w:rsidRPr="009C497E" w:rsidRDefault="009C497E" w:rsidP="009C497E">
      <w:pPr>
        <w:jc w:val="center"/>
        <w:rPr>
          <w:rFonts w:ascii="Times New Roman" w:hAnsi="Times New Roman" w:cs="Times New Roman"/>
          <w:b/>
          <w:sz w:val="22"/>
        </w:rPr>
      </w:pPr>
      <w:r w:rsidRPr="009C497E">
        <w:rPr>
          <w:rFonts w:ascii="Times New Roman" w:hAnsi="Times New Roman" w:cs="Times New Roman"/>
          <w:b/>
          <w:sz w:val="22"/>
        </w:rPr>
        <w:t>Seguimiento de Programas Sociales y Económicos en atención a la Depresión Tropical ETA</w:t>
      </w:r>
    </w:p>
    <w:p w:rsidR="009C497E" w:rsidRDefault="009C497E" w:rsidP="009C497E">
      <w:pPr>
        <w:jc w:val="center"/>
        <w:rPr>
          <w:rFonts w:ascii="Times New Roman" w:hAnsi="Times New Roman" w:cs="Times New Roman"/>
          <w:sz w:val="20"/>
        </w:rPr>
      </w:pPr>
      <w:r w:rsidRPr="00F97171">
        <w:rPr>
          <w:rFonts w:ascii="Times New Roman" w:hAnsi="Times New Roman" w:cs="Times New Roman"/>
          <w:sz w:val="20"/>
        </w:rPr>
        <w:t xml:space="preserve">Millones de quetzales y porcentajes </w:t>
      </w:r>
    </w:p>
    <w:tbl>
      <w:tblPr>
        <w:tblW w:w="8495" w:type="dxa"/>
        <w:jc w:val="center"/>
        <w:tblCellMar>
          <w:left w:w="70" w:type="dxa"/>
          <w:right w:w="70" w:type="dxa"/>
        </w:tblCellMar>
        <w:tblLook w:val="04A0" w:firstRow="1" w:lastRow="0" w:firstColumn="1" w:lastColumn="0" w:noHBand="0" w:noVBand="1"/>
      </w:tblPr>
      <w:tblGrid>
        <w:gridCol w:w="4385"/>
        <w:gridCol w:w="1417"/>
        <w:gridCol w:w="1418"/>
        <w:gridCol w:w="1275"/>
      </w:tblGrid>
      <w:tr w:rsidR="009C497E" w:rsidRPr="009733AD" w:rsidTr="009C497E">
        <w:trPr>
          <w:trHeight w:val="537"/>
          <w:jc w:val="center"/>
        </w:trPr>
        <w:tc>
          <w:tcPr>
            <w:tcW w:w="4385" w:type="dxa"/>
            <w:vMerge w:val="restart"/>
            <w:tcBorders>
              <w:top w:val="single" w:sz="8" w:space="0" w:color="auto"/>
              <w:left w:val="single" w:sz="8" w:space="0" w:color="auto"/>
              <w:bottom w:val="single" w:sz="8" w:space="0" w:color="000000"/>
              <w:right w:val="nil"/>
            </w:tcBorders>
            <w:shd w:val="clear" w:color="auto" w:fill="A6A6A6" w:themeFill="background1" w:themeFillShade="A6"/>
            <w:noWrap/>
            <w:vAlign w:val="center"/>
            <w:hideMark/>
          </w:tcPr>
          <w:p w:rsidR="009C497E" w:rsidRPr="009733AD" w:rsidRDefault="009C497E" w:rsidP="00B63DA6">
            <w:pPr>
              <w:jc w:val="center"/>
              <w:rPr>
                <w:rFonts w:ascii="Times New Roman" w:eastAsia="Times New Roman" w:hAnsi="Times New Roman" w:cs="Times New Roman"/>
                <w:b/>
                <w:bCs/>
                <w:color w:val="FFFFFF" w:themeColor="background1"/>
                <w:sz w:val="20"/>
                <w:szCs w:val="20"/>
                <w:lang w:eastAsia="es-GT"/>
              </w:rPr>
            </w:pPr>
            <w:r w:rsidRPr="009733AD">
              <w:rPr>
                <w:rFonts w:ascii="Times New Roman" w:eastAsia="Times New Roman" w:hAnsi="Times New Roman" w:cs="Times New Roman"/>
                <w:b/>
                <w:bCs/>
                <w:color w:val="FFFFFF" w:themeColor="background1"/>
                <w:sz w:val="20"/>
                <w:szCs w:val="20"/>
                <w:lang w:eastAsia="es-GT"/>
              </w:rPr>
              <w:t>Actividades</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6A6A6" w:themeFill="background1" w:themeFillShade="A6"/>
            <w:noWrap/>
            <w:vAlign w:val="center"/>
            <w:hideMark/>
          </w:tcPr>
          <w:p w:rsidR="009C497E" w:rsidRPr="009733AD" w:rsidRDefault="009C497E" w:rsidP="00B63DA6">
            <w:pPr>
              <w:jc w:val="center"/>
              <w:rPr>
                <w:rFonts w:ascii="Times New Roman" w:eastAsia="Times New Roman" w:hAnsi="Times New Roman" w:cs="Times New Roman"/>
                <w:b/>
                <w:bCs/>
                <w:color w:val="FFFFFF" w:themeColor="background1"/>
                <w:sz w:val="20"/>
                <w:szCs w:val="20"/>
                <w:lang w:eastAsia="es-GT"/>
              </w:rPr>
            </w:pPr>
            <w:r w:rsidRPr="009733AD">
              <w:rPr>
                <w:rFonts w:ascii="Times New Roman" w:eastAsia="Times New Roman" w:hAnsi="Times New Roman" w:cs="Times New Roman"/>
                <w:b/>
                <w:bCs/>
                <w:color w:val="FFFFFF" w:themeColor="background1"/>
                <w:sz w:val="20"/>
                <w:szCs w:val="20"/>
                <w:lang w:eastAsia="es-GT"/>
              </w:rPr>
              <w:t>Presupuesto</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6A6A6" w:themeFill="background1" w:themeFillShade="A6"/>
            <w:noWrap/>
            <w:vAlign w:val="center"/>
            <w:hideMark/>
          </w:tcPr>
          <w:p w:rsidR="009C497E" w:rsidRPr="009733AD" w:rsidRDefault="009C497E" w:rsidP="00B63DA6">
            <w:pPr>
              <w:jc w:val="center"/>
              <w:rPr>
                <w:rFonts w:ascii="Times New Roman" w:eastAsia="Times New Roman" w:hAnsi="Times New Roman" w:cs="Times New Roman"/>
                <w:b/>
                <w:bCs/>
                <w:color w:val="FFFFFF" w:themeColor="background1"/>
                <w:sz w:val="20"/>
                <w:szCs w:val="20"/>
                <w:lang w:eastAsia="es-GT"/>
              </w:rPr>
            </w:pPr>
            <w:r w:rsidRPr="009733AD">
              <w:rPr>
                <w:rFonts w:ascii="Times New Roman" w:eastAsia="Times New Roman" w:hAnsi="Times New Roman" w:cs="Times New Roman"/>
                <w:b/>
                <w:bCs/>
                <w:color w:val="FFFFFF" w:themeColor="background1"/>
                <w:sz w:val="20"/>
                <w:szCs w:val="20"/>
                <w:lang w:eastAsia="es-GT"/>
              </w:rPr>
              <w:t>Ejecución</w:t>
            </w:r>
          </w:p>
        </w:tc>
        <w:tc>
          <w:tcPr>
            <w:tcW w:w="1275" w:type="dxa"/>
            <w:vMerge w:val="restart"/>
            <w:tcBorders>
              <w:top w:val="single" w:sz="8" w:space="0" w:color="auto"/>
              <w:left w:val="nil"/>
              <w:bottom w:val="single" w:sz="8" w:space="0" w:color="000000"/>
              <w:right w:val="single" w:sz="8" w:space="0" w:color="auto"/>
            </w:tcBorders>
            <w:shd w:val="clear" w:color="auto" w:fill="A6A6A6" w:themeFill="background1" w:themeFillShade="A6"/>
            <w:noWrap/>
            <w:vAlign w:val="center"/>
            <w:hideMark/>
          </w:tcPr>
          <w:p w:rsidR="009C497E" w:rsidRPr="009733AD" w:rsidRDefault="009C497E" w:rsidP="00B63DA6">
            <w:pPr>
              <w:jc w:val="center"/>
              <w:rPr>
                <w:rFonts w:ascii="Times New Roman" w:eastAsia="Times New Roman" w:hAnsi="Times New Roman" w:cs="Times New Roman"/>
                <w:b/>
                <w:bCs/>
                <w:color w:val="FFFFFF" w:themeColor="background1"/>
                <w:sz w:val="20"/>
                <w:szCs w:val="20"/>
                <w:lang w:eastAsia="es-GT"/>
              </w:rPr>
            </w:pPr>
            <w:r w:rsidRPr="009733AD">
              <w:rPr>
                <w:rFonts w:ascii="Times New Roman" w:eastAsia="Times New Roman" w:hAnsi="Times New Roman" w:cs="Times New Roman"/>
                <w:b/>
                <w:bCs/>
                <w:color w:val="FFFFFF" w:themeColor="background1"/>
                <w:sz w:val="20"/>
                <w:szCs w:val="20"/>
                <w:lang w:eastAsia="es-GT"/>
              </w:rPr>
              <w:t>% de Ejecución</w:t>
            </w:r>
          </w:p>
        </w:tc>
      </w:tr>
      <w:tr w:rsidR="009C497E" w:rsidRPr="009733AD" w:rsidTr="0037418E">
        <w:trPr>
          <w:trHeight w:val="230"/>
          <w:jc w:val="center"/>
        </w:trPr>
        <w:tc>
          <w:tcPr>
            <w:tcW w:w="4385" w:type="dxa"/>
            <w:vMerge/>
            <w:tcBorders>
              <w:top w:val="single" w:sz="8" w:space="0" w:color="auto"/>
              <w:left w:val="single" w:sz="8" w:space="0" w:color="auto"/>
              <w:bottom w:val="single" w:sz="8" w:space="0" w:color="000000"/>
              <w:right w:val="nil"/>
            </w:tcBorders>
            <w:shd w:val="clear" w:color="auto" w:fill="A6A6A6" w:themeFill="background1" w:themeFillShade="A6"/>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p>
        </w:tc>
        <w:tc>
          <w:tcPr>
            <w:tcW w:w="1417" w:type="dxa"/>
            <w:vMerge/>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p>
        </w:tc>
        <w:tc>
          <w:tcPr>
            <w:tcW w:w="1418" w:type="dxa"/>
            <w:vMerge/>
            <w:tcBorders>
              <w:top w:val="single" w:sz="8" w:space="0" w:color="auto"/>
              <w:left w:val="single" w:sz="8" w:space="0" w:color="auto"/>
              <w:bottom w:val="single" w:sz="8" w:space="0" w:color="000000"/>
              <w:right w:val="single" w:sz="8" w:space="0" w:color="auto"/>
            </w:tcBorders>
            <w:shd w:val="clear" w:color="auto" w:fill="A6A6A6" w:themeFill="background1" w:themeFillShade="A6"/>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p>
        </w:tc>
        <w:tc>
          <w:tcPr>
            <w:tcW w:w="1275" w:type="dxa"/>
            <w:vMerge/>
            <w:tcBorders>
              <w:top w:val="single" w:sz="8" w:space="0" w:color="auto"/>
              <w:left w:val="nil"/>
              <w:bottom w:val="single" w:sz="8" w:space="0" w:color="000000"/>
              <w:right w:val="single" w:sz="8" w:space="0" w:color="auto"/>
            </w:tcBorders>
            <w:shd w:val="clear" w:color="auto" w:fill="A6A6A6" w:themeFill="background1" w:themeFillShade="A6"/>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p>
        </w:tc>
      </w:tr>
      <w:tr w:rsidR="009C497E" w:rsidRPr="009733AD" w:rsidTr="009C497E">
        <w:trPr>
          <w:trHeight w:val="80"/>
          <w:jc w:val="center"/>
        </w:trPr>
        <w:tc>
          <w:tcPr>
            <w:tcW w:w="4385" w:type="dxa"/>
            <w:tcBorders>
              <w:top w:val="nil"/>
              <w:left w:val="single" w:sz="8" w:space="0" w:color="auto"/>
              <w:bottom w:val="nil"/>
              <w:right w:val="nil"/>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Total</w:t>
            </w:r>
          </w:p>
        </w:tc>
        <w:tc>
          <w:tcPr>
            <w:tcW w:w="1417" w:type="dxa"/>
            <w:tcBorders>
              <w:top w:val="nil"/>
              <w:left w:val="single" w:sz="8" w:space="0" w:color="auto"/>
              <w:bottom w:val="nil"/>
              <w:right w:val="nil"/>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356.1</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86.7</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24.3</w:t>
            </w:r>
          </w:p>
        </w:tc>
      </w:tr>
      <w:tr w:rsidR="009C497E" w:rsidRPr="009733AD" w:rsidTr="009C497E">
        <w:trPr>
          <w:trHeight w:val="288"/>
          <w:jc w:val="center"/>
        </w:trPr>
        <w:tc>
          <w:tcPr>
            <w:tcW w:w="4385" w:type="dxa"/>
            <w:tcBorders>
              <w:top w:val="nil"/>
              <w:left w:val="single" w:sz="8" w:space="0" w:color="auto"/>
              <w:bottom w:val="nil"/>
              <w:right w:val="nil"/>
            </w:tcBorders>
            <w:shd w:val="clear" w:color="000000" w:fill="DBDBDB"/>
            <w:noWrap/>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Ministerio de Comunicaciones, Infraestructura y Vivienda</w:t>
            </w:r>
          </w:p>
        </w:tc>
        <w:tc>
          <w:tcPr>
            <w:tcW w:w="1417" w:type="dxa"/>
            <w:tcBorders>
              <w:top w:val="nil"/>
              <w:left w:val="single" w:sz="8" w:space="0" w:color="auto"/>
              <w:bottom w:val="nil"/>
              <w:right w:val="nil"/>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276.7</w:t>
            </w:r>
          </w:p>
        </w:tc>
        <w:tc>
          <w:tcPr>
            <w:tcW w:w="1418" w:type="dxa"/>
            <w:tcBorders>
              <w:top w:val="nil"/>
              <w:left w:val="single" w:sz="8" w:space="0" w:color="auto"/>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49.4</w:t>
            </w:r>
          </w:p>
        </w:tc>
        <w:tc>
          <w:tcPr>
            <w:tcW w:w="1275" w:type="dxa"/>
            <w:tcBorders>
              <w:top w:val="nil"/>
              <w:left w:val="nil"/>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17.8</w:t>
            </w:r>
          </w:p>
        </w:tc>
      </w:tr>
      <w:tr w:rsidR="009C497E" w:rsidRPr="009733AD" w:rsidTr="009C497E">
        <w:trPr>
          <w:trHeight w:val="394"/>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Intervenciones realizadas para la atención de daños provocados por</w:t>
            </w:r>
            <w:r>
              <w:rPr>
                <w:rFonts w:ascii="Times New Roman" w:eastAsia="Times New Roman" w:hAnsi="Times New Roman" w:cs="Times New Roman"/>
                <w:color w:val="000000"/>
                <w:sz w:val="20"/>
                <w:szCs w:val="20"/>
                <w:lang w:eastAsia="es-GT"/>
              </w:rPr>
              <w:t xml:space="preserve"> </w:t>
            </w:r>
            <w:r w:rsidRPr="009733AD">
              <w:rPr>
                <w:rFonts w:ascii="Times New Roman" w:eastAsia="Times New Roman" w:hAnsi="Times New Roman" w:cs="Times New Roman"/>
                <w:color w:val="000000"/>
                <w:sz w:val="20"/>
                <w:szCs w:val="20"/>
                <w:lang w:eastAsia="es-GT"/>
              </w:rPr>
              <w:t>Depresión Tropical ETA</w:t>
            </w:r>
          </w:p>
        </w:tc>
        <w:tc>
          <w:tcPr>
            <w:tcW w:w="1417" w:type="dxa"/>
            <w:tcBorders>
              <w:top w:val="nil"/>
              <w:left w:val="single" w:sz="8" w:space="0" w:color="auto"/>
              <w:bottom w:val="nil"/>
              <w:right w:val="nil"/>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266.1</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49.4</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18.6</w:t>
            </w:r>
          </w:p>
        </w:tc>
      </w:tr>
      <w:tr w:rsidR="009C497E" w:rsidRPr="009733AD" w:rsidTr="009C497E">
        <w:trPr>
          <w:trHeight w:val="216"/>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 xml:space="preserve">Construcción de carreteras y puentes </w:t>
            </w:r>
          </w:p>
        </w:tc>
        <w:tc>
          <w:tcPr>
            <w:tcW w:w="1417" w:type="dxa"/>
            <w:tcBorders>
              <w:top w:val="nil"/>
              <w:left w:val="single" w:sz="8" w:space="0" w:color="auto"/>
              <w:bottom w:val="nil"/>
              <w:right w:val="nil"/>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10.6</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0.0</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0.0</w:t>
            </w:r>
          </w:p>
        </w:tc>
      </w:tr>
      <w:tr w:rsidR="009C497E" w:rsidRPr="009733AD" w:rsidTr="009C497E">
        <w:trPr>
          <w:trHeight w:val="120"/>
          <w:jc w:val="center"/>
        </w:trPr>
        <w:tc>
          <w:tcPr>
            <w:tcW w:w="4385" w:type="dxa"/>
            <w:tcBorders>
              <w:top w:val="nil"/>
              <w:left w:val="single" w:sz="8" w:space="0" w:color="auto"/>
              <w:bottom w:val="nil"/>
              <w:right w:val="nil"/>
            </w:tcBorders>
            <w:shd w:val="clear" w:color="000000" w:fill="DBDBDB"/>
            <w:noWrap/>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Ministerio de Desarrollo Social</w:t>
            </w:r>
          </w:p>
        </w:tc>
        <w:tc>
          <w:tcPr>
            <w:tcW w:w="1417" w:type="dxa"/>
            <w:tcBorders>
              <w:top w:val="nil"/>
              <w:left w:val="single" w:sz="8" w:space="0" w:color="auto"/>
              <w:bottom w:val="nil"/>
              <w:right w:val="nil"/>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41.1</w:t>
            </w:r>
          </w:p>
        </w:tc>
        <w:tc>
          <w:tcPr>
            <w:tcW w:w="1418" w:type="dxa"/>
            <w:tcBorders>
              <w:top w:val="nil"/>
              <w:left w:val="single" w:sz="8" w:space="0" w:color="auto"/>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22.9</w:t>
            </w:r>
          </w:p>
        </w:tc>
        <w:tc>
          <w:tcPr>
            <w:tcW w:w="1275" w:type="dxa"/>
            <w:tcBorders>
              <w:top w:val="nil"/>
              <w:left w:val="nil"/>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55.7</w:t>
            </w:r>
          </w:p>
        </w:tc>
      </w:tr>
      <w:tr w:rsidR="009C497E" w:rsidRPr="009733AD" w:rsidTr="009C497E">
        <w:trPr>
          <w:trHeight w:val="308"/>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Intervenciones realizadas para la atención de daños provocados por</w:t>
            </w:r>
            <w:r>
              <w:rPr>
                <w:rFonts w:ascii="Times New Roman" w:eastAsia="Times New Roman" w:hAnsi="Times New Roman" w:cs="Times New Roman"/>
                <w:color w:val="000000"/>
                <w:sz w:val="20"/>
                <w:szCs w:val="20"/>
                <w:lang w:eastAsia="es-GT"/>
              </w:rPr>
              <w:t xml:space="preserve"> </w:t>
            </w:r>
            <w:r w:rsidRPr="009733AD">
              <w:rPr>
                <w:rFonts w:ascii="Times New Roman" w:eastAsia="Times New Roman" w:hAnsi="Times New Roman" w:cs="Times New Roman"/>
                <w:color w:val="000000"/>
                <w:sz w:val="20"/>
                <w:szCs w:val="20"/>
                <w:lang w:eastAsia="es-GT"/>
              </w:rPr>
              <w:t>Depresión Tropical ETA</w:t>
            </w:r>
          </w:p>
        </w:tc>
        <w:tc>
          <w:tcPr>
            <w:tcW w:w="1417" w:type="dxa"/>
            <w:tcBorders>
              <w:top w:val="nil"/>
              <w:left w:val="single" w:sz="8" w:space="0" w:color="auto"/>
              <w:bottom w:val="nil"/>
              <w:right w:val="nil"/>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0.6</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0.0</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0.0</w:t>
            </w:r>
          </w:p>
        </w:tc>
      </w:tr>
      <w:tr w:rsidR="009C497E" w:rsidRPr="009733AD" w:rsidTr="009C497E">
        <w:trPr>
          <w:trHeight w:val="286"/>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Dotación de alimentos en atención a la depresión tropical</w:t>
            </w:r>
          </w:p>
        </w:tc>
        <w:tc>
          <w:tcPr>
            <w:tcW w:w="1417" w:type="dxa"/>
            <w:tcBorders>
              <w:top w:val="nil"/>
              <w:left w:val="single" w:sz="8" w:space="0" w:color="auto"/>
              <w:bottom w:val="nil"/>
              <w:right w:val="nil"/>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18.0</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16.9</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93.9</w:t>
            </w:r>
          </w:p>
        </w:tc>
      </w:tr>
      <w:tr w:rsidR="009C497E" w:rsidRPr="009733AD" w:rsidTr="009C497E">
        <w:trPr>
          <w:trHeight w:val="108"/>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 xml:space="preserve">Materiales de construcción y enseres </w:t>
            </w:r>
          </w:p>
        </w:tc>
        <w:tc>
          <w:tcPr>
            <w:tcW w:w="1417" w:type="dxa"/>
            <w:tcBorders>
              <w:top w:val="nil"/>
              <w:left w:val="single" w:sz="8" w:space="0" w:color="auto"/>
              <w:bottom w:val="nil"/>
              <w:right w:val="nil"/>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21.4</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5.0</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23.2</w:t>
            </w:r>
          </w:p>
        </w:tc>
      </w:tr>
      <w:tr w:rsidR="009C497E" w:rsidRPr="009733AD" w:rsidTr="009C497E">
        <w:trPr>
          <w:trHeight w:val="452"/>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Raciones de alimentos para personas atendidas por la emergencia causada</w:t>
            </w:r>
          </w:p>
        </w:tc>
        <w:tc>
          <w:tcPr>
            <w:tcW w:w="1417" w:type="dxa"/>
            <w:tcBorders>
              <w:top w:val="nil"/>
              <w:left w:val="single" w:sz="8" w:space="0" w:color="auto"/>
              <w:bottom w:val="nil"/>
              <w:right w:val="nil"/>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1.1</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1.0</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89.9</w:t>
            </w:r>
          </w:p>
        </w:tc>
      </w:tr>
      <w:tr w:rsidR="009C497E" w:rsidRPr="009733AD" w:rsidTr="009C497E">
        <w:trPr>
          <w:trHeight w:val="274"/>
          <w:jc w:val="center"/>
        </w:trPr>
        <w:tc>
          <w:tcPr>
            <w:tcW w:w="4385" w:type="dxa"/>
            <w:tcBorders>
              <w:top w:val="nil"/>
              <w:left w:val="single" w:sz="8" w:space="0" w:color="auto"/>
              <w:bottom w:val="nil"/>
              <w:right w:val="nil"/>
            </w:tcBorders>
            <w:shd w:val="clear" w:color="000000" w:fill="DBDBDB"/>
            <w:noWrap/>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 xml:space="preserve">Obligaciones del Estado a Cargo del Tesoro </w:t>
            </w:r>
          </w:p>
        </w:tc>
        <w:tc>
          <w:tcPr>
            <w:tcW w:w="1417" w:type="dxa"/>
            <w:tcBorders>
              <w:top w:val="nil"/>
              <w:left w:val="single" w:sz="8" w:space="0" w:color="auto"/>
              <w:bottom w:val="nil"/>
              <w:right w:val="nil"/>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10.0</w:t>
            </w:r>
          </w:p>
        </w:tc>
        <w:tc>
          <w:tcPr>
            <w:tcW w:w="1418" w:type="dxa"/>
            <w:tcBorders>
              <w:top w:val="nil"/>
              <w:left w:val="single" w:sz="8" w:space="0" w:color="auto"/>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10.0</w:t>
            </w:r>
          </w:p>
        </w:tc>
        <w:tc>
          <w:tcPr>
            <w:tcW w:w="1275" w:type="dxa"/>
            <w:tcBorders>
              <w:top w:val="nil"/>
              <w:left w:val="nil"/>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100.0</w:t>
            </w:r>
          </w:p>
        </w:tc>
      </w:tr>
      <w:tr w:rsidR="009C497E" w:rsidRPr="009733AD" w:rsidTr="009C497E">
        <w:trPr>
          <w:trHeight w:val="278"/>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Transferencia al Registro Nacional de las Personas (RENAP)</w:t>
            </w:r>
          </w:p>
        </w:tc>
        <w:tc>
          <w:tcPr>
            <w:tcW w:w="1417" w:type="dxa"/>
            <w:tcBorders>
              <w:top w:val="nil"/>
              <w:left w:val="single" w:sz="8" w:space="0" w:color="auto"/>
              <w:bottom w:val="nil"/>
              <w:right w:val="nil"/>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10.0</w:t>
            </w:r>
          </w:p>
        </w:tc>
        <w:tc>
          <w:tcPr>
            <w:tcW w:w="1418" w:type="dxa"/>
            <w:tcBorders>
              <w:top w:val="nil"/>
              <w:left w:val="single" w:sz="8" w:space="0" w:color="auto"/>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10.0</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100.0</w:t>
            </w:r>
          </w:p>
        </w:tc>
      </w:tr>
      <w:tr w:rsidR="009C497E" w:rsidRPr="009733AD" w:rsidTr="009C497E">
        <w:trPr>
          <w:trHeight w:val="242"/>
          <w:jc w:val="center"/>
        </w:trPr>
        <w:tc>
          <w:tcPr>
            <w:tcW w:w="4385" w:type="dxa"/>
            <w:tcBorders>
              <w:top w:val="nil"/>
              <w:left w:val="single" w:sz="8" w:space="0" w:color="auto"/>
              <w:bottom w:val="nil"/>
              <w:right w:val="nil"/>
            </w:tcBorders>
            <w:shd w:val="clear" w:color="000000" w:fill="DBDBDB"/>
            <w:noWrap/>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Ministerio de Agricultura, Ganadería y Alimentación</w:t>
            </w:r>
          </w:p>
        </w:tc>
        <w:tc>
          <w:tcPr>
            <w:tcW w:w="1417" w:type="dxa"/>
            <w:tcBorders>
              <w:top w:val="nil"/>
              <w:left w:val="single" w:sz="8" w:space="0" w:color="auto"/>
              <w:bottom w:val="nil"/>
              <w:right w:val="nil"/>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26.3</w:t>
            </w:r>
          </w:p>
        </w:tc>
        <w:tc>
          <w:tcPr>
            <w:tcW w:w="1418" w:type="dxa"/>
            <w:tcBorders>
              <w:top w:val="nil"/>
              <w:left w:val="single" w:sz="8" w:space="0" w:color="auto"/>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4.4</w:t>
            </w:r>
          </w:p>
        </w:tc>
        <w:tc>
          <w:tcPr>
            <w:tcW w:w="1275" w:type="dxa"/>
            <w:tcBorders>
              <w:top w:val="nil"/>
              <w:left w:val="nil"/>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16.7</w:t>
            </w:r>
          </w:p>
        </w:tc>
      </w:tr>
      <w:tr w:rsidR="009C497E" w:rsidRPr="009733AD" w:rsidTr="009C497E">
        <w:trPr>
          <w:trHeight w:val="489"/>
          <w:jc w:val="center"/>
        </w:trPr>
        <w:tc>
          <w:tcPr>
            <w:tcW w:w="4385" w:type="dxa"/>
            <w:tcBorders>
              <w:top w:val="nil"/>
              <w:left w:val="single" w:sz="8" w:space="0" w:color="auto"/>
              <w:bottom w:val="nil"/>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Insumos agropecuarios en apoyo a la recuperación de la producción agrícola por los daños causados por la depresión tropical ETA</w:t>
            </w:r>
          </w:p>
        </w:tc>
        <w:tc>
          <w:tcPr>
            <w:tcW w:w="1417" w:type="dxa"/>
            <w:tcBorders>
              <w:top w:val="nil"/>
              <w:left w:val="single" w:sz="8" w:space="0" w:color="auto"/>
              <w:bottom w:val="nil"/>
              <w:right w:val="single" w:sz="8" w:space="0" w:color="auto"/>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26.3</w:t>
            </w:r>
          </w:p>
        </w:tc>
        <w:tc>
          <w:tcPr>
            <w:tcW w:w="1418"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4.4</w:t>
            </w:r>
          </w:p>
        </w:tc>
        <w:tc>
          <w:tcPr>
            <w:tcW w:w="1275" w:type="dxa"/>
            <w:tcBorders>
              <w:top w:val="nil"/>
              <w:left w:val="nil"/>
              <w:bottom w:val="nil"/>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16.7</w:t>
            </w:r>
          </w:p>
        </w:tc>
      </w:tr>
      <w:tr w:rsidR="009C497E" w:rsidRPr="009733AD" w:rsidTr="009C497E">
        <w:trPr>
          <w:trHeight w:val="74"/>
          <w:jc w:val="center"/>
        </w:trPr>
        <w:tc>
          <w:tcPr>
            <w:tcW w:w="4385" w:type="dxa"/>
            <w:tcBorders>
              <w:top w:val="nil"/>
              <w:left w:val="single" w:sz="8" w:space="0" w:color="auto"/>
              <w:bottom w:val="nil"/>
              <w:right w:val="single" w:sz="8" w:space="0" w:color="auto"/>
            </w:tcBorders>
            <w:shd w:val="clear" w:color="000000" w:fill="DBDBDB"/>
            <w:noWrap/>
            <w:vAlign w:val="center"/>
            <w:hideMark/>
          </w:tcPr>
          <w:p w:rsidR="009C497E" w:rsidRPr="009733AD" w:rsidRDefault="009C497E" w:rsidP="00B63DA6">
            <w:pP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 xml:space="preserve">Ministerio de Cultura y Deportes </w:t>
            </w:r>
          </w:p>
        </w:tc>
        <w:tc>
          <w:tcPr>
            <w:tcW w:w="1417" w:type="dxa"/>
            <w:tcBorders>
              <w:top w:val="nil"/>
              <w:left w:val="single" w:sz="8" w:space="0" w:color="auto"/>
              <w:bottom w:val="nil"/>
              <w:right w:val="nil"/>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2.0</w:t>
            </w:r>
          </w:p>
        </w:tc>
        <w:tc>
          <w:tcPr>
            <w:tcW w:w="1418" w:type="dxa"/>
            <w:tcBorders>
              <w:top w:val="nil"/>
              <w:left w:val="single" w:sz="8" w:space="0" w:color="auto"/>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0.0</w:t>
            </w:r>
          </w:p>
        </w:tc>
        <w:tc>
          <w:tcPr>
            <w:tcW w:w="1275" w:type="dxa"/>
            <w:tcBorders>
              <w:top w:val="nil"/>
              <w:left w:val="nil"/>
              <w:bottom w:val="nil"/>
              <w:right w:val="single" w:sz="8" w:space="0" w:color="auto"/>
            </w:tcBorders>
            <w:shd w:val="clear" w:color="000000" w:fill="DBDBDB"/>
            <w:noWrap/>
            <w:vAlign w:val="center"/>
            <w:hideMark/>
          </w:tcPr>
          <w:p w:rsidR="009C497E" w:rsidRPr="009733AD" w:rsidRDefault="009C497E" w:rsidP="00B63DA6">
            <w:pPr>
              <w:jc w:val="center"/>
              <w:rPr>
                <w:rFonts w:ascii="Times New Roman" w:eastAsia="Times New Roman" w:hAnsi="Times New Roman" w:cs="Times New Roman"/>
                <w:b/>
                <w:bCs/>
                <w:color w:val="000000"/>
                <w:sz w:val="20"/>
                <w:szCs w:val="20"/>
                <w:lang w:eastAsia="es-GT"/>
              </w:rPr>
            </w:pPr>
            <w:r w:rsidRPr="009733AD">
              <w:rPr>
                <w:rFonts w:ascii="Times New Roman" w:eastAsia="Times New Roman" w:hAnsi="Times New Roman" w:cs="Times New Roman"/>
                <w:b/>
                <w:bCs/>
                <w:color w:val="000000"/>
                <w:sz w:val="20"/>
                <w:szCs w:val="20"/>
                <w:lang w:eastAsia="es-GT"/>
              </w:rPr>
              <w:t>0.0</w:t>
            </w:r>
          </w:p>
        </w:tc>
      </w:tr>
      <w:tr w:rsidR="009C497E" w:rsidRPr="009733AD" w:rsidTr="009C497E">
        <w:trPr>
          <w:trHeight w:val="560"/>
          <w:jc w:val="center"/>
        </w:trPr>
        <w:tc>
          <w:tcPr>
            <w:tcW w:w="4385" w:type="dxa"/>
            <w:tcBorders>
              <w:top w:val="nil"/>
              <w:left w:val="single" w:sz="8" w:space="0" w:color="auto"/>
              <w:bottom w:val="single" w:sz="8" w:space="0" w:color="auto"/>
              <w:right w:val="nil"/>
            </w:tcBorders>
            <w:shd w:val="clear" w:color="auto" w:fill="auto"/>
            <w:vAlign w:val="center"/>
            <w:hideMark/>
          </w:tcPr>
          <w:p w:rsidR="009C497E" w:rsidRPr="009733AD" w:rsidRDefault="009C497E" w:rsidP="00B63DA6">
            <w:pP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Intervenciones realizadas para la atención de daños provocados por</w:t>
            </w:r>
            <w:r>
              <w:rPr>
                <w:rFonts w:ascii="Times New Roman" w:eastAsia="Times New Roman" w:hAnsi="Times New Roman" w:cs="Times New Roman"/>
                <w:color w:val="000000"/>
                <w:sz w:val="20"/>
                <w:szCs w:val="20"/>
                <w:lang w:eastAsia="es-GT"/>
              </w:rPr>
              <w:t xml:space="preserve"> </w:t>
            </w:r>
            <w:r w:rsidRPr="009733AD">
              <w:rPr>
                <w:rFonts w:ascii="Times New Roman" w:eastAsia="Times New Roman" w:hAnsi="Times New Roman" w:cs="Times New Roman"/>
                <w:color w:val="000000"/>
                <w:sz w:val="20"/>
                <w:szCs w:val="20"/>
                <w:lang w:eastAsia="es-GT"/>
              </w:rPr>
              <w:t>Depresión Tropical ETA</w:t>
            </w:r>
          </w:p>
        </w:tc>
        <w:tc>
          <w:tcPr>
            <w:tcW w:w="1417" w:type="dxa"/>
            <w:tcBorders>
              <w:top w:val="nil"/>
              <w:left w:val="single" w:sz="8" w:space="0" w:color="auto"/>
              <w:bottom w:val="single" w:sz="8" w:space="0" w:color="auto"/>
              <w:right w:val="nil"/>
            </w:tcBorders>
            <w:shd w:val="clear" w:color="auto" w:fill="auto"/>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2.0</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0.0</w:t>
            </w:r>
          </w:p>
        </w:tc>
        <w:tc>
          <w:tcPr>
            <w:tcW w:w="1275" w:type="dxa"/>
            <w:tcBorders>
              <w:top w:val="nil"/>
              <w:left w:val="nil"/>
              <w:bottom w:val="single" w:sz="8" w:space="0" w:color="auto"/>
              <w:right w:val="single" w:sz="8" w:space="0" w:color="auto"/>
            </w:tcBorders>
            <w:shd w:val="clear" w:color="auto" w:fill="auto"/>
            <w:noWrap/>
            <w:vAlign w:val="center"/>
            <w:hideMark/>
          </w:tcPr>
          <w:p w:rsidR="009C497E" w:rsidRPr="009733AD" w:rsidRDefault="009C497E" w:rsidP="00B63DA6">
            <w:pPr>
              <w:jc w:val="center"/>
              <w:rPr>
                <w:rFonts w:ascii="Times New Roman" w:eastAsia="Times New Roman" w:hAnsi="Times New Roman" w:cs="Times New Roman"/>
                <w:color w:val="000000"/>
                <w:sz w:val="20"/>
                <w:szCs w:val="20"/>
                <w:lang w:eastAsia="es-GT"/>
              </w:rPr>
            </w:pPr>
            <w:r w:rsidRPr="009733AD">
              <w:rPr>
                <w:rFonts w:ascii="Times New Roman" w:eastAsia="Times New Roman" w:hAnsi="Times New Roman" w:cs="Times New Roman"/>
                <w:color w:val="000000"/>
                <w:sz w:val="20"/>
                <w:szCs w:val="20"/>
                <w:lang w:eastAsia="es-GT"/>
              </w:rPr>
              <w:t>0.0</w:t>
            </w:r>
          </w:p>
        </w:tc>
      </w:tr>
      <w:tr w:rsidR="009C497E" w:rsidRPr="009733AD" w:rsidTr="00B63DA6">
        <w:trPr>
          <w:trHeight w:val="330"/>
          <w:jc w:val="center"/>
        </w:trPr>
        <w:tc>
          <w:tcPr>
            <w:tcW w:w="4385" w:type="dxa"/>
            <w:tcBorders>
              <w:top w:val="nil"/>
              <w:left w:val="nil"/>
              <w:bottom w:val="nil"/>
              <w:right w:val="nil"/>
            </w:tcBorders>
            <w:shd w:val="clear" w:color="auto" w:fill="auto"/>
            <w:noWrap/>
            <w:vAlign w:val="bottom"/>
            <w:hideMark/>
          </w:tcPr>
          <w:p w:rsidR="009C497E" w:rsidRPr="0037418E" w:rsidRDefault="009C497E" w:rsidP="0037418E">
            <w:pPr>
              <w:rPr>
                <w:rFonts w:ascii="Times New Roman" w:eastAsia="Times New Roman" w:hAnsi="Times New Roman" w:cs="Times New Roman"/>
                <w:iCs/>
                <w:sz w:val="20"/>
                <w:szCs w:val="20"/>
                <w:lang w:eastAsia="es-GT"/>
              </w:rPr>
            </w:pPr>
            <w:r w:rsidRPr="0037418E">
              <w:rPr>
                <w:rFonts w:ascii="Times New Roman" w:eastAsia="Times New Roman" w:hAnsi="Times New Roman" w:cs="Times New Roman"/>
                <w:iCs/>
                <w:sz w:val="16"/>
                <w:szCs w:val="20"/>
                <w:lang w:eastAsia="es-GT"/>
              </w:rPr>
              <w:t xml:space="preserve">Fuente: </w:t>
            </w:r>
            <w:r w:rsidR="001636CB" w:rsidRPr="0037418E">
              <w:rPr>
                <w:rFonts w:ascii="Times New Roman" w:eastAsia="Times New Roman" w:hAnsi="Times New Roman" w:cs="Times New Roman"/>
                <w:iCs/>
                <w:sz w:val="16"/>
                <w:szCs w:val="20"/>
                <w:lang w:eastAsia="es-GT"/>
              </w:rPr>
              <w:t>Direcció</w:t>
            </w:r>
            <w:r w:rsidR="0037418E" w:rsidRPr="0037418E">
              <w:rPr>
                <w:rFonts w:ascii="Times New Roman" w:eastAsia="Times New Roman" w:hAnsi="Times New Roman" w:cs="Times New Roman"/>
                <w:iCs/>
                <w:sz w:val="16"/>
                <w:szCs w:val="20"/>
                <w:lang w:eastAsia="es-GT"/>
              </w:rPr>
              <w:t>n de Análisis y Política Fiscal.</w:t>
            </w:r>
          </w:p>
        </w:tc>
        <w:tc>
          <w:tcPr>
            <w:tcW w:w="1417" w:type="dxa"/>
            <w:tcBorders>
              <w:top w:val="nil"/>
              <w:left w:val="nil"/>
              <w:bottom w:val="nil"/>
              <w:right w:val="nil"/>
            </w:tcBorders>
            <w:shd w:val="clear" w:color="auto" w:fill="auto"/>
            <w:noWrap/>
            <w:vAlign w:val="bottom"/>
            <w:hideMark/>
          </w:tcPr>
          <w:p w:rsidR="009C497E" w:rsidRPr="009733AD" w:rsidRDefault="009C497E" w:rsidP="00B63DA6">
            <w:pPr>
              <w:rPr>
                <w:rFonts w:ascii="Times New Roman" w:eastAsia="Times New Roman" w:hAnsi="Times New Roman" w:cs="Times New Roman"/>
                <w:i/>
                <w:iCs/>
                <w:sz w:val="20"/>
                <w:szCs w:val="20"/>
                <w:lang w:eastAsia="es-GT"/>
              </w:rPr>
            </w:pPr>
          </w:p>
        </w:tc>
        <w:tc>
          <w:tcPr>
            <w:tcW w:w="1418" w:type="dxa"/>
            <w:tcBorders>
              <w:top w:val="nil"/>
              <w:left w:val="nil"/>
              <w:bottom w:val="nil"/>
              <w:right w:val="nil"/>
            </w:tcBorders>
            <w:shd w:val="clear" w:color="auto" w:fill="auto"/>
            <w:noWrap/>
            <w:vAlign w:val="bottom"/>
            <w:hideMark/>
          </w:tcPr>
          <w:p w:rsidR="009C497E" w:rsidRPr="009733AD" w:rsidRDefault="009C497E" w:rsidP="00B63DA6">
            <w:pPr>
              <w:rPr>
                <w:rFonts w:ascii="Times New Roman" w:eastAsia="Times New Roman" w:hAnsi="Times New Roman" w:cs="Times New Roman"/>
                <w:sz w:val="20"/>
                <w:szCs w:val="20"/>
                <w:lang w:eastAsia="es-GT"/>
              </w:rPr>
            </w:pPr>
          </w:p>
        </w:tc>
        <w:tc>
          <w:tcPr>
            <w:tcW w:w="1275" w:type="dxa"/>
            <w:tcBorders>
              <w:top w:val="nil"/>
              <w:left w:val="nil"/>
              <w:bottom w:val="nil"/>
              <w:right w:val="nil"/>
            </w:tcBorders>
            <w:shd w:val="clear" w:color="auto" w:fill="auto"/>
            <w:noWrap/>
            <w:vAlign w:val="bottom"/>
            <w:hideMark/>
          </w:tcPr>
          <w:p w:rsidR="009C497E" w:rsidRPr="009733AD" w:rsidRDefault="009C497E" w:rsidP="00B63DA6">
            <w:pPr>
              <w:rPr>
                <w:rFonts w:ascii="Times New Roman" w:eastAsia="Times New Roman" w:hAnsi="Times New Roman" w:cs="Times New Roman"/>
                <w:sz w:val="20"/>
                <w:szCs w:val="20"/>
                <w:lang w:eastAsia="es-GT"/>
              </w:rPr>
            </w:pPr>
          </w:p>
        </w:tc>
      </w:tr>
    </w:tbl>
    <w:p w:rsidR="009C497E" w:rsidRDefault="009C497E" w:rsidP="00556E54">
      <w:pPr>
        <w:jc w:val="both"/>
        <w:rPr>
          <w:rFonts w:ascii="Times New Roman" w:hAnsi="Times New Roman" w:cs="Times New Roman"/>
          <w:szCs w:val="36"/>
        </w:rPr>
      </w:pPr>
    </w:p>
    <w:p w:rsidR="00F7193D" w:rsidRDefault="00F7193D" w:rsidP="00556E54">
      <w:pPr>
        <w:jc w:val="both"/>
        <w:rPr>
          <w:rFonts w:ascii="Times New Roman" w:hAnsi="Times New Roman" w:cs="Times New Roman"/>
          <w:szCs w:val="36"/>
        </w:rPr>
      </w:pPr>
    </w:p>
    <w:p w:rsidR="00F7193D" w:rsidRDefault="00F7193D" w:rsidP="00556E54">
      <w:pPr>
        <w:jc w:val="both"/>
        <w:rPr>
          <w:rFonts w:ascii="Times New Roman" w:hAnsi="Times New Roman" w:cs="Times New Roman"/>
          <w:szCs w:val="36"/>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center"/>
        <w:rPr>
          <w:rFonts w:ascii="Times New Roman" w:hAnsi="Times New Roman" w:cs="Times New Roman"/>
          <w:b/>
          <w:sz w:val="20"/>
        </w:rPr>
      </w:pPr>
      <w:r w:rsidRPr="00700361">
        <w:rPr>
          <w:rFonts w:ascii="Times New Roman" w:hAnsi="Times New Roman" w:cs="Times New Roman"/>
          <w:b/>
          <w:sz w:val="20"/>
        </w:rPr>
        <w:t>Evaluación de daños y pérdidas: Huracanes Eta e Iota en Guatemala</w:t>
      </w:r>
    </w:p>
    <w:p w:rsidR="009C497E" w:rsidRPr="004954E2"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center"/>
        <w:rPr>
          <w:rFonts w:ascii="Times New Roman" w:hAnsi="Times New Roman" w:cs="Times New Roman"/>
          <w:b/>
          <w:sz w:val="14"/>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0"/>
        </w:rPr>
      </w:pPr>
      <w:r w:rsidRPr="00700361">
        <w:rPr>
          <w:rFonts w:ascii="Times New Roman" w:hAnsi="Times New Roman" w:cs="Times New Roman"/>
          <w:sz w:val="20"/>
        </w:rPr>
        <w:t xml:space="preserve">El huracán Eta se formó el 31 de octubre a 1,075 kms. Este de Cabo Gracias a Dios y se disipó en Honduras con categoría de tormenta tropical el 13 de noviembre del 2020, afectando particularmente Nicaragua y Honduras. Por su parte, el huracán Iota se formó a 500 kms. Sur-Sureste de Kingston Jamaica el viernes 13 de noviembre disipándose con categoría de tormenta tropical el 17 de noviembre del 2020. Eta e Iota no tocaron el territorio de Guatemala, sin embargo, en la zona de influencia de ambos ocurrieron intensas tormentas tropicales que tuvieron diversos efectos en la población, el departamento de Alta Verapaz fue el más afectado, seguido por los departamentos de Izabal, Quiché, Huehuetenango, Petén, Zacapa y Chiquimula. Las tormentas causaron inundaciones y deslizamientos de gran impacto, la aldea Quejá en San Cristóbal Verapaz fue soterrada completamente, mientras que en Cunen, Quiché y San Pedro Soloma, Huehuetenango estos deslizamientos causaron la destrucción de viviendas. En este marco se habilitaron albergues en los departamentos de Huehuetenango, Quiché, Alta Verapaz, Petén, Izabal, Zacapa, Chiquimula y Jalapa.  En resumen, las áreas más afectadas se caracterizan por ser zonas rurales con presencia de población indígena, </w:t>
      </w:r>
      <w:r w:rsidRPr="00700361">
        <w:rPr>
          <w:rFonts w:ascii="Times New Roman" w:hAnsi="Times New Roman" w:cs="Times New Roman"/>
          <w:sz w:val="20"/>
        </w:rPr>
        <w:lastRenderedPageBreak/>
        <w:t>con altos niveles de pobreza y desigualdad. Es decir, las tormentas han afectado con mayor fuerza las comunidades más vulnerables de estos departamentos.</w:t>
      </w:r>
    </w:p>
    <w:p w:rsidR="004954E2" w:rsidRPr="004678EC" w:rsidRDefault="004954E2"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18"/>
        </w:rPr>
      </w:pPr>
    </w:p>
    <w:p w:rsidR="00575B63"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0"/>
        </w:rPr>
      </w:pPr>
      <w:r w:rsidRPr="00700361">
        <w:rPr>
          <w:rFonts w:ascii="Times New Roman" w:hAnsi="Times New Roman" w:cs="Times New Roman"/>
          <w:sz w:val="20"/>
        </w:rPr>
        <w:t>La población primaria afectada a consecuencia de estos eventos fue de 60 personas que perdieron la vida, 15 en el Quiche, 13 en Izabal y 10 en Huehuetenango 9 en Alta Verapaz, 7 en Chiquimula, 4 en Baja Verapaz, 1 en Quetzaltenango y 1 en Guatemala. La mayoría de las víctimas fatales, fallecieron por ahogamiento o sepultadas por el derrumbe de sus viviendas a raíz del deslave del suelo causado por las tormentas. Adicionalmente, 100 personas son reportadas como desaparecidas, las cuales se concentran principalmente en el departamento de Alta Verapaz.</w:t>
      </w:r>
    </w:p>
    <w:p w:rsidR="00575B63" w:rsidRPr="0070036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0"/>
        </w:rPr>
      </w:pPr>
      <w:r>
        <w:rPr>
          <w:noProof/>
          <w:lang w:val="es-ES"/>
        </w:rPr>
        <mc:AlternateContent>
          <mc:Choice Requires="wpg">
            <w:drawing>
              <wp:anchor distT="0" distB="0" distL="114300" distR="114300" simplePos="0" relativeHeight="251706368" behindDoc="0" locked="0" layoutInCell="1" allowOverlap="1" wp14:anchorId="0D545870" wp14:editId="77D18086">
                <wp:simplePos x="0" y="0"/>
                <wp:positionH relativeFrom="column">
                  <wp:posOffset>-44965</wp:posOffset>
                </wp:positionH>
                <wp:positionV relativeFrom="paragraph">
                  <wp:posOffset>108154</wp:posOffset>
                </wp:positionV>
                <wp:extent cx="5669915" cy="1838325"/>
                <wp:effectExtent l="0" t="0" r="6985" b="0"/>
                <wp:wrapNone/>
                <wp:docPr id="205" name="Group 23"/>
                <wp:cNvGraphicFramePr/>
                <a:graphic xmlns:a="http://schemas.openxmlformats.org/drawingml/2006/main">
                  <a:graphicData uri="http://schemas.microsoft.com/office/word/2010/wordprocessingGroup">
                    <wpg:wgp>
                      <wpg:cNvGrpSpPr/>
                      <wpg:grpSpPr>
                        <a:xfrm>
                          <a:off x="0" y="0"/>
                          <a:ext cx="5669915" cy="1838325"/>
                          <a:chOff x="0" y="0"/>
                          <a:chExt cx="5669915" cy="1771650"/>
                        </a:xfrm>
                      </wpg:grpSpPr>
                      <wpg:graphicFrame>
                        <wpg:cNvPr id="206" name="Gráfico 6">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C94977A-D48E-4E9C-874C-B9893F643839}"/>
                            </a:ext>
                          </a:extLst>
                        </wpg:cNvPr>
                        <wpg:cNvFrPr/>
                        <wpg:xfrm>
                          <a:off x="0" y="0"/>
                          <a:ext cx="2057400" cy="1762125"/>
                        </wpg:xfrm>
                        <a:graphic>
                          <a:graphicData uri="http://schemas.openxmlformats.org/drawingml/2006/chart">
                            <c:chart xmlns:c="http://schemas.openxmlformats.org/drawingml/2006/chart" xmlns:r="http://schemas.openxmlformats.org/officeDocument/2006/relationships" r:id="rId37"/>
                          </a:graphicData>
                        </a:graphic>
                      </wpg:graphicFrame>
                      <wpg:graphicFrame>
                        <wpg:cNvPr id="207" name="Gráfico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B283494-D058-4BD5-9AF2-12307A0F4A33}"/>
                            </a:ext>
                          </a:extLst>
                        </wpg:cNvPr>
                        <wpg:cNvFrPr/>
                        <wpg:xfrm>
                          <a:off x="1939797" y="0"/>
                          <a:ext cx="2162175" cy="1771650"/>
                        </wpg:xfrm>
                        <a:graphic>
                          <a:graphicData uri="http://schemas.openxmlformats.org/drawingml/2006/chart">
                            <c:chart xmlns:c="http://schemas.openxmlformats.org/drawingml/2006/chart" xmlns:r="http://schemas.openxmlformats.org/officeDocument/2006/relationships" r:id="rId38"/>
                          </a:graphicData>
                        </a:graphic>
                      </wpg:graphicFrame>
                      <pic:pic xmlns:pic="http://schemas.openxmlformats.org/drawingml/2006/picture">
                        <pic:nvPicPr>
                          <pic:cNvPr id="208" name="Imagen 208"/>
                          <pic:cNvPicPr>
                            <a:picLocks noChangeAspect="1"/>
                          </pic:cNvPicPr>
                        </pic:nvPicPr>
                        <pic:blipFill rotWithShape="1">
                          <a:blip r:embed="rId39">
                            <a:extLst>
                              <a:ext uri="{28A0092B-C50C-407E-A947-70E740481C1C}">
                                <a14:useLocalDpi xmlns:a14="http://schemas.microsoft.com/office/drawing/2010/main" val="0"/>
                              </a:ext>
                            </a:extLst>
                          </a:blip>
                          <a:srcRect l="-26" r="36" b="13418"/>
                          <a:stretch/>
                        </pic:blipFill>
                        <pic:spPr bwMode="auto">
                          <a:xfrm>
                            <a:off x="4080035" y="36999"/>
                            <a:ext cx="1589880" cy="1492692"/>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5F1E8BED" id="Group 23" o:spid="_x0000_s1026" style="position:absolute;margin-left:-3.55pt;margin-top:8.5pt;width:446.45pt;height:144.75pt;z-index:251706368;mso-height-relative:margin" coordsize="56699,17716" o:gfxdata="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6" o:spid="_x0000_s1027" type="#_x0000_t75" style="position:absolute;width:20604;height:17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">
                  <v:imagedata r:id="rId40" o:title=""/>
                  <o:lock v:ext="edit" aspectratio="f"/>
                </v:shape>
                <v:shape id="Gráfico 3" o:spid="_x0000_s1028" type="#_x0000_t75" style="position:absolute;left:19385;width:21641;height:177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">
                  <v:imagedata r:id="rId41" o:title=""/>
                  <o:lock v:ext="edit" aspectratio="f"/>
                </v:shape>
                <v:shape id="Imagen 208" o:spid="_x0000_s1029" type="#_x0000_t75" style="position:absolute;left:40800;top:369;width:15899;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">
                  <v:imagedata r:id="rId42" o:title="" cropbottom="8794f" cropleft="-17f" cropright="24f"/>
                  <v:path arrowok="t"/>
                </v:shape>
              </v:group>
            </w:pict>
          </mc:Fallback>
        </mc:AlternateContent>
      </w:r>
    </w:p>
    <w:p w:rsidR="009C497E" w:rsidRP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noProof/>
          <w:sz w:val="22"/>
          <w:lang w:eastAsia="es-GT"/>
        </w:rPr>
      </w:pPr>
      <w:r w:rsidRPr="00D86A6F">
        <w:rPr>
          <w:noProof/>
          <w:lang w:eastAsia="es-GT"/>
        </w:rPr>
        <w:t xml:space="preserve"> </w:t>
      </w: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noProof/>
          <w:lang w:eastAsia="es-GT"/>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noProof/>
          <w:lang w:eastAsia="es-GT"/>
        </w:rPr>
      </w:pPr>
    </w:p>
    <w:p w:rsidR="009C497E" w:rsidRP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2"/>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rPr>
      </w:pPr>
    </w:p>
    <w:p w:rsidR="009C497E" w:rsidRPr="00D86A6F"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2"/>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2"/>
        </w:rPr>
      </w:pPr>
    </w:p>
    <w:p w:rsidR="00292521" w:rsidRPr="009C497E"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2"/>
        </w:rPr>
      </w:pPr>
    </w:p>
    <w:p w:rsidR="009C497E" w:rsidRPr="00700361"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sz w:val="20"/>
        </w:rPr>
      </w:pPr>
      <w:r w:rsidRPr="00700361">
        <w:rPr>
          <w:rFonts w:ascii="Times New Roman" w:hAnsi="Times New Roman" w:cs="Times New Roman"/>
          <w:sz w:val="20"/>
        </w:rPr>
        <w:t>El impacto económico ascendió a Q 5,597.0 millones equivalentes al 0.95% del PIB del 2019, en el corto plazo se desviaron algunos recursos financieros y se generaron moderadas presiones fiscales, no se dieron efectos notables por el lado del gasto público ya que los gastos destinados tanto a la atención de la emergencia como la inversión en reconstrucción provendrían de la reorientación de algunos rubros del presupuesto, el impacto fue poco significativo por el lado de los ingresos tributarios.</w:t>
      </w: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F7193D"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r>
        <w:rPr>
          <w:rFonts w:ascii="Times New Roman" w:hAnsi="Times New Roman" w:cs="Times New Roman"/>
          <w:b/>
          <w:noProof/>
          <w:lang w:val="es-ES"/>
        </w:rPr>
        <mc:AlternateContent>
          <mc:Choice Requires="wpg">
            <w:drawing>
              <wp:anchor distT="0" distB="0" distL="114300" distR="114300" simplePos="0" relativeHeight="251707392" behindDoc="0" locked="0" layoutInCell="1" allowOverlap="1" wp14:anchorId="71D2160D" wp14:editId="23A4DBF2">
                <wp:simplePos x="0" y="0"/>
                <wp:positionH relativeFrom="column">
                  <wp:posOffset>81915</wp:posOffset>
                </wp:positionH>
                <wp:positionV relativeFrom="paragraph">
                  <wp:posOffset>10795</wp:posOffset>
                </wp:positionV>
                <wp:extent cx="5406390" cy="3311525"/>
                <wp:effectExtent l="0" t="0" r="3810" b="3175"/>
                <wp:wrapNone/>
                <wp:docPr id="209" name="Group 22"/>
                <wp:cNvGraphicFramePr/>
                <a:graphic xmlns:a="http://schemas.openxmlformats.org/drawingml/2006/main">
                  <a:graphicData uri="http://schemas.microsoft.com/office/word/2010/wordprocessingGroup">
                    <wpg:wgp>
                      <wpg:cNvGrpSpPr/>
                      <wpg:grpSpPr>
                        <a:xfrm>
                          <a:off x="0" y="0"/>
                          <a:ext cx="5406390" cy="3311525"/>
                          <a:chOff x="0" y="0"/>
                          <a:chExt cx="5406390" cy="3792220"/>
                        </a:xfrm>
                      </wpg:grpSpPr>
                      <wpg:graphicFrame>
                        <wpg:cNvPr id="210" name="Gráfico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469AB06-8D0B-420D-8890-1336BFD41C1A}"/>
                            </a:ext>
                          </a:extLst>
                        </wpg:cNvPr>
                        <wpg:cNvFrPr/>
                        <wpg:xfrm>
                          <a:off x="2560320" y="0"/>
                          <a:ext cx="2846070" cy="1820545"/>
                        </wpg:xfrm>
                        <a:graphic>
                          <a:graphicData uri="http://schemas.openxmlformats.org/drawingml/2006/chart">
                            <c:chart xmlns:c="http://schemas.openxmlformats.org/drawingml/2006/chart" xmlns:r="http://schemas.openxmlformats.org/officeDocument/2006/relationships" r:id="rId43"/>
                          </a:graphicData>
                        </a:graphic>
                      </wpg:graphicFrame>
                      <wpg:graphicFrame>
                        <wpg:cNvPr id="211" name="Gráfico 211">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917E65D-5CBB-40D6-B78E-925C552E0AA2}"/>
                            </a:ext>
                          </a:extLst>
                        </wpg:cNvPr>
                        <wpg:cNvFrPr/>
                        <wpg:xfrm>
                          <a:off x="453224" y="1828800"/>
                          <a:ext cx="3721100" cy="1963420"/>
                        </wpg:xfrm>
                        <a:graphic>
                          <a:graphicData uri="http://schemas.openxmlformats.org/drawingml/2006/chart">
                            <c:chart xmlns:c="http://schemas.openxmlformats.org/drawingml/2006/chart" xmlns:r="http://schemas.openxmlformats.org/officeDocument/2006/relationships" r:id="rId44"/>
                          </a:graphicData>
                        </a:graphic>
                      </wpg:graphicFrame>
                      <wpg:graphicFrame>
                        <wpg:cNvPr id="212" name="Gráfico 1">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8A14088-EDAE-4171-8544-01A890FE7E33}"/>
                            </a:ext>
                          </a:extLst>
                        </wpg:cNvPr>
                        <wpg:cNvFrPr/>
                        <wpg:xfrm>
                          <a:off x="0" y="39757"/>
                          <a:ext cx="2679065" cy="1714500"/>
                        </wpg:xfrm>
                        <a:graphic>
                          <a:graphicData uri="http://schemas.openxmlformats.org/drawingml/2006/chart">
                            <c:chart xmlns:c="http://schemas.openxmlformats.org/drawingml/2006/chart" xmlns:r="http://schemas.openxmlformats.org/officeDocument/2006/relationships" r:id="rId45"/>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51D17071" id="Group 22" o:spid="_x0000_s1026" style="position:absolute;margin-left:6.45pt;margin-top:.85pt;width:425.7pt;height:260.75pt;z-index:251707392;mso-width-relative:margin;mso-height-relative:margin" coordsize="54063,37922" o:gfxdata="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">
                <v:shape id="Gráfico 2" o:spid="_x0000_s1027" type="#_x0000_t75" style="position:absolute;left:25603;width:28468;height:18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">
                  <v:imagedata r:id="rId46" o:title=""/>
                  <o:lock v:ext="edit" aspectratio="f"/>
                </v:shape>
                <v:shape id="Gráfico 211" o:spid="_x0000_s1028" type="#_x0000_t75" style="position:absolute;left:4511;top:18220;width:37246;height:196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">
                  <v:imagedata r:id="rId47" o:title=""/>
                  <o:lock v:ext="edit" aspectratio="f"/>
                </v:shape>
                <v:shape id="Gráfico 1" o:spid="_x0000_s1029" type="#_x0000_t75" style="position:absolute;top:349;width:26761;height:17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">
                  <v:imagedata r:id="rId48" o:title=""/>
                  <o:lock v:ext="edit" aspectratio="f"/>
                </v:shape>
              </v:group>
            </w:pict>
          </mc:Fallback>
        </mc:AlternateContent>
      </w: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r w:rsidRPr="00E92EE3">
        <w:rPr>
          <w:rFonts w:ascii="Times New Roman" w:hAnsi="Times New Roman" w:cs="Times New Roman"/>
          <w:b/>
          <w:noProof/>
          <w:lang w:val="es-ES"/>
        </w:rPr>
        <mc:AlternateContent>
          <mc:Choice Requires="wps">
            <w:drawing>
              <wp:anchor distT="45720" distB="45720" distL="114300" distR="114300" simplePos="0" relativeHeight="251708416" behindDoc="0" locked="0" layoutInCell="1" allowOverlap="1" wp14:anchorId="26D5E1C0" wp14:editId="764244C2">
                <wp:simplePos x="0" y="0"/>
                <wp:positionH relativeFrom="column">
                  <wp:posOffset>82550</wp:posOffset>
                </wp:positionH>
                <wp:positionV relativeFrom="paragraph">
                  <wp:posOffset>86360</wp:posOffset>
                </wp:positionV>
                <wp:extent cx="5340096" cy="343814"/>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096" cy="343814"/>
                        </a:xfrm>
                        <a:prstGeom prst="rect">
                          <a:avLst/>
                        </a:prstGeom>
                        <a:solidFill>
                          <a:schemeClr val="accent1">
                            <a:lumMod val="20000"/>
                            <a:lumOff val="80000"/>
                          </a:schemeClr>
                        </a:solidFill>
                        <a:ln w="9525">
                          <a:noFill/>
                          <a:miter lim="800000"/>
                          <a:headEnd/>
                          <a:tailEnd/>
                        </a:ln>
                      </wps:spPr>
                      <wps:txbx>
                        <w:txbxContent>
                          <w:p w:rsidR="001B6203" w:rsidRPr="00E92EE3" w:rsidRDefault="001B6203" w:rsidP="009C497E">
                            <w:pPr>
                              <w:rPr>
                                <w:rFonts w:ascii="Times New Roman" w:hAnsi="Times New Roman" w:cs="Times New Roman"/>
                                <w:sz w:val="16"/>
                              </w:rPr>
                            </w:pPr>
                            <w:r>
                              <w:rPr>
                                <w:rFonts w:ascii="Times New Roman" w:hAnsi="Times New Roman" w:cs="Times New Roman"/>
                                <w:sz w:val="16"/>
                              </w:rPr>
                              <w:t xml:space="preserve">Fuente: </w:t>
                            </w:r>
                            <w:r w:rsidRPr="00E92EE3">
                              <w:rPr>
                                <w:rFonts w:ascii="Times New Roman" w:hAnsi="Times New Roman" w:cs="Times New Roman"/>
                                <w:sz w:val="16"/>
                              </w:rPr>
                              <w:t>Elaborado por la Dirección de Análisis y Política Fiscal en base al Informe “Evaluación de Daños y Pérdidas: Huracanes ETA e IOTA de la Comisión Económica para América Latina y el Caribe</w:t>
                            </w:r>
                            <w:r>
                              <w:rPr>
                                <w:rFonts w:ascii="Times New Roman" w:hAnsi="Times New Roman" w:cs="Times New Roman"/>
                                <w:sz w:val="16"/>
                              </w:rPr>
                              <w:t xml:space="preserve"> (CEPAL)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6D5E1C0" id="_x0000_s1027" type="#_x0000_t202" style="position:absolute;left:0;text-align:left;margin-left:6.5pt;margin-top:6.8pt;width:420.5pt;height:27.0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" fillcolor="#dbe5f1 [660]" stroked="f">
                <v:textbox>
                  <w:txbxContent>
                    <w:p w:rsidR="001B6203" w:rsidRPr="00E92EE3" w:rsidRDefault="001B6203" w:rsidP="009C497E">
                      <w:pPr>
                        <w:rPr>
                          <w:rFonts w:ascii="Times New Roman" w:hAnsi="Times New Roman" w:cs="Times New Roman"/>
                          <w:sz w:val="16"/>
                        </w:rPr>
                      </w:pPr>
                      <w:r>
                        <w:rPr>
                          <w:rFonts w:ascii="Times New Roman" w:hAnsi="Times New Roman" w:cs="Times New Roman"/>
                          <w:sz w:val="16"/>
                        </w:rPr>
                        <w:t xml:space="preserve">Fuente: </w:t>
                      </w:r>
                      <w:r w:rsidRPr="00E92EE3">
                        <w:rPr>
                          <w:rFonts w:ascii="Times New Roman" w:hAnsi="Times New Roman" w:cs="Times New Roman"/>
                          <w:sz w:val="16"/>
                        </w:rPr>
                        <w:t>Elaborado por la Dirección de Análisis y Política Fiscal en base al Informe “Evaluación de Daños y Pérdidas: Huracanes ETA e IOTA de la Comisión Económica para América Latina y el Caribe</w:t>
                      </w:r>
                      <w:r>
                        <w:rPr>
                          <w:rFonts w:ascii="Times New Roman" w:hAnsi="Times New Roman" w:cs="Times New Roman"/>
                          <w:sz w:val="16"/>
                        </w:rPr>
                        <w:t xml:space="preserve"> (CEPAL)</w:t>
                      </w:r>
                    </w:p>
                  </w:txbxContent>
                </v:textbox>
              </v:shape>
            </w:pict>
          </mc:Fallback>
        </mc:AlternateContent>
      </w:r>
    </w:p>
    <w:p w:rsidR="009C497E" w:rsidRDefault="009C497E"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292521" w:rsidRDefault="00292521" w:rsidP="009C497E">
      <w:pPr>
        <w:pBdr>
          <w:top w:val="single" w:sz="4" w:space="1" w:color="auto"/>
          <w:left w:val="single" w:sz="4" w:space="4" w:color="auto"/>
          <w:bottom w:val="single" w:sz="4" w:space="1" w:color="auto"/>
          <w:right w:val="single" w:sz="4" w:space="4" w:color="auto"/>
        </w:pBdr>
        <w:shd w:val="clear" w:color="auto" w:fill="DBE5F1" w:themeFill="accent1" w:themeFillTint="33"/>
        <w:jc w:val="both"/>
        <w:rPr>
          <w:rFonts w:ascii="Times New Roman" w:hAnsi="Times New Roman" w:cs="Times New Roman"/>
          <w:b/>
        </w:rPr>
      </w:pPr>
    </w:p>
    <w:p w:rsidR="009C497E" w:rsidRDefault="009C497E" w:rsidP="00556E54">
      <w:pPr>
        <w:jc w:val="both"/>
        <w:rPr>
          <w:rFonts w:ascii="Times New Roman" w:hAnsi="Times New Roman" w:cs="Times New Roman"/>
          <w:b/>
        </w:rPr>
      </w:pPr>
    </w:p>
    <w:p w:rsidR="00292521" w:rsidRDefault="00292521" w:rsidP="00556E54">
      <w:pPr>
        <w:jc w:val="both"/>
        <w:rPr>
          <w:rFonts w:ascii="Times New Roman" w:hAnsi="Times New Roman" w:cs="Times New Roman"/>
          <w:szCs w:val="36"/>
        </w:rPr>
        <w:sectPr w:rsidR="00292521" w:rsidSect="00246573">
          <w:type w:val="continuous"/>
          <w:pgSz w:w="12240" w:h="15840"/>
          <w:pgMar w:top="1417" w:right="1701" w:bottom="1417" w:left="1701" w:header="708" w:footer="708" w:gutter="0"/>
          <w:cols w:space="708"/>
          <w:docGrid w:linePitch="360"/>
        </w:sectPr>
      </w:pPr>
    </w:p>
    <w:p w:rsidR="00556E54" w:rsidRDefault="00556E54" w:rsidP="00367243">
      <w:pPr>
        <w:rPr>
          <w:rFonts w:ascii="Times New Roman" w:hAnsi="Times New Roman" w:cs="Times New Roman"/>
          <w:b/>
          <w:sz w:val="20"/>
        </w:rPr>
        <w:sectPr w:rsidR="00556E54" w:rsidSect="00B63DA6">
          <w:type w:val="continuous"/>
          <w:pgSz w:w="12240" w:h="15840"/>
          <w:pgMar w:top="1417" w:right="1701" w:bottom="1417" w:left="1701" w:header="708" w:footer="708" w:gutter="0"/>
          <w:cols w:num="2" w:space="708"/>
          <w:docGrid w:linePitch="360"/>
        </w:sectPr>
      </w:pPr>
    </w:p>
    <w:p w:rsidR="00C84436" w:rsidRPr="000968E3" w:rsidRDefault="00C84436" w:rsidP="00C84436">
      <w:pPr>
        <w:jc w:val="both"/>
        <w:rPr>
          <w:rFonts w:ascii="Times New Roman" w:hAnsi="Times New Roman" w:cs="Times New Roman"/>
          <w:sz w:val="4"/>
          <w:lang w:val="es-MX"/>
        </w:rPr>
      </w:pPr>
    </w:p>
    <w:p w:rsidR="00C84436" w:rsidRPr="00367243" w:rsidRDefault="00C84436" w:rsidP="00C84436">
      <w:pPr>
        <w:pStyle w:val="Prrafodelista"/>
        <w:numPr>
          <w:ilvl w:val="0"/>
          <w:numId w:val="1"/>
        </w:numPr>
        <w:ind w:left="426" w:hanging="426"/>
        <w:jc w:val="both"/>
        <w:outlineLvl w:val="0"/>
        <w:rPr>
          <w:rFonts w:ascii="Times New Roman" w:hAnsi="Times New Roman" w:cs="Times New Roman"/>
          <w:b/>
          <w:sz w:val="24"/>
          <w:lang w:val="es-MX"/>
        </w:rPr>
      </w:pPr>
      <w:bookmarkStart w:id="163" w:name="_Toc64025450"/>
      <w:r w:rsidRPr="00367243">
        <w:rPr>
          <w:rFonts w:ascii="Times New Roman" w:hAnsi="Times New Roman" w:cs="Times New Roman"/>
          <w:b/>
          <w:sz w:val="24"/>
          <w:lang w:val="es-MX"/>
        </w:rPr>
        <w:t>Resultado Fiscal y Financiamiento</w:t>
      </w:r>
      <w:bookmarkEnd w:id="163"/>
    </w:p>
    <w:p w:rsidR="00C84436" w:rsidRPr="008B619B" w:rsidRDefault="00C84436" w:rsidP="000968E3">
      <w:pPr>
        <w:pStyle w:val="Prrafodelista"/>
        <w:ind w:left="426"/>
        <w:jc w:val="both"/>
        <w:rPr>
          <w:rFonts w:ascii="Times New Roman" w:hAnsi="Times New Roman" w:cs="Times New Roman"/>
          <w:color w:val="FF0000"/>
          <w:sz w:val="14"/>
          <w:lang w:val="es-MX"/>
        </w:rPr>
      </w:pPr>
    </w:p>
    <w:p w:rsidR="00C84436" w:rsidRPr="00443624" w:rsidRDefault="00C84436" w:rsidP="00C84436">
      <w:pPr>
        <w:pStyle w:val="Prrafodelista"/>
        <w:keepNext/>
        <w:keepLines/>
        <w:numPr>
          <w:ilvl w:val="0"/>
          <w:numId w:val="12"/>
        </w:numPr>
        <w:contextualSpacing w:val="0"/>
        <w:outlineLvl w:val="1"/>
        <w:rPr>
          <w:rFonts w:ascii="Times New Roman" w:eastAsiaTheme="majorEastAsia" w:hAnsi="Times New Roman" w:cs="Times New Roman"/>
          <w:b/>
          <w:bCs/>
          <w:vanish/>
          <w:color w:val="FF0000"/>
          <w:sz w:val="24"/>
          <w:szCs w:val="26"/>
          <w:lang w:val="es-ES_tradnl" w:eastAsia="es-ES"/>
        </w:rPr>
      </w:pPr>
      <w:bookmarkStart w:id="164" w:name="_Toc31624513"/>
      <w:bookmarkStart w:id="165" w:name="_Toc62724073"/>
      <w:bookmarkStart w:id="166" w:name="_Toc62724136"/>
      <w:bookmarkStart w:id="167" w:name="_Toc62724220"/>
      <w:bookmarkStart w:id="168" w:name="_Toc62724294"/>
      <w:bookmarkStart w:id="169" w:name="_Toc64025451"/>
      <w:bookmarkEnd w:id="164"/>
      <w:bookmarkEnd w:id="165"/>
      <w:bookmarkEnd w:id="166"/>
      <w:bookmarkEnd w:id="167"/>
      <w:bookmarkEnd w:id="168"/>
      <w:bookmarkEnd w:id="169"/>
    </w:p>
    <w:p w:rsidR="00364844" w:rsidRPr="008B619B" w:rsidRDefault="00EE52DF" w:rsidP="00C84436">
      <w:pPr>
        <w:pStyle w:val="Ttulo2"/>
        <w:numPr>
          <w:ilvl w:val="1"/>
          <w:numId w:val="12"/>
        </w:numPr>
        <w:spacing w:before="0"/>
        <w:ind w:left="567"/>
        <w:rPr>
          <w:rFonts w:ascii="Times New Roman" w:hAnsi="Times New Roman" w:cs="Times New Roman"/>
          <w:color w:val="auto"/>
          <w:sz w:val="22"/>
        </w:rPr>
      </w:pPr>
      <w:bookmarkStart w:id="170" w:name="_Toc64025452"/>
      <w:r w:rsidRPr="008B619B">
        <w:rPr>
          <w:rFonts w:ascii="Times New Roman" w:hAnsi="Times New Roman" w:cs="Times New Roman"/>
          <w:color w:val="auto"/>
          <w:sz w:val="22"/>
        </w:rPr>
        <w:t xml:space="preserve">Aumento </w:t>
      </w:r>
      <w:r w:rsidR="00367243" w:rsidRPr="008B619B">
        <w:rPr>
          <w:rFonts w:ascii="Times New Roman" w:hAnsi="Times New Roman" w:cs="Times New Roman"/>
          <w:color w:val="auto"/>
          <w:sz w:val="22"/>
        </w:rPr>
        <w:t xml:space="preserve">significativo </w:t>
      </w:r>
      <w:r w:rsidRPr="008B619B">
        <w:rPr>
          <w:rFonts w:ascii="Times New Roman" w:hAnsi="Times New Roman" w:cs="Times New Roman"/>
          <w:color w:val="auto"/>
          <w:sz w:val="22"/>
        </w:rPr>
        <w:t xml:space="preserve">del déficit fiscal </w:t>
      </w:r>
      <w:bookmarkEnd w:id="161"/>
      <w:r w:rsidR="00367243" w:rsidRPr="008B619B">
        <w:rPr>
          <w:rFonts w:ascii="Times New Roman" w:hAnsi="Times New Roman" w:cs="Times New Roman"/>
          <w:color w:val="auto"/>
          <w:sz w:val="22"/>
        </w:rPr>
        <w:t xml:space="preserve">es </w:t>
      </w:r>
      <w:r w:rsidRPr="008B619B">
        <w:rPr>
          <w:rFonts w:ascii="Times New Roman" w:hAnsi="Times New Roman" w:cs="Times New Roman"/>
          <w:color w:val="auto"/>
          <w:sz w:val="22"/>
        </w:rPr>
        <w:t>financiado principalmente con Bonos del Tesoro</w:t>
      </w:r>
      <w:bookmarkEnd w:id="170"/>
    </w:p>
    <w:p w:rsidR="00BC01B9" w:rsidRPr="008B619B" w:rsidRDefault="00BC01B9" w:rsidP="00BC01B9">
      <w:pPr>
        <w:rPr>
          <w:color w:val="FF0000"/>
          <w:sz w:val="14"/>
        </w:rPr>
      </w:pPr>
    </w:p>
    <w:p w:rsidR="002D48F3" w:rsidRDefault="002D48F3" w:rsidP="002D48F3">
      <w:pPr>
        <w:pStyle w:val="Sinespaciado"/>
        <w:jc w:val="both"/>
        <w:rPr>
          <w:rFonts w:ascii="Times New Roman" w:hAnsi="Times New Roman" w:cs="Times New Roman"/>
        </w:rPr>
      </w:pPr>
      <w:r>
        <w:rPr>
          <w:rFonts w:ascii="Times New Roman" w:hAnsi="Times New Roman" w:cs="Times New Roman"/>
        </w:rPr>
        <w:t>A partir del primer cuatrimestre se dio</w:t>
      </w:r>
      <w:r w:rsidRPr="00983526">
        <w:rPr>
          <w:rFonts w:ascii="Times New Roman" w:hAnsi="Times New Roman" w:cs="Times New Roman"/>
        </w:rPr>
        <w:t xml:space="preserve"> un aumento significativo en el gasto público</w:t>
      </w:r>
      <w:r>
        <w:rPr>
          <w:rFonts w:ascii="Times New Roman" w:hAnsi="Times New Roman" w:cs="Times New Roman"/>
        </w:rPr>
        <w:t>,</w:t>
      </w:r>
      <w:r w:rsidRPr="00516F7F">
        <w:rPr>
          <w:rFonts w:ascii="Times New Roman" w:hAnsi="Times New Roman" w:cs="Times New Roman"/>
        </w:rPr>
        <w:t xml:space="preserve"> motivado principalmente por</w:t>
      </w:r>
      <w:r>
        <w:rPr>
          <w:rFonts w:ascii="Times New Roman" w:hAnsi="Times New Roman" w:cs="Times New Roman"/>
        </w:rPr>
        <w:t xml:space="preserve"> el gasto asociado a la ejecución de los programas sociales y económicos para la atención del COVID-19, los cuales representaron un 14.0% del gasto total, dándose un mayor nivel de ejecución en las transferencias corrientes y la inversión financiera, mientras que el gasto social repunto de forma moderada y los gastos no esenciales cayeron derivado de la caída de los ingresos tributarios y una política de contención del gasto para priorizar gastos en la atención de la emergencia del COVID-19. </w:t>
      </w:r>
    </w:p>
    <w:p w:rsidR="002D48F3" w:rsidRDefault="002D48F3" w:rsidP="002D48F3">
      <w:pPr>
        <w:pStyle w:val="Sinespaciado"/>
        <w:jc w:val="both"/>
        <w:rPr>
          <w:rFonts w:ascii="Times New Roman" w:hAnsi="Times New Roman" w:cs="Times New Roman"/>
        </w:rPr>
      </w:pPr>
    </w:p>
    <w:p w:rsidR="002D48F3" w:rsidRPr="00516F7F" w:rsidRDefault="002D48F3" w:rsidP="002D48F3">
      <w:pPr>
        <w:pStyle w:val="Sinespaciado"/>
        <w:jc w:val="both"/>
        <w:rPr>
          <w:rFonts w:ascii="Times New Roman" w:hAnsi="Times New Roman" w:cs="Times New Roman"/>
        </w:rPr>
      </w:pPr>
      <w:r>
        <w:rPr>
          <w:rFonts w:ascii="Times New Roman" w:hAnsi="Times New Roman" w:cs="Times New Roman"/>
        </w:rPr>
        <w:t xml:space="preserve">De esa cuenta, dada la dinámica entre los ingresos y los gastos, se </w:t>
      </w:r>
      <w:r w:rsidRPr="00516F7F">
        <w:rPr>
          <w:rFonts w:ascii="Times New Roman" w:hAnsi="Times New Roman" w:cs="Times New Roman"/>
        </w:rPr>
        <w:t>dio un deterioro en la posición fiscal</w:t>
      </w:r>
      <w:r>
        <w:rPr>
          <w:rFonts w:ascii="Times New Roman" w:hAnsi="Times New Roman" w:cs="Times New Roman"/>
        </w:rPr>
        <w:t xml:space="preserve"> </w:t>
      </w:r>
      <w:r w:rsidRPr="00516F7F">
        <w:rPr>
          <w:rFonts w:ascii="Times New Roman" w:hAnsi="Times New Roman" w:cs="Times New Roman"/>
        </w:rPr>
        <w:t xml:space="preserve">situándose en un déficit, al cierre </w:t>
      </w:r>
      <w:r>
        <w:rPr>
          <w:rFonts w:ascii="Times New Roman" w:hAnsi="Times New Roman" w:cs="Times New Roman"/>
        </w:rPr>
        <w:t xml:space="preserve">preliminar </w:t>
      </w:r>
      <w:r w:rsidRPr="00516F7F">
        <w:rPr>
          <w:rFonts w:ascii="Times New Roman" w:hAnsi="Times New Roman" w:cs="Times New Roman"/>
        </w:rPr>
        <w:t>de 20</w:t>
      </w:r>
      <w:r>
        <w:rPr>
          <w:rFonts w:ascii="Times New Roman" w:hAnsi="Times New Roman" w:cs="Times New Roman"/>
        </w:rPr>
        <w:t>20, de</w:t>
      </w:r>
      <w:r w:rsidRPr="00516F7F">
        <w:rPr>
          <w:rFonts w:ascii="Times New Roman" w:hAnsi="Times New Roman" w:cs="Times New Roman"/>
        </w:rPr>
        <w:t xml:space="preserve"> </w:t>
      </w:r>
      <w:r>
        <w:rPr>
          <w:rFonts w:ascii="Times New Roman" w:hAnsi="Times New Roman" w:cs="Times New Roman"/>
        </w:rPr>
        <w:t>Q29,47</w:t>
      </w:r>
      <w:r w:rsidR="00513A4A">
        <w:rPr>
          <w:rFonts w:ascii="Times New Roman" w:hAnsi="Times New Roman" w:cs="Times New Roman"/>
        </w:rPr>
        <w:t>5</w:t>
      </w:r>
      <w:r>
        <w:rPr>
          <w:rFonts w:ascii="Times New Roman" w:hAnsi="Times New Roman" w:cs="Times New Roman"/>
        </w:rPr>
        <w:t>.</w:t>
      </w:r>
      <w:r w:rsidR="00513A4A">
        <w:rPr>
          <w:rFonts w:ascii="Times New Roman" w:hAnsi="Times New Roman" w:cs="Times New Roman"/>
        </w:rPr>
        <w:t>2</w:t>
      </w:r>
      <w:r>
        <w:rPr>
          <w:rFonts w:ascii="Times New Roman" w:hAnsi="Times New Roman" w:cs="Times New Roman"/>
        </w:rPr>
        <w:t xml:space="preserve"> millones, equivalente al 4</w:t>
      </w:r>
      <w:r w:rsidRPr="00516F7F">
        <w:rPr>
          <w:rFonts w:ascii="Times New Roman" w:hAnsi="Times New Roman" w:cs="Times New Roman"/>
        </w:rPr>
        <w:t>.</w:t>
      </w:r>
      <w:r>
        <w:rPr>
          <w:rFonts w:ascii="Times New Roman" w:hAnsi="Times New Roman" w:cs="Times New Roman"/>
        </w:rPr>
        <w:t>9</w:t>
      </w:r>
      <w:r w:rsidRPr="00516F7F">
        <w:rPr>
          <w:rFonts w:ascii="Times New Roman" w:hAnsi="Times New Roman" w:cs="Times New Roman"/>
        </w:rPr>
        <w:t>% del PIB.</w:t>
      </w:r>
    </w:p>
    <w:p w:rsidR="002D48F3" w:rsidRDefault="002D48F3" w:rsidP="002D48F3">
      <w:pPr>
        <w:pStyle w:val="Sinespaciado"/>
        <w:jc w:val="both"/>
        <w:rPr>
          <w:rFonts w:ascii="Times New Roman" w:hAnsi="Times New Roman" w:cs="Times New Roman"/>
        </w:rPr>
      </w:pPr>
    </w:p>
    <w:p w:rsidR="002D48F3" w:rsidRPr="000968E3" w:rsidRDefault="002D48F3" w:rsidP="002D48F3">
      <w:pPr>
        <w:pStyle w:val="Sinespaciado"/>
        <w:jc w:val="both"/>
        <w:rPr>
          <w:rFonts w:ascii="Times New Roman" w:hAnsi="Times New Roman" w:cs="Times New Roman"/>
        </w:rPr>
      </w:pPr>
      <w:r>
        <w:rPr>
          <w:rFonts w:ascii="Times New Roman" w:hAnsi="Times New Roman" w:cs="Times New Roman"/>
        </w:rPr>
        <w:t xml:space="preserve">Este déficit fiscal es el mayor de la serie 2001-2019, aunque hay que considerar que este incremento fue de carácter temporal derivado de la coyuntura del COVID-19 y en el mediano plazo se prevé retornar el déficit de manera gradual a niveles previos a la crisis, </w:t>
      </w:r>
      <w:r w:rsidRPr="0017461C">
        <w:rPr>
          <w:rFonts w:ascii="Times New Roman" w:hAnsi="Times New Roman" w:cs="Times New Roman"/>
        </w:rPr>
        <w:t>la tendencia será decreciente</w:t>
      </w:r>
      <w:r>
        <w:rPr>
          <w:rFonts w:ascii="Times New Roman" w:hAnsi="Times New Roman" w:cs="Times New Roman"/>
        </w:rPr>
        <w:t xml:space="preserve"> de forma que en el mediano plazo el déficit converja al nivel observado previo al 20</w:t>
      </w:r>
      <w:r w:rsidR="000968E3">
        <w:rPr>
          <w:rFonts w:ascii="Times New Roman" w:hAnsi="Times New Roman" w:cs="Times New Roman"/>
        </w:rPr>
        <w:t xml:space="preserve">20, alrededor del 2.0% del PIB.  </w:t>
      </w:r>
      <w:r>
        <w:rPr>
          <w:rFonts w:ascii="Times New Roman" w:hAnsi="Times New Roman" w:cs="Times New Roman"/>
        </w:rPr>
        <w:t xml:space="preserve">No obstante, el alto nivel de déficit observado en 2020, este estuvo por debajo de lo programado en el presupuesto para dicho año, el cual se estimaba en 5.9% del PIB, al final del período se ubicó 1.0% del PIB por debajo de lo presupuestado. </w:t>
      </w:r>
    </w:p>
    <w:p w:rsidR="002D48F3" w:rsidRPr="000968E3" w:rsidRDefault="002D48F3" w:rsidP="002D48F3">
      <w:pPr>
        <w:rPr>
          <w:rFonts w:ascii="Times New Roman" w:hAnsi="Times New Roman" w:cs="Times New Roman"/>
          <w:sz w:val="10"/>
          <w:szCs w:val="36"/>
        </w:rPr>
      </w:pPr>
    </w:p>
    <w:p w:rsidR="002D48F3" w:rsidRPr="002D48F3" w:rsidRDefault="002D48F3" w:rsidP="002D48F3">
      <w:pPr>
        <w:pStyle w:val="Sinespaciado"/>
        <w:jc w:val="center"/>
        <w:rPr>
          <w:rFonts w:ascii="Times New Roman" w:hAnsi="Times New Roman" w:cs="Times New Roman"/>
          <w:b/>
        </w:rPr>
      </w:pPr>
      <w:r w:rsidRPr="002D48F3">
        <w:rPr>
          <w:rFonts w:ascii="Times New Roman" w:hAnsi="Times New Roman" w:cs="Times New Roman"/>
          <w:b/>
        </w:rPr>
        <w:t>Situación Financiera</w:t>
      </w:r>
    </w:p>
    <w:p w:rsidR="002D48F3" w:rsidRPr="00EE52DF" w:rsidRDefault="002D48F3" w:rsidP="002D48F3">
      <w:pPr>
        <w:pStyle w:val="Sinespaciado"/>
        <w:jc w:val="center"/>
        <w:rPr>
          <w:rFonts w:ascii="Times New Roman" w:hAnsi="Times New Roman" w:cs="Times New Roman"/>
          <w:sz w:val="20"/>
        </w:rPr>
      </w:pPr>
      <w:r w:rsidRPr="00EE52DF">
        <w:rPr>
          <w:rFonts w:ascii="Times New Roman" w:hAnsi="Times New Roman" w:cs="Times New Roman"/>
          <w:sz w:val="20"/>
        </w:rPr>
        <w:t>Observado 201</w:t>
      </w:r>
      <w:r>
        <w:rPr>
          <w:rFonts w:ascii="Times New Roman" w:hAnsi="Times New Roman" w:cs="Times New Roman"/>
          <w:sz w:val="20"/>
        </w:rPr>
        <w:t>9</w:t>
      </w:r>
      <w:r w:rsidRPr="00EE52DF">
        <w:rPr>
          <w:rFonts w:ascii="Times New Roman" w:hAnsi="Times New Roman" w:cs="Times New Roman"/>
          <w:sz w:val="20"/>
        </w:rPr>
        <w:t>, presupuesto y ejecución preliminar 20</w:t>
      </w:r>
      <w:r>
        <w:rPr>
          <w:rFonts w:ascii="Times New Roman" w:hAnsi="Times New Roman" w:cs="Times New Roman"/>
          <w:sz w:val="20"/>
        </w:rPr>
        <w:t>20</w:t>
      </w:r>
    </w:p>
    <w:p w:rsidR="002D48F3" w:rsidRDefault="002D48F3" w:rsidP="002D48F3">
      <w:pPr>
        <w:jc w:val="center"/>
        <w:rPr>
          <w:rFonts w:ascii="Times New Roman" w:hAnsi="Times New Roman" w:cs="Times New Roman"/>
          <w:sz w:val="20"/>
        </w:rPr>
      </w:pPr>
      <w:r w:rsidRPr="00EE52DF">
        <w:rPr>
          <w:rFonts w:ascii="Times New Roman" w:hAnsi="Times New Roman" w:cs="Times New Roman"/>
          <w:sz w:val="20"/>
        </w:rPr>
        <w:t>Millones de quetzales y porcentajes</w:t>
      </w:r>
    </w:p>
    <w:tbl>
      <w:tblPr>
        <w:tblW w:w="8260" w:type="dxa"/>
        <w:jc w:val="center"/>
        <w:tblCellMar>
          <w:left w:w="70" w:type="dxa"/>
          <w:right w:w="70" w:type="dxa"/>
        </w:tblCellMar>
        <w:tblLook w:val="04A0" w:firstRow="1" w:lastRow="0" w:firstColumn="1" w:lastColumn="0" w:noHBand="0" w:noVBand="1"/>
      </w:tblPr>
      <w:tblGrid>
        <w:gridCol w:w="3020"/>
        <w:gridCol w:w="1240"/>
        <w:gridCol w:w="1320"/>
        <w:gridCol w:w="1340"/>
        <w:gridCol w:w="1340"/>
      </w:tblGrid>
      <w:tr w:rsidR="002D48F3" w:rsidRPr="000F55D9" w:rsidTr="000968E3">
        <w:trPr>
          <w:trHeight w:val="348"/>
          <w:jc w:val="center"/>
        </w:trPr>
        <w:tc>
          <w:tcPr>
            <w:tcW w:w="302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b/>
                <w:bCs/>
                <w:color w:val="FFFFFF"/>
                <w:sz w:val="20"/>
                <w:szCs w:val="20"/>
                <w:lang w:eastAsia="es-GT"/>
              </w:rPr>
            </w:pPr>
          </w:p>
        </w:tc>
        <w:tc>
          <w:tcPr>
            <w:tcW w:w="1240" w:type="dxa"/>
            <w:tcBorders>
              <w:top w:val="single" w:sz="8" w:space="0" w:color="auto"/>
              <w:left w:val="single" w:sz="8" w:space="0" w:color="auto"/>
              <w:bottom w:val="nil"/>
              <w:right w:val="single" w:sz="8" w:space="0" w:color="auto"/>
            </w:tcBorders>
            <w:shd w:val="clear" w:color="000000" w:fill="4F81BD"/>
            <w:vAlign w:val="center"/>
            <w:hideMark/>
          </w:tcPr>
          <w:p w:rsidR="002D48F3" w:rsidRPr="000F55D9" w:rsidRDefault="002D48F3" w:rsidP="00B63DA6">
            <w:pPr>
              <w:jc w:val="center"/>
              <w:rPr>
                <w:rFonts w:ascii="Times New Roman" w:eastAsia="Times New Roman" w:hAnsi="Times New Roman" w:cs="Times New Roman"/>
                <w:b/>
                <w:bCs/>
                <w:color w:val="FFFFFF"/>
                <w:sz w:val="19"/>
                <w:szCs w:val="19"/>
                <w:lang w:eastAsia="es-GT"/>
              </w:rPr>
            </w:pPr>
            <w:r w:rsidRPr="000F55D9">
              <w:rPr>
                <w:rFonts w:ascii="Times New Roman" w:eastAsia="Times New Roman" w:hAnsi="Times New Roman" w:cs="Times New Roman"/>
                <w:b/>
                <w:bCs/>
                <w:color w:val="FFFFFF"/>
                <w:sz w:val="19"/>
                <w:szCs w:val="19"/>
                <w:lang w:eastAsia="es-GT"/>
              </w:rPr>
              <w:t>31/12/2019</w:t>
            </w:r>
          </w:p>
        </w:tc>
        <w:tc>
          <w:tcPr>
            <w:tcW w:w="1320" w:type="dxa"/>
            <w:tcBorders>
              <w:top w:val="single" w:sz="8" w:space="0" w:color="auto"/>
              <w:left w:val="nil"/>
              <w:bottom w:val="nil"/>
              <w:right w:val="nil"/>
            </w:tcBorders>
            <w:shd w:val="clear" w:color="000000" w:fill="4F81BD"/>
            <w:vAlign w:val="center"/>
            <w:hideMark/>
          </w:tcPr>
          <w:p w:rsidR="002D48F3" w:rsidRPr="000F55D9" w:rsidRDefault="002D48F3" w:rsidP="00B63DA6">
            <w:pPr>
              <w:jc w:val="center"/>
              <w:rPr>
                <w:rFonts w:ascii="Times New Roman" w:eastAsia="Times New Roman" w:hAnsi="Times New Roman" w:cs="Times New Roman"/>
                <w:b/>
                <w:bCs/>
                <w:color w:val="FFFFFF"/>
                <w:sz w:val="19"/>
                <w:szCs w:val="19"/>
                <w:lang w:eastAsia="es-GT"/>
              </w:rPr>
            </w:pPr>
            <w:r w:rsidRPr="000F55D9">
              <w:rPr>
                <w:rFonts w:ascii="Times New Roman" w:eastAsia="Times New Roman" w:hAnsi="Times New Roman" w:cs="Times New Roman"/>
                <w:b/>
                <w:bCs/>
                <w:color w:val="FFFFFF"/>
                <w:sz w:val="19"/>
                <w:szCs w:val="19"/>
                <w:lang w:eastAsia="es-GT"/>
              </w:rPr>
              <w:t>Presupuesto Vigente</w:t>
            </w:r>
          </w:p>
        </w:tc>
        <w:tc>
          <w:tcPr>
            <w:tcW w:w="1340" w:type="dxa"/>
            <w:tcBorders>
              <w:top w:val="single" w:sz="8" w:space="0" w:color="auto"/>
              <w:left w:val="nil"/>
              <w:bottom w:val="single" w:sz="8" w:space="0" w:color="auto"/>
              <w:right w:val="nil"/>
            </w:tcBorders>
            <w:shd w:val="clear" w:color="000000" w:fill="4F81BD"/>
            <w:vAlign w:val="center"/>
            <w:hideMark/>
          </w:tcPr>
          <w:p w:rsidR="002D48F3" w:rsidRPr="000F55D9" w:rsidRDefault="002D48F3" w:rsidP="00B63DA6">
            <w:pPr>
              <w:jc w:val="center"/>
              <w:rPr>
                <w:rFonts w:ascii="Times New Roman" w:eastAsia="Times New Roman" w:hAnsi="Times New Roman" w:cs="Times New Roman"/>
                <w:b/>
                <w:bCs/>
                <w:color w:val="FFFFFF"/>
                <w:sz w:val="19"/>
                <w:szCs w:val="19"/>
                <w:lang w:eastAsia="es-GT"/>
              </w:rPr>
            </w:pPr>
            <w:r w:rsidRPr="000F55D9">
              <w:rPr>
                <w:rFonts w:ascii="Times New Roman" w:eastAsia="Times New Roman" w:hAnsi="Times New Roman" w:cs="Times New Roman"/>
                <w:b/>
                <w:bCs/>
                <w:color w:val="FFFFFF"/>
                <w:sz w:val="19"/>
                <w:szCs w:val="19"/>
                <w:lang w:eastAsia="es-GT"/>
              </w:rPr>
              <w:t>31/12/2020</w:t>
            </w:r>
          </w:p>
        </w:tc>
        <w:tc>
          <w:tcPr>
            <w:tcW w:w="1340" w:type="dxa"/>
            <w:tcBorders>
              <w:top w:val="single" w:sz="8" w:space="0" w:color="auto"/>
              <w:left w:val="nil"/>
              <w:bottom w:val="nil"/>
              <w:right w:val="single" w:sz="8" w:space="0" w:color="auto"/>
            </w:tcBorders>
            <w:shd w:val="clear" w:color="000000" w:fill="4F81BD"/>
            <w:vAlign w:val="center"/>
            <w:hideMark/>
          </w:tcPr>
          <w:p w:rsidR="002D48F3" w:rsidRPr="000F55D9" w:rsidRDefault="002D48F3" w:rsidP="00B63DA6">
            <w:pPr>
              <w:jc w:val="center"/>
              <w:rPr>
                <w:rFonts w:ascii="Times New Roman" w:eastAsia="Times New Roman" w:hAnsi="Times New Roman" w:cs="Times New Roman"/>
                <w:b/>
                <w:bCs/>
                <w:color w:val="FFFFFF"/>
                <w:sz w:val="19"/>
                <w:szCs w:val="19"/>
                <w:lang w:eastAsia="es-GT"/>
              </w:rPr>
            </w:pPr>
            <w:r w:rsidRPr="000F55D9">
              <w:rPr>
                <w:rFonts w:ascii="Times New Roman" w:eastAsia="Times New Roman" w:hAnsi="Times New Roman" w:cs="Times New Roman"/>
                <w:b/>
                <w:bCs/>
                <w:color w:val="FFFFFF"/>
                <w:sz w:val="19"/>
                <w:szCs w:val="19"/>
                <w:lang w:eastAsia="es-GT"/>
              </w:rPr>
              <w:t xml:space="preserve">% del PIB </w:t>
            </w:r>
          </w:p>
        </w:tc>
      </w:tr>
      <w:tr w:rsidR="002D48F3" w:rsidRPr="000F55D9" w:rsidTr="002D48F3">
        <w:trPr>
          <w:trHeight w:val="198"/>
          <w:jc w:val="center"/>
        </w:trPr>
        <w:tc>
          <w:tcPr>
            <w:tcW w:w="3020" w:type="dxa"/>
            <w:tcBorders>
              <w:top w:val="single" w:sz="8" w:space="0" w:color="auto"/>
              <w:left w:val="single" w:sz="8" w:space="0" w:color="auto"/>
              <w:bottom w:val="nil"/>
              <w:right w:val="nil"/>
            </w:tcBorders>
            <w:shd w:val="clear" w:color="000000" w:fill="FFFFFF"/>
            <w:noWrap/>
            <w:vAlign w:val="center"/>
            <w:hideMark/>
          </w:tcPr>
          <w:p w:rsidR="002D48F3" w:rsidRPr="000F55D9" w:rsidRDefault="002D48F3" w:rsidP="00B63DA6">
            <w:pP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Ingresos Totales</w:t>
            </w:r>
          </w:p>
        </w:tc>
        <w:tc>
          <w:tcPr>
            <w:tcW w:w="1240" w:type="dxa"/>
            <w:tcBorders>
              <w:top w:val="single" w:sz="8" w:space="0" w:color="auto"/>
              <w:left w:val="single" w:sz="8" w:space="0" w:color="auto"/>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66,554.8</w:t>
            </w:r>
          </w:p>
        </w:tc>
        <w:tc>
          <w:tcPr>
            <w:tcW w:w="1320" w:type="dxa"/>
            <w:tcBorders>
              <w:top w:val="single" w:sz="8" w:space="0" w:color="auto"/>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68,588.7</w:t>
            </w:r>
          </w:p>
        </w:tc>
        <w:tc>
          <w:tcPr>
            <w:tcW w:w="1340" w:type="dxa"/>
            <w:tcBorders>
              <w:top w:val="nil"/>
              <w:left w:val="nil"/>
              <w:bottom w:val="nil"/>
              <w:right w:val="nil"/>
            </w:tcBorders>
            <w:shd w:val="clear" w:color="000000" w:fill="FFFFFF"/>
            <w:noWrap/>
            <w:vAlign w:val="center"/>
            <w:hideMark/>
          </w:tcPr>
          <w:p w:rsidR="002D48F3" w:rsidRPr="000F55D9" w:rsidRDefault="002D48F3" w:rsidP="00513A4A">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64,05</w:t>
            </w:r>
            <w:r w:rsidR="00513A4A">
              <w:rPr>
                <w:rFonts w:ascii="Times New Roman" w:eastAsia="Times New Roman" w:hAnsi="Times New Roman" w:cs="Times New Roman"/>
                <w:color w:val="000000"/>
                <w:sz w:val="19"/>
                <w:szCs w:val="19"/>
                <w:lang w:eastAsia="es-GT"/>
              </w:rPr>
              <w:t>3</w:t>
            </w:r>
            <w:r w:rsidRPr="000F55D9">
              <w:rPr>
                <w:rFonts w:ascii="Times New Roman" w:eastAsia="Times New Roman" w:hAnsi="Times New Roman" w:cs="Times New Roman"/>
                <w:color w:val="000000"/>
                <w:sz w:val="19"/>
                <w:szCs w:val="19"/>
                <w:lang w:eastAsia="es-GT"/>
              </w:rPr>
              <w:t>.</w:t>
            </w:r>
            <w:r w:rsidR="00513A4A">
              <w:rPr>
                <w:rFonts w:ascii="Times New Roman" w:eastAsia="Times New Roman" w:hAnsi="Times New Roman" w:cs="Times New Roman"/>
                <w:color w:val="000000"/>
                <w:sz w:val="19"/>
                <w:szCs w:val="19"/>
                <w:lang w:eastAsia="es-GT"/>
              </w:rPr>
              <w:t>9</w:t>
            </w:r>
          </w:p>
        </w:tc>
        <w:tc>
          <w:tcPr>
            <w:tcW w:w="1340" w:type="dxa"/>
            <w:tcBorders>
              <w:top w:val="single" w:sz="8" w:space="0" w:color="auto"/>
              <w:left w:val="nil"/>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10.7%</w:t>
            </w:r>
          </w:p>
        </w:tc>
      </w:tr>
      <w:tr w:rsidR="002D48F3" w:rsidRPr="000F55D9" w:rsidTr="002D48F3">
        <w:trPr>
          <w:trHeight w:val="121"/>
          <w:jc w:val="center"/>
        </w:trPr>
        <w:tc>
          <w:tcPr>
            <w:tcW w:w="3020" w:type="dxa"/>
            <w:tcBorders>
              <w:top w:val="nil"/>
              <w:left w:val="single" w:sz="8" w:space="0" w:color="auto"/>
              <w:bottom w:val="nil"/>
              <w:right w:val="nil"/>
            </w:tcBorders>
            <w:shd w:val="clear" w:color="000000" w:fill="FFFFFF"/>
            <w:noWrap/>
            <w:vAlign w:val="center"/>
            <w:hideMark/>
          </w:tcPr>
          <w:p w:rsidR="002D48F3" w:rsidRPr="00292521" w:rsidRDefault="002D48F3" w:rsidP="00B63DA6">
            <w:pPr>
              <w:ind w:firstLineChars="200" w:firstLine="380"/>
              <w:rPr>
                <w:rFonts w:ascii="Times New Roman" w:eastAsia="Times New Roman" w:hAnsi="Times New Roman" w:cs="Times New Roman"/>
                <w:sz w:val="19"/>
                <w:szCs w:val="19"/>
                <w:lang w:eastAsia="es-GT"/>
              </w:rPr>
            </w:pPr>
            <w:r w:rsidRPr="00292521">
              <w:rPr>
                <w:rFonts w:ascii="Times New Roman" w:eastAsia="Times New Roman" w:hAnsi="Times New Roman" w:cs="Times New Roman"/>
                <w:sz w:val="19"/>
                <w:szCs w:val="19"/>
                <w:lang w:eastAsia="es-GT"/>
              </w:rPr>
              <w:t>Tributarios</w:t>
            </w:r>
          </w:p>
        </w:tc>
        <w:tc>
          <w:tcPr>
            <w:tcW w:w="1240" w:type="dxa"/>
            <w:tcBorders>
              <w:top w:val="nil"/>
              <w:left w:val="single" w:sz="8" w:space="0" w:color="auto"/>
              <w:bottom w:val="nil"/>
              <w:right w:val="single" w:sz="8" w:space="0" w:color="auto"/>
            </w:tcBorders>
            <w:shd w:val="clear" w:color="000000" w:fill="FFFFFF"/>
            <w:noWrap/>
            <w:vAlign w:val="center"/>
            <w:hideMark/>
          </w:tcPr>
          <w:p w:rsidR="002D48F3" w:rsidRPr="00292521" w:rsidRDefault="002D48F3" w:rsidP="00B63DA6">
            <w:pPr>
              <w:jc w:val="center"/>
              <w:rPr>
                <w:rFonts w:ascii="Times New Roman" w:eastAsia="Times New Roman" w:hAnsi="Times New Roman" w:cs="Times New Roman"/>
                <w:sz w:val="19"/>
                <w:szCs w:val="19"/>
                <w:lang w:eastAsia="es-GT"/>
              </w:rPr>
            </w:pPr>
            <w:r w:rsidRPr="00292521">
              <w:rPr>
                <w:rFonts w:ascii="Times New Roman" w:eastAsia="Times New Roman" w:hAnsi="Times New Roman" w:cs="Times New Roman"/>
                <w:sz w:val="19"/>
                <w:szCs w:val="19"/>
                <w:lang w:eastAsia="es-GT"/>
              </w:rPr>
              <w:t>62,593.6</w:t>
            </w:r>
          </w:p>
        </w:tc>
        <w:tc>
          <w:tcPr>
            <w:tcW w:w="1320" w:type="dxa"/>
            <w:tcBorders>
              <w:top w:val="nil"/>
              <w:left w:val="nil"/>
              <w:bottom w:val="nil"/>
              <w:right w:val="nil"/>
            </w:tcBorders>
            <w:shd w:val="clear" w:color="000000" w:fill="FFFFFF"/>
            <w:noWrap/>
            <w:vAlign w:val="center"/>
            <w:hideMark/>
          </w:tcPr>
          <w:p w:rsidR="002D48F3" w:rsidRPr="00292521" w:rsidRDefault="002D48F3" w:rsidP="00B63DA6">
            <w:pPr>
              <w:jc w:val="center"/>
              <w:rPr>
                <w:rFonts w:ascii="Times New Roman" w:eastAsia="Times New Roman" w:hAnsi="Times New Roman" w:cs="Times New Roman"/>
                <w:sz w:val="19"/>
                <w:szCs w:val="19"/>
                <w:lang w:eastAsia="es-GT"/>
              </w:rPr>
            </w:pPr>
            <w:r w:rsidRPr="00292521">
              <w:rPr>
                <w:rFonts w:ascii="Times New Roman" w:eastAsia="Times New Roman" w:hAnsi="Times New Roman" w:cs="Times New Roman"/>
                <w:sz w:val="19"/>
                <w:szCs w:val="19"/>
                <w:lang w:eastAsia="es-GT"/>
              </w:rPr>
              <w:t>64,027.7</w:t>
            </w:r>
          </w:p>
        </w:tc>
        <w:tc>
          <w:tcPr>
            <w:tcW w:w="1340" w:type="dxa"/>
            <w:tcBorders>
              <w:top w:val="nil"/>
              <w:left w:val="nil"/>
              <w:bottom w:val="nil"/>
              <w:right w:val="nil"/>
            </w:tcBorders>
            <w:shd w:val="clear" w:color="000000" w:fill="FFFFFF"/>
            <w:noWrap/>
            <w:vAlign w:val="center"/>
            <w:hideMark/>
          </w:tcPr>
          <w:p w:rsidR="002D48F3" w:rsidRPr="00292521" w:rsidRDefault="002D48F3" w:rsidP="00B63DA6">
            <w:pPr>
              <w:jc w:val="center"/>
              <w:rPr>
                <w:rFonts w:ascii="Times New Roman" w:eastAsia="Times New Roman" w:hAnsi="Times New Roman" w:cs="Times New Roman"/>
                <w:sz w:val="19"/>
                <w:szCs w:val="19"/>
                <w:lang w:eastAsia="es-GT"/>
              </w:rPr>
            </w:pPr>
            <w:r w:rsidRPr="00292521">
              <w:rPr>
                <w:rFonts w:ascii="Times New Roman" w:eastAsia="Times New Roman" w:hAnsi="Times New Roman" w:cs="Times New Roman"/>
                <w:sz w:val="19"/>
                <w:szCs w:val="19"/>
                <w:lang w:eastAsia="es-GT"/>
              </w:rPr>
              <w:t>60,279.4</w:t>
            </w:r>
          </w:p>
        </w:tc>
        <w:tc>
          <w:tcPr>
            <w:tcW w:w="1340" w:type="dxa"/>
            <w:tcBorders>
              <w:top w:val="nil"/>
              <w:left w:val="nil"/>
              <w:bottom w:val="nil"/>
              <w:right w:val="single" w:sz="8" w:space="0" w:color="auto"/>
            </w:tcBorders>
            <w:shd w:val="clear" w:color="000000" w:fill="FFFFFF"/>
            <w:noWrap/>
            <w:vAlign w:val="center"/>
            <w:hideMark/>
          </w:tcPr>
          <w:p w:rsidR="002D48F3" w:rsidRPr="00292521" w:rsidRDefault="002D48F3" w:rsidP="00B63DA6">
            <w:pPr>
              <w:jc w:val="center"/>
              <w:rPr>
                <w:rFonts w:ascii="Times New Roman" w:eastAsia="Times New Roman" w:hAnsi="Times New Roman" w:cs="Times New Roman"/>
                <w:sz w:val="19"/>
                <w:szCs w:val="19"/>
                <w:lang w:eastAsia="es-GT"/>
              </w:rPr>
            </w:pPr>
            <w:r w:rsidRPr="00292521">
              <w:rPr>
                <w:rFonts w:ascii="Times New Roman" w:eastAsia="Times New Roman" w:hAnsi="Times New Roman" w:cs="Times New Roman"/>
                <w:sz w:val="19"/>
                <w:szCs w:val="19"/>
                <w:lang w:eastAsia="es-GT"/>
              </w:rPr>
              <w:t>10.1%</w:t>
            </w:r>
          </w:p>
        </w:tc>
      </w:tr>
      <w:tr w:rsidR="002D48F3" w:rsidRPr="000F55D9" w:rsidTr="002D48F3">
        <w:trPr>
          <w:trHeight w:val="195"/>
          <w:jc w:val="center"/>
        </w:trPr>
        <w:tc>
          <w:tcPr>
            <w:tcW w:w="3020" w:type="dxa"/>
            <w:tcBorders>
              <w:top w:val="nil"/>
              <w:left w:val="single" w:sz="8" w:space="0" w:color="auto"/>
              <w:bottom w:val="nil"/>
              <w:right w:val="nil"/>
            </w:tcBorders>
            <w:shd w:val="clear" w:color="000000" w:fill="FFFFFF"/>
            <w:noWrap/>
            <w:vAlign w:val="center"/>
            <w:hideMark/>
          </w:tcPr>
          <w:p w:rsidR="002D48F3" w:rsidRPr="000F55D9" w:rsidRDefault="002D48F3" w:rsidP="00B63DA6">
            <w:pP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Gasto Total</w:t>
            </w:r>
          </w:p>
        </w:tc>
        <w:tc>
          <w:tcPr>
            <w:tcW w:w="1240" w:type="dxa"/>
            <w:tcBorders>
              <w:top w:val="nil"/>
              <w:left w:val="single" w:sz="8" w:space="0" w:color="auto"/>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79,836.2</w:t>
            </w:r>
          </w:p>
        </w:tc>
        <w:tc>
          <w:tcPr>
            <w:tcW w:w="132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104,161.1</w:t>
            </w:r>
          </w:p>
        </w:tc>
        <w:tc>
          <w:tcPr>
            <w:tcW w:w="134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93,529.0</w:t>
            </w:r>
          </w:p>
        </w:tc>
        <w:tc>
          <w:tcPr>
            <w:tcW w:w="1340" w:type="dxa"/>
            <w:tcBorders>
              <w:top w:val="nil"/>
              <w:left w:val="nil"/>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15.6%</w:t>
            </w:r>
          </w:p>
        </w:tc>
      </w:tr>
      <w:tr w:rsidR="002D48F3" w:rsidRPr="000F55D9" w:rsidTr="002D48F3">
        <w:trPr>
          <w:trHeight w:val="113"/>
          <w:jc w:val="center"/>
        </w:trPr>
        <w:tc>
          <w:tcPr>
            <w:tcW w:w="3020" w:type="dxa"/>
            <w:tcBorders>
              <w:top w:val="nil"/>
              <w:left w:val="single" w:sz="8" w:space="0" w:color="auto"/>
              <w:bottom w:val="nil"/>
              <w:right w:val="nil"/>
            </w:tcBorders>
            <w:shd w:val="clear" w:color="000000" w:fill="FFFFFF"/>
            <w:noWrap/>
            <w:vAlign w:val="center"/>
            <w:hideMark/>
          </w:tcPr>
          <w:p w:rsidR="002D48F3" w:rsidRPr="000F55D9" w:rsidRDefault="002D48F3" w:rsidP="00B63DA6">
            <w:pPr>
              <w:ind w:firstLineChars="200" w:firstLine="380"/>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Corriente</w:t>
            </w:r>
          </w:p>
        </w:tc>
        <w:tc>
          <w:tcPr>
            <w:tcW w:w="1240" w:type="dxa"/>
            <w:tcBorders>
              <w:top w:val="nil"/>
              <w:left w:val="single" w:sz="8" w:space="0" w:color="auto"/>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63,550.5</w:t>
            </w:r>
          </w:p>
        </w:tc>
        <w:tc>
          <w:tcPr>
            <w:tcW w:w="132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82,434.2</w:t>
            </w:r>
          </w:p>
        </w:tc>
        <w:tc>
          <w:tcPr>
            <w:tcW w:w="134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75,569.0</w:t>
            </w:r>
          </w:p>
        </w:tc>
        <w:tc>
          <w:tcPr>
            <w:tcW w:w="1340" w:type="dxa"/>
            <w:tcBorders>
              <w:top w:val="nil"/>
              <w:left w:val="nil"/>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12.6%</w:t>
            </w:r>
          </w:p>
        </w:tc>
      </w:tr>
      <w:tr w:rsidR="002D48F3" w:rsidRPr="000F55D9" w:rsidTr="002D48F3">
        <w:trPr>
          <w:trHeight w:val="173"/>
          <w:jc w:val="center"/>
        </w:trPr>
        <w:tc>
          <w:tcPr>
            <w:tcW w:w="3020" w:type="dxa"/>
            <w:tcBorders>
              <w:top w:val="nil"/>
              <w:left w:val="single" w:sz="8" w:space="0" w:color="auto"/>
              <w:bottom w:val="nil"/>
              <w:right w:val="nil"/>
            </w:tcBorders>
            <w:shd w:val="clear" w:color="000000" w:fill="FFFFFF"/>
            <w:noWrap/>
            <w:vAlign w:val="center"/>
            <w:hideMark/>
          </w:tcPr>
          <w:p w:rsidR="002D48F3" w:rsidRPr="000F55D9" w:rsidRDefault="002D48F3" w:rsidP="00B63DA6">
            <w:pPr>
              <w:ind w:firstLineChars="200" w:firstLine="380"/>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Capital</w:t>
            </w:r>
          </w:p>
        </w:tc>
        <w:tc>
          <w:tcPr>
            <w:tcW w:w="1240" w:type="dxa"/>
            <w:tcBorders>
              <w:top w:val="nil"/>
              <w:left w:val="single" w:sz="8" w:space="0" w:color="auto"/>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16,285.7</w:t>
            </w:r>
          </w:p>
        </w:tc>
        <w:tc>
          <w:tcPr>
            <w:tcW w:w="132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21,726.9</w:t>
            </w:r>
          </w:p>
        </w:tc>
        <w:tc>
          <w:tcPr>
            <w:tcW w:w="134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17,960.1</w:t>
            </w:r>
          </w:p>
        </w:tc>
        <w:tc>
          <w:tcPr>
            <w:tcW w:w="1340" w:type="dxa"/>
            <w:tcBorders>
              <w:top w:val="nil"/>
              <w:left w:val="nil"/>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3.0%</w:t>
            </w:r>
          </w:p>
        </w:tc>
      </w:tr>
      <w:tr w:rsidR="002D48F3" w:rsidRPr="000F55D9" w:rsidTr="002D48F3">
        <w:trPr>
          <w:trHeight w:val="228"/>
          <w:jc w:val="center"/>
        </w:trPr>
        <w:tc>
          <w:tcPr>
            <w:tcW w:w="3020" w:type="dxa"/>
            <w:tcBorders>
              <w:top w:val="single" w:sz="8" w:space="0" w:color="auto"/>
              <w:left w:val="single" w:sz="8" w:space="0" w:color="auto"/>
              <w:bottom w:val="single" w:sz="8" w:space="0" w:color="auto"/>
              <w:right w:val="nil"/>
            </w:tcBorders>
            <w:shd w:val="clear" w:color="000000" w:fill="B8CCE4"/>
            <w:noWrap/>
            <w:vAlign w:val="center"/>
            <w:hideMark/>
          </w:tcPr>
          <w:p w:rsidR="002D48F3" w:rsidRPr="000F55D9" w:rsidRDefault="002D48F3" w:rsidP="00B63DA6">
            <w:pPr>
              <w:rPr>
                <w:rFonts w:ascii="Times New Roman" w:eastAsia="Times New Roman" w:hAnsi="Times New Roman" w:cs="Times New Roman"/>
                <w:b/>
                <w:bCs/>
                <w:color w:val="000000"/>
                <w:sz w:val="19"/>
                <w:szCs w:val="19"/>
                <w:lang w:eastAsia="es-GT"/>
              </w:rPr>
            </w:pPr>
            <w:r w:rsidRPr="000F55D9">
              <w:rPr>
                <w:rFonts w:ascii="Times New Roman" w:eastAsia="Times New Roman" w:hAnsi="Times New Roman" w:cs="Times New Roman"/>
                <w:b/>
                <w:bCs/>
                <w:color w:val="000000"/>
                <w:sz w:val="19"/>
                <w:szCs w:val="19"/>
                <w:lang w:eastAsia="es-GT"/>
              </w:rPr>
              <w:t>Resultado Presupuestario</w:t>
            </w:r>
          </w:p>
        </w:tc>
        <w:tc>
          <w:tcPr>
            <w:tcW w:w="1240" w:type="dxa"/>
            <w:tcBorders>
              <w:top w:val="single" w:sz="8" w:space="0" w:color="auto"/>
              <w:left w:val="single" w:sz="8" w:space="0" w:color="auto"/>
              <w:bottom w:val="single" w:sz="8" w:space="0" w:color="auto"/>
              <w:right w:val="single" w:sz="8" w:space="0" w:color="auto"/>
            </w:tcBorders>
            <w:shd w:val="clear" w:color="000000" w:fill="B8CCE4"/>
            <w:noWrap/>
            <w:vAlign w:val="center"/>
            <w:hideMark/>
          </w:tcPr>
          <w:p w:rsidR="002D48F3" w:rsidRPr="000F55D9" w:rsidRDefault="002D48F3" w:rsidP="00B63DA6">
            <w:pPr>
              <w:jc w:val="center"/>
              <w:rPr>
                <w:rFonts w:ascii="Times New Roman" w:eastAsia="Times New Roman" w:hAnsi="Times New Roman" w:cs="Times New Roman"/>
                <w:b/>
                <w:bCs/>
                <w:color w:val="000000"/>
                <w:sz w:val="19"/>
                <w:szCs w:val="19"/>
                <w:lang w:eastAsia="es-GT"/>
              </w:rPr>
            </w:pPr>
            <w:r w:rsidRPr="000F55D9">
              <w:rPr>
                <w:rFonts w:ascii="Times New Roman" w:eastAsia="Times New Roman" w:hAnsi="Times New Roman" w:cs="Times New Roman"/>
                <w:b/>
                <w:bCs/>
                <w:color w:val="000000"/>
                <w:sz w:val="19"/>
                <w:szCs w:val="19"/>
                <w:lang w:eastAsia="es-GT"/>
              </w:rPr>
              <w:t>-13,281.5</w:t>
            </w:r>
          </w:p>
        </w:tc>
        <w:tc>
          <w:tcPr>
            <w:tcW w:w="1320" w:type="dxa"/>
            <w:tcBorders>
              <w:top w:val="single" w:sz="8" w:space="0" w:color="auto"/>
              <w:left w:val="nil"/>
              <w:bottom w:val="single" w:sz="8" w:space="0" w:color="auto"/>
              <w:right w:val="nil"/>
            </w:tcBorders>
            <w:shd w:val="clear" w:color="000000" w:fill="B8CCE4"/>
            <w:noWrap/>
            <w:vAlign w:val="center"/>
            <w:hideMark/>
          </w:tcPr>
          <w:p w:rsidR="002D48F3" w:rsidRPr="000F55D9" w:rsidRDefault="002D48F3" w:rsidP="00B63DA6">
            <w:pPr>
              <w:jc w:val="center"/>
              <w:rPr>
                <w:rFonts w:ascii="Times New Roman" w:eastAsia="Times New Roman" w:hAnsi="Times New Roman" w:cs="Times New Roman"/>
                <w:b/>
                <w:bCs/>
                <w:color w:val="000000"/>
                <w:sz w:val="19"/>
                <w:szCs w:val="19"/>
                <w:lang w:eastAsia="es-GT"/>
              </w:rPr>
            </w:pPr>
            <w:r w:rsidRPr="000F55D9">
              <w:rPr>
                <w:rFonts w:ascii="Times New Roman" w:eastAsia="Times New Roman" w:hAnsi="Times New Roman" w:cs="Times New Roman"/>
                <w:b/>
                <w:bCs/>
                <w:color w:val="000000"/>
                <w:sz w:val="19"/>
                <w:szCs w:val="19"/>
                <w:lang w:eastAsia="es-GT"/>
              </w:rPr>
              <w:t>-35,572.4</w:t>
            </w:r>
          </w:p>
        </w:tc>
        <w:tc>
          <w:tcPr>
            <w:tcW w:w="1340" w:type="dxa"/>
            <w:tcBorders>
              <w:top w:val="single" w:sz="8" w:space="0" w:color="auto"/>
              <w:left w:val="nil"/>
              <w:bottom w:val="single" w:sz="8" w:space="0" w:color="auto"/>
              <w:right w:val="nil"/>
            </w:tcBorders>
            <w:shd w:val="clear" w:color="000000" w:fill="B8CCE4"/>
            <w:noWrap/>
            <w:vAlign w:val="center"/>
            <w:hideMark/>
          </w:tcPr>
          <w:p w:rsidR="002D48F3" w:rsidRPr="000F55D9" w:rsidRDefault="002D48F3" w:rsidP="00513A4A">
            <w:pPr>
              <w:jc w:val="center"/>
              <w:rPr>
                <w:rFonts w:ascii="Times New Roman" w:eastAsia="Times New Roman" w:hAnsi="Times New Roman" w:cs="Times New Roman"/>
                <w:b/>
                <w:bCs/>
                <w:color w:val="000000"/>
                <w:sz w:val="19"/>
                <w:szCs w:val="19"/>
                <w:lang w:eastAsia="es-GT"/>
              </w:rPr>
            </w:pPr>
            <w:r w:rsidRPr="000F55D9">
              <w:rPr>
                <w:rFonts w:ascii="Times New Roman" w:eastAsia="Times New Roman" w:hAnsi="Times New Roman" w:cs="Times New Roman"/>
                <w:b/>
                <w:bCs/>
                <w:color w:val="000000"/>
                <w:sz w:val="19"/>
                <w:szCs w:val="19"/>
                <w:lang w:eastAsia="es-GT"/>
              </w:rPr>
              <w:t>-29,47</w:t>
            </w:r>
            <w:r w:rsidR="00513A4A">
              <w:rPr>
                <w:rFonts w:ascii="Times New Roman" w:eastAsia="Times New Roman" w:hAnsi="Times New Roman" w:cs="Times New Roman"/>
                <w:b/>
                <w:bCs/>
                <w:color w:val="000000"/>
                <w:sz w:val="19"/>
                <w:szCs w:val="19"/>
                <w:lang w:eastAsia="es-GT"/>
              </w:rPr>
              <w:t>5</w:t>
            </w:r>
            <w:r w:rsidRPr="000F55D9">
              <w:rPr>
                <w:rFonts w:ascii="Times New Roman" w:eastAsia="Times New Roman" w:hAnsi="Times New Roman" w:cs="Times New Roman"/>
                <w:b/>
                <w:bCs/>
                <w:color w:val="000000"/>
                <w:sz w:val="19"/>
                <w:szCs w:val="19"/>
                <w:lang w:eastAsia="es-GT"/>
              </w:rPr>
              <w:t>.</w:t>
            </w:r>
            <w:r w:rsidR="00513A4A">
              <w:rPr>
                <w:rFonts w:ascii="Times New Roman" w:eastAsia="Times New Roman" w:hAnsi="Times New Roman" w:cs="Times New Roman"/>
                <w:b/>
                <w:bCs/>
                <w:color w:val="000000"/>
                <w:sz w:val="19"/>
                <w:szCs w:val="19"/>
                <w:lang w:eastAsia="es-GT"/>
              </w:rPr>
              <w:t>2</w:t>
            </w:r>
          </w:p>
        </w:tc>
        <w:tc>
          <w:tcPr>
            <w:tcW w:w="1340" w:type="dxa"/>
            <w:tcBorders>
              <w:top w:val="single" w:sz="8" w:space="0" w:color="auto"/>
              <w:left w:val="nil"/>
              <w:bottom w:val="single" w:sz="8" w:space="0" w:color="auto"/>
              <w:right w:val="single" w:sz="8" w:space="0" w:color="auto"/>
            </w:tcBorders>
            <w:shd w:val="clear" w:color="000000" w:fill="B8CCE4"/>
            <w:noWrap/>
            <w:vAlign w:val="center"/>
            <w:hideMark/>
          </w:tcPr>
          <w:p w:rsidR="002D48F3" w:rsidRPr="000F55D9" w:rsidRDefault="002D48F3" w:rsidP="00B63DA6">
            <w:pPr>
              <w:jc w:val="center"/>
              <w:rPr>
                <w:rFonts w:ascii="Times New Roman" w:eastAsia="Times New Roman" w:hAnsi="Times New Roman" w:cs="Times New Roman"/>
                <w:b/>
                <w:bCs/>
                <w:color w:val="000000"/>
                <w:sz w:val="19"/>
                <w:szCs w:val="19"/>
                <w:lang w:eastAsia="es-GT"/>
              </w:rPr>
            </w:pPr>
            <w:r w:rsidRPr="000F55D9">
              <w:rPr>
                <w:rFonts w:ascii="Times New Roman" w:eastAsia="Times New Roman" w:hAnsi="Times New Roman" w:cs="Times New Roman"/>
                <w:b/>
                <w:bCs/>
                <w:color w:val="000000"/>
                <w:sz w:val="19"/>
                <w:szCs w:val="19"/>
                <w:lang w:eastAsia="es-GT"/>
              </w:rPr>
              <w:t>-4.9%</w:t>
            </w:r>
          </w:p>
        </w:tc>
      </w:tr>
      <w:tr w:rsidR="002D48F3" w:rsidRPr="000F55D9" w:rsidTr="002D48F3">
        <w:trPr>
          <w:trHeight w:val="117"/>
          <w:jc w:val="center"/>
        </w:trPr>
        <w:tc>
          <w:tcPr>
            <w:tcW w:w="3020" w:type="dxa"/>
            <w:tcBorders>
              <w:top w:val="nil"/>
              <w:left w:val="single" w:sz="8" w:space="0" w:color="auto"/>
              <w:bottom w:val="nil"/>
              <w:right w:val="nil"/>
            </w:tcBorders>
            <w:shd w:val="clear" w:color="000000" w:fill="FFFFFF"/>
            <w:noWrap/>
            <w:vAlign w:val="center"/>
            <w:hideMark/>
          </w:tcPr>
          <w:p w:rsidR="002D48F3" w:rsidRPr="000F55D9" w:rsidRDefault="002D48F3" w:rsidP="00B63DA6">
            <w:pP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Financiamiento Externo Neto</w:t>
            </w:r>
          </w:p>
        </w:tc>
        <w:tc>
          <w:tcPr>
            <w:tcW w:w="1240" w:type="dxa"/>
            <w:tcBorders>
              <w:top w:val="nil"/>
              <w:left w:val="single" w:sz="8" w:space="0" w:color="auto"/>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6,913.3</w:t>
            </w:r>
          </w:p>
        </w:tc>
        <w:tc>
          <w:tcPr>
            <w:tcW w:w="132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2,148.5</w:t>
            </w:r>
          </w:p>
        </w:tc>
        <w:tc>
          <w:tcPr>
            <w:tcW w:w="1340" w:type="dxa"/>
            <w:tcBorders>
              <w:top w:val="nil"/>
              <w:left w:val="nil"/>
              <w:bottom w:val="nil"/>
              <w:right w:val="nil"/>
            </w:tcBorders>
            <w:shd w:val="clear" w:color="000000" w:fill="FFFFFF"/>
            <w:noWrap/>
            <w:vAlign w:val="center"/>
            <w:hideMark/>
          </w:tcPr>
          <w:p w:rsidR="002D48F3" w:rsidRPr="000F55D9" w:rsidRDefault="002D48F3" w:rsidP="00513A4A">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10,33</w:t>
            </w:r>
            <w:r w:rsidR="00513A4A">
              <w:rPr>
                <w:rFonts w:ascii="Times New Roman" w:eastAsia="Times New Roman" w:hAnsi="Times New Roman" w:cs="Times New Roman"/>
                <w:color w:val="000000"/>
                <w:sz w:val="19"/>
                <w:szCs w:val="19"/>
                <w:lang w:eastAsia="es-GT"/>
              </w:rPr>
              <w:t>7</w:t>
            </w:r>
            <w:r w:rsidRPr="000F55D9">
              <w:rPr>
                <w:rFonts w:ascii="Times New Roman" w:eastAsia="Times New Roman" w:hAnsi="Times New Roman" w:cs="Times New Roman"/>
                <w:color w:val="000000"/>
                <w:sz w:val="19"/>
                <w:szCs w:val="19"/>
                <w:lang w:eastAsia="es-GT"/>
              </w:rPr>
              <w:t>.</w:t>
            </w:r>
            <w:r w:rsidR="00513A4A">
              <w:rPr>
                <w:rFonts w:ascii="Times New Roman" w:eastAsia="Times New Roman" w:hAnsi="Times New Roman" w:cs="Times New Roman"/>
                <w:color w:val="000000"/>
                <w:sz w:val="19"/>
                <w:szCs w:val="19"/>
                <w:lang w:eastAsia="es-GT"/>
              </w:rPr>
              <w:t>3</w:t>
            </w:r>
          </w:p>
        </w:tc>
        <w:tc>
          <w:tcPr>
            <w:tcW w:w="1340" w:type="dxa"/>
            <w:tcBorders>
              <w:top w:val="nil"/>
              <w:left w:val="nil"/>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1.7%</w:t>
            </w:r>
          </w:p>
        </w:tc>
      </w:tr>
      <w:tr w:rsidR="002D48F3" w:rsidRPr="000F55D9" w:rsidTr="002D48F3">
        <w:trPr>
          <w:trHeight w:val="183"/>
          <w:jc w:val="center"/>
        </w:trPr>
        <w:tc>
          <w:tcPr>
            <w:tcW w:w="3020" w:type="dxa"/>
            <w:tcBorders>
              <w:top w:val="nil"/>
              <w:left w:val="single" w:sz="8" w:space="0" w:color="auto"/>
              <w:bottom w:val="nil"/>
              <w:right w:val="nil"/>
            </w:tcBorders>
            <w:shd w:val="clear" w:color="000000" w:fill="FFFFFF"/>
            <w:noWrap/>
            <w:vAlign w:val="center"/>
            <w:hideMark/>
          </w:tcPr>
          <w:p w:rsidR="002D48F3" w:rsidRPr="000F55D9" w:rsidRDefault="002D48F3" w:rsidP="00B63DA6">
            <w:pP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Colocación Neta de Bonos Internos</w:t>
            </w:r>
          </w:p>
        </w:tc>
        <w:tc>
          <w:tcPr>
            <w:tcW w:w="1240" w:type="dxa"/>
            <w:tcBorders>
              <w:top w:val="nil"/>
              <w:left w:val="single" w:sz="8" w:space="0" w:color="auto"/>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4,866.2</w:t>
            </w:r>
          </w:p>
        </w:tc>
        <w:tc>
          <w:tcPr>
            <w:tcW w:w="132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30,047.9</w:t>
            </w:r>
          </w:p>
        </w:tc>
        <w:tc>
          <w:tcPr>
            <w:tcW w:w="1340" w:type="dxa"/>
            <w:tcBorders>
              <w:top w:val="nil"/>
              <w:left w:val="nil"/>
              <w:bottom w:val="nil"/>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20,388.0</w:t>
            </w:r>
          </w:p>
        </w:tc>
        <w:tc>
          <w:tcPr>
            <w:tcW w:w="1340" w:type="dxa"/>
            <w:tcBorders>
              <w:top w:val="nil"/>
              <w:left w:val="nil"/>
              <w:bottom w:val="nil"/>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3.4%</w:t>
            </w:r>
          </w:p>
        </w:tc>
      </w:tr>
      <w:tr w:rsidR="002D48F3" w:rsidRPr="000F55D9" w:rsidTr="002D48F3">
        <w:trPr>
          <w:trHeight w:val="101"/>
          <w:jc w:val="center"/>
        </w:trPr>
        <w:tc>
          <w:tcPr>
            <w:tcW w:w="3020" w:type="dxa"/>
            <w:tcBorders>
              <w:top w:val="nil"/>
              <w:left w:val="single" w:sz="8" w:space="0" w:color="auto"/>
              <w:bottom w:val="single" w:sz="8" w:space="0" w:color="auto"/>
              <w:right w:val="nil"/>
            </w:tcBorders>
            <w:shd w:val="clear" w:color="000000" w:fill="FFFFFF"/>
            <w:noWrap/>
            <w:vAlign w:val="center"/>
            <w:hideMark/>
          </w:tcPr>
          <w:p w:rsidR="002D48F3" w:rsidRPr="000F55D9" w:rsidRDefault="002D48F3" w:rsidP="00B63DA6">
            <w:pP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Variación de Caja</w:t>
            </w:r>
          </w:p>
        </w:tc>
        <w:tc>
          <w:tcPr>
            <w:tcW w:w="1240" w:type="dxa"/>
            <w:tcBorders>
              <w:top w:val="nil"/>
              <w:left w:val="single" w:sz="8" w:space="0" w:color="auto"/>
              <w:bottom w:val="single" w:sz="8" w:space="0" w:color="auto"/>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1,028.2</w:t>
            </w:r>
          </w:p>
        </w:tc>
        <w:tc>
          <w:tcPr>
            <w:tcW w:w="1320" w:type="dxa"/>
            <w:tcBorders>
              <w:top w:val="nil"/>
              <w:left w:val="nil"/>
              <w:bottom w:val="single" w:sz="8" w:space="0" w:color="auto"/>
              <w:right w:val="nil"/>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3,380.0</w:t>
            </w:r>
          </w:p>
        </w:tc>
        <w:tc>
          <w:tcPr>
            <w:tcW w:w="1340" w:type="dxa"/>
            <w:tcBorders>
              <w:top w:val="nil"/>
              <w:left w:val="nil"/>
              <w:bottom w:val="single" w:sz="8" w:space="0" w:color="auto"/>
              <w:right w:val="nil"/>
            </w:tcBorders>
            <w:shd w:val="clear" w:color="000000" w:fill="FFFFFF"/>
            <w:noWrap/>
            <w:vAlign w:val="center"/>
            <w:hideMark/>
          </w:tcPr>
          <w:p w:rsidR="002D48F3" w:rsidRPr="000F55D9" w:rsidRDefault="002D48F3" w:rsidP="00513A4A">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-3,13</w:t>
            </w:r>
            <w:r w:rsidR="00513A4A">
              <w:rPr>
                <w:rFonts w:ascii="Times New Roman" w:eastAsia="Times New Roman" w:hAnsi="Times New Roman" w:cs="Times New Roman"/>
                <w:color w:val="000000"/>
                <w:sz w:val="19"/>
                <w:szCs w:val="19"/>
                <w:lang w:eastAsia="es-GT"/>
              </w:rPr>
              <w:t>4</w:t>
            </w:r>
            <w:r w:rsidRPr="000F55D9">
              <w:rPr>
                <w:rFonts w:ascii="Times New Roman" w:eastAsia="Times New Roman" w:hAnsi="Times New Roman" w:cs="Times New Roman"/>
                <w:color w:val="000000"/>
                <w:sz w:val="19"/>
                <w:szCs w:val="19"/>
                <w:lang w:eastAsia="es-GT"/>
              </w:rPr>
              <w:t>.</w:t>
            </w:r>
            <w:r w:rsidR="00513A4A">
              <w:rPr>
                <w:rFonts w:ascii="Times New Roman" w:eastAsia="Times New Roman" w:hAnsi="Times New Roman" w:cs="Times New Roman"/>
                <w:color w:val="000000"/>
                <w:sz w:val="19"/>
                <w:szCs w:val="19"/>
                <w:lang w:eastAsia="es-GT"/>
              </w:rPr>
              <w:t>2</w:t>
            </w:r>
          </w:p>
        </w:tc>
        <w:tc>
          <w:tcPr>
            <w:tcW w:w="1340" w:type="dxa"/>
            <w:tcBorders>
              <w:top w:val="nil"/>
              <w:left w:val="nil"/>
              <w:bottom w:val="single" w:sz="8" w:space="0" w:color="auto"/>
              <w:right w:val="single" w:sz="8" w:space="0" w:color="auto"/>
            </w:tcBorders>
            <w:shd w:val="clear" w:color="000000" w:fill="FFFFFF"/>
            <w:noWrap/>
            <w:vAlign w:val="center"/>
            <w:hideMark/>
          </w:tcPr>
          <w:p w:rsidR="002D48F3" w:rsidRPr="000F55D9" w:rsidRDefault="002D48F3" w:rsidP="00B63DA6">
            <w:pPr>
              <w:jc w:val="center"/>
              <w:rPr>
                <w:rFonts w:ascii="Times New Roman" w:eastAsia="Times New Roman" w:hAnsi="Times New Roman" w:cs="Times New Roman"/>
                <w:color w:val="000000"/>
                <w:sz w:val="19"/>
                <w:szCs w:val="19"/>
                <w:lang w:eastAsia="es-GT"/>
              </w:rPr>
            </w:pPr>
            <w:r w:rsidRPr="000F55D9">
              <w:rPr>
                <w:rFonts w:ascii="Times New Roman" w:eastAsia="Times New Roman" w:hAnsi="Times New Roman" w:cs="Times New Roman"/>
                <w:color w:val="000000"/>
                <w:sz w:val="19"/>
                <w:szCs w:val="19"/>
                <w:lang w:eastAsia="es-GT"/>
              </w:rPr>
              <w:t>-0.5%</w:t>
            </w:r>
          </w:p>
        </w:tc>
      </w:tr>
    </w:tbl>
    <w:p w:rsidR="002D48F3" w:rsidRDefault="002D48F3" w:rsidP="002D48F3">
      <w:pPr>
        <w:pStyle w:val="Textoindependiente"/>
        <w:spacing w:after="0"/>
        <w:rPr>
          <w:rFonts w:ascii="Times New Roman" w:hAnsi="Times New Roman"/>
          <w:sz w:val="16"/>
          <w:szCs w:val="24"/>
        </w:rPr>
      </w:pPr>
      <w:r>
        <w:rPr>
          <w:rFonts w:ascii="Times New Roman" w:hAnsi="Times New Roman"/>
          <w:sz w:val="16"/>
          <w:szCs w:val="24"/>
        </w:rPr>
        <w:t xml:space="preserve">                      </w:t>
      </w:r>
      <w:r w:rsidRPr="00EE52DF">
        <w:rPr>
          <w:rFonts w:ascii="Times New Roman" w:hAnsi="Times New Roman"/>
          <w:sz w:val="16"/>
          <w:szCs w:val="24"/>
        </w:rPr>
        <w:t>Fuente: D</w:t>
      </w:r>
      <w:r>
        <w:rPr>
          <w:rFonts w:ascii="Times New Roman" w:hAnsi="Times New Roman"/>
          <w:sz w:val="16"/>
          <w:szCs w:val="24"/>
        </w:rPr>
        <w:t xml:space="preserve">irección de </w:t>
      </w:r>
      <w:r w:rsidRPr="00EE52DF">
        <w:rPr>
          <w:rFonts w:ascii="Times New Roman" w:hAnsi="Times New Roman"/>
          <w:sz w:val="16"/>
          <w:szCs w:val="24"/>
        </w:rPr>
        <w:t>A</w:t>
      </w:r>
      <w:r>
        <w:rPr>
          <w:rFonts w:ascii="Times New Roman" w:hAnsi="Times New Roman"/>
          <w:sz w:val="16"/>
          <w:szCs w:val="24"/>
        </w:rPr>
        <w:t xml:space="preserve">nálisis y </w:t>
      </w:r>
      <w:r w:rsidRPr="00EE52DF">
        <w:rPr>
          <w:rFonts w:ascii="Times New Roman" w:hAnsi="Times New Roman"/>
          <w:sz w:val="16"/>
          <w:szCs w:val="24"/>
        </w:rPr>
        <w:t>P</w:t>
      </w:r>
      <w:r>
        <w:rPr>
          <w:rFonts w:ascii="Times New Roman" w:hAnsi="Times New Roman"/>
          <w:sz w:val="16"/>
          <w:szCs w:val="24"/>
        </w:rPr>
        <w:t xml:space="preserve">olítica </w:t>
      </w:r>
      <w:r w:rsidRPr="00EE52DF">
        <w:rPr>
          <w:rFonts w:ascii="Times New Roman" w:hAnsi="Times New Roman"/>
          <w:sz w:val="16"/>
          <w:szCs w:val="24"/>
        </w:rPr>
        <w:t>F</w:t>
      </w:r>
      <w:r>
        <w:rPr>
          <w:rFonts w:ascii="Times New Roman" w:hAnsi="Times New Roman"/>
          <w:sz w:val="16"/>
          <w:szCs w:val="24"/>
        </w:rPr>
        <w:t>iscal</w:t>
      </w:r>
      <w:r w:rsidR="00292521">
        <w:rPr>
          <w:rFonts w:ascii="Times New Roman" w:hAnsi="Times New Roman"/>
          <w:sz w:val="16"/>
          <w:szCs w:val="24"/>
        </w:rPr>
        <w:t>.</w:t>
      </w:r>
    </w:p>
    <w:p w:rsidR="002D48F3" w:rsidRPr="000968E3" w:rsidRDefault="002D48F3" w:rsidP="002D48F3">
      <w:pPr>
        <w:rPr>
          <w:rFonts w:ascii="Times New Roman" w:hAnsi="Times New Roman" w:cs="Times New Roman"/>
          <w:sz w:val="22"/>
          <w:szCs w:val="36"/>
        </w:rPr>
      </w:pP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 xml:space="preserve">El financiamiento del déficit fiscal recayó en la emisión y colocación de Bonos del Tesoro para el ejercicio fiscal 2020, de la cual se realizó en un 73.8% en el mercado interno y el 26.2% en el mercado internacional de capitales mediante la colocación de un Eurobono. </w:t>
      </w:r>
    </w:p>
    <w:p w:rsidR="002D48F3" w:rsidRPr="002D48F3" w:rsidRDefault="002D48F3" w:rsidP="002D48F3">
      <w:pPr>
        <w:jc w:val="both"/>
        <w:rPr>
          <w:rFonts w:ascii="Times New Roman" w:hAnsi="Times New Roman" w:cs="Times New Roman"/>
          <w:sz w:val="22"/>
          <w:szCs w:val="22"/>
        </w:rPr>
      </w:pP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 xml:space="preserve">Respecto a las colocaciones internas, es importante indicar que el monto demandado por los inversionistas superó ampliamente las colocaciones, lo adjudicado fue de Q26,045.0 millones, sin incluir el eurobono por US$1,200.0 millones (equivalente a Q9,254.5 millones).  </w:t>
      </w:r>
    </w:p>
    <w:p w:rsidR="002D48F3" w:rsidRPr="002D48F3" w:rsidRDefault="002D48F3" w:rsidP="002D48F3">
      <w:pPr>
        <w:jc w:val="both"/>
        <w:rPr>
          <w:rFonts w:ascii="Times New Roman" w:hAnsi="Times New Roman" w:cs="Times New Roman"/>
          <w:sz w:val="22"/>
          <w:szCs w:val="22"/>
        </w:rPr>
      </w:pPr>
    </w:p>
    <w:p w:rsidR="002D48F3" w:rsidRP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 xml:space="preserve">La adjudicación en moneda nacional fue de Q24,504.3 millones, con un rendimiento promedio ponderado de 5.1% y un plazo promedio de colocación de 16.3 años. Es decir, la preferencia de los inversionistas y del gobierno fue colocar a plazos largos de 15 y 20 años. Dentro de este monto se encuentra la autorización por medio del Decreto 13-2020 para la emisión, negociación y colocación de Bonos del Tesoro por un valor de Q11,000.0 millones, de los cuales se adjudicaron Q10,645.0 millones, estos fueron destinados en su totalidad a atender las actividades relacionadas a la atención de la emergencia COVID-19. </w:t>
      </w:r>
    </w:p>
    <w:p w:rsidR="002D48F3" w:rsidRP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lastRenderedPageBreak/>
        <w:t>Este tipo de financiamiento es de carácter extraordinario, ya que fue adquirido por el Banco de Guatemala de conformidad con lo establecido en el artículo 133 de la Constitución Política de la República de Guatemala; en este artículo se prevé el financiamiento por medio del banco central en caso de catástrofe o desastre público, aunque no está demás indicar que este mecanismo de financiamiento debe ser temporal, de lo contrario podría ponerse en riesgo la estabilidad monetaria, cambiaria y crediticia del país. Procedente de esta colocación, el rendimiento promedio disminuyó respecto a lo observado en 2019 en 1.6 puntos porcentuales, con lo cual se evidencia que el país se endeudó buscando las mejores condiciones del mercado.</w:t>
      </w:r>
    </w:p>
    <w:p w:rsidR="002D48F3" w:rsidRPr="000968E3" w:rsidRDefault="002D48F3" w:rsidP="002D48F3">
      <w:pPr>
        <w:jc w:val="both"/>
        <w:rPr>
          <w:rFonts w:ascii="Times New Roman" w:hAnsi="Times New Roman" w:cs="Times New Roman"/>
          <w:noProof/>
          <w:sz w:val="20"/>
          <w:szCs w:val="36"/>
          <w:lang w:eastAsia="es-GT"/>
        </w:rPr>
      </w:pPr>
    </w:p>
    <w:p w:rsidR="002D48F3" w:rsidRPr="00292521" w:rsidRDefault="002D48F3" w:rsidP="002D48F3">
      <w:pPr>
        <w:jc w:val="center"/>
        <w:rPr>
          <w:rFonts w:ascii="Times New Roman" w:hAnsi="Times New Roman" w:cs="Times New Roman"/>
          <w:b/>
          <w:noProof/>
          <w:sz w:val="22"/>
          <w:szCs w:val="36"/>
          <w:lang w:eastAsia="es-GT"/>
        </w:rPr>
      </w:pPr>
      <w:r w:rsidRPr="00292521">
        <w:rPr>
          <w:rFonts w:ascii="Times New Roman" w:hAnsi="Times New Roman" w:cs="Times New Roman"/>
          <w:b/>
          <w:noProof/>
          <w:sz w:val="22"/>
          <w:szCs w:val="36"/>
          <w:lang w:eastAsia="es-GT"/>
        </w:rPr>
        <w:t>Colocación de Bonos del Tesoro</w:t>
      </w:r>
    </w:p>
    <w:p w:rsidR="002D48F3" w:rsidRPr="00292521" w:rsidRDefault="002D48F3" w:rsidP="002D48F3">
      <w:pPr>
        <w:jc w:val="center"/>
        <w:rPr>
          <w:rFonts w:ascii="Times New Roman" w:hAnsi="Times New Roman" w:cs="Times New Roman"/>
          <w:noProof/>
          <w:sz w:val="20"/>
          <w:szCs w:val="36"/>
          <w:lang w:eastAsia="es-GT"/>
        </w:rPr>
      </w:pPr>
      <w:r w:rsidRPr="00292521">
        <w:rPr>
          <w:rFonts w:ascii="Times New Roman" w:hAnsi="Times New Roman" w:cs="Times New Roman"/>
          <w:noProof/>
          <w:sz w:val="20"/>
          <w:szCs w:val="36"/>
          <w:lang w:eastAsia="es-GT"/>
        </w:rPr>
        <w:t>Millones de quetzales y porcentajes</w:t>
      </w:r>
    </w:p>
    <w:p w:rsidR="002D48F3" w:rsidRDefault="002D5796" w:rsidP="002D48F3">
      <w:pPr>
        <w:jc w:val="both"/>
        <w:rPr>
          <w:rFonts w:ascii="Times New Roman" w:hAnsi="Times New Roman" w:cs="Times New Roman"/>
          <w:noProof/>
          <w:szCs w:val="36"/>
          <w:lang w:eastAsia="es-GT"/>
        </w:rPr>
      </w:pPr>
      <w:r w:rsidRPr="00310124">
        <w:rPr>
          <w:noProof/>
          <w:highlight w:val="yellow"/>
          <w:lang w:val="es-ES"/>
        </w:rPr>
        <w:drawing>
          <wp:anchor distT="0" distB="0" distL="114300" distR="114300" simplePos="0" relativeHeight="251718656" behindDoc="0" locked="0" layoutInCell="1" allowOverlap="1" wp14:anchorId="6754C7A7" wp14:editId="3A7C3134">
            <wp:simplePos x="0" y="0"/>
            <wp:positionH relativeFrom="column">
              <wp:posOffset>1245870</wp:posOffset>
            </wp:positionH>
            <wp:positionV relativeFrom="paragraph">
              <wp:posOffset>34925</wp:posOffset>
            </wp:positionV>
            <wp:extent cx="3498215" cy="2011680"/>
            <wp:effectExtent l="0" t="0" r="6985" b="7620"/>
            <wp:wrapNone/>
            <wp:docPr id="20" name="Gráfico 2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rsidR="002D48F3" w:rsidRDefault="002D48F3" w:rsidP="002D48F3">
      <w:pPr>
        <w:jc w:val="both"/>
        <w:rPr>
          <w:rFonts w:ascii="Times New Roman" w:hAnsi="Times New Roman" w:cs="Times New Roman"/>
          <w:noProof/>
          <w:szCs w:val="36"/>
          <w:lang w:eastAsia="es-GT"/>
        </w:rPr>
      </w:pPr>
    </w:p>
    <w:p w:rsidR="002D48F3" w:rsidRDefault="002D48F3" w:rsidP="002D48F3">
      <w:pPr>
        <w:jc w:val="both"/>
        <w:rPr>
          <w:rFonts w:ascii="Times New Roman" w:hAnsi="Times New Roman" w:cs="Times New Roman"/>
          <w:noProof/>
          <w:szCs w:val="36"/>
          <w:lang w:eastAsia="es-GT"/>
        </w:rPr>
      </w:pPr>
    </w:p>
    <w:p w:rsidR="002D48F3" w:rsidRDefault="002D48F3" w:rsidP="002D48F3">
      <w:pPr>
        <w:jc w:val="both"/>
        <w:rPr>
          <w:rFonts w:ascii="Times New Roman" w:hAnsi="Times New Roman" w:cs="Times New Roman"/>
          <w:noProof/>
          <w:szCs w:val="36"/>
          <w:lang w:eastAsia="es-GT"/>
        </w:rPr>
      </w:pPr>
    </w:p>
    <w:p w:rsidR="002D48F3" w:rsidRDefault="002D48F3" w:rsidP="002D48F3">
      <w:pPr>
        <w:jc w:val="both"/>
        <w:rPr>
          <w:rFonts w:ascii="Times New Roman" w:hAnsi="Times New Roman" w:cs="Times New Roman"/>
          <w:szCs w:val="36"/>
        </w:rPr>
      </w:pPr>
    </w:p>
    <w:p w:rsidR="002D48F3" w:rsidRDefault="002D48F3" w:rsidP="002D48F3">
      <w:pPr>
        <w:jc w:val="both"/>
        <w:rPr>
          <w:rFonts w:ascii="Times New Roman" w:hAnsi="Times New Roman" w:cs="Times New Roman"/>
          <w:szCs w:val="36"/>
        </w:rPr>
      </w:pPr>
    </w:p>
    <w:p w:rsidR="002D48F3" w:rsidRDefault="002D48F3" w:rsidP="002D48F3">
      <w:pPr>
        <w:jc w:val="both"/>
        <w:rPr>
          <w:rFonts w:ascii="Times New Roman" w:hAnsi="Times New Roman" w:cs="Times New Roman"/>
          <w:szCs w:val="36"/>
        </w:rPr>
      </w:pPr>
    </w:p>
    <w:p w:rsidR="002D48F3" w:rsidRDefault="002D48F3" w:rsidP="002D48F3">
      <w:pPr>
        <w:jc w:val="both"/>
        <w:rPr>
          <w:rFonts w:ascii="Times New Roman" w:hAnsi="Times New Roman" w:cs="Times New Roman"/>
          <w:szCs w:val="36"/>
        </w:rPr>
      </w:pPr>
    </w:p>
    <w:p w:rsidR="002D48F3" w:rsidRDefault="002D48F3" w:rsidP="002D48F3">
      <w:pPr>
        <w:jc w:val="both"/>
        <w:rPr>
          <w:rFonts w:ascii="Times New Roman" w:hAnsi="Times New Roman" w:cs="Times New Roman"/>
          <w:szCs w:val="36"/>
        </w:rPr>
      </w:pPr>
    </w:p>
    <w:p w:rsidR="002D48F3" w:rsidRDefault="002D48F3" w:rsidP="002D48F3">
      <w:pPr>
        <w:jc w:val="both"/>
        <w:rPr>
          <w:rFonts w:ascii="Times New Roman" w:hAnsi="Times New Roman" w:cs="Times New Roman"/>
          <w:szCs w:val="36"/>
        </w:rPr>
      </w:pPr>
    </w:p>
    <w:p w:rsidR="002D48F3" w:rsidRDefault="002D48F3" w:rsidP="002D48F3">
      <w:pPr>
        <w:jc w:val="both"/>
        <w:rPr>
          <w:rFonts w:ascii="Times New Roman" w:hAnsi="Times New Roman" w:cs="Times New Roman"/>
          <w:szCs w:val="36"/>
        </w:rPr>
      </w:pPr>
    </w:p>
    <w:p w:rsidR="002D48F3" w:rsidRDefault="002D48F3" w:rsidP="002D48F3">
      <w:pPr>
        <w:pStyle w:val="Textoindependiente"/>
        <w:spacing w:after="0"/>
        <w:rPr>
          <w:rFonts w:ascii="Times New Roman" w:hAnsi="Times New Roman"/>
          <w:sz w:val="16"/>
          <w:szCs w:val="24"/>
        </w:rPr>
      </w:pPr>
    </w:p>
    <w:p w:rsidR="002D48F3" w:rsidRDefault="002D48F3" w:rsidP="000968E3">
      <w:pPr>
        <w:pStyle w:val="Textoindependiente"/>
        <w:spacing w:after="0"/>
        <w:ind w:left="1416" w:firstLine="708"/>
        <w:rPr>
          <w:rFonts w:ascii="Times New Roman" w:hAnsi="Times New Roman"/>
          <w:sz w:val="16"/>
          <w:szCs w:val="24"/>
        </w:rPr>
      </w:pPr>
      <w:r w:rsidRPr="00EE52DF">
        <w:rPr>
          <w:rFonts w:ascii="Times New Roman" w:hAnsi="Times New Roman"/>
          <w:sz w:val="16"/>
          <w:szCs w:val="24"/>
        </w:rPr>
        <w:t>Fuente: D</w:t>
      </w:r>
      <w:r>
        <w:rPr>
          <w:rFonts w:ascii="Times New Roman" w:hAnsi="Times New Roman"/>
          <w:sz w:val="16"/>
          <w:szCs w:val="24"/>
        </w:rPr>
        <w:t xml:space="preserve">irección de </w:t>
      </w:r>
      <w:r w:rsidRPr="00EE52DF">
        <w:rPr>
          <w:rFonts w:ascii="Times New Roman" w:hAnsi="Times New Roman"/>
          <w:sz w:val="16"/>
          <w:szCs w:val="24"/>
        </w:rPr>
        <w:t>A</w:t>
      </w:r>
      <w:r>
        <w:rPr>
          <w:rFonts w:ascii="Times New Roman" w:hAnsi="Times New Roman"/>
          <w:sz w:val="16"/>
          <w:szCs w:val="24"/>
        </w:rPr>
        <w:t xml:space="preserve">nálisis y </w:t>
      </w:r>
      <w:r w:rsidRPr="00EE52DF">
        <w:rPr>
          <w:rFonts w:ascii="Times New Roman" w:hAnsi="Times New Roman"/>
          <w:sz w:val="16"/>
          <w:szCs w:val="24"/>
        </w:rPr>
        <w:t>P</w:t>
      </w:r>
      <w:r>
        <w:rPr>
          <w:rFonts w:ascii="Times New Roman" w:hAnsi="Times New Roman"/>
          <w:sz w:val="16"/>
          <w:szCs w:val="24"/>
        </w:rPr>
        <w:t xml:space="preserve">olítica </w:t>
      </w:r>
      <w:r w:rsidRPr="00EE52DF">
        <w:rPr>
          <w:rFonts w:ascii="Times New Roman" w:hAnsi="Times New Roman"/>
          <w:sz w:val="16"/>
          <w:szCs w:val="24"/>
        </w:rPr>
        <w:t>F</w:t>
      </w:r>
      <w:r>
        <w:rPr>
          <w:rFonts w:ascii="Times New Roman" w:hAnsi="Times New Roman"/>
          <w:sz w:val="16"/>
          <w:szCs w:val="24"/>
        </w:rPr>
        <w:t>iscal</w:t>
      </w:r>
      <w:r w:rsidR="00017674">
        <w:rPr>
          <w:rFonts w:ascii="Times New Roman" w:hAnsi="Times New Roman"/>
          <w:sz w:val="16"/>
          <w:szCs w:val="24"/>
        </w:rPr>
        <w:t>.</w:t>
      </w:r>
    </w:p>
    <w:p w:rsidR="002D48F3" w:rsidRDefault="002D48F3" w:rsidP="002D48F3">
      <w:pPr>
        <w:jc w:val="both"/>
        <w:rPr>
          <w:rFonts w:ascii="Times New Roman" w:hAnsi="Times New Roman" w:cs="Times New Roman"/>
          <w:sz w:val="22"/>
          <w:szCs w:val="22"/>
        </w:rPr>
      </w:pP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 xml:space="preserve">Por otro lado, se adjudicaron US$1,200 millones en el mercado internacional de capitales, en dos tramos: </w:t>
      </w:r>
    </w:p>
    <w:p w:rsidR="002D48F3" w:rsidRPr="008B619B" w:rsidRDefault="002D48F3" w:rsidP="002D48F3">
      <w:pPr>
        <w:jc w:val="both"/>
        <w:rPr>
          <w:rFonts w:ascii="Times New Roman" w:hAnsi="Times New Roman" w:cs="Times New Roman"/>
          <w:sz w:val="16"/>
          <w:szCs w:val="22"/>
        </w:rPr>
      </w:pPr>
    </w:p>
    <w:p w:rsidR="002D48F3" w:rsidRPr="002D48F3" w:rsidRDefault="002D48F3" w:rsidP="002D48F3">
      <w:pPr>
        <w:pStyle w:val="Prrafodelista"/>
        <w:numPr>
          <w:ilvl w:val="0"/>
          <w:numId w:val="38"/>
        </w:numPr>
        <w:spacing w:after="160"/>
        <w:jc w:val="both"/>
        <w:rPr>
          <w:rFonts w:ascii="Times New Roman" w:hAnsi="Times New Roman" w:cs="Times New Roman"/>
        </w:rPr>
      </w:pPr>
      <w:r w:rsidRPr="002D48F3">
        <w:rPr>
          <w:rFonts w:ascii="Times New Roman" w:hAnsi="Times New Roman" w:cs="Times New Roman"/>
        </w:rPr>
        <w:t>Primer Tramo: US$500 millones a 12 años plazo, con una tasa de 5.375%</w:t>
      </w:r>
    </w:p>
    <w:p w:rsidR="002D48F3" w:rsidRPr="002D48F3" w:rsidRDefault="002D48F3" w:rsidP="002D48F3">
      <w:pPr>
        <w:pStyle w:val="Prrafodelista"/>
        <w:numPr>
          <w:ilvl w:val="0"/>
          <w:numId w:val="38"/>
        </w:numPr>
        <w:spacing w:after="160"/>
        <w:jc w:val="both"/>
        <w:rPr>
          <w:rFonts w:ascii="Times New Roman" w:hAnsi="Times New Roman" w:cs="Times New Roman"/>
        </w:rPr>
      </w:pPr>
      <w:r w:rsidRPr="002D48F3">
        <w:rPr>
          <w:rFonts w:ascii="Times New Roman" w:hAnsi="Times New Roman" w:cs="Times New Roman"/>
        </w:rPr>
        <w:t>Segundo Tramo: US$700 millones a 30 años plazo, con una tasa de interés de 6.125%</w:t>
      </w: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El primer tramo se estructuró para financiar proyectos sociales para dar respuesta a los efectos negativos del COVID-19. Guatemala fue el primer país en emitir un bono de estas características en Centroamérica y el Caribe y el segundo en Latinoamérica.</w:t>
      </w:r>
    </w:p>
    <w:p w:rsidR="002D48F3" w:rsidRPr="008B619B" w:rsidRDefault="002D48F3" w:rsidP="002D48F3">
      <w:pPr>
        <w:jc w:val="both"/>
        <w:rPr>
          <w:rFonts w:ascii="Times New Roman" w:hAnsi="Times New Roman" w:cs="Times New Roman"/>
          <w:sz w:val="16"/>
          <w:szCs w:val="22"/>
        </w:rPr>
      </w:pP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Del segundo tramo sobresale el plazo cuyo vencimiento que es a 30 años, es decir 2050, y se destinó a formar parte del financiamiento del presupuesto para el ejercicio fiscal 2020.  La colocación de eurobonos alcanzó una demanda histórica que sobrepas</w:t>
      </w:r>
      <w:r w:rsidR="00A9142D">
        <w:rPr>
          <w:rFonts w:ascii="Times New Roman" w:hAnsi="Times New Roman" w:cs="Times New Roman"/>
          <w:sz w:val="22"/>
          <w:szCs w:val="22"/>
        </w:rPr>
        <w:t>ó</w:t>
      </w:r>
      <w:r w:rsidRPr="002D48F3">
        <w:rPr>
          <w:rFonts w:ascii="Times New Roman" w:hAnsi="Times New Roman" w:cs="Times New Roman"/>
          <w:sz w:val="22"/>
          <w:szCs w:val="22"/>
        </w:rPr>
        <w:t xml:space="preserve"> los US$8,100 millones. </w:t>
      </w:r>
    </w:p>
    <w:p w:rsidR="002D48F3" w:rsidRPr="008B619B" w:rsidRDefault="002D48F3" w:rsidP="002D48F3">
      <w:pPr>
        <w:jc w:val="both"/>
        <w:rPr>
          <w:rFonts w:ascii="Times New Roman" w:hAnsi="Times New Roman" w:cs="Times New Roman"/>
          <w:sz w:val="16"/>
          <w:szCs w:val="22"/>
        </w:rPr>
      </w:pP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En 2020, el país optó por diversas fuentes de financiamiento del gasto público, a través de fondos del mercado local, la banca multilateral y los mercados globales. Las condiciones favorables obtenidas en las diferentes colocaciones externas e internas, así como en los préstamos negociados refleja la alta credibilidad que goza Guatemala, al ser considerado un país que honra sus compromisos con los tenedores de títulos de deuda, en donde a pesar de la desaceleración económica nacional y mundial y la recuperación incierta por la incertidumbre en torno al COVID-19, se mantiene la confianza en los bonos nacionales.</w:t>
      </w:r>
      <w:r w:rsidR="000968E3">
        <w:rPr>
          <w:rFonts w:ascii="Times New Roman" w:hAnsi="Times New Roman" w:cs="Times New Roman"/>
          <w:sz w:val="22"/>
          <w:szCs w:val="22"/>
        </w:rPr>
        <w:t xml:space="preserve">  </w:t>
      </w:r>
      <w:r w:rsidRPr="002D48F3">
        <w:rPr>
          <w:rFonts w:ascii="Times New Roman" w:hAnsi="Times New Roman" w:cs="Times New Roman"/>
          <w:sz w:val="22"/>
          <w:szCs w:val="22"/>
        </w:rPr>
        <w:t>Por otro lado, los desembolsos de préstamos externos al cierre de 2020, se mostraron bastante dinámicos con un nivel de Q4,17</w:t>
      </w:r>
      <w:r w:rsidR="00513A4A">
        <w:rPr>
          <w:rFonts w:ascii="Times New Roman" w:hAnsi="Times New Roman" w:cs="Times New Roman"/>
          <w:sz w:val="22"/>
          <w:szCs w:val="22"/>
        </w:rPr>
        <w:t>9</w:t>
      </w:r>
      <w:r w:rsidRPr="002D48F3">
        <w:rPr>
          <w:rFonts w:ascii="Times New Roman" w:hAnsi="Times New Roman" w:cs="Times New Roman"/>
          <w:sz w:val="22"/>
          <w:szCs w:val="22"/>
        </w:rPr>
        <w:t>.</w:t>
      </w:r>
      <w:r w:rsidR="00513A4A">
        <w:rPr>
          <w:rFonts w:ascii="Times New Roman" w:hAnsi="Times New Roman" w:cs="Times New Roman"/>
          <w:sz w:val="22"/>
          <w:szCs w:val="22"/>
        </w:rPr>
        <w:t>2</w:t>
      </w:r>
      <w:r w:rsidRPr="002D48F3">
        <w:rPr>
          <w:rFonts w:ascii="Times New Roman" w:hAnsi="Times New Roman" w:cs="Times New Roman"/>
          <w:sz w:val="22"/>
          <w:szCs w:val="22"/>
        </w:rPr>
        <w:t xml:space="preserve"> millones, mostrando un aumento en los desembolsos obtenidos por Q3,553.</w:t>
      </w:r>
      <w:r w:rsidR="00513A4A">
        <w:rPr>
          <w:rFonts w:ascii="Times New Roman" w:hAnsi="Times New Roman" w:cs="Times New Roman"/>
          <w:sz w:val="22"/>
          <w:szCs w:val="22"/>
        </w:rPr>
        <w:t>8</w:t>
      </w:r>
      <w:r w:rsidRPr="002D48F3">
        <w:rPr>
          <w:rFonts w:ascii="Times New Roman" w:hAnsi="Times New Roman" w:cs="Times New Roman"/>
          <w:sz w:val="22"/>
          <w:szCs w:val="22"/>
        </w:rPr>
        <w:t xml:space="preserve"> millones, es decir, una variación interanual positiva de 568.2% con respecto al mismo periodo del año anterior, esto se debió a que se negociaron préstamos nuevos y se logró liberar otros préstamos que desde hace varios años estaban entrampados en el Congreso de la República, esto como consecuencia de la emergencia sanitaria y económica del COVID-19 que hacía indispensable una respuesta precisa y rápida por parte del Organismo Legislativo. </w:t>
      </w:r>
    </w:p>
    <w:p w:rsidR="002D48F3" w:rsidRPr="008B619B" w:rsidRDefault="002D48F3" w:rsidP="002D48F3">
      <w:pPr>
        <w:jc w:val="both"/>
        <w:rPr>
          <w:rFonts w:ascii="Times New Roman" w:hAnsi="Times New Roman" w:cs="Times New Roman"/>
          <w:sz w:val="16"/>
          <w:szCs w:val="22"/>
        </w:rPr>
      </w:pP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De los Q5,744.1 millones presupuestados para 2020, se obtuvo una ejecución de 72.</w:t>
      </w:r>
      <w:r w:rsidR="001118EA">
        <w:rPr>
          <w:rFonts w:ascii="Times New Roman" w:hAnsi="Times New Roman" w:cs="Times New Roman"/>
          <w:sz w:val="22"/>
          <w:szCs w:val="22"/>
        </w:rPr>
        <w:t>8</w:t>
      </w:r>
      <w:r w:rsidRPr="002D48F3">
        <w:rPr>
          <w:rFonts w:ascii="Times New Roman" w:hAnsi="Times New Roman" w:cs="Times New Roman"/>
          <w:sz w:val="22"/>
          <w:szCs w:val="22"/>
        </w:rPr>
        <w:t>%.  El préstamo con mayor desembolso con respecto a lo programado fue el Programa de Desarrollo de la Infraestructura Vial con 99.4%, seguidamente del Segundo Préstamo para Políticas de Desarrollo sobre Gestión del Riesgo de Desastres con una opción de desembolso diferido ante catástrofes (CAT DDO) con 94.6%.</w:t>
      </w:r>
      <w:r w:rsidR="000968E3">
        <w:rPr>
          <w:rFonts w:ascii="Times New Roman" w:hAnsi="Times New Roman" w:cs="Times New Roman"/>
          <w:sz w:val="22"/>
          <w:szCs w:val="22"/>
        </w:rPr>
        <w:t xml:space="preserve">  </w:t>
      </w:r>
      <w:r w:rsidRPr="002D48F3">
        <w:rPr>
          <w:rFonts w:ascii="Times New Roman" w:hAnsi="Times New Roman" w:cs="Times New Roman"/>
          <w:sz w:val="22"/>
          <w:szCs w:val="22"/>
        </w:rPr>
        <w:t xml:space="preserve">Asimismo, hay otras operaciones cuyos desembolsos están por encima del monto presupuestado, tal es el caso del Apoyo a Proyectos de Inversión en Infraestructura Social y Productiva, el Programa de Fortalecimiento de la Red Institucional de Servicios de Salud (PRORISS) y el Programa de Mejoramiento de Carreteras en Zonapaz. Esto se relaciona a préstamos en ejecución donde el desempeño de la ejecución de los proyectos que son financiados con estas operaciones fue alto y demandaron más recursos de lo esperado. </w:t>
      </w:r>
    </w:p>
    <w:p w:rsidR="000968E3" w:rsidRPr="008B619B" w:rsidRDefault="000968E3" w:rsidP="002D48F3">
      <w:pPr>
        <w:jc w:val="both"/>
        <w:rPr>
          <w:rFonts w:ascii="Times New Roman" w:hAnsi="Times New Roman" w:cs="Times New Roman"/>
          <w:sz w:val="16"/>
          <w:szCs w:val="22"/>
        </w:rPr>
      </w:pPr>
    </w:p>
    <w:p w:rsidR="002D48F3" w:rsidRPr="000968E3" w:rsidRDefault="002D48F3" w:rsidP="000968E3">
      <w:pPr>
        <w:pStyle w:val="Sinespaciado"/>
        <w:jc w:val="center"/>
        <w:rPr>
          <w:rFonts w:ascii="Times New Roman" w:hAnsi="Times New Roman" w:cs="Times New Roman"/>
          <w:b/>
        </w:rPr>
      </w:pPr>
      <w:r w:rsidRPr="002D48F3">
        <w:rPr>
          <w:rFonts w:ascii="Times New Roman" w:hAnsi="Times New Roman" w:cs="Times New Roman"/>
          <w:b/>
        </w:rPr>
        <w:t>Desembolsos de Pr</w:t>
      </w:r>
      <w:r w:rsidR="000968E3">
        <w:rPr>
          <w:rFonts w:ascii="Times New Roman" w:hAnsi="Times New Roman" w:cs="Times New Roman"/>
          <w:b/>
        </w:rPr>
        <w:t xml:space="preserve">éstamos por Organismo y Destino </w:t>
      </w:r>
      <w:r w:rsidRPr="000968E3">
        <w:rPr>
          <w:rFonts w:ascii="Times New Roman" w:hAnsi="Times New Roman" w:cs="Times New Roman"/>
          <w:b/>
          <w:sz w:val="20"/>
        </w:rPr>
        <w:t>2020</w:t>
      </w:r>
    </w:p>
    <w:p w:rsidR="002D48F3" w:rsidRDefault="002D48F3" w:rsidP="002D48F3">
      <w:pPr>
        <w:pStyle w:val="Sinespaciado"/>
        <w:jc w:val="center"/>
        <w:rPr>
          <w:rFonts w:ascii="Times New Roman" w:hAnsi="Times New Roman" w:cs="Times New Roman"/>
          <w:sz w:val="20"/>
        </w:rPr>
      </w:pPr>
      <w:r w:rsidRPr="00EA34D1">
        <w:rPr>
          <w:rFonts w:ascii="Times New Roman" w:hAnsi="Times New Roman" w:cs="Times New Roman"/>
          <w:sz w:val="20"/>
        </w:rPr>
        <w:t>Millones de quetzales y Porcentajes</w:t>
      </w:r>
    </w:p>
    <w:tbl>
      <w:tblPr>
        <w:tblW w:w="9214" w:type="dxa"/>
        <w:jc w:val="center"/>
        <w:tblCellMar>
          <w:left w:w="70" w:type="dxa"/>
          <w:right w:w="70" w:type="dxa"/>
        </w:tblCellMar>
        <w:tblLook w:val="04A0" w:firstRow="1" w:lastRow="0" w:firstColumn="1" w:lastColumn="0" w:noHBand="0" w:noVBand="1"/>
      </w:tblPr>
      <w:tblGrid>
        <w:gridCol w:w="6227"/>
        <w:gridCol w:w="993"/>
        <w:gridCol w:w="1134"/>
        <w:gridCol w:w="860"/>
      </w:tblGrid>
      <w:tr w:rsidR="002D48F3" w:rsidRPr="001D7989" w:rsidTr="000968E3">
        <w:trPr>
          <w:trHeight w:val="361"/>
          <w:jc w:val="center"/>
        </w:trPr>
        <w:tc>
          <w:tcPr>
            <w:tcW w:w="6227" w:type="dxa"/>
            <w:tcBorders>
              <w:top w:val="single" w:sz="8" w:space="0" w:color="auto"/>
              <w:left w:val="single" w:sz="8" w:space="0" w:color="auto"/>
              <w:bottom w:val="single" w:sz="8" w:space="0" w:color="auto"/>
              <w:right w:val="single" w:sz="8" w:space="0" w:color="auto"/>
            </w:tcBorders>
            <w:shd w:val="clear" w:color="000000" w:fill="4F81BD"/>
            <w:noWrap/>
            <w:vAlign w:val="center"/>
            <w:hideMark/>
          </w:tcPr>
          <w:p w:rsidR="002D48F3" w:rsidRPr="001D7989" w:rsidRDefault="002D48F3" w:rsidP="00B63DA6">
            <w:pPr>
              <w:jc w:val="center"/>
              <w:rPr>
                <w:rFonts w:ascii="Times New Roman" w:eastAsia="Times New Roman" w:hAnsi="Times New Roman" w:cs="Times New Roman"/>
                <w:b/>
                <w:bCs/>
                <w:color w:val="FFFFFF"/>
                <w:sz w:val="16"/>
                <w:szCs w:val="16"/>
                <w:lang w:eastAsia="es-GT"/>
              </w:rPr>
            </w:pPr>
            <w:r w:rsidRPr="001D7989">
              <w:rPr>
                <w:rFonts w:ascii="Times New Roman" w:eastAsia="Times New Roman" w:hAnsi="Times New Roman" w:cs="Times New Roman"/>
                <w:b/>
                <w:bCs/>
                <w:color w:val="FFFFFF"/>
                <w:sz w:val="16"/>
                <w:szCs w:val="16"/>
                <w:lang w:eastAsia="es-GT"/>
              </w:rPr>
              <w:t>Organismo y Destino</w:t>
            </w:r>
          </w:p>
        </w:tc>
        <w:tc>
          <w:tcPr>
            <w:tcW w:w="993" w:type="dxa"/>
            <w:tcBorders>
              <w:top w:val="single" w:sz="8" w:space="0" w:color="auto"/>
              <w:left w:val="nil"/>
              <w:bottom w:val="single" w:sz="8" w:space="0" w:color="auto"/>
              <w:right w:val="single" w:sz="8" w:space="0" w:color="auto"/>
            </w:tcBorders>
            <w:shd w:val="clear" w:color="000000" w:fill="4F81BD"/>
            <w:vAlign w:val="center"/>
            <w:hideMark/>
          </w:tcPr>
          <w:p w:rsidR="002D48F3" w:rsidRPr="001D7989" w:rsidRDefault="002D48F3" w:rsidP="00B63DA6">
            <w:pPr>
              <w:jc w:val="center"/>
              <w:rPr>
                <w:rFonts w:ascii="Times New Roman" w:eastAsia="Times New Roman" w:hAnsi="Times New Roman" w:cs="Times New Roman"/>
                <w:b/>
                <w:bCs/>
                <w:color w:val="FFFFFF"/>
                <w:sz w:val="16"/>
                <w:szCs w:val="16"/>
                <w:lang w:eastAsia="es-GT"/>
              </w:rPr>
            </w:pPr>
            <w:r w:rsidRPr="001D7989">
              <w:rPr>
                <w:rFonts w:ascii="Times New Roman" w:eastAsia="Times New Roman" w:hAnsi="Times New Roman" w:cs="Times New Roman"/>
                <w:b/>
                <w:bCs/>
                <w:color w:val="FFFFFF"/>
                <w:sz w:val="16"/>
                <w:szCs w:val="16"/>
                <w:lang w:eastAsia="es-GT"/>
              </w:rPr>
              <w:t>Vigente en Millones</w:t>
            </w:r>
          </w:p>
        </w:tc>
        <w:tc>
          <w:tcPr>
            <w:tcW w:w="1134" w:type="dxa"/>
            <w:tcBorders>
              <w:top w:val="single" w:sz="8" w:space="0" w:color="auto"/>
              <w:left w:val="nil"/>
              <w:bottom w:val="single" w:sz="8" w:space="0" w:color="auto"/>
              <w:right w:val="single" w:sz="8" w:space="0" w:color="auto"/>
            </w:tcBorders>
            <w:shd w:val="clear" w:color="000000" w:fill="4F81BD"/>
            <w:vAlign w:val="center"/>
            <w:hideMark/>
          </w:tcPr>
          <w:p w:rsidR="002D48F3" w:rsidRPr="001D7989" w:rsidRDefault="002D48F3" w:rsidP="00B63DA6">
            <w:pPr>
              <w:jc w:val="center"/>
              <w:rPr>
                <w:rFonts w:ascii="Times New Roman" w:eastAsia="Times New Roman" w:hAnsi="Times New Roman" w:cs="Times New Roman"/>
                <w:b/>
                <w:bCs/>
                <w:color w:val="FFFFFF"/>
                <w:sz w:val="16"/>
                <w:szCs w:val="16"/>
                <w:lang w:eastAsia="es-GT"/>
              </w:rPr>
            </w:pPr>
            <w:r w:rsidRPr="001D7989">
              <w:rPr>
                <w:rFonts w:ascii="Times New Roman" w:eastAsia="Times New Roman" w:hAnsi="Times New Roman" w:cs="Times New Roman"/>
                <w:b/>
                <w:bCs/>
                <w:color w:val="FFFFFF"/>
                <w:sz w:val="16"/>
                <w:szCs w:val="16"/>
                <w:lang w:eastAsia="es-GT"/>
              </w:rPr>
              <w:t>Devengado en Millones</w:t>
            </w:r>
          </w:p>
        </w:tc>
        <w:tc>
          <w:tcPr>
            <w:tcW w:w="860" w:type="dxa"/>
            <w:tcBorders>
              <w:top w:val="single" w:sz="8" w:space="0" w:color="auto"/>
              <w:left w:val="nil"/>
              <w:bottom w:val="single" w:sz="8" w:space="0" w:color="auto"/>
              <w:right w:val="single" w:sz="8" w:space="0" w:color="auto"/>
            </w:tcBorders>
            <w:shd w:val="clear" w:color="000000" w:fill="4F81BD"/>
            <w:vAlign w:val="center"/>
            <w:hideMark/>
          </w:tcPr>
          <w:p w:rsidR="002D48F3" w:rsidRPr="001D7989" w:rsidRDefault="002D48F3" w:rsidP="00B63DA6">
            <w:pPr>
              <w:jc w:val="center"/>
              <w:rPr>
                <w:rFonts w:ascii="Times New Roman" w:eastAsia="Times New Roman" w:hAnsi="Times New Roman" w:cs="Times New Roman"/>
                <w:b/>
                <w:bCs/>
                <w:color w:val="FFFFFF"/>
                <w:sz w:val="16"/>
                <w:szCs w:val="16"/>
                <w:lang w:eastAsia="es-GT"/>
              </w:rPr>
            </w:pPr>
            <w:r w:rsidRPr="001D7989">
              <w:rPr>
                <w:rFonts w:ascii="Times New Roman" w:eastAsia="Times New Roman" w:hAnsi="Times New Roman" w:cs="Times New Roman"/>
                <w:b/>
                <w:bCs/>
                <w:color w:val="FFFFFF"/>
                <w:sz w:val="16"/>
                <w:szCs w:val="16"/>
                <w:lang w:eastAsia="es-GT"/>
              </w:rPr>
              <w:t>% de Ejecución</w:t>
            </w:r>
          </w:p>
        </w:tc>
      </w:tr>
      <w:tr w:rsidR="002D48F3" w:rsidRPr="001D7989" w:rsidTr="000968E3">
        <w:trPr>
          <w:trHeight w:val="111"/>
          <w:jc w:val="center"/>
        </w:trPr>
        <w:tc>
          <w:tcPr>
            <w:tcW w:w="6227" w:type="dxa"/>
            <w:tcBorders>
              <w:top w:val="nil"/>
              <w:left w:val="single" w:sz="8" w:space="0" w:color="auto"/>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TOTAL</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5,744.1</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1118EA">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4,17</w:t>
            </w:r>
            <w:r w:rsidR="001118EA">
              <w:rPr>
                <w:rFonts w:ascii="Times New Roman" w:eastAsia="Times New Roman" w:hAnsi="Times New Roman" w:cs="Times New Roman"/>
                <w:b/>
                <w:bCs/>
                <w:color w:val="333333"/>
                <w:sz w:val="16"/>
                <w:szCs w:val="16"/>
                <w:lang w:eastAsia="es-GT"/>
              </w:rPr>
              <w:t>9</w:t>
            </w:r>
            <w:r w:rsidRPr="001D7989">
              <w:rPr>
                <w:rFonts w:ascii="Times New Roman" w:eastAsia="Times New Roman" w:hAnsi="Times New Roman" w:cs="Times New Roman"/>
                <w:b/>
                <w:bCs/>
                <w:color w:val="333333"/>
                <w:sz w:val="16"/>
                <w:szCs w:val="16"/>
                <w:lang w:eastAsia="es-GT"/>
              </w:rPr>
              <w:t>.</w:t>
            </w:r>
            <w:r w:rsidR="001118EA">
              <w:rPr>
                <w:rFonts w:ascii="Times New Roman" w:eastAsia="Times New Roman" w:hAnsi="Times New Roman" w:cs="Times New Roman"/>
                <w:b/>
                <w:bCs/>
                <w:color w:val="333333"/>
                <w:sz w:val="16"/>
                <w:szCs w:val="16"/>
                <w:lang w:eastAsia="es-GT"/>
              </w:rPr>
              <w:t>2</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1118EA">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72.</w:t>
            </w:r>
            <w:r w:rsidR="001118EA">
              <w:rPr>
                <w:rFonts w:ascii="Times New Roman" w:eastAsia="Times New Roman" w:hAnsi="Times New Roman" w:cs="Times New Roman"/>
                <w:b/>
                <w:bCs/>
                <w:color w:val="333333"/>
                <w:sz w:val="16"/>
                <w:szCs w:val="16"/>
                <w:lang w:eastAsia="es-GT"/>
              </w:rPr>
              <w:t>8</w:t>
            </w:r>
          </w:p>
        </w:tc>
      </w:tr>
      <w:tr w:rsidR="002D48F3" w:rsidRPr="001D7989" w:rsidTr="008B619B">
        <w:trPr>
          <w:trHeight w:val="60"/>
          <w:jc w:val="center"/>
        </w:trPr>
        <w:tc>
          <w:tcPr>
            <w:tcW w:w="6227" w:type="dxa"/>
            <w:tcBorders>
              <w:top w:val="nil"/>
              <w:left w:val="single" w:sz="8" w:space="0" w:color="auto"/>
              <w:bottom w:val="dotted" w:sz="4" w:space="0" w:color="auto"/>
              <w:right w:val="single" w:sz="8" w:space="0" w:color="auto"/>
            </w:tcBorders>
            <w:shd w:val="clear" w:color="000000" w:fill="B8CCE4"/>
            <w:noWrap/>
            <w:vAlign w:val="center"/>
            <w:hideMark/>
          </w:tcPr>
          <w:p w:rsidR="002D48F3" w:rsidRPr="001D7989" w:rsidRDefault="002D48F3" w:rsidP="00B63DA6">
            <w:pP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Banco Centroamericano de Integración Económica</w:t>
            </w:r>
          </w:p>
        </w:tc>
        <w:tc>
          <w:tcPr>
            <w:tcW w:w="993"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520.4</w:t>
            </w:r>
          </w:p>
        </w:tc>
        <w:tc>
          <w:tcPr>
            <w:tcW w:w="1134"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157.8</w:t>
            </w:r>
          </w:p>
        </w:tc>
        <w:tc>
          <w:tcPr>
            <w:tcW w:w="860"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30.3</w:t>
            </w:r>
          </w:p>
        </w:tc>
      </w:tr>
      <w:tr w:rsidR="002D48F3" w:rsidRPr="001D7989" w:rsidTr="000968E3">
        <w:trPr>
          <w:trHeight w:val="282"/>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APOYO A PROYECTOS DE INVERSION EN INFRAESTRUCTURA SOCIAL Y PRODUCTIVA DE LA REPÚBLICA DE GUATEMALA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14.1</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85.4</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605.3</w:t>
            </w:r>
          </w:p>
        </w:tc>
      </w:tr>
      <w:tr w:rsidR="002D48F3" w:rsidRPr="001D7989" w:rsidTr="008B619B">
        <w:trPr>
          <w:trHeight w:val="167"/>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INVERSION EN INFRAESTRUCTURA Y EQUIPAMIENTO HOSPITALARIO</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15.0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11.2</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74.9</w:t>
            </w:r>
          </w:p>
        </w:tc>
      </w:tr>
      <w:tr w:rsidR="002D48F3" w:rsidRPr="001D7989" w:rsidTr="008B619B">
        <w:trPr>
          <w:trHeight w:val="101"/>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INVERSIÓN Y MODERNIZACIÓN PARA EL SECTOR JUSTICIA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405.3</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55.6</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13.7</w:t>
            </w:r>
          </w:p>
        </w:tc>
      </w:tr>
      <w:tr w:rsidR="002D48F3" w:rsidRPr="001D7989" w:rsidTr="008B619B">
        <w:trPr>
          <w:trHeight w:val="317"/>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PROY AMPLIAC, MEJORAM Y MODERNIZ EQUIP REDES DE OBSERV SISMOLOG, METEOR E HIDRO P PREV DESAS NATURA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9.1</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163"/>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PROYECTO VIAL FRANJA TRANSVERSAL DEL NORTE</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76.8</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5.6</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7.3</w:t>
            </w:r>
          </w:p>
        </w:tc>
      </w:tr>
      <w:tr w:rsidR="002D48F3" w:rsidRPr="001D7989" w:rsidTr="000968E3">
        <w:trPr>
          <w:trHeight w:val="124"/>
          <w:jc w:val="center"/>
        </w:trPr>
        <w:tc>
          <w:tcPr>
            <w:tcW w:w="6227" w:type="dxa"/>
            <w:tcBorders>
              <w:top w:val="nil"/>
              <w:left w:val="single" w:sz="8" w:space="0" w:color="auto"/>
              <w:bottom w:val="dotted" w:sz="4" w:space="0" w:color="auto"/>
              <w:right w:val="single" w:sz="8" w:space="0" w:color="auto"/>
            </w:tcBorders>
            <w:shd w:val="clear" w:color="000000" w:fill="B8CCE4"/>
            <w:noWrap/>
            <w:vAlign w:val="center"/>
            <w:hideMark/>
          </w:tcPr>
          <w:p w:rsidR="002D48F3" w:rsidRPr="001D7989" w:rsidRDefault="002D48F3" w:rsidP="00B63DA6">
            <w:pP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Banco Interamericano de Desarrollo</w:t>
            </w:r>
          </w:p>
        </w:tc>
        <w:tc>
          <w:tcPr>
            <w:tcW w:w="993"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2,920.8</w:t>
            </w:r>
          </w:p>
        </w:tc>
        <w:tc>
          <w:tcPr>
            <w:tcW w:w="1134"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2,189.5</w:t>
            </w:r>
          </w:p>
        </w:tc>
        <w:tc>
          <w:tcPr>
            <w:tcW w:w="860"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75.0</w:t>
            </w:r>
          </w:p>
        </w:tc>
      </w:tr>
      <w:tr w:rsidR="002D48F3" w:rsidRPr="001D7989" w:rsidTr="000968E3">
        <w:trPr>
          <w:trHeight w:val="197"/>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ADMINISTRACION TRIBUTARIA Y TRANSPARENCIA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2,457.7</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1,936.3</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78.8</w:t>
            </w:r>
          </w:p>
        </w:tc>
      </w:tr>
      <w:tr w:rsidR="002D48F3" w:rsidRPr="001D7989" w:rsidTr="000968E3">
        <w:trPr>
          <w:trHeight w:val="273"/>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AGUA POTABLE Y SANEAMIENTO PARA EL DESARROLLO HUMANO (FASE I)</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25.5</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207"/>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APOYO A INVERSIONES ESTRATEGICAS Y TRANSFORMACION PRODUCTIVA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1118EA">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w:t>
            </w:r>
            <w:r w:rsidR="001118EA">
              <w:rPr>
                <w:rFonts w:ascii="Times New Roman" w:eastAsia="Times New Roman" w:hAnsi="Times New Roman" w:cs="Times New Roman"/>
                <w:color w:val="333333"/>
                <w:sz w:val="16"/>
                <w:szCs w:val="16"/>
                <w:lang w:eastAsia="es-GT"/>
              </w:rPr>
              <w:t>4</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1118EA" w:rsidP="00B63DA6">
            <w:pPr>
              <w:jc w:val="center"/>
              <w:rPr>
                <w:rFonts w:ascii="Times New Roman" w:eastAsia="Times New Roman" w:hAnsi="Times New Roman" w:cs="Times New Roman"/>
                <w:color w:val="333333"/>
                <w:sz w:val="16"/>
                <w:szCs w:val="16"/>
                <w:lang w:eastAsia="es-GT"/>
              </w:rPr>
            </w:pPr>
            <w:r>
              <w:rPr>
                <w:rFonts w:ascii="Times New Roman" w:eastAsia="Times New Roman" w:hAnsi="Times New Roman" w:cs="Times New Roman"/>
                <w:color w:val="333333"/>
                <w:sz w:val="16"/>
                <w:szCs w:val="16"/>
                <w:lang w:eastAsia="es-GT"/>
              </w:rPr>
              <w:t>37.9</w:t>
            </w:r>
          </w:p>
        </w:tc>
      </w:tr>
      <w:tr w:rsidR="002D48F3" w:rsidRPr="001D7989" w:rsidTr="000968E3">
        <w:trPr>
          <w:trHeight w:val="127"/>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DESARROLLO DE LA INFRAESTRUCTURA VIAL</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40.0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39.7</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99.4</w:t>
            </w:r>
          </w:p>
        </w:tc>
      </w:tr>
      <w:tr w:rsidR="002D48F3" w:rsidRPr="001D7989" w:rsidTr="000968E3">
        <w:trPr>
          <w:trHeight w:val="371"/>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FORTALECIMIENTO DE LA RED INSTITUCIONAL DE SERVICIOS DE SALUD (PRORISS)</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15.0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15.0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100.2</w:t>
            </w:r>
          </w:p>
        </w:tc>
      </w:tr>
      <w:tr w:rsidR="002D48F3" w:rsidRPr="001D7989" w:rsidTr="000968E3">
        <w:trPr>
          <w:trHeight w:val="263"/>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FORTALECIMIENTO Y MODERNIZACION DEL MINISTERIO PUBLICO</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126.6</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42.2</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33.4</w:t>
            </w:r>
          </w:p>
        </w:tc>
      </w:tr>
      <w:tr w:rsidR="002D48F3" w:rsidRPr="001D7989" w:rsidTr="000968E3">
        <w:trPr>
          <w:trHeight w:val="197"/>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MI ESCUELA PROGRESA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50.0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285"/>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PARA EL MEJORAMIENTO DE LA COBERTURA Y CALIDAD EDUCATIVA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188.2</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156.1</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83.0</w:t>
            </w:r>
          </w:p>
        </w:tc>
      </w:tr>
      <w:tr w:rsidR="002D48F3" w:rsidRPr="001D7989" w:rsidTr="008B619B">
        <w:trPr>
          <w:trHeight w:val="93"/>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PROYECTO DE APOYO AL PROGRAMA DE DESARROLLO ECONOMICO DESDE LO RURAL</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16.8</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139"/>
          <w:jc w:val="center"/>
        </w:trPr>
        <w:tc>
          <w:tcPr>
            <w:tcW w:w="6227" w:type="dxa"/>
            <w:tcBorders>
              <w:top w:val="nil"/>
              <w:left w:val="single" w:sz="8" w:space="0" w:color="auto"/>
              <w:bottom w:val="dotted" w:sz="4" w:space="0" w:color="auto"/>
              <w:right w:val="single" w:sz="8" w:space="0" w:color="auto"/>
            </w:tcBorders>
            <w:shd w:val="clear" w:color="000000" w:fill="B8CCE4"/>
            <w:noWrap/>
            <w:vAlign w:val="center"/>
            <w:hideMark/>
          </w:tcPr>
          <w:p w:rsidR="002D48F3" w:rsidRPr="001D7989" w:rsidRDefault="002D48F3" w:rsidP="00B63DA6">
            <w:pP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Banco Internacional de Reconstrucción y Fomento</w:t>
            </w:r>
          </w:p>
        </w:tc>
        <w:tc>
          <w:tcPr>
            <w:tcW w:w="993"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2,019.3</w:t>
            </w:r>
          </w:p>
        </w:tc>
        <w:tc>
          <w:tcPr>
            <w:tcW w:w="1134"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1,542.1</w:t>
            </w:r>
          </w:p>
        </w:tc>
        <w:tc>
          <w:tcPr>
            <w:tcW w:w="860"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76.4</w:t>
            </w:r>
          </w:p>
        </w:tc>
      </w:tr>
      <w:tr w:rsidR="002D48F3" w:rsidRPr="001D7989" w:rsidTr="000968E3">
        <w:trPr>
          <w:trHeight w:val="255"/>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CRECER SANO: PROYECTO DE NUTRICIÓN Y SALUD EN GUATEMALA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150.8</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424"/>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PRIMER PRÉSTAMO DE POLÍTICAS DE DESARROLLO PARA LA MEJORA DE LA GOBERNANZA DE LOS RECURSOS PÚBLICOS Y NUTRICIÓN</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204.0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332"/>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PROYECTO DE INFRAESTRUCTURA URBANA Y PREVENCIÓN DE LA VIOLENCIA</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34.6</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394"/>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SEGUNDO PRESTAMO PARA POLITICAS DE DESARROLLO SOBRE GESTION DEL RIESGO DE DESASTRES CON UNA OPCION DE DESEMBOLSO DIFERIDO ANTE CATASTROFES (CAT DDO)</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1,630.0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1,542.1</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94.6</w:t>
            </w:r>
          </w:p>
        </w:tc>
      </w:tr>
      <w:tr w:rsidR="002D48F3" w:rsidRPr="001D7989" w:rsidTr="008B619B">
        <w:trPr>
          <w:trHeight w:val="95"/>
          <w:jc w:val="center"/>
        </w:trPr>
        <w:tc>
          <w:tcPr>
            <w:tcW w:w="6227" w:type="dxa"/>
            <w:tcBorders>
              <w:top w:val="nil"/>
              <w:left w:val="single" w:sz="8" w:space="0" w:color="auto"/>
              <w:bottom w:val="dotted" w:sz="4" w:space="0" w:color="auto"/>
              <w:right w:val="single" w:sz="8" w:space="0" w:color="auto"/>
            </w:tcBorders>
            <w:shd w:val="clear" w:color="000000" w:fill="B8CCE4"/>
            <w:noWrap/>
            <w:vAlign w:val="center"/>
            <w:hideMark/>
          </w:tcPr>
          <w:p w:rsidR="002D48F3" w:rsidRPr="001D7989" w:rsidRDefault="002D48F3" w:rsidP="00B63DA6">
            <w:pP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Kreditanstalt Fur Wiederaufbau</w:t>
            </w:r>
          </w:p>
        </w:tc>
        <w:tc>
          <w:tcPr>
            <w:tcW w:w="993"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99.5</w:t>
            </w:r>
          </w:p>
        </w:tc>
        <w:tc>
          <w:tcPr>
            <w:tcW w:w="1134"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5.7</w:t>
            </w:r>
          </w:p>
        </w:tc>
        <w:tc>
          <w:tcPr>
            <w:tcW w:w="860"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5.7</w:t>
            </w:r>
          </w:p>
        </w:tc>
      </w:tr>
      <w:tr w:rsidR="002D48F3" w:rsidRPr="001D7989" w:rsidTr="000968E3">
        <w:trPr>
          <w:trHeight w:val="60"/>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PROYECTO DE EDUCACIÓN RURAL V (PROEDUC V)</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99.5</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5.7</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5.7</w:t>
            </w:r>
          </w:p>
        </w:tc>
      </w:tr>
      <w:tr w:rsidR="002D48F3" w:rsidRPr="001D7989" w:rsidTr="000968E3">
        <w:trPr>
          <w:trHeight w:val="123"/>
          <w:jc w:val="center"/>
        </w:trPr>
        <w:tc>
          <w:tcPr>
            <w:tcW w:w="6227" w:type="dxa"/>
            <w:tcBorders>
              <w:top w:val="nil"/>
              <w:left w:val="single" w:sz="8" w:space="0" w:color="auto"/>
              <w:bottom w:val="dotted" w:sz="4" w:space="0" w:color="auto"/>
              <w:right w:val="single" w:sz="8" w:space="0" w:color="auto"/>
            </w:tcBorders>
            <w:shd w:val="clear" w:color="000000" w:fill="B8CCE4"/>
            <w:noWrap/>
            <w:vAlign w:val="center"/>
            <w:hideMark/>
          </w:tcPr>
          <w:p w:rsidR="002D48F3" w:rsidRPr="001D7989" w:rsidRDefault="002D48F3" w:rsidP="00B63DA6">
            <w:pPr>
              <w:rPr>
                <w:rFonts w:ascii="Times New Roman" w:eastAsia="Times New Roman" w:hAnsi="Times New Roman" w:cs="Times New Roman"/>
                <w:b/>
                <w:bCs/>
                <w:color w:val="333333"/>
                <w:sz w:val="16"/>
                <w:szCs w:val="16"/>
                <w:lang w:val="en-US" w:eastAsia="es-GT"/>
              </w:rPr>
            </w:pPr>
            <w:r w:rsidRPr="001D7989">
              <w:rPr>
                <w:rFonts w:ascii="Times New Roman" w:eastAsia="Times New Roman" w:hAnsi="Times New Roman" w:cs="Times New Roman"/>
                <w:b/>
                <w:bCs/>
                <w:color w:val="333333"/>
                <w:sz w:val="16"/>
                <w:szCs w:val="16"/>
                <w:lang w:val="en-US" w:eastAsia="es-GT"/>
              </w:rPr>
              <w:t>The OPEC Fund for International Development</w:t>
            </w:r>
          </w:p>
        </w:tc>
        <w:tc>
          <w:tcPr>
            <w:tcW w:w="993"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35.5</w:t>
            </w:r>
          </w:p>
        </w:tc>
        <w:tc>
          <w:tcPr>
            <w:tcW w:w="1134"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0.7</w:t>
            </w:r>
          </w:p>
        </w:tc>
        <w:tc>
          <w:tcPr>
            <w:tcW w:w="860"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2.0</w:t>
            </w:r>
          </w:p>
        </w:tc>
      </w:tr>
      <w:tr w:rsidR="002D48F3" w:rsidRPr="001D7989" w:rsidTr="000968E3">
        <w:trPr>
          <w:trHeight w:val="353"/>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DESARROLLO RURAL SUSTENTABLE PARA LA REGION DEL NORTE -PRODENORTE-</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20.5</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0.7</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3.4</w:t>
            </w:r>
          </w:p>
        </w:tc>
      </w:tr>
      <w:tr w:rsidR="002D48F3" w:rsidRPr="001D7989" w:rsidTr="000968E3">
        <w:trPr>
          <w:trHeight w:val="131"/>
          <w:jc w:val="center"/>
        </w:trPr>
        <w:tc>
          <w:tcPr>
            <w:tcW w:w="6227" w:type="dxa"/>
            <w:tcBorders>
              <w:top w:val="nil"/>
              <w:left w:val="single" w:sz="8" w:space="0" w:color="auto"/>
              <w:bottom w:val="dotted" w:sz="4"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SEGUNDO PROYECTO FIS, PRESTAMO NO. 797-P</w:t>
            </w:r>
          </w:p>
        </w:tc>
        <w:tc>
          <w:tcPr>
            <w:tcW w:w="993"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15.0</w:t>
            </w:r>
          </w:p>
        </w:tc>
        <w:tc>
          <w:tcPr>
            <w:tcW w:w="1134"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c>
          <w:tcPr>
            <w:tcW w:w="860" w:type="dxa"/>
            <w:tcBorders>
              <w:top w:val="nil"/>
              <w:left w:val="nil"/>
              <w:bottom w:val="dotted" w:sz="4"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0.0</w:t>
            </w:r>
          </w:p>
        </w:tc>
      </w:tr>
      <w:tr w:rsidR="002D48F3" w:rsidRPr="001D7989" w:rsidTr="000968E3">
        <w:trPr>
          <w:trHeight w:val="78"/>
          <w:jc w:val="center"/>
        </w:trPr>
        <w:tc>
          <w:tcPr>
            <w:tcW w:w="6227" w:type="dxa"/>
            <w:tcBorders>
              <w:top w:val="nil"/>
              <w:left w:val="single" w:sz="8" w:space="0" w:color="auto"/>
              <w:bottom w:val="dotted" w:sz="4" w:space="0" w:color="auto"/>
              <w:right w:val="single" w:sz="8" w:space="0" w:color="auto"/>
            </w:tcBorders>
            <w:shd w:val="clear" w:color="000000" w:fill="B8CCE4"/>
            <w:noWrap/>
            <w:vAlign w:val="center"/>
            <w:hideMark/>
          </w:tcPr>
          <w:p w:rsidR="002D48F3" w:rsidRPr="001D7989" w:rsidRDefault="002D48F3" w:rsidP="00B63DA6">
            <w:pP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Agencia Japonesa de Cooperación Internacional</w:t>
            </w:r>
          </w:p>
        </w:tc>
        <w:tc>
          <w:tcPr>
            <w:tcW w:w="993"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148.6</w:t>
            </w:r>
          </w:p>
        </w:tc>
        <w:tc>
          <w:tcPr>
            <w:tcW w:w="1134"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283.0</w:t>
            </w:r>
          </w:p>
        </w:tc>
        <w:tc>
          <w:tcPr>
            <w:tcW w:w="860" w:type="dxa"/>
            <w:tcBorders>
              <w:top w:val="nil"/>
              <w:left w:val="nil"/>
              <w:bottom w:val="dotted" w:sz="4" w:space="0" w:color="auto"/>
              <w:right w:val="single" w:sz="8" w:space="0" w:color="auto"/>
            </w:tcBorders>
            <w:shd w:val="clear" w:color="000000" w:fill="B8CCE4"/>
            <w:noWrap/>
            <w:vAlign w:val="center"/>
            <w:hideMark/>
          </w:tcPr>
          <w:p w:rsidR="002D48F3" w:rsidRPr="001D7989" w:rsidRDefault="002D48F3" w:rsidP="00B63DA6">
            <w:pPr>
              <w:jc w:val="center"/>
              <w:rPr>
                <w:rFonts w:ascii="Times New Roman" w:eastAsia="Times New Roman" w:hAnsi="Times New Roman" w:cs="Times New Roman"/>
                <w:b/>
                <w:bCs/>
                <w:color w:val="333333"/>
                <w:sz w:val="16"/>
                <w:szCs w:val="16"/>
                <w:lang w:eastAsia="es-GT"/>
              </w:rPr>
            </w:pPr>
            <w:r w:rsidRPr="001D7989">
              <w:rPr>
                <w:rFonts w:ascii="Times New Roman" w:eastAsia="Times New Roman" w:hAnsi="Times New Roman" w:cs="Times New Roman"/>
                <w:b/>
                <w:bCs/>
                <w:color w:val="333333"/>
                <w:sz w:val="16"/>
                <w:szCs w:val="16"/>
                <w:lang w:eastAsia="es-GT"/>
              </w:rPr>
              <w:t>190.5</w:t>
            </w:r>
          </w:p>
        </w:tc>
      </w:tr>
      <w:tr w:rsidR="002D48F3" w:rsidRPr="001D7989" w:rsidTr="000968E3">
        <w:trPr>
          <w:trHeight w:val="165"/>
          <w:jc w:val="center"/>
        </w:trPr>
        <w:tc>
          <w:tcPr>
            <w:tcW w:w="6227" w:type="dxa"/>
            <w:tcBorders>
              <w:top w:val="nil"/>
              <w:left w:val="single" w:sz="8" w:space="0" w:color="auto"/>
              <w:bottom w:val="single" w:sz="8" w:space="0" w:color="auto"/>
              <w:right w:val="single" w:sz="8" w:space="0" w:color="auto"/>
            </w:tcBorders>
            <w:shd w:val="clear" w:color="000000" w:fill="FFFFFF"/>
            <w:vAlign w:val="center"/>
            <w:hideMark/>
          </w:tcPr>
          <w:p w:rsidR="002D48F3" w:rsidRPr="00B228D4" w:rsidRDefault="002D48F3" w:rsidP="00B63DA6">
            <w:pPr>
              <w:rPr>
                <w:rFonts w:ascii="Times New Roman" w:eastAsia="Times New Roman" w:hAnsi="Times New Roman" w:cs="Times New Roman"/>
                <w:color w:val="333333"/>
                <w:sz w:val="15"/>
                <w:szCs w:val="15"/>
                <w:lang w:eastAsia="es-GT"/>
              </w:rPr>
            </w:pPr>
            <w:r w:rsidRPr="00B228D4">
              <w:rPr>
                <w:rFonts w:ascii="Times New Roman" w:eastAsia="Times New Roman" w:hAnsi="Times New Roman" w:cs="Times New Roman"/>
                <w:color w:val="333333"/>
                <w:sz w:val="15"/>
                <w:szCs w:val="15"/>
                <w:lang w:eastAsia="es-GT"/>
              </w:rPr>
              <w:t>PROGRAMA DE MEJORAMIENTO DE CARRETERAS EN ZONAPAZ</w:t>
            </w:r>
          </w:p>
        </w:tc>
        <w:tc>
          <w:tcPr>
            <w:tcW w:w="993" w:type="dxa"/>
            <w:tcBorders>
              <w:top w:val="nil"/>
              <w:left w:val="nil"/>
              <w:bottom w:val="single" w:sz="8"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148.6</w:t>
            </w:r>
          </w:p>
        </w:tc>
        <w:tc>
          <w:tcPr>
            <w:tcW w:w="1134" w:type="dxa"/>
            <w:tcBorders>
              <w:top w:val="nil"/>
              <w:left w:val="nil"/>
              <w:bottom w:val="single" w:sz="8"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283.0</w:t>
            </w:r>
          </w:p>
        </w:tc>
        <w:tc>
          <w:tcPr>
            <w:tcW w:w="860" w:type="dxa"/>
            <w:tcBorders>
              <w:top w:val="nil"/>
              <w:left w:val="nil"/>
              <w:bottom w:val="single" w:sz="8" w:space="0" w:color="auto"/>
              <w:right w:val="single" w:sz="8" w:space="0" w:color="auto"/>
            </w:tcBorders>
            <w:shd w:val="clear" w:color="000000" w:fill="FFFFFF"/>
            <w:noWrap/>
            <w:vAlign w:val="center"/>
            <w:hideMark/>
          </w:tcPr>
          <w:p w:rsidR="002D48F3" w:rsidRPr="001D7989" w:rsidRDefault="002D48F3" w:rsidP="00B63DA6">
            <w:pPr>
              <w:jc w:val="center"/>
              <w:rPr>
                <w:rFonts w:ascii="Times New Roman" w:eastAsia="Times New Roman" w:hAnsi="Times New Roman" w:cs="Times New Roman"/>
                <w:color w:val="333333"/>
                <w:sz w:val="16"/>
                <w:szCs w:val="16"/>
                <w:lang w:eastAsia="es-GT"/>
              </w:rPr>
            </w:pPr>
            <w:r w:rsidRPr="001D7989">
              <w:rPr>
                <w:rFonts w:ascii="Times New Roman" w:eastAsia="Times New Roman" w:hAnsi="Times New Roman" w:cs="Times New Roman"/>
                <w:color w:val="333333"/>
                <w:sz w:val="16"/>
                <w:szCs w:val="16"/>
                <w:lang w:eastAsia="es-GT"/>
              </w:rPr>
              <w:t>190.5</w:t>
            </w:r>
          </w:p>
        </w:tc>
      </w:tr>
    </w:tbl>
    <w:p w:rsidR="002D48F3" w:rsidRDefault="002D48F3" w:rsidP="002D48F3">
      <w:pPr>
        <w:pStyle w:val="Textoindependiente"/>
        <w:spacing w:after="0"/>
        <w:rPr>
          <w:rFonts w:ascii="Times New Roman" w:hAnsi="Times New Roman"/>
          <w:sz w:val="16"/>
          <w:szCs w:val="24"/>
        </w:rPr>
      </w:pPr>
      <w:r w:rsidRPr="00EE52DF">
        <w:rPr>
          <w:rFonts w:ascii="Times New Roman" w:hAnsi="Times New Roman"/>
          <w:sz w:val="16"/>
          <w:szCs w:val="24"/>
        </w:rPr>
        <w:t>Fuente: D</w:t>
      </w:r>
      <w:r>
        <w:rPr>
          <w:rFonts w:ascii="Times New Roman" w:hAnsi="Times New Roman"/>
          <w:sz w:val="16"/>
          <w:szCs w:val="24"/>
        </w:rPr>
        <w:t xml:space="preserve">irección de </w:t>
      </w:r>
      <w:r w:rsidRPr="00EE52DF">
        <w:rPr>
          <w:rFonts w:ascii="Times New Roman" w:hAnsi="Times New Roman"/>
          <w:sz w:val="16"/>
          <w:szCs w:val="24"/>
        </w:rPr>
        <w:t>A</w:t>
      </w:r>
      <w:r>
        <w:rPr>
          <w:rFonts w:ascii="Times New Roman" w:hAnsi="Times New Roman"/>
          <w:sz w:val="16"/>
          <w:szCs w:val="24"/>
        </w:rPr>
        <w:t xml:space="preserve">nálisis y </w:t>
      </w:r>
      <w:r w:rsidRPr="00EE52DF">
        <w:rPr>
          <w:rFonts w:ascii="Times New Roman" w:hAnsi="Times New Roman"/>
          <w:sz w:val="16"/>
          <w:szCs w:val="24"/>
        </w:rPr>
        <w:t>P</w:t>
      </w:r>
      <w:r>
        <w:rPr>
          <w:rFonts w:ascii="Times New Roman" w:hAnsi="Times New Roman"/>
          <w:sz w:val="16"/>
          <w:szCs w:val="24"/>
        </w:rPr>
        <w:t xml:space="preserve">olítica </w:t>
      </w:r>
      <w:r w:rsidRPr="00EE52DF">
        <w:rPr>
          <w:rFonts w:ascii="Times New Roman" w:hAnsi="Times New Roman"/>
          <w:sz w:val="16"/>
          <w:szCs w:val="24"/>
        </w:rPr>
        <w:t>F</w:t>
      </w:r>
      <w:r>
        <w:rPr>
          <w:rFonts w:ascii="Times New Roman" w:hAnsi="Times New Roman"/>
          <w:sz w:val="16"/>
          <w:szCs w:val="24"/>
        </w:rPr>
        <w:t>iscal</w:t>
      </w:r>
      <w:r w:rsidR="00017674">
        <w:rPr>
          <w:rFonts w:ascii="Times New Roman" w:hAnsi="Times New Roman"/>
          <w:sz w:val="16"/>
          <w:szCs w:val="24"/>
        </w:rPr>
        <w:t>.</w:t>
      </w:r>
    </w:p>
    <w:p w:rsidR="002D48F3" w:rsidRPr="003760A4" w:rsidRDefault="002D48F3" w:rsidP="002D48F3">
      <w:pPr>
        <w:jc w:val="both"/>
        <w:rPr>
          <w:rFonts w:ascii="Times New Roman" w:hAnsi="Times New Roman" w:cs="Times New Roman"/>
          <w:sz w:val="14"/>
        </w:rPr>
      </w:pPr>
    </w:p>
    <w:p w:rsid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t>El nivel de desembolsos de préstamos externos estuvo por arriba de las amortizaciones, se tuvo una creación de endeudamiento por préstamos de Q1,082.4 millones, y el financiamiento externo neto, dada la colocación de eurobonos, fue positiva en Q10,336.9 millones.</w:t>
      </w:r>
    </w:p>
    <w:p w:rsidR="002D48F3" w:rsidRPr="002D48F3" w:rsidRDefault="002D48F3" w:rsidP="002D48F3">
      <w:pPr>
        <w:jc w:val="both"/>
        <w:rPr>
          <w:rFonts w:ascii="Times New Roman" w:hAnsi="Times New Roman" w:cs="Times New Roman"/>
          <w:sz w:val="22"/>
          <w:szCs w:val="22"/>
        </w:rPr>
      </w:pPr>
      <w:r w:rsidRPr="002D48F3">
        <w:rPr>
          <w:rFonts w:ascii="Times New Roman" w:hAnsi="Times New Roman" w:cs="Times New Roman"/>
          <w:sz w:val="22"/>
          <w:szCs w:val="22"/>
        </w:rPr>
        <w:lastRenderedPageBreak/>
        <w:t xml:space="preserve"> </w:t>
      </w:r>
    </w:p>
    <w:p w:rsidR="00EE52DF" w:rsidRPr="002D48F3" w:rsidRDefault="002D48F3" w:rsidP="002D48F3">
      <w:pPr>
        <w:pStyle w:val="Sinespaciado"/>
        <w:jc w:val="both"/>
        <w:rPr>
          <w:rFonts w:ascii="Times New Roman" w:hAnsi="Times New Roman" w:cs="Times New Roman"/>
          <w:color w:val="FF0000"/>
        </w:rPr>
      </w:pPr>
      <w:r w:rsidRPr="002D48F3">
        <w:rPr>
          <w:rFonts w:ascii="Times New Roman" w:hAnsi="Times New Roman" w:cs="Times New Roman"/>
        </w:rPr>
        <w:t>Dado que el financiamiento mediante endeudamiento fue suficiente para cubrir el déficit resultante en 2020, quedó un saldo de recursos de caja por Q3,13</w:t>
      </w:r>
      <w:r w:rsidR="001118EA">
        <w:rPr>
          <w:rFonts w:ascii="Times New Roman" w:hAnsi="Times New Roman" w:cs="Times New Roman"/>
        </w:rPr>
        <w:t>4</w:t>
      </w:r>
      <w:r w:rsidRPr="002D48F3">
        <w:rPr>
          <w:rFonts w:ascii="Times New Roman" w:hAnsi="Times New Roman" w:cs="Times New Roman"/>
        </w:rPr>
        <w:t>.</w:t>
      </w:r>
      <w:r w:rsidR="001118EA">
        <w:rPr>
          <w:rFonts w:ascii="Times New Roman" w:hAnsi="Times New Roman" w:cs="Times New Roman"/>
        </w:rPr>
        <w:t>2</w:t>
      </w:r>
      <w:r w:rsidRPr="002D48F3">
        <w:rPr>
          <w:rFonts w:ascii="Times New Roman" w:hAnsi="Times New Roman" w:cs="Times New Roman"/>
        </w:rPr>
        <w:t xml:space="preserve"> millones, los cuales podrían servir para financiar las presiones de gasto durante 2021.</w:t>
      </w:r>
    </w:p>
    <w:p w:rsidR="00C84436" w:rsidRPr="00443624" w:rsidRDefault="00C84436" w:rsidP="00EE52DF">
      <w:pPr>
        <w:jc w:val="both"/>
        <w:rPr>
          <w:rFonts w:ascii="Times New Roman" w:hAnsi="Times New Roman" w:cs="Times New Roman"/>
          <w:color w:val="FF0000"/>
          <w:sz w:val="22"/>
        </w:rPr>
      </w:pPr>
    </w:p>
    <w:p w:rsidR="00EA34D1" w:rsidRPr="0009761F" w:rsidRDefault="0009761F" w:rsidP="00C84436">
      <w:pPr>
        <w:pStyle w:val="Ttulo2"/>
        <w:numPr>
          <w:ilvl w:val="1"/>
          <w:numId w:val="12"/>
        </w:numPr>
        <w:spacing w:before="0"/>
        <w:ind w:left="567"/>
        <w:rPr>
          <w:rFonts w:ascii="Times New Roman" w:hAnsi="Times New Roman" w:cs="Times New Roman"/>
          <w:color w:val="auto"/>
          <w:sz w:val="22"/>
        </w:rPr>
      </w:pPr>
      <w:bookmarkStart w:id="171" w:name="_Toc64025453"/>
      <w:r w:rsidRPr="0009761F">
        <w:rPr>
          <w:rFonts w:ascii="Times New Roman" w:hAnsi="Times New Roman" w:cs="Times New Roman"/>
          <w:color w:val="auto"/>
          <w:sz w:val="22"/>
        </w:rPr>
        <w:t>El efecto del fuerte estímulo fiscal provocó un a</w:t>
      </w:r>
      <w:r w:rsidR="00C84436" w:rsidRPr="0009761F">
        <w:rPr>
          <w:rFonts w:ascii="Times New Roman" w:hAnsi="Times New Roman" w:cs="Times New Roman"/>
          <w:color w:val="auto"/>
          <w:sz w:val="22"/>
        </w:rPr>
        <w:t>umento en la deuda pública</w:t>
      </w:r>
      <w:bookmarkEnd w:id="171"/>
    </w:p>
    <w:p w:rsidR="00C84436" w:rsidRPr="00443624" w:rsidRDefault="00C84436" w:rsidP="00EE52DF">
      <w:pPr>
        <w:jc w:val="both"/>
        <w:rPr>
          <w:rFonts w:ascii="Times New Roman" w:hAnsi="Times New Roman" w:cs="Times New Roman"/>
          <w:color w:val="FF0000"/>
          <w:sz w:val="22"/>
        </w:rPr>
      </w:pPr>
    </w:p>
    <w:p w:rsidR="0009761F" w:rsidRDefault="0009761F" w:rsidP="0009761F">
      <w:pPr>
        <w:jc w:val="both"/>
        <w:rPr>
          <w:rFonts w:ascii="Times New Roman" w:hAnsi="Times New Roman" w:cs="Times New Roman"/>
          <w:sz w:val="22"/>
          <w:szCs w:val="22"/>
        </w:rPr>
      </w:pPr>
      <w:r w:rsidRPr="0009761F">
        <w:rPr>
          <w:rFonts w:ascii="Times New Roman" w:hAnsi="Times New Roman" w:cs="Times New Roman"/>
          <w:sz w:val="22"/>
          <w:szCs w:val="22"/>
        </w:rPr>
        <w:t xml:space="preserve">El estímulo fiscal en 2020 sostuvo el gasto público en tiempo de crisis, con la contracción económica y la consecuente caída en los ingresos tributarios, en ese sentido la postura anti-cíclica adoptada por el gobierno se identifica por dos vías: 1. Los gastos destinados a la atención de la emergencia del COVID-19 y 2. El gasto que se mantuvo a pesar de la caída en la recaudación tributaria. </w:t>
      </w:r>
    </w:p>
    <w:p w:rsidR="0009761F" w:rsidRPr="0009761F" w:rsidRDefault="0009761F" w:rsidP="0009761F">
      <w:pPr>
        <w:jc w:val="both"/>
        <w:rPr>
          <w:rFonts w:ascii="Times New Roman" w:hAnsi="Times New Roman" w:cs="Times New Roman"/>
          <w:sz w:val="22"/>
          <w:szCs w:val="22"/>
        </w:rPr>
      </w:pPr>
    </w:p>
    <w:p w:rsidR="0009761F" w:rsidRDefault="0009761F" w:rsidP="0009761F">
      <w:pPr>
        <w:jc w:val="both"/>
        <w:rPr>
          <w:rFonts w:ascii="Times New Roman" w:hAnsi="Times New Roman" w:cs="Times New Roman"/>
          <w:sz w:val="22"/>
          <w:szCs w:val="22"/>
        </w:rPr>
      </w:pPr>
      <w:r w:rsidRPr="0009761F">
        <w:rPr>
          <w:rFonts w:ascii="Times New Roman" w:hAnsi="Times New Roman" w:cs="Times New Roman"/>
          <w:sz w:val="22"/>
          <w:szCs w:val="22"/>
        </w:rPr>
        <w:t xml:space="preserve">Si el gobierno hubiera adoptado una posición pasiva ante la crisis, la economía guatemalteca hubiera tenido una contracción más severa, dado que la evolución del gasto público afecta directamente a la actividad económica y por ende al PIB. Utilizando la contracción del PIB real esperada para 2020 de -1.5%, se identificó que, de no haberse dado una política fiscal expansiva, la contracción de la economía hubiera sido más severa, siendo de -4.1%, por lo que el impacto del estímulo fiscal sobre el crecimiento económico se estima en 2.6 puntos porcentuales. </w:t>
      </w:r>
    </w:p>
    <w:p w:rsidR="0009761F" w:rsidRPr="0009761F" w:rsidRDefault="0009761F" w:rsidP="0009761F">
      <w:pPr>
        <w:jc w:val="both"/>
        <w:rPr>
          <w:rFonts w:ascii="Times New Roman" w:hAnsi="Times New Roman" w:cs="Times New Roman"/>
          <w:sz w:val="22"/>
          <w:szCs w:val="22"/>
        </w:rPr>
      </w:pPr>
    </w:p>
    <w:p w:rsidR="0009761F" w:rsidRDefault="0009761F" w:rsidP="0009761F">
      <w:pPr>
        <w:jc w:val="both"/>
        <w:rPr>
          <w:rFonts w:ascii="Times New Roman" w:hAnsi="Times New Roman" w:cs="Times New Roman"/>
          <w:sz w:val="22"/>
          <w:szCs w:val="22"/>
        </w:rPr>
      </w:pPr>
      <w:r w:rsidRPr="0009761F">
        <w:rPr>
          <w:rFonts w:ascii="Times New Roman" w:hAnsi="Times New Roman" w:cs="Times New Roman"/>
          <w:sz w:val="22"/>
          <w:szCs w:val="22"/>
        </w:rPr>
        <w:t>Durante este período se buscó una política fiscal contra-cíclica, la cual se enfocó en medidas de impacto en los hogares, sector público y sector privado buscando así moderar los efectos económicos negativos causados por la propagación del virus. Estas medidas han afectado la trayectoria en el comportamiento de variables fiscales como el déficit fiscal y la deuda pública.</w:t>
      </w:r>
    </w:p>
    <w:p w:rsidR="008B619B" w:rsidRDefault="008B619B" w:rsidP="0009761F">
      <w:pPr>
        <w:jc w:val="both"/>
        <w:rPr>
          <w:rFonts w:ascii="Times New Roman" w:hAnsi="Times New Roman" w:cs="Times New Roman"/>
          <w:sz w:val="22"/>
          <w:szCs w:val="22"/>
        </w:rPr>
      </w:pPr>
    </w:p>
    <w:p w:rsidR="0009761F" w:rsidRDefault="0009761F" w:rsidP="0009761F">
      <w:pPr>
        <w:jc w:val="both"/>
        <w:rPr>
          <w:rFonts w:ascii="Times New Roman" w:hAnsi="Times New Roman" w:cs="Times New Roman"/>
          <w:sz w:val="22"/>
          <w:szCs w:val="22"/>
        </w:rPr>
      </w:pPr>
      <w:r w:rsidRPr="0009761F">
        <w:rPr>
          <w:rFonts w:ascii="Times New Roman" w:hAnsi="Times New Roman" w:cs="Times New Roman"/>
          <w:sz w:val="22"/>
          <w:szCs w:val="22"/>
        </w:rPr>
        <w:t>Conforme a los flujos de endeudamiento que se obtuvieron en 2020, se generaron cambios en el nivel del saldo de la deuda pública al cierre de dicho año, el cual se situó en 31.6% del PIB, superior en 5 puntos porcentuales del PIB de 2019 (26.6%), aumento que se considera alto, pero justificado por la necesidad de atender la crisis ocasionada por el COVID-19. Guatemala como la gran mayoría de países del mundo, tuvo que recurrir al endeudamiento para hacer frente a las necesidades de gasto derivadas de la pandemia, situación que ha puesto a los países en una posición fiscal comprometida y riesgosa, mientras que en Guatemala el endeudamiento público aún se considera sostenible gracias a un manejo prudente de la política fiscal en los últimos años. Aun con este aumento en los indicadores de endeudamiento para Guatemala, este es inferior al observado en la mayoría de países de la región.</w:t>
      </w:r>
    </w:p>
    <w:p w:rsidR="008B619B" w:rsidRDefault="008B619B" w:rsidP="0009761F">
      <w:pPr>
        <w:jc w:val="both"/>
        <w:rPr>
          <w:rFonts w:ascii="Times New Roman" w:hAnsi="Times New Roman" w:cs="Times New Roman"/>
          <w:sz w:val="22"/>
          <w:szCs w:val="22"/>
        </w:rPr>
        <w:sectPr w:rsidR="008B619B" w:rsidSect="005329C2">
          <w:headerReference w:type="default" r:id="rId50"/>
          <w:footerReference w:type="default" r:id="rId51"/>
          <w:headerReference w:type="first" r:id="rId52"/>
          <w:footerReference w:type="first" r:id="rId53"/>
          <w:pgSz w:w="12240" w:h="15840" w:code="1"/>
          <w:pgMar w:top="1418" w:right="1418" w:bottom="1418" w:left="1418" w:header="709" w:footer="709" w:gutter="0"/>
          <w:cols w:space="708"/>
          <w:titlePg/>
          <w:docGrid w:linePitch="360"/>
        </w:sectPr>
      </w:pPr>
    </w:p>
    <w:p w:rsidR="008B619B" w:rsidRDefault="008B619B" w:rsidP="0009761F">
      <w:pPr>
        <w:jc w:val="both"/>
        <w:rPr>
          <w:rFonts w:ascii="Times New Roman" w:hAnsi="Times New Roman" w:cs="Times New Roman"/>
          <w:sz w:val="22"/>
          <w:szCs w:val="22"/>
        </w:rPr>
      </w:pPr>
    </w:p>
    <w:p w:rsidR="008B619B" w:rsidRPr="008B619B" w:rsidRDefault="008B619B" w:rsidP="008B619B">
      <w:pPr>
        <w:pStyle w:val="Sinespaciado"/>
        <w:jc w:val="center"/>
        <w:rPr>
          <w:rFonts w:ascii="Times New Roman" w:hAnsi="Times New Roman" w:cs="Times New Roman"/>
          <w:b/>
          <w:sz w:val="24"/>
        </w:rPr>
      </w:pPr>
      <w:r w:rsidRPr="008B619B">
        <w:rPr>
          <w:rFonts w:ascii="Times New Roman" w:hAnsi="Times New Roman" w:cs="Times New Roman"/>
          <w:b/>
          <w:sz w:val="24"/>
        </w:rPr>
        <w:t>Crecimiento PIB real</w:t>
      </w:r>
    </w:p>
    <w:p w:rsidR="008B619B" w:rsidRPr="008B619B" w:rsidRDefault="008B619B" w:rsidP="008B619B">
      <w:pPr>
        <w:pStyle w:val="Sinespaciado"/>
        <w:jc w:val="center"/>
        <w:rPr>
          <w:rFonts w:ascii="Times New Roman" w:hAnsi="Times New Roman" w:cs="Times New Roman"/>
          <w:sz w:val="20"/>
        </w:rPr>
      </w:pPr>
      <w:r w:rsidRPr="008B619B">
        <w:rPr>
          <w:rFonts w:ascii="Times New Roman" w:hAnsi="Times New Roman" w:cs="Times New Roman"/>
          <w:sz w:val="20"/>
        </w:rPr>
        <w:t>Porcentajes</w:t>
      </w:r>
    </w:p>
    <w:p w:rsidR="008B619B" w:rsidRDefault="008B619B" w:rsidP="008B619B">
      <w:pPr>
        <w:jc w:val="both"/>
        <w:sectPr w:rsidR="008B619B" w:rsidSect="004954E2">
          <w:type w:val="continuous"/>
          <w:pgSz w:w="12240" w:h="15840"/>
          <w:pgMar w:top="1417" w:right="1701" w:bottom="1417" w:left="1701" w:header="708" w:footer="708" w:gutter="0"/>
          <w:cols w:space="708"/>
          <w:docGrid w:linePitch="360"/>
        </w:sectPr>
      </w:pPr>
      <w:r>
        <w:rPr>
          <w:noProof/>
          <w:lang w:val="es-ES"/>
        </w:rPr>
        <w:drawing>
          <wp:anchor distT="0" distB="0" distL="114300" distR="114300" simplePos="0" relativeHeight="251714560" behindDoc="0" locked="0" layoutInCell="1" allowOverlap="1" wp14:anchorId="49786212" wp14:editId="2A571FA3">
            <wp:simplePos x="0" y="0"/>
            <wp:positionH relativeFrom="column">
              <wp:posOffset>2453640</wp:posOffset>
            </wp:positionH>
            <wp:positionV relativeFrom="paragraph">
              <wp:posOffset>25400</wp:posOffset>
            </wp:positionV>
            <wp:extent cx="3122295" cy="2066925"/>
            <wp:effectExtent l="0" t="0" r="1905" b="0"/>
            <wp:wrapSquare wrapText="bothSides"/>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8B619B" w:rsidRDefault="008B619B" w:rsidP="008B619B">
      <w:pPr>
        <w:jc w:val="both"/>
      </w:pPr>
    </w:p>
    <w:tbl>
      <w:tblPr>
        <w:tblpPr w:leftFromText="141" w:rightFromText="141" w:vertAnchor="text" w:horzAnchor="margin" w:tblpY="19"/>
        <w:tblW w:w="3818" w:type="dxa"/>
        <w:tblCellMar>
          <w:left w:w="70" w:type="dxa"/>
          <w:right w:w="70" w:type="dxa"/>
        </w:tblCellMar>
        <w:tblLook w:val="04A0" w:firstRow="1" w:lastRow="0" w:firstColumn="1" w:lastColumn="0" w:noHBand="0" w:noVBand="1"/>
      </w:tblPr>
      <w:tblGrid>
        <w:gridCol w:w="2618"/>
        <w:gridCol w:w="1200"/>
      </w:tblGrid>
      <w:tr w:rsidR="008B619B" w:rsidRPr="00284BE4" w:rsidTr="00A9142D">
        <w:trPr>
          <w:trHeight w:val="330"/>
        </w:trPr>
        <w:tc>
          <w:tcPr>
            <w:tcW w:w="3818" w:type="dxa"/>
            <w:gridSpan w:val="2"/>
            <w:tcBorders>
              <w:top w:val="single" w:sz="8" w:space="0" w:color="auto"/>
              <w:left w:val="single" w:sz="8" w:space="0" w:color="auto"/>
              <w:bottom w:val="single" w:sz="8" w:space="0" w:color="auto"/>
              <w:right w:val="single" w:sz="8" w:space="0" w:color="000000"/>
            </w:tcBorders>
            <w:shd w:val="clear" w:color="000000" w:fill="525252"/>
            <w:noWrap/>
            <w:vAlign w:val="bottom"/>
            <w:hideMark/>
          </w:tcPr>
          <w:p w:rsidR="008B619B" w:rsidRPr="00284BE4" w:rsidRDefault="008B619B" w:rsidP="004954E2">
            <w:pPr>
              <w:jc w:val="center"/>
              <w:rPr>
                <w:rFonts w:ascii="Times New Roman" w:eastAsia="Times New Roman" w:hAnsi="Times New Roman" w:cs="Times New Roman"/>
                <w:b/>
                <w:bCs/>
                <w:color w:val="FFFFFF"/>
                <w:lang w:eastAsia="es-GT"/>
              </w:rPr>
            </w:pPr>
            <w:r w:rsidRPr="00284BE4">
              <w:rPr>
                <w:rFonts w:ascii="Times New Roman" w:eastAsia="Times New Roman" w:hAnsi="Times New Roman" w:cs="Times New Roman"/>
                <w:b/>
                <w:bCs/>
                <w:color w:val="FFFFFF"/>
                <w:lang w:eastAsia="es-GT"/>
              </w:rPr>
              <w:t>Crecimiento del PIB real en 2020</w:t>
            </w:r>
          </w:p>
        </w:tc>
      </w:tr>
      <w:tr w:rsidR="008B619B" w:rsidRPr="00284BE4" w:rsidTr="00A9142D">
        <w:trPr>
          <w:trHeight w:val="315"/>
        </w:trPr>
        <w:tc>
          <w:tcPr>
            <w:tcW w:w="2618" w:type="dxa"/>
            <w:tcBorders>
              <w:top w:val="nil"/>
              <w:left w:val="single" w:sz="8" w:space="0" w:color="auto"/>
              <w:bottom w:val="nil"/>
              <w:right w:val="single" w:sz="8" w:space="0" w:color="auto"/>
            </w:tcBorders>
            <w:shd w:val="clear" w:color="auto" w:fill="auto"/>
            <w:noWrap/>
            <w:vAlign w:val="bottom"/>
            <w:hideMark/>
          </w:tcPr>
          <w:p w:rsidR="008B619B" w:rsidRPr="00284BE4" w:rsidRDefault="008B619B" w:rsidP="004954E2">
            <w:pPr>
              <w:rPr>
                <w:rFonts w:ascii="Times New Roman" w:eastAsia="Times New Roman" w:hAnsi="Times New Roman" w:cs="Times New Roman"/>
                <w:color w:val="000000"/>
                <w:lang w:eastAsia="es-GT"/>
              </w:rPr>
            </w:pPr>
            <w:r w:rsidRPr="00284BE4">
              <w:rPr>
                <w:rFonts w:ascii="Times New Roman" w:eastAsia="Times New Roman" w:hAnsi="Times New Roman" w:cs="Times New Roman"/>
                <w:color w:val="000000"/>
                <w:lang w:eastAsia="es-GT"/>
              </w:rPr>
              <w:t xml:space="preserve">Con estímulo fiscal </w:t>
            </w:r>
          </w:p>
        </w:tc>
        <w:tc>
          <w:tcPr>
            <w:tcW w:w="1200" w:type="dxa"/>
            <w:tcBorders>
              <w:top w:val="nil"/>
              <w:left w:val="nil"/>
              <w:bottom w:val="nil"/>
              <w:right w:val="single" w:sz="8" w:space="0" w:color="auto"/>
            </w:tcBorders>
            <w:shd w:val="clear" w:color="auto" w:fill="auto"/>
            <w:noWrap/>
            <w:vAlign w:val="bottom"/>
            <w:hideMark/>
          </w:tcPr>
          <w:p w:rsidR="008B619B" w:rsidRPr="00284BE4" w:rsidRDefault="008B619B" w:rsidP="004954E2">
            <w:pPr>
              <w:jc w:val="center"/>
              <w:rPr>
                <w:rFonts w:ascii="Times New Roman" w:eastAsia="Times New Roman" w:hAnsi="Times New Roman" w:cs="Times New Roman"/>
                <w:color w:val="000000"/>
                <w:lang w:eastAsia="es-GT"/>
              </w:rPr>
            </w:pPr>
            <w:r w:rsidRPr="00284BE4">
              <w:rPr>
                <w:rFonts w:ascii="Times New Roman" w:eastAsia="Times New Roman" w:hAnsi="Times New Roman" w:cs="Times New Roman"/>
                <w:color w:val="000000"/>
                <w:lang w:eastAsia="es-GT"/>
              </w:rPr>
              <w:t>-1.5%</w:t>
            </w:r>
          </w:p>
        </w:tc>
      </w:tr>
      <w:tr w:rsidR="008B619B" w:rsidRPr="00284BE4" w:rsidTr="00A9142D">
        <w:trPr>
          <w:trHeight w:val="330"/>
        </w:trPr>
        <w:tc>
          <w:tcPr>
            <w:tcW w:w="2618" w:type="dxa"/>
            <w:tcBorders>
              <w:top w:val="nil"/>
              <w:left w:val="single" w:sz="8" w:space="0" w:color="auto"/>
              <w:bottom w:val="nil"/>
              <w:right w:val="single" w:sz="8" w:space="0" w:color="auto"/>
            </w:tcBorders>
            <w:shd w:val="clear" w:color="auto" w:fill="auto"/>
            <w:noWrap/>
            <w:vAlign w:val="bottom"/>
            <w:hideMark/>
          </w:tcPr>
          <w:p w:rsidR="008B619B" w:rsidRPr="00284BE4" w:rsidRDefault="008B619B" w:rsidP="004954E2">
            <w:pPr>
              <w:rPr>
                <w:rFonts w:ascii="Times New Roman" w:eastAsia="Times New Roman" w:hAnsi="Times New Roman" w:cs="Times New Roman"/>
                <w:color w:val="000000"/>
                <w:lang w:eastAsia="es-GT"/>
              </w:rPr>
            </w:pPr>
            <w:r w:rsidRPr="00284BE4">
              <w:rPr>
                <w:rFonts w:ascii="Times New Roman" w:eastAsia="Times New Roman" w:hAnsi="Times New Roman" w:cs="Times New Roman"/>
                <w:color w:val="000000"/>
                <w:lang w:eastAsia="es-GT"/>
              </w:rPr>
              <w:t>Sin estímulo fiscal</w:t>
            </w:r>
          </w:p>
        </w:tc>
        <w:tc>
          <w:tcPr>
            <w:tcW w:w="1200" w:type="dxa"/>
            <w:tcBorders>
              <w:top w:val="nil"/>
              <w:left w:val="nil"/>
              <w:bottom w:val="nil"/>
              <w:right w:val="single" w:sz="8" w:space="0" w:color="auto"/>
            </w:tcBorders>
            <w:shd w:val="clear" w:color="auto" w:fill="auto"/>
            <w:noWrap/>
            <w:vAlign w:val="bottom"/>
            <w:hideMark/>
          </w:tcPr>
          <w:p w:rsidR="008B619B" w:rsidRPr="00284BE4" w:rsidRDefault="008B619B" w:rsidP="004954E2">
            <w:pPr>
              <w:jc w:val="center"/>
              <w:rPr>
                <w:rFonts w:ascii="Times New Roman" w:eastAsia="Times New Roman" w:hAnsi="Times New Roman" w:cs="Times New Roman"/>
                <w:color w:val="000000"/>
                <w:lang w:eastAsia="es-GT"/>
              </w:rPr>
            </w:pPr>
            <w:r w:rsidRPr="00284BE4">
              <w:rPr>
                <w:rFonts w:ascii="Times New Roman" w:eastAsia="Times New Roman" w:hAnsi="Times New Roman" w:cs="Times New Roman"/>
                <w:color w:val="000000"/>
                <w:lang w:eastAsia="es-GT"/>
              </w:rPr>
              <w:t>-4.1%</w:t>
            </w:r>
          </w:p>
        </w:tc>
      </w:tr>
      <w:tr w:rsidR="008B619B" w:rsidRPr="00284BE4" w:rsidTr="00A9142D">
        <w:trPr>
          <w:trHeight w:val="330"/>
        </w:trPr>
        <w:tc>
          <w:tcPr>
            <w:tcW w:w="2618"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hideMark/>
          </w:tcPr>
          <w:p w:rsidR="008B619B" w:rsidRPr="00284BE4" w:rsidRDefault="00A9142D" w:rsidP="004954E2">
            <w:pPr>
              <w:rPr>
                <w:rFonts w:ascii="Times New Roman" w:eastAsia="Times New Roman" w:hAnsi="Times New Roman" w:cs="Times New Roman"/>
                <w:b/>
                <w:bCs/>
                <w:color w:val="000000"/>
                <w:lang w:eastAsia="es-GT"/>
              </w:rPr>
            </w:pPr>
            <w:r>
              <w:rPr>
                <w:rFonts w:ascii="Times New Roman" w:eastAsia="Times New Roman" w:hAnsi="Times New Roman" w:cs="Times New Roman"/>
                <w:b/>
                <w:bCs/>
                <w:color w:val="000000"/>
                <w:lang w:eastAsia="es-GT"/>
              </w:rPr>
              <w:t xml:space="preserve">Efecto del </w:t>
            </w:r>
            <w:r w:rsidR="008B619B">
              <w:rPr>
                <w:rFonts w:ascii="Times New Roman" w:eastAsia="Times New Roman" w:hAnsi="Times New Roman" w:cs="Times New Roman"/>
                <w:b/>
                <w:bCs/>
                <w:color w:val="000000"/>
                <w:lang w:eastAsia="es-GT"/>
              </w:rPr>
              <w:t>Estímulo fiscal</w:t>
            </w:r>
            <w:r w:rsidR="008B619B" w:rsidRPr="00284BE4">
              <w:rPr>
                <w:rFonts w:ascii="Times New Roman" w:eastAsia="Times New Roman" w:hAnsi="Times New Roman" w:cs="Times New Roman"/>
                <w:b/>
                <w:bCs/>
                <w:color w:val="000000"/>
                <w:lang w:eastAsia="es-GT"/>
              </w:rPr>
              <w:t xml:space="preserve"> </w:t>
            </w:r>
            <w:r>
              <w:rPr>
                <w:rFonts w:ascii="Times New Roman" w:eastAsia="Times New Roman" w:hAnsi="Times New Roman" w:cs="Times New Roman"/>
                <w:b/>
                <w:bCs/>
                <w:color w:val="000000"/>
                <w:lang w:eastAsia="es-GT"/>
              </w:rPr>
              <w:t>en el crecimiento</w:t>
            </w:r>
          </w:p>
        </w:tc>
        <w:tc>
          <w:tcPr>
            <w:tcW w:w="1200"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8B619B" w:rsidRPr="00284BE4" w:rsidRDefault="008B619B" w:rsidP="004954E2">
            <w:pPr>
              <w:jc w:val="center"/>
              <w:rPr>
                <w:rFonts w:ascii="Times New Roman" w:eastAsia="Times New Roman" w:hAnsi="Times New Roman" w:cs="Times New Roman"/>
                <w:b/>
                <w:bCs/>
                <w:color w:val="000000"/>
                <w:lang w:eastAsia="es-GT"/>
              </w:rPr>
            </w:pPr>
            <w:r w:rsidRPr="00284BE4">
              <w:rPr>
                <w:rFonts w:ascii="Times New Roman" w:eastAsia="Times New Roman" w:hAnsi="Times New Roman" w:cs="Times New Roman"/>
                <w:b/>
                <w:bCs/>
                <w:color w:val="000000"/>
                <w:lang w:eastAsia="es-GT"/>
              </w:rPr>
              <w:t>2.6%</w:t>
            </w:r>
          </w:p>
        </w:tc>
      </w:tr>
    </w:tbl>
    <w:p w:rsidR="008B619B" w:rsidRDefault="008B619B" w:rsidP="008B619B"/>
    <w:p w:rsidR="00292521" w:rsidRDefault="00292521" w:rsidP="008B619B"/>
    <w:p w:rsidR="00292521" w:rsidRDefault="00292521" w:rsidP="008B619B"/>
    <w:p w:rsidR="00292521" w:rsidRDefault="00292521" w:rsidP="008B619B"/>
    <w:p w:rsidR="008B619B" w:rsidRPr="00292521" w:rsidRDefault="008B619B" w:rsidP="008B619B">
      <w:pPr>
        <w:rPr>
          <w:rFonts w:ascii="Times New Roman" w:hAnsi="Times New Roman" w:cs="Times New Roman"/>
          <w:sz w:val="16"/>
        </w:rPr>
      </w:pPr>
      <w:r w:rsidRPr="00292521">
        <w:rPr>
          <w:rFonts w:ascii="Times New Roman" w:hAnsi="Times New Roman" w:cs="Times New Roman"/>
          <w:sz w:val="16"/>
        </w:rPr>
        <w:t>Fuente: Dirección de Análisis y Política Fiscal</w:t>
      </w:r>
      <w:r w:rsidR="00292521">
        <w:rPr>
          <w:rFonts w:ascii="Times New Roman" w:hAnsi="Times New Roman" w:cs="Times New Roman"/>
          <w:sz w:val="16"/>
        </w:rPr>
        <w:t>.</w:t>
      </w:r>
    </w:p>
    <w:p w:rsidR="00A9142D" w:rsidRPr="00017674" w:rsidRDefault="00017674" w:rsidP="0009761F">
      <w:pPr>
        <w:jc w:val="both"/>
        <w:rPr>
          <w:rFonts w:ascii="Times New Roman" w:hAnsi="Times New Roman" w:cs="Times New Roman"/>
          <w:sz w:val="16"/>
          <w:szCs w:val="16"/>
        </w:rPr>
      </w:pPr>
      <w:r w:rsidRPr="00017674">
        <w:rPr>
          <w:rFonts w:ascii="Times New Roman" w:hAnsi="Times New Roman" w:cs="Times New Roman"/>
          <w:sz w:val="16"/>
          <w:szCs w:val="16"/>
        </w:rPr>
        <w:t>py/: proyectado.</w:t>
      </w:r>
    </w:p>
    <w:p w:rsidR="0009761F" w:rsidRDefault="0009761F" w:rsidP="0009761F">
      <w:pPr>
        <w:jc w:val="both"/>
        <w:rPr>
          <w:rFonts w:ascii="Times New Roman" w:hAnsi="Times New Roman" w:cs="Times New Roman"/>
          <w:sz w:val="22"/>
          <w:szCs w:val="22"/>
        </w:rPr>
      </w:pPr>
      <w:r w:rsidRPr="0009761F">
        <w:rPr>
          <w:rFonts w:ascii="Times New Roman" w:hAnsi="Times New Roman" w:cs="Times New Roman"/>
          <w:sz w:val="22"/>
          <w:szCs w:val="22"/>
        </w:rPr>
        <w:lastRenderedPageBreak/>
        <w:t>Asimismo, el aumento en la colocación de Bonos del Tesoro en el mercado doméstico muy encima del financiamiento mediante operaciones con el resto del mundo, ha hecho que la participación de la deuda interna aumente gradualmente, situándola al cierre de 2020 en 57.0% del total de la deuda, con un crecimiento de 1.6% respecto al cierre de 2019, mientras que la deuda externa se situó en 43.0%; relación que es positiva considerando que se reduce la exposición al riesgo cambiario de la deuda pública, mejorando también la performance del status de la deuda coadyuvando a la sostenibilidad de la misma en el corto y mediano plazos.</w:t>
      </w:r>
    </w:p>
    <w:p w:rsidR="0009761F" w:rsidRPr="0009761F" w:rsidRDefault="0009761F" w:rsidP="0009761F">
      <w:pPr>
        <w:jc w:val="both"/>
        <w:rPr>
          <w:rFonts w:ascii="Times New Roman" w:hAnsi="Times New Roman" w:cs="Times New Roman"/>
          <w:sz w:val="22"/>
          <w:szCs w:val="22"/>
        </w:rPr>
      </w:pPr>
    </w:p>
    <w:p w:rsidR="0009761F" w:rsidRPr="0009761F" w:rsidRDefault="0009761F" w:rsidP="0009761F">
      <w:pPr>
        <w:jc w:val="both"/>
        <w:rPr>
          <w:rFonts w:ascii="Times New Roman" w:hAnsi="Times New Roman" w:cs="Times New Roman"/>
          <w:sz w:val="22"/>
          <w:szCs w:val="22"/>
        </w:rPr>
      </w:pPr>
      <w:r w:rsidRPr="0009761F">
        <w:rPr>
          <w:rFonts w:ascii="Times New Roman" w:hAnsi="Times New Roman" w:cs="Times New Roman"/>
          <w:sz w:val="22"/>
          <w:szCs w:val="22"/>
        </w:rPr>
        <w:t>Por otro lado, es importante mencionar que se mantuvo la reducción, que se ha realizado en los últimos años, del costo financiero de la deuda bonificada en las operaciones de subasta y licitación, además favoreció la emisión de títulos al Banco Central cuya tasa de interés esta levemente por debajo de las operaciones normales de colocación de Bonos del Tesoro. Asimismo, se realizaron las colocaciones a plazos largos, reduciendo con ello el riesgo de mercado y de refinanciamiento.</w:t>
      </w:r>
    </w:p>
    <w:p w:rsidR="00EA34D1" w:rsidRPr="0009761F" w:rsidRDefault="00EA34D1" w:rsidP="00EE52DF">
      <w:pPr>
        <w:jc w:val="both"/>
        <w:rPr>
          <w:rFonts w:ascii="Times New Roman" w:hAnsi="Times New Roman" w:cs="Times New Roman"/>
          <w:sz w:val="22"/>
        </w:rPr>
      </w:pPr>
    </w:p>
    <w:p w:rsidR="00EE52DF" w:rsidRPr="0009761F" w:rsidRDefault="00EE52DF" w:rsidP="00EE52DF">
      <w:pPr>
        <w:pStyle w:val="Sinespaciado"/>
        <w:jc w:val="center"/>
        <w:rPr>
          <w:rFonts w:ascii="Times New Roman" w:hAnsi="Times New Roman" w:cs="Times New Roman"/>
          <w:b/>
          <w:sz w:val="24"/>
        </w:rPr>
      </w:pPr>
      <w:r w:rsidRPr="0009761F">
        <w:rPr>
          <w:rFonts w:ascii="Times New Roman" w:hAnsi="Times New Roman" w:cs="Times New Roman"/>
          <w:b/>
          <w:sz w:val="24"/>
        </w:rPr>
        <w:t>Relación Deuda/ PIB y estructura de la deuda interna y externa</w:t>
      </w:r>
    </w:p>
    <w:p w:rsidR="00EE52DF" w:rsidRPr="0009761F" w:rsidRDefault="0009761F" w:rsidP="00EE52DF">
      <w:pPr>
        <w:pStyle w:val="Sinespaciado"/>
        <w:jc w:val="center"/>
        <w:rPr>
          <w:rFonts w:ascii="Times New Roman" w:hAnsi="Times New Roman" w:cs="Times New Roman"/>
          <w:sz w:val="20"/>
        </w:rPr>
      </w:pPr>
      <w:r w:rsidRPr="0009761F">
        <w:rPr>
          <w:rFonts w:ascii="Times New Roman" w:hAnsi="Times New Roman" w:cs="Times New Roman"/>
          <w:sz w:val="20"/>
        </w:rPr>
        <w:t>2015 - 2020</w:t>
      </w:r>
    </w:p>
    <w:p w:rsidR="00EE52DF" w:rsidRPr="00443624" w:rsidRDefault="0009761F" w:rsidP="00EE52DF">
      <w:pPr>
        <w:jc w:val="center"/>
        <w:rPr>
          <w:rFonts w:ascii="Times New Roman" w:hAnsi="Times New Roman" w:cs="Times New Roman"/>
          <w:color w:val="FF0000"/>
        </w:rPr>
      </w:pPr>
      <w:r>
        <w:rPr>
          <w:rFonts w:ascii="Times New Roman" w:hAnsi="Times New Roman" w:cs="Times New Roman"/>
          <w:noProof/>
          <w:lang w:val="es-ES"/>
        </w:rPr>
        <w:drawing>
          <wp:inline distT="0" distB="0" distL="0" distR="0" wp14:anchorId="6B65748C" wp14:editId="2E3511E0">
            <wp:extent cx="4857750" cy="2011680"/>
            <wp:effectExtent l="0" t="0" r="0" b="762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968E3" w:rsidRDefault="00EE52DF" w:rsidP="008B619B">
      <w:pPr>
        <w:pStyle w:val="Sinespaciado"/>
        <w:ind w:firstLine="360"/>
        <w:jc w:val="both"/>
        <w:rPr>
          <w:rFonts w:ascii="Times New Roman" w:hAnsi="Times New Roman" w:cs="Times New Roman"/>
          <w:sz w:val="16"/>
        </w:rPr>
      </w:pPr>
      <w:r w:rsidRPr="0009761F">
        <w:rPr>
          <w:rFonts w:ascii="Times New Roman" w:hAnsi="Times New Roman" w:cs="Times New Roman"/>
          <w:sz w:val="16"/>
        </w:rPr>
        <w:t>Fuente: D</w:t>
      </w:r>
      <w:r w:rsidR="0009761F" w:rsidRPr="0009761F">
        <w:rPr>
          <w:rFonts w:ascii="Times New Roman" w:hAnsi="Times New Roman" w:cs="Times New Roman"/>
          <w:sz w:val="16"/>
        </w:rPr>
        <w:t xml:space="preserve">irección de </w:t>
      </w:r>
      <w:r w:rsidRPr="0009761F">
        <w:rPr>
          <w:rFonts w:ascii="Times New Roman" w:hAnsi="Times New Roman" w:cs="Times New Roman"/>
          <w:sz w:val="16"/>
        </w:rPr>
        <w:t>A</w:t>
      </w:r>
      <w:r w:rsidR="0009761F" w:rsidRPr="0009761F">
        <w:rPr>
          <w:rFonts w:ascii="Times New Roman" w:hAnsi="Times New Roman" w:cs="Times New Roman"/>
          <w:sz w:val="16"/>
        </w:rPr>
        <w:t xml:space="preserve">nálisis y </w:t>
      </w:r>
      <w:r w:rsidRPr="0009761F">
        <w:rPr>
          <w:rFonts w:ascii="Times New Roman" w:hAnsi="Times New Roman" w:cs="Times New Roman"/>
          <w:sz w:val="16"/>
        </w:rPr>
        <w:t>P</w:t>
      </w:r>
      <w:r w:rsidR="0009761F" w:rsidRPr="0009761F">
        <w:rPr>
          <w:rFonts w:ascii="Times New Roman" w:hAnsi="Times New Roman" w:cs="Times New Roman"/>
          <w:sz w:val="16"/>
        </w:rPr>
        <w:t xml:space="preserve">olítica </w:t>
      </w:r>
      <w:r w:rsidRPr="0009761F">
        <w:rPr>
          <w:rFonts w:ascii="Times New Roman" w:hAnsi="Times New Roman" w:cs="Times New Roman"/>
          <w:sz w:val="16"/>
        </w:rPr>
        <w:t>F</w:t>
      </w:r>
      <w:r w:rsidR="0009761F" w:rsidRPr="0009761F">
        <w:rPr>
          <w:rFonts w:ascii="Times New Roman" w:hAnsi="Times New Roman" w:cs="Times New Roman"/>
          <w:sz w:val="16"/>
        </w:rPr>
        <w:t>iscal</w:t>
      </w:r>
      <w:r w:rsidR="00017674">
        <w:rPr>
          <w:rFonts w:ascii="Times New Roman" w:hAnsi="Times New Roman" w:cs="Times New Roman"/>
          <w:sz w:val="16"/>
        </w:rPr>
        <w:t>.</w:t>
      </w:r>
    </w:p>
    <w:p w:rsidR="006A5725" w:rsidRPr="008B619B" w:rsidRDefault="006A5725" w:rsidP="008B619B">
      <w:pPr>
        <w:pStyle w:val="Sinespaciado"/>
        <w:ind w:firstLine="360"/>
        <w:jc w:val="both"/>
        <w:rPr>
          <w:rFonts w:ascii="Times New Roman" w:hAnsi="Times New Roman" w:cs="Times New Roman"/>
          <w:sz w:val="16"/>
        </w:rPr>
      </w:pPr>
    </w:p>
    <w:p w:rsidR="00B63DA6" w:rsidRPr="00B24C98" w:rsidRDefault="00B24C98" w:rsidP="00B24C98">
      <w:pPr>
        <w:pStyle w:val="Prrafodelista"/>
        <w:numPr>
          <w:ilvl w:val="0"/>
          <w:numId w:val="1"/>
        </w:numPr>
        <w:ind w:left="567" w:hanging="567"/>
        <w:jc w:val="both"/>
        <w:outlineLvl w:val="0"/>
        <w:rPr>
          <w:rFonts w:ascii="Times New Roman" w:eastAsiaTheme="majorEastAsia" w:hAnsi="Times New Roman" w:cs="Times New Roman"/>
          <w:b/>
          <w:bCs/>
          <w:sz w:val="24"/>
          <w:szCs w:val="26"/>
          <w:lang w:val="es-ES_tradnl" w:eastAsia="es-ES"/>
        </w:rPr>
      </w:pPr>
      <w:bookmarkStart w:id="172" w:name="_Toc64025454"/>
      <w:r w:rsidRPr="00B24C98">
        <w:rPr>
          <w:rFonts w:ascii="Times New Roman" w:eastAsiaTheme="majorEastAsia" w:hAnsi="Times New Roman" w:cs="Times New Roman"/>
          <w:b/>
          <w:bCs/>
          <w:sz w:val="24"/>
          <w:szCs w:val="26"/>
          <w:lang w:val="es-ES_tradnl" w:eastAsia="es-ES"/>
        </w:rPr>
        <w:t>Previsiones económicas y fiscales para 2021</w:t>
      </w:r>
      <w:bookmarkEnd w:id="172"/>
    </w:p>
    <w:p w:rsidR="00B63DA6" w:rsidRPr="006A5725" w:rsidRDefault="00B63DA6" w:rsidP="0044706E">
      <w:pPr>
        <w:rPr>
          <w:rFonts w:ascii="Times New Roman" w:eastAsiaTheme="majorEastAsia" w:hAnsi="Times New Roman" w:cs="Times New Roman"/>
          <w:b/>
          <w:bCs/>
          <w:color w:val="FF0000"/>
          <w:sz w:val="12"/>
          <w:szCs w:val="26"/>
        </w:rPr>
      </w:pPr>
    </w:p>
    <w:p w:rsidR="00B24C98" w:rsidRPr="00B24C98" w:rsidRDefault="00B24C98" w:rsidP="00B24C98">
      <w:pPr>
        <w:pStyle w:val="Prrafodelista"/>
        <w:keepNext/>
        <w:keepLines/>
        <w:numPr>
          <w:ilvl w:val="0"/>
          <w:numId w:val="12"/>
        </w:numPr>
        <w:contextualSpacing w:val="0"/>
        <w:outlineLvl w:val="1"/>
        <w:rPr>
          <w:rFonts w:ascii="Times New Roman" w:eastAsiaTheme="majorEastAsia" w:hAnsi="Times New Roman" w:cs="Times New Roman"/>
          <w:vanish/>
          <w:color w:val="FF0000"/>
          <w:sz w:val="26"/>
          <w:szCs w:val="26"/>
          <w:lang w:val="es-ES_tradnl" w:eastAsia="es-ES"/>
        </w:rPr>
      </w:pPr>
      <w:bookmarkStart w:id="173" w:name="_Toc62724077"/>
      <w:bookmarkStart w:id="174" w:name="_Toc62724140"/>
      <w:bookmarkStart w:id="175" w:name="_Toc62724224"/>
      <w:bookmarkStart w:id="176" w:name="_Toc62724298"/>
      <w:bookmarkStart w:id="177" w:name="_Toc64025455"/>
      <w:bookmarkEnd w:id="173"/>
      <w:bookmarkEnd w:id="174"/>
      <w:bookmarkEnd w:id="175"/>
      <w:bookmarkEnd w:id="176"/>
      <w:bookmarkEnd w:id="177"/>
    </w:p>
    <w:p w:rsidR="00B63DA6" w:rsidRPr="00B24C98" w:rsidRDefault="00B24C98" w:rsidP="00B24C98">
      <w:pPr>
        <w:pStyle w:val="Ttulo2"/>
        <w:numPr>
          <w:ilvl w:val="1"/>
          <w:numId w:val="12"/>
        </w:numPr>
        <w:spacing w:before="0"/>
        <w:ind w:left="567"/>
        <w:rPr>
          <w:rFonts w:ascii="Times New Roman" w:hAnsi="Times New Roman" w:cs="Times New Roman"/>
          <w:bCs w:val="0"/>
          <w:color w:val="auto"/>
          <w:sz w:val="22"/>
        </w:rPr>
      </w:pPr>
      <w:bookmarkStart w:id="178" w:name="_Toc64025456"/>
      <w:r w:rsidRPr="00B24C98">
        <w:rPr>
          <w:rFonts w:ascii="Times New Roman" w:hAnsi="Times New Roman" w:cs="Times New Roman"/>
          <w:bCs w:val="0"/>
          <w:color w:val="auto"/>
          <w:sz w:val="22"/>
        </w:rPr>
        <w:t>Perspectivas de la economía mundial</w:t>
      </w:r>
      <w:bookmarkEnd w:id="178"/>
    </w:p>
    <w:p w:rsidR="00B24C98" w:rsidRPr="006A5725" w:rsidRDefault="00B24C98" w:rsidP="00B24C98">
      <w:pPr>
        <w:rPr>
          <w:sz w:val="18"/>
        </w:rPr>
      </w:pPr>
    </w:p>
    <w:p w:rsidR="00B63DA6" w:rsidRDefault="00B63DA6" w:rsidP="00B63DA6">
      <w:pPr>
        <w:jc w:val="both"/>
        <w:rPr>
          <w:rFonts w:ascii="Times New Roman" w:hAnsi="Times New Roman" w:cs="Times New Roman"/>
          <w:sz w:val="22"/>
          <w:szCs w:val="22"/>
        </w:rPr>
      </w:pPr>
      <w:r w:rsidRPr="00B63DA6">
        <w:rPr>
          <w:rFonts w:ascii="Times New Roman" w:hAnsi="Times New Roman" w:cs="Times New Roman"/>
          <w:sz w:val="22"/>
          <w:szCs w:val="22"/>
        </w:rPr>
        <w:t xml:space="preserve">Para el 2021, el Fondo Monetario Internacional -FMI-, espera un repunte del crecimiento económico mundial de 5.5%, esta estimación refleja una recuperación más fuerte de la que se esperada en las distintas regiones dada la expectativa de fortalecimiento de la actividad económica por las vacunas y además el esfuerzo adicional en políticas económicas en algunas economías avanzadas. Sin embargo, existen riesgos al alza en esta estimación debido a las noticias favorables en la distribución y efectividad de las vacunas ya que podría aumentar la expectativa de un final de la pandemia, lo cual aumentaría la confianza en las empresas y hogares, e impulsaría el consumo, la inversión y la tasa de empleo por contrataciones que anticipen la alta demanda. Otro riesgo al alza es que se mantengan las políticas fiscales y estas generen un impulso en la economía interna y efectos secundarios positivos en la economía externa. </w:t>
      </w:r>
      <w:r w:rsidR="004954E2">
        <w:rPr>
          <w:rFonts w:ascii="Times New Roman" w:hAnsi="Times New Roman" w:cs="Times New Roman"/>
          <w:sz w:val="22"/>
          <w:szCs w:val="22"/>
        </w:rPr>
        <w:t>No obstante</w:t>
      </w:r>
      <w:r w:rsidRPr="00B63DA6">
        <w:rPr>
          <w:rFonts w:ascii="Times New Roman" w:hAnsi="Times New Roman" w:cs="Times New Roman"/>
          <w:sz w:val="22"/>
          <w:szCs w:val="22"/>
        </w:rPr>
        <w:t>, también prevalecen algunos riesgos a la baja, ya que la recuperación podría ser más lenta de lo esperado si se reestablecen medidas sanitarias para la contención de la propagación del Covid-19 dado los recientes rebrotes de la pandemia, así como una distribución lenta de las vacunas o por la reanudación de tensiones comerciales o geopolíticas.</w:t>
      </w:r>
    </w:p>
    <w:p w:rsidR="00B63DA6" w:rsidRPr="00B63DA6" w:rsidRDefault="00B63DA6" w:rsidP="00B63DA6">
      <w:pPr>
        <w:jc w:val="both"/>
        <w:rPr>
          <w:rFonts w:ascii="Times New Roman" w:hAnsi="Times New Roman" w:cs="Times New Roman"/>
          <w:sz w:val="22"/>
          <w:szCs w:val="22"/>
        </w:rPr>
      </w:pPr>
    </w:p>
    <w:p w:rsidR="00B63DA6" w:rsidRPr="00B63DA6" w:rsidRDefault="00B63DA6" w:rsidP="00B63DA6">
      <w:pPr>
        <w:jc w:val="both"/>
        <w:rPr>
          <w:rFonts w:ascii="Times New Roman" w:eastAsiaTheme="majorEastAsia" w:hAnsi="Times New Roman" w:cs="Times New Roman"/>
          <w:b/>
          <w:bCs/>
          <w:color w:val="FF0000"/>
          <w:sz w:val="22"/>
          <w:szCs w:val="22"/>
        </w:rPr>
      </w:pPr>
      <w:r w:rsidRPr="00B63DA6">
        <w:rPr>
          <w:rFonts w:ascii="Times New Roman" w:hAnsi="Times New Roman" w:cs="Times New Roman"/>
          <w:sz w:val="22"/>
          <w:szCs w:val="22"/>
        </w:rPr>
        <w:t xml:space="preserve">Asimismo, el FMI proyecta un crecimiento del 5.1% para Estados Unidos de América en el 2021, dado a la reanudación progresiva de las actividades económicas, por el apoyo de los distintos </w:t>
      </w:r>
      <w:r w:rsidRPr="00B63DA6">
        <w:rPr>
          <w:rFonts w:ascii="Times New Roman" w:hAnsi="Times New Roman" w:cs="Times New Roman"/>
          <w:sz w:val="22"/>
          <w:szCs w:val="22"/>
        </w:rPr>
        <w:lastRenderedPageBreak/>
        <w:t>estímulos fiscales, y la continuidad de una política monetaria acomodaticia. En la Zona del Euro se prevé un repunte del 4.2% en la economía, esto respaldado principalmente por una política fiscal expansiva. En los mercados emergentes y en desarrollo se espera una recuperación del 6.3% en el 2021, liderado por un crecimiento de la República Popular de China del 8.1%, dado a que esta economía viene en recuperación desde el segundo trimestre del año 2020, además de que se espera un mejor desempeño de la demanda externa mundial.</w:t>
      </w:r>
    </w:p>
    <w:p w:rsidR="00B63DA6" w:rsidRDefault="00B63DA6" w:rsidP="00B63DA6">
      <w:pPr>
        <w:jc w:val="both"/>
        <w:outlineLvl w:val="0"/>
        <w:rPr>
          <w:rFonts w:ascii="Times New Roman" w:eastAsiaTheme="majorEastAsia" w:hAnsi="Times New Roman" w:cs="Times New Roman"/>
          <w:b/>
          <w:bCs/>
          <w:color w:val="FF0000"/>
          <w:szCs w:val="26"/>
        </w:rPr>
      </w:pPr>
    </w:p>
    <w:p w:rsidR="00B24C98" w:rsidRPr="00B24C98" w:rsidRDefault="00B24C98" w:rsidP="00B24C98">
      <w:pPr>
        <w:jc w:val="both"/>
        <w:rPr>
          <w:rFonts w:ascii="Times New Roman" w:hAnsi="Times New Roman" w:cs="Times New Roman"/>
          <w:sz w:val="22"/>
        </w:rPr>
      </w:pPr>
      <w:r w:rsidRPr="00B24C98">
        <w:rPr>
          <w:rFonts w:ascii="Times New Roman" w:hAnsi="Times New Roman" w:cs="Times New Roman"/>
          <w:sz w:val="22"/>
        </w:rPr>
        <w:t>En Latinoamérica y el Caribe</w:t>
      </w:r>
      <w:r w:rsidR="004954E2">
        <w:rPr>
          <w:rFonts w:ascii="Times New Roman" w:hAnsi="Times New Roman" w:cs="Times New Roman"/>
          <w:sz w:val="22"/>
        </w:rPr>
        <w:t xml:space="preserve"> se</w:t>
      </w:r>
      <w:r w:rsidRPr="00B24C98">
        <w:rPr>
          <w:rFonts w:ascii="Times New Roman" w:hAnsi="Times New Roman" w:cs="Times New Roman"/>
          <w:sz w:val="22"/>
        </w:rPr>
        <w:t xml:space="preserve"> proyecta un crecimiento del 4.6% en el 2021, la cual depende de la evolución de la pandemia, el comportamiento de la demanda interna y externa, y si se mantienen las distintas políticas económicas para que se recupere la actividad económica en los diferentes sectores. Para Centroamérica se espera que el crecimiento económico se sitúe alrededor del 3.1%, respaldado por el ingreso de divisas por remesas familiares, el consumo y la recuperación de la producción.</w:t>
      </w:r>
    </w:p>
    <w:p w:rsidR="00B24C98" w:rsidRDefault="00B24C98" w:rsidP="00B24C98">
      <w:pPr>
        <w:jc w:val="both"/>
        <w:rPr>
          <w:rFonts w:ascii="Times New Roman" w:hAnsi="Times New Roman" w:cs="Times New Roman"/>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4"/>
      </w:tblGrid>
      <w:tr w:rsidR="00B24C98" w:rsidTr="0044706E">
        <w:tc>
          <w:tcPr>
            <w:tcW w:w="9350" w:type="dxa"/>
          </w:tcPr>
          <w:p w:rsidR="00B24C98" w:rsidRDefault="00B24C98" w:rsidP="0044706E">
            <w:pPr>
              <w:jc w:val="center"/>
              <w:rPr>
                <w:rFonts w:ascii="Times New Roman" w:hAnsi="Times New Roman" w:cs="Times New Roman"/>
                <w:b/>
                <w:bCs/>
                <w:lang w:val="es-GT"/>
              </w:rPr>
            </w:pPr>
            <w:r w:rsidRPr="00700361">
              <w:rPr>
                <w:rFonts w:ascii="Times New Roman" w:hAnsi="Times New Roman" w:cs="Times New Roman"/>
                <w:b/>
                <w:bCs/>
                <w:lang w:val="es-GT"/>
              </w:rPr>
              <w:t xml:space="preserve">Proyección del Crecimiento económico para el 2021 </w:t>
            </w:r>
          </w:p>
          <w:p w:rsidR="00B24C98" w:rsidRPr="00B24C98" w:rsidRDefault="00B24C98" w:rsidP="0044706E">
            <w:pPr>
              <w:jc w:val="center"/>
              <w:rPr>
                <w:rFonts w:ascii="Times New Roman" w:hAnsi="Times New Roman" w:cs="Times New Roman"/>
                <w:bCs/>
                <w:lang w:val="es-GT"/>
              </w:rPr>
            </w:pPr>
            <w:r w:rsidRPr="00B24C98">
              <w:rPr>
                <w:rFonts w:ascii="Times New Roman" w:hAnsi="Times New Roman" w:cs="Times New Roman"/>
                <w:bCs/>
                <w:sz w:val="22"/>
                <w:lang w:val="es-GT"/>
              </w:rPr>
              <w:t>En porcentaje</w:t>
            </w:r>
          </w:p>
        </w:tc>
      </w:tr>
      <w:tr w:rsidR="00B24C98" w:rsidTr="0044706E">
        <w:tblPrEx>
          <w:tblCellMar>
            <w:left w:w="70" w:type="dxa"/>
            <w:right w:w="70" w:type="dxa"/>
          </w:tblCellMar>
        </w:tblPrEx>
        <w:tc>
          <w:tcPr>
            <w:tcW w:w="9350" w:type="dxa"/>
          </w:tcPr>
          <w:p w:rsidR="00B24C98" w:rsidRDefault="00B24C98" w:rsidP="0044706E">
            <w:pPr>
              <w:jc w:val="center"/>
              <w:rPr>
                <w:rFonts w:ascii="Times New Roman" w:hAnsi="Times New Roman" w:cs="Times New Roman"/>
              </w:rPr>
            </w:pPr>
            <w:r>
              <w:rPr>
                <w:noProof/>
                <w:lang w:val="es-ES"/>
              </w:rPr>
              <w:drawing>
                <wp:inline distT="0" distB="0" distL="0" distR="0" wp14:anchorId="44FB9152" wp14:editId="0202D38E">
                  <wp:extent cx="5611585" cy="2161540"/>
                  <wp:effectExtent l="0" t="0" r="8255" b="0"/>
                  <wp:docPr id="218" name="Gráfico 21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FF1BE38-43FA-48C5-831E-E7D39B0D72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bl>
    <w:p w:rsidR="00B24C98" w:rsidRDefault="00B24C98" w:rsidP="00B24C98">
      <w:pPr>
        <w:jc w:val="both"/>
        <w:rPr>
          <w:rFonts w:ascii="Times New Roman" w:hAnsi="Times New Roman" w:cs="Times New Roman"/>
        </w:rPr>
      </w:pPr>
    </w:p>
    <w:p w:rsidR="00B24C98" w:rsidRDefault="00B24C98" w:rsidP="00B24C98">
      <w:pPr>
        <w:jc w:val="both"/>
        <w:rPr>
          <w:rFonts w:ascii="Times New Roman" w:hAnsi="Times New Roman" w:cs="Times New Roman"/>
          <w:sz w:val="22"/>
          <w:szCs w:val="22"/>
        </w:rPr>
      </w:pPr>
      <w:r w:rsidRPr="00B24C98">
        <w:rPr>
          <w:rFonts w:ascii="Times New Roman" w:hAnsi="Times New Roman" w:cs="Times New Roman"/>
          <w:sz w:val="22"/>
          <w:szCs w:val="22"/>
        </w:rPr>
        <w:t>En el comercio internacional se estima un aumento del 8% en el volumen del comercio en el 2021 como consecuencia de la recuperación de la demanda externa. Los servicios se recuperarán más lento que los bienes debido al bajo turismo y viajes laborales hasta que la propagación del Covid-19 se reduzca en la mayoría de los países.</w:t>
      </w:r>
    </w:p>
    <w:p w:rsidR="00B24C98" w:rsidRPr="00B24C98" w:rsidRDefault="00B24C98" w:rsidP="00B24C98">
      <w:pPr>
        <w:jc w:val="both"/>
        <w:rPr>
          <w:rFonts w:ascii="Times New Roman" w:hAnsi="Times New Roman" w:cs="Times New Roman"/>
          <w:sz w:val="22"/>
          <w:szCs w:val="22"/>
        </w:rPr>
      </w:pPr>
    </w:p>
    <w:p w:rsidR="00B24C98" w:rsidRDefault="00B24C98" w:rsidP="00B24C98">
      <w:pPr>
        <w:jc w:val="both"/>
        <w:rPr>
          <w:rFonts w:ascii="Times New Roman" w:hAnsi="Times New Roman" w:cs="Times New Roman"/>
          <w:sz w:val="22"/>
          <w:szCs w:val="22"/>
        </w:rPr>
      </w:pPr>
      <w:r w:rsidRPr="00B24C98">
        <w:rPr>
          <w:rFonts w:ascii="Times New Roman" w:hAnsi="Times New Roman" w:cs="Times New Roman"/>
          <w:sz w:val="22"/>
          <w:szCs w:val="22"/>
        </w:rPr>
        <w:t>Incluso con la anticipada recuperación del 2021 no se espera que las brechas del producto se cierren hasta después del 2022. Por lo tanto, las brechas negativas harán que la inflación se mantenga baja durante 2021-2022. La inflación proyectada en el 2021 para las economías avanzadas es de 1.5% y para las economías emergentes y en desarrollo es de 4%.</w:t>
      </w:r>
    </w:p>
    <w:p w:rsidR="00B24C98" w:rsidRPr="00B24C98" w:rsidRDefault="00B24C98" w:rsidP="00B24C98">
      <w:pPr>
        <w:jc w:val="both"/>
        <w:rPr>
          <w:rFonts w:ascii="Times New Roman" w:hAnsi="Times New Roman" w:cs="Times New Roman"/>
          <w:sz w:val="22"/>
          <w:szCs w:val="22"/>
        </w:rPr>
      </w:pPr>
    </w:p>
    <w:p w:rsidR="00B63DA6" w:rsidRPr="00B24C98" w:rsidRDefault="00B24C98" w:rsidP="0044706E">
      <w:pPr>
        <w:jc w:val="both"/>
        <w:rPr>
          <w:rFonts w:ascii="Times New Roman" w:eastAsiaTheme="majorEastAsia" w:hAnsi="Times New Roman" w:cs="Times New Roman"/>
          <w:b/>
          <w:bCs/>
          <w:color w:val="FF0000"/>
          <w:sz w:val="22"/>
          <w:szCs w:val="22"/>
        </w:rPr>
      </w:pPr>
      <w:r w:rsidRPr="00B24C98">
        <w:rPr>
          <w:rFonts w:ascii="Times New Roman" w:hAnsi="Times New Roman" w:cs="Times New Roman"/>
          <w:sz w:val="22"/>
          <w:szCs w:val="22"/>
        </w:rPr>
        <w:t>Para el 2021 se proyecta un aumento del 20% del precio del petróleo con respecto al precio del 2020, situándose el precio</w:t>
      </w:r>
      <w:r w:rsidRPr="00B24C98">
        <w:rPr>
          <w:rStyle w:val="Refdenotaalpie"/>
          <w:rFonts w:ascii="Times New Roman" w:hAnsi="Times New Roman" w:cs="Times New Roman"/>
          <w:sz w:val="22"/>
          <w:szCs w:val="22"/>
        </w:rPr>
        <w:footnoteReference w:id="2"/>
      </w:r>
      <w:r w:rsidRPr="00B24C98">
        <w:rPr>
          <w:rFonts w:ascii="Times New Roman" w:hAnsi="Times New Roman" w:cs="Times New Roman"/>
          <w:sz w:val="22"/>
          <w:szCs w:val="22"/>
        </w:rPr>
        <w:t xml:space="preserve"> del barril alrededor de US$50.03.  No obstante, este precio aún se mantiene por debajo del observado en 2019. Asimismo, se espera que el precio de las demás materias primas tenga un aumento para el año 2021.</w:t>
      </w:r>
    </w:p>
    <w:p w:rsidR="00B63DA6" w:rsidRPr="006A5725" w:rsidRDefault="00B63DA6" w:rsidP="0044706E">
      <w:pPr>
        <w:rPr>
          <w:rFonts w:ascii="Times New Roman" w:eastAsiaTheme="majorEastAsia" w:hAnsi="Times New Roman" w:cs="Times New Roman"/>
          <w:b/>
          <w:bCs/>
          <w:color w:val="FF0000"/>
          <w:sz w:val="20"/>
          <w:szCs w:val="26"/>
        </w:rPr>
      </w:pPr>
    </w:p>
    <w:p w:rsidR="00B24C98" w:rsidRPr="003A3D61" w:rsidRDefault="003A3D61" w:rsidP="00B24C98">
      <w:pPr>
        <w:pStyle w:val="Ttulo2"/>
        <w:numPr>
          <w:ilvl w:val="1"/>
          <w:numId w:val="12"/>
        </w:numPr>
        <w:spacing w:before="0"/>
        <w:ind w:left="567"/>
        <w:rPr>
          <w:rFonts w:ascii="Times New Roman" w:hAnsi="Times New Roman" w:cs="Times New Roman"/>
          <w:bCs w:val="0"/>
          <w:color w:val="auto"/>
          <w:sz w:val="22"/>
        </w:rPr>
      </w:pPr>
      <w:bookmarkStart w:id="179" w:name="_Toc64025457"/>
      <w:r w:rsidRPr="003A3D61">
        <w:rPr>
          <w:rFonts w:ascii="Times New Roman" w:hAnsi="Times New Roman" w:cs="Times New Roman"/>
          <w:bCs w:val="0"/>
          <w:color w:val="auto"/>
          <w:sz w:val="22"/>
        </w:rPr>
        <w:t>Perspectivas para la economía interna</w:t>
      </w:r>
      <w:bookmarkEnd w:id="179"/>
    </w:p>
    <w:p w:rsidR="003A3D61" w:rsidRPr="006A5725" w:rsidRDefault="003A3D61" w:rsidP="003A3D61">
      <w:pPr>
        <w:rPr>
          <w:sz w:val="18"/>
        </w:rPr>
      </w:pPr>
    </w:p>
    <w:p w:rsidR="003A3D61" w:rsidRPr="003A3D61" w:rsidRDefault="003A3D61" w:rsidP="003A3D61">
      <w:pPr>
        <w:jc w:val="both"/>
        <w:rPr>
          <w:noProof/>
          <w:sz w:val="22"/>
        </w:rPr>
      </w:pPr>
      <w:r w:rsidRPr="003A3D61">
        <w:rPr>
          <w:rFonts w:ascii="Times New Roman" w:hAnsi="Times New Roman" w:cs="Times New Roman"/>
          <w:sz w:val="22"/>
        </w:rPr>
        <w:lastRenderedPageBreak/>
        <w:t>Guatemala presentará en el 2021 un efecto “V” en su economía, después de haber tenido una caída en su crecimiento producto de COVID-19 en 2020. Según las proyecciones del Banguat de diciembre del 2020, la economía pasará de -1.5% en el 2020 a 3.5% en 2021 con un rango de 2.5% a 4.5%, dicha recuperación estará impulsada particularmente por el consumo privado con un crecimiento de 4.0%, el incremento en el gasto en consumo del Gobierno General asociado a la reactivación económica y la reconstrucción de infraestructura dañada por las tormentas tropicales Eta e Iota, la inversión será muy importante al pasar de -8.4% en 2020 a 6.4% en el presente año, si logra el consenso político para ampliar el presupuesto del Estado para atender la necesidad de reconstrucción y de más infraestructura.   Además, se espera una recuperación del sector externo producto de la recuperación sostenida de la economía mundial proyectada pa</w:t>
      </w:r>
      <w:r w:rsidR="004954E2">
        <w:rPr>
          <w:rFonts w:ascii="Times New Roman" w:hAnsi="Times New Roman" w:cs="Times New Roman"/>
          <w:sz w:val="22"/>
        </w:rPr>
        <w:t>ra el 2021 con un crecimiento en</w:t>
      </w:r>
      <w:r w:rsidRPr="003A3D61">
        <w:rPr>
          <w:rFonts w:ascii="Times New Roman" w:hAnsi="Times New Roman" w:cs="Times New Roman"/>
          <w:sz w:val="22"/>
        </w:rPr>
        <w:t xml:space="preserve"> las exportaciones</w:t>
      </w:r>
      <w:r w:rsidR="004954E2">
        <w:rPr>
          <w:rFonts w:ascii="Times New Roman" w:hAnsi="Times New Roman" w:cs="Times New Roman"/>
          <w:sz w:val="22"/>
        </w:rPr>
        <w:t xml:space="preserve"> de bienes y servicios</w:t>
      </w:r>
      <w:r w:rsidRPr="003A3D61">
        <w:rPr>
          <w:rFonts w:ascii="Times New Roman" w:hAnsi="Times New Roman" w:cs="Times New Roman"/>
          <w:sz w:val="22"/>
        </w:rPr>
        <w:t xml:space="preserve"> de 5.4% y un fuerte impulso de las importaciones que alcanzarán un 6.9% de crecimiento, resultado de la recuperación en la demanda de bien</w:t>
      </w:r>
      <w:r>
        <w:rPr>
          <w:rFonts w:ascii="Times New Roman" w:hAnsi="Times New Roman" w:cs="Times New Roman"/>
          <w:sz w:val="22"/>
        </w:rPr>
        <w:t xml:space="preserve">es para consumo final, así como </w:t>
      </w:r>
      <w:r w:rsidRPr="003A3D61">
        <w:rPr>
          <w:rFonts w:ascii="Times New Roman" w:hAnsi="Times New Roman" w:cs="Times New Roman"/>
          <w:sz w:val="22"/>
        </w:rPr>
        <w:t>para consumo intermedio e inversión.</w:t>
      </w:r>
      <w:r w:rsidRPr="003A3D61">
        <w:rPr>
          <w:noProof/>
          <w:sz w:val="22"/>
        </w:rPr>
        <w:t xml:space="preserve"> </w:t>
      </w:r>
    </w:p>
    <w:p w:rsidR="003A3D61" w:rsidRDefault="003A3D61" w:rsidP="003A3D61">
      <w:pPr>
        <w:jc w:val="both"/>
        <w:rPr>
          <w:noProof/>
        </w:rPr>
      </w:pPr>
    </w:p>
    <w:p w:rsidR="003A3D61" w:rsidRDefault="003A3D61" w:rsidP="003A3D61">
      <w:pPr>
        <w:jc w:val="center"/>
        <w:rPr>
          <w:rFonts w:ascii="Times New Roman" w:hAnsi="Times New Roman" w:cs="Times New Roman"/>
        </w:rPr>
      </w:pPr>
      <w:r>
        <w:rPr>
          <w:noProof/>
          <w:lang w:val="es-ES"/>
        </w:rPr>
        <w:drawing>
          <wp:inline distT="0" distB="0" distL="0" distR="0" wp14:anchorId="417A9D1E" wp14:editId="17EA5A06">
            <wp:extent cx="4048125" cy="2609850"/>
            <wp:effectExtent l="0" t="0" r="9525" b="0"/>
            <wp:docPr id="219" name="Gráfico 21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B1CF7FF-BA24-42EA-8096-4BA2EC880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3A3D61" w:rsidRDefault="003A3D61" w:rsidP="003A3D61">
      <w:pPr>
        <w:jc w:val="center"/>
        <w:rPr>
          <w:rFonts w:ascii="Times New Roman" w:hAnsi="Times New Roman" w:cs="Times New Roman"/>
        </w:rPr>
      </w:pPr>
      <w:r>
        <w:rPr>
          <w:noProof/>
          <w:lang w:val="es-ES"/>
        </w:rPr>
        <w:lastRenderedPageBreak/>
        <w:drawing>
          <wp:inline distT="0" distB="0" distL="0" distR="0" wp14:anchorId="148C65A9" wp14:editId="6924B0D3">
            <wp:extent cx="5019675" cy="3524250"/>
            <wp:effectExtent l="0" t="0" r="9525" b="0"/>
            <wp:docPr id="220" name="Gráfico 22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A62F27D-766B-4E3E-96BA-E5A1EB17D0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A3D61" w:rsidRPr="003A3D61" w:rsidRDefault="003A3D61" w:rsidP="003A3D61">
      <w:pPr>
        <w:jc w:val="both"/>
        <w:rPr>
          <w:rFonts w:ascii="Times New Roman" w:hAnsi="Times New Roman" w:cs="Times New Roman"/>
          <w:sz w:val="22"/>
        </w:rPr>
      </w:pPr>
    </w:p>
    <w:p w:rsidR="003A3D61" w:rsidRPr="003A3D61" w:rsidRDefault="003A3D61" w:rsidP="003A3D61">
      <w:pPr>
        <w:jc w:val="both"/>
        <w:rPr>
          <w:rFonts w:ascii="Times New Roman" w:hAnsi="Times New Roman" w:cs="Times New Roman"/>
          <w:sz w:val="22"/>
        </w:rPr>
      </w:pPr>
      <w:r w:rsidRPr="003A3D61">
        <w:rPr>
          <w:rFonts w:ascii="Times New Roman" w:hAnsi="Times New Roman" w:cs="Times New Roman"/>
          <w:sz w:val="22"/>
        </w:rPr>
        <w:t xml:space="preserve">Las actividades económicas tendrán una mayor recuperación respecto al 2020 serán las de Alojamiento y de servicio de comidas (24.5); Construcción (14.9); Transporte y almacenamiento (14.7). Sin embargo, las actividades más representativas según la estructura porcentual tendrán un cambio más reducido tales como el Comercio al por mayor y al por menor (5.2); la Industria manufacturera (3.5), sin embargo, la excepción es Agricultura, ganadería, silvicultura y pesca </w:t>
      </w:r>
      <w:r w:rsidR="004954E2">
        <w:rPr>
          <w:rFonts w:ascii="Times New Roman" w:hAnsi="Times New Roman" w:cs="Times New Roman"/>
          <w:sz w:val="22"/>
        </w:rPr>
        <w:t xml:space="preserve">que </w:t>
      </w:r>
      <w:r w:rsidRPr="003A3D61">
        <w:rPr>
          <w:rFonts w:ascii="Times New Roman" w:hAnsi="Times New Roman" w:cs="Times New Roman"/>
          <w:sz w:val="22"/>
        </w:rPr>
        <w:t>tendrá 0.3 puntos porcentuales menos que el 2020.</w:t>
      </w:r>
    </w:p>
    <w:p w:rsidR="003A3D61" w:rsidRPr="003A3D61" w:rsidRDefault="003A3D61" w:rsidP="003A3D61">
      <w:pPr>
        <w:jc w:val="both"/>
        <w:rPr>
          <w:rFonts w:ascii="Times New Roman" w:hAnsi="Times New Roman" w:cs="Times New Roman"/>
          <w:sz w:val="22"/>
          <w:szCs w:val="18"/>
        </w:rPr>
      </w:pPr>
    </w:p>
    <w:p w:rsidR="003A3D61" w:rsidRPr="003A3D61" w:rsidRDefault="003A3D61" w:rsidP="003A3D61">
      <w:pPr>
        <w:jc w:val="both"/>
        <w:rPr>
          <w:rFonts w:ascii="Times New Roman" w:hAnsi="Times New Roman" w:cs="Times New Roman"/>
          <w:sz w:val="22"/>
        </w:rPr>
      </w:pPr>
      <w:r w:rsidRPr="003A3D61">
        <w:rPr>
          <w:rFonts w:ascii="Times New Roman" w:hAnsi="Times New Roman" w:cs="Times New Roman"/>
          <w:sz w:val="22"/>
        </w:rPr>
        <w:t xml:space="preserve">Las actividades que tendrán un mayor crecimiento en el 2021 serán Construcción (7.5) derivado del incremento previsto en el rubro de inversión real directa; Actividades de alojamiento y servicio de comidas (5.7) derivado del mayor flujo de turistas, tanto nacionales como extranjeros resultado del levantamiento de las restricciones gubernamentales; Actividades financieras y de seguros (5.7) influenciada principalmente por la evolución prevista del crédito al sector privado; Transporte y almacenamiento (4.6) producto de la liberación del sistema de transporte y Actividades de atención de la salud humana y de asistencia social (4.1) resultado de mayor prestación de servicios médicos.  </w:t>
      </w:r>
    </w:p>
    <w:p w:rsidR="003A3D61" w:rsidRDefault="003A3D61" w:rsidP="003A3D61">
      <w:pPr>
        <w:jc w:val="both"/>
        <w:rPr>
          <w:rFonts w:ascii="Times New Roman" w:hAnsi="Times New Roman" w:cs="Times New Roman"/>
        </w:rPr>
      </w:pPr>
    </w:p>
    <w:p w:rsidR="003A3D61" w:rsidRDefault="003A3D61" w:rsidP="003A3D61">
      <w:pPr>
        <w:jc w:val="center"/>
        <w:rPr>
          <w:rFonts w:ascii="Times New Roman" w:hAnsi="Times New Roman" w:cs="Times New Roman"/>
        </w:rPr>
      </w:pPr>
      <w:r>
        <w:rPr>
          <w:noProof/>
          <w:lang w:val="es-ES"/>
        </w:rPr>
        <w:lastRenderedPageBreak/>
        <w:drawing>
          <wp:inline distT="0" distB="0" distL="0" distR="0" wp14:anchorId="3FA083D7" wp14:editId="0BEEAC3F">
            <wp:extent cx="4636135" cy="4657725"/>
            <wp:effectExtent l="0" t="0" r="12065" b="9525"/>
            <wp:docPr id="21" name="Gráfico 2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930A469-F00E-4483-8730-D9F39B6836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A3D61" w:rsidRPr="003A3D61" w:rsidRDefault="003A3D61" w:rsidP="003A3D61">
      <w:pPr>
        <w:jc w:val="both"/>
        <w:rPr>
          <w:rFonts w:ascii="Times New Roman" w:hAnsi="Times New Roman" w:cs="Times New Roman"/>
          <w:sz w:val="22"/>
        </w:rPr>
      </w:pPr>
      <w:r w:rsidRPr="003A3D61">
        <w:rPr>
          <w:rFonts w:ascii="Times New Roman" w:hAnsi="Times New Roman" w:cs="Times New Roman"/>
          <w:sz w:val="22"/>
        </w:rPr>
        <w:t>La inflación se situará en 4.5% en 2021 dentro del margen de tolerancia de 4.0% +/- 1 punto porcentual, es importante indicar que habrá posibilidad que se generen presiones inflacionarias por el efecto rezagado del amplio estímulo monetario que se generó en el 2020. Las expectativas del panel de analista privados anticipan que el ritmo inflacionario total para finales del 2021 se situaría dentro la meta de inflación.</w:t>
      </w:r>
    </w:p>
    <w:p w:rsidR="003A3D61" w:rsidRDefault="003A3D61" w:rsidP="003A3D61">
      <w:pPr>
        <w:jc w:val="both"/>
        <w:rPr>
          <w:rFonts w:ascii="Times New Roman" w:hAnsi="Times New Roman" w:cs="Times New Roman"/>
          <w:sz w:val="22"/>
        </w:rPr>
      </w:pPr>
      <w:r w:rsidRPr="003A3D61">
        <w:rPr>
          <w:rFonts w:ascii="Times New Roman" w:hAnsi="Times New Roman" w:cs="Times New Roman"/>
          <w:sz w:val="22"/>
        </w:rPr>
        <w:t>Asimismo, para el 2021 se espera que el comercio exterior se recupere a medida que el comportamiento de la economía mundial mejoré como se tiene previsto. Para las exportaciones FOB se proyecta una tasa de crecimiento del 9.0%, situando el valor de las exportaciones en USD$10,769.1 millones. Por otro lado, con respecto a las importaciones FOB se espera una tasa de crecimiento de 9.5% ubicándose en USD$17,888.6 millones.</w:t>
      </w:r>
    </w:p>
    <w:p w:rsidR="003A3D61" w:rsidRPr="003A3D61" w:rsidRDefault="003A3D61" w:rsidP="003A3D61">
      <w:pPr>
        <w:jc w:val="both"/>
        <w:rPr>
          <w:rFonts w:ascii="Times New Roman" w:hAnsi="Times New Roman" w:cs="Times New Roman"/>
          <w:sz w:val="22"/>
        </w:rPr>
      </w:pPr>
    </w:p>
    <w:p w:rsidR="003A3D61" w:rsidRDefault="003A3D61" w:rsidP="003A3D61">
      <w:pPr>
        <w:jc w:val="both"/>
        <w:rPr>
          <w:rFonts w:ascii="Times New Roman" w:hAnsi="Times New Roman" w:cs="Times New Roman"/>
          <w:sz w:val="22"/>
        </w:rPr>
      </w:pPr>
      <w:r w:rsidRPr="003A3D61">
        <w:rPr>
          <w:rFonts w:ascii="Times New Roman" w:hAnsi="Times New Roman" w:cs="Times New Roman"/>
          <w:sz w:val="22"/>
        </w:rPr>
        <w:t>Por su parte, se prevé un crecimiento del 10% en los ingresos de divisa por remesas familiares para finales de este año, el cual responderá a la recuperación esperada de la economía de Estados Unidos de América. Dada la fuerte participación de las remesas en la cuenta secundaria se espera que el superávit de esta cuenta compense parte del déficit de la balanza comercial.</w:t>
      </w:r>
    </w:p>
    <w:p w:rsidR="003A3D61" w:rsidRPr="003A3D61" w:rsidRDefault="003A3D61" w:rsidP="003A3D61">
      <w:pPr>
        <w:jc w:val="both"/>
        <w:rPr>
          <w:rFonts w:ascii="Times New Roman" w:hAnsi="Times New Roman" w:cs="Times New Roman"/>
          <w:sz w:val="22"/>
        </w:rPr>
      </w:pPr>
    </w:p>
    <w:p w:rsidR="003A3D61" w:rsidRDefault="003A3D61" w:rsidP="003A3D61">
      <w:pPr>
        <w:jc w:val="both"/>
        <w:rPr>
          <w:rFonts w:ascii="Times New Roman" w:hAnsi="Times New Roman" w:cs="Times New Roman"/>
          <w:sz w:val="22"/>
        </w:rPr>
      </w:pPr>
      <w:r w:rsidRPr="003A3D61">
        <w:rPr>
          <w:rFonts w:ascii="Times New Roman" w:hAnsi="Times New Roman" w:cs="Times New Roman"/>
          <w:sz w:val="22"/>
        </w:rPr>
        <w:t>Tomando como base las perspectivas de la balanza comercial y de la balanza secundaria se espera un superávit en la cuenta corriente, con respecto al PIB de 4.7% para 2021. Este resultado más los flujos de inversi</w:t>
      </w:r>
      <w:r w:rsidR="004954E2">
        <w:rPr>
          <w:rFonts w:ascii="Times New Roman" w:hAnsi="Times New Roman" w:cs="Times New Roman"/>
          <w:sz w:val="22"/>
        </w:rPr>
        <w:t>ón extranjera directa permitirían</w:t>
      </w:r>
      <w:r w:rsidRPr="003A3D61">
        <w:rPr>
          <w:rFonts w:ascii="Times New Roman" w:hAnsi="Times New Roman" w:cs="Times New Roman"/>
          <w:sz w:val="22"/>
        </w:rPr>
        <w:t xml:space="preserve"> disminuir los pasivos de los residentes. En lo que respecta a las Reservas Internacionales Netas, el Banco de Guatemala espera que estas aumenten en el 2021 en cerca de USD$2,000 millones.</w:t>
      </w:r>
    </w:p>
    <w:p w:rsidR="003A3D61" w:rsidRPr="003A3D61" w:rsidRDefault="003A3D61" w:rsidP="003A3D61">
      <w:pPr>
        <w:jc w:val="both"/>
        <w:rPr>
          <w:rFonts w:ascii="Times New Roman" w:hAnsi="Times New Roman" w:cs="Times New Roman"/>
          <w:sz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3A3D61" w:rsidRPr="00E6627E" w:rsidTr="0044706E">
        <w:tc>
          <w:tcPr>
            <w:tcW w:w="4412" w:type="dxa"/>
          </w:tcPr>
          <w:p w:rsidR="003A3D61" w:rsidRPr="007E5C2E" w:rsidRDefault="003A3D61" w:rsidP="0044706E">
            <w:pPr>
              <w:jc w:val="center"/>
              <w:rPr>
                <w:rFonts w:ascii="Times New Roman" w:hAnsi="Times New Roman" w:cs="Times New Roman"/>
                <w:b/>
                <w:bCs/>
                <w:color w:val="000000" w:themeColor="text1"/>
                <w:lang w:val="es-GT"/>
              </w:rPr>
            </w:pPr>
            <w:r w:rsidRPr="007E5C2E">
              <w:rPr>
                <w:rFonts w:ascii="Times New Roman" w:hAnsi="Times New Roman" w:cs="Times New Roman"/>
                <w:b/>
                <w:bCs/>
                <w:color w:val="000000" w:themeColor="text1"/>
                <w:sz w:val="22"/>
                <w:lang w:val="es-GT"/>
              </w:rPr>
              <w:t>Proyección del crecimiento de las exportaciones FOB en 2021 (en porcentaje)</w:t>
            </w:r>
          </w:p>
        </w:tc>
        <w:tc>
          <w:tcPr>
            <w:tcW w:w="4426" w:type="dxa"/>
          </w:tcPr>
          <w:p w:rsidR="003A3D61" w:rsidRPr="007E5C2E" w:rsidRDefault="003A3D61" w:rsidP="0044706E">
            <w:pPr>
              <w:jc w:val="center"/>
              <w:rPr>
                <w:rFonts w:ascii="Times New Roman" w:hAnsi="Times New Roman" w:cs="Times New Roman"/>
                <w:b/>
                <w:bCs/>
                <w:color w:val="FF0000"/>
                <w:lang w:val="es-GT"/>
              </w:rPr>
            </w:pPr>
            <w:r w:rsidRPr="007E5C2E">
              <w:rPr>
                <w:rFonts w:ascii="Times New Roman" w:hAnsi="Times New Roman" w:cs="Times New Roman"/>
                <w:b/>
                <w:bCs/>
                <w:color w:val="000000" w:themeColor="text1"/>
                <w:sz w:val="22"/>
                <w:lang w:val="es-GT"/>
              </w:rPr>
              <w:t>Proyección del crecimiento de las importaciones FOB en 2021 (en porcentaje)</w:t>
            </w:r>
          </w:p>
        </w:tc>
      </w:tr>
      <w:tr w:rsidR="003A3D61" w:rsidRPr="00E6627E" w:rsidTr="0044706E">
        <w:tblPrEx>
          <w:tblCellMar>
            <w:left w:w="70" w:type="dxa"/>
            <w:right w:w="70" w:type="dxa"/>
          </w:tblCellMar>
        </w:tblPrEx>
        <w:tc>
          <w:tcPr>
            <w:tcW w:w="4412" w:type="dxa"/>
          </w:tcPr>
          <w:p w:rsidR="003A3D61" w:rsidRPr="00E6627E" w:rsidRDefault="003A3D61" w:rsidP="0044706E">
            <w:pPr>
              <w:jc w:val="both"/>
              <w:rPr>
                <w:rFonts w:ascii="Times New Roman" w:hAnsi="Times New Roman" w:cs="Times New Roman"/>
                <w:color w:val="FF0000"/>
                <w:highlight w:val="yellow"/>
              </w:rPr>
            </w:pPr>
            <w:r w:rsidRPr="00E6627E">
              <w:rPr>
                <w:noProof/>
                <w:highlight w:val="yellow"/>
                <w:lang w:val="es-ES"/>
              </w:rPr>
              <w:drawing>
                <wp:inline distT="0" distB="0" distL="0" distR="0" wp14:anchorId="5E5297E5" wp14:editId="219A1013">
                  <wp:extent cx="2886626" cy="2134158"/>
                  <wp:effectExtent l="0" t="0" r="9525" b="0"/>
                  <wp:docPr id="24" name="Gráfico 2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8EB6BC0-48F5-4002-A90F-C3E4658EF4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4426" w:type="dxa"/>
          </w:tcPr>
          <w:p w:rsidR="003A3D61" w:rsidRPr="00E6627E" w:rsidRDefault="003A3D61" w:rsidP="0044706E">
            <w:pPr>
              <w:jc w:val="both"/>
              <w:rPr>
                <w:rFonts w:ascii="Times New Roman" w:hAnsi="Times New Roman" w:cs="Times New Roman"/>
                <w:color w:val="FF0000"/>
                <w:highlight w:val="yellow"/>
              </w:rPr>
            </w:pPr>
            <w:r w:rsidRPr="00E6627E">
              <w:rPr>
                <w:noProof/>
                <w:highlight w:val="yellow"/>
                <w:lang w:val="es-ES"/>
              </w:rPr>
              <w:drawing>
                <wp:inline distT="0" distB="0" distL="0" distR="0" wp14:anchorId="2E676140" wp14:editId="4F0A9E81">
                  <wp:extent cx="2890602" cy="2134158"/>
                  <wp:effectExtent l="0" t="0" r="5080" b="0"/>
                  <wp:docPr id="25" name="Gráfico 2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2E7058E2-E0CD-4E37-AB74-988661F265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bl>
    <w:p w:rsidR="003A3D61" w:rsidRDefault="003A3D61" w:rsidP="003A3D61">
      <w:pPr>
        <w:pStyle w:val="Ttulo2"/>
        <w:spacing w:before="0"/>
        <w:rPr>
          <w:rFonts w:ascii="Times New Roman" w:hAnsi="Times New Roman" w:cs="Times New Roman"/>
          <w:color w:val="auto"/>
          <w:sz w:val="24"/>
        </w:rPr>
      </w:pPr>
      <w:bookmarkStart w:id="180" w:name="_Toc32230921"/>
      <w:bookmarkEnd w:id="180"/>
    </w:p>
    <w:p w:rsidR="003A3D61" w:rsidRPr="003A3D61" w:rsidRDefault="003A3D61" w:rsidP="003A3D61">
      <w:pPr>
        <w:jc w:val="both"/>
        <w:rPr>
          <w:sz w:val="22"/>
        </w:rPr>
      </w:pPr>
      <w:r w:rsidRPr="003A3D61">
        <w:rPr>
          <w:rFonts w:ascii="Times New Roman" w:hAnsi="Times New Roman" w:cs="Times New Roman"/>
          <w:sz w:val="22"/>
        </w:rPr>
        <w:t>Por último, las perspectivas económicas de Guatemala, están determinadas por los riesgos del sector externo, los cuales pueden ser positivos o negativos.  Además, el comportamiento económico podría ser vulnerable a cambios en las decisiones del gobierno en cuanto al nivel de gasto en inversión, el cual de ser menor genera un riesgo a la baja en la perspectivas de crecimiento económico, así como el agudizamiento en los contagios derivados de la Pandemia que podrían llevar a una segunda etapa de confinamiento que afectaría negativamente la actividad económica; sin embargo, si la distribución de la vacuna para la inmunización del COVID-19 se realiza de manera eficaz y segura, elevaría la esperanza y confianza de las familias y las empresas alentando con ello el crecimiento económico.</w:t>
      </w:r>
    </w:p>
    <w:p w:rsidR="00B63DA6" w:rsidRDefault="00B63DA6" w:rsidP="0044706E">
      <w:pPr>
        <w:rPr>
          <w:rFonts w:ascii="Times New Roman" w:eastAsiaTheme="majorEastAsia" w:hAnsi="Times New Roman" w:cs="Times New Roman"/>
          <w:b/>
          <w:bCs/>
          <w:color w:val="FF0000"/>
          <w:sz w:val="20"/>
          <w:szCs w:val="26"/>
        </w:rPr>
      </w:pPr>
    </w:p>
    <w:p w:rsidR="0012656D" w:rsidRPr="003A3D61" w:rsidRDefault="0012656D" w:rsidP="003A3D61">
      <w:pPr>
        <w:pStyle w:val="Ttulo2"/>
        <w:numPr>
          <w:ilvl w:val="1"/>
          <w:numId w:val="12"/>
        </w:numPr>
        <w:spacing w:before="0"/>
        <w:ind w:left="567"/>
        <w:rPr>
          <w:rFonts w:ascii="Times New Roman" w:hAnsi="Times New Roman" w:cs="Times New Roman"/>
          <w:bCs w:val="0"/>
          <w:color w:val="auto"/>
          <w:sz w:val="22"/>
        </w:rPr>
      </w:pPr>
      <w:r w:rsidRPr="003A3D61">
        <w:rPr>
          <w:rFonts w:ascii="Times New Roman" w:hAnsi="Times New Roman" w:cs="Times New Roman"/>
          <w:bCs w:val="0"/>
          <w:color w:val="auto"/>
          <w:sz w:val="22"/>
        </w:rPr>
        <w:t xml:space="preserve"> </w:t>
      </w:r>
      <w:bookmarkStart w:id="181" w:name="_Toc64025458"/>
      <w:r w:rsidR="00FD333B" w:rsidRPr="007E5C2E">
        <w:rPr>
          <w:rFonts w:ascii="Times New Roman" w:hAnsi="Times New Roman" w:cs="Times New Roman"/>
          <w:bCs w:val="0"/>
          <w:color w:val="auto"/>
          <w:sz w:val="24"/>
        </w:rPr>
        <w:t>Perspectivas</w:t>
      </w:r>
      <w:r w:rsidR="003A3D61" w:rsidRPr="007E5C2E">
        <w:rPr>
          <w:rFonts w:ascii="Times New Roman" w:hAnsi="Times New Roman" w:cs="Times New Roman"/>
          <w:bCs w:val="0"/>
          <w:color w:val="auto"/>
          <w:sz w:val="24"/>
        </w:rPr>
        <w:t xml:space="preserve"> fiscales para 2021</w:t>
      </w:r>
      <w:bookmarkEnd w:id="181"/>
    </w:p>
    <w:p w:rsidR="003A3D61" w:rsidRPr="006A5725" w:rsidRDefault="003A3D61" w:rsidP="0044706E">
      <w:pPr>
        <w:rPr>
          <w:rFonts w:ascii="Times New Roman" w:eastAsiaTheme="majorEastAsia" w:hAnsi="Times New Roman" w:cs="Times New Roman"/>
          <w:b/>
          <w:bCs/>
          <w:color w:val="FF0000"/>
          <w:sz w:val="20"/>
          <w:szCs w:val="26"/>
        </w:rPr>
      </w:pPr>
    </w:p>
    <w:p w:rsidR="00FD333B" w:rsidRPr="00FD333B" w:rsidRDefault="00FD333B" w:rsidP="00FD333B">
      <w:pPr>
        <w:jc w:val="both"/>
        <w:rPr>
          <w:rFonts w:ascii="Times New Roman" w:hAnsi="Times New Roman" w:cs="Times New Roman"/>
          <w:sz w:val="22"/>
          <w:szCs w:val="22"/>
        </w:rPr>
      </w:pPr>
      <w:r w:rsidRPr="00FD333B">
        <w:rPr>
          <w:rFonts w:ascii="Times New Roman" w:hAnsi="Times New Roman" w:cs="Times New Roman"/>
          <w:sz w:val="22"/>
          <w:szCs w:val="22"/>
        </w:rPr>
        <w:t>Nuevamente el Congreso de la República no aprueba el Presupuesto General de Ingresos y Egresos del Estado para el Ejercicio Fiscal 2021, por lo que por segundo año consecutivo no se aprueba, situación que se da por primera vez en la historia democrática del país.  Esta medida afectará considerablemente el manejo de la política fiscal y de la política pública en su conjunto, ya que el presupuesto no es congruente con la planificación y los objetivos estratégicos e institucionales definidos anualmente para satisfacer las necesidades económicas y sociales del país.</w:t>
      </w: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r w:rsidRPr="00FD333B">
        <w:rPr>
          <w:rFonts w:ascii="Times New Roman" w:hAnsi="Times New Roman" w:cs="Times New Roman"/>
          <w:sz w:val="22"/>
          <w:szCs w:val="22"/>
        </w:rPr>
        <w:t xml:space="preserve">En los últimos 22 años, en 7 oportunidades no fue aprobado el presupuesto del Estado por el Congreso de la República. En 2020 con el inicio de la administración de VAMOS no se aprobó el presupuesto y de manera consecutiva se imprueba el presupuesto para 2021. </w:t>
      </w: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r w:rsidRPr="00E70168">
        <w:rPr>
          <w:noProof/>
          <w:lang w:val="es-ES"/>
        </w:rPr>
        <w:lastRenderedPageBreak/>
        <w:drawing>
          <wp:anchor distT="0" distB="0" distL="114300" distR="114300" simplePos="0" relativeHeight="251720704" behindDoc="0" locked="0" layoutInCell="1" allowOverlap="1" wp14:anchorId="656F94ED" wp14:editId="04B12EAE">
            <wp:simplePos x="0" y="0"/>
            <wp:positionH relativeFrom="margin">
              <wp:align>center</wp:align>
            </wp:positionH>
            <wp:positionV relativeFrom="paragraph">
              <wp:posOffset>76835</wp:posOffset>
            </wp:positionV>
            <wp:extent cx="4187190" cy="3188970"/>
            <wp:effectExtent l="0" t="0" r="3810" b="0"/>
            <wp:wrapSquare wrapText="bothSides"/>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87190" cy="3188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017674" w:rsidRPr="007E5C2E" w:rsidRDefault="00017674" w:rsidP="00017674">
      <w:pPr>
        <w:ind w:left="708" w:firstLine="708"/>
        <w:jc w:val="both"/>
        <w:rPr>
          <w:rFonts w:ascii="Times New Roman" w:hAnsi="Times New Roman" w:cs="Times New Roman"/>
          <w:sz w:val="20"/>
          <w:szCs w:val="22"/>
          <w:lang w:val="es-GT"/>
        </w:rPr>
      </w:pPr>
      <w:r w:rsidRPr="007E5C2E">
        <w:rPr>
          <w:rFonts w:ascii="Times New Roman" w:hAnsi="Times New Roman" w:cs="Times New Roman"/>
          <w:sz w:val="16"/>
          <w:szCs w:val="18"/>
        </w:rPr>
        <w:t xml:space="preserve">Fuente: </w:t>
      </w:r>
      <w:r w:rsidRPr="007E5C2E">
        <w:rPr>
          <w:rFonts w:ascii="Times New Roman" w:hAnsi="Times New Roman" w:cs="Times New Roman"/>
          <w:sz w:val="16"/>
          <w:szCs w:val="18"/>
          <w:lang w:val="es-GT"/>
        </w:rPr>
        <w:t>Dirección de Análisis y Política Fiscal</w:t>
      </w:r>
      <w:r>
        <w:rPr>
          <w:rFonts w:ascii="Times New Roman" w:hAnsi="Times New Roman" w:cs="Times New Roman"/>
          <w:sz w:val="16"/>
          <w:szCs w:val="18"/>
          <w:lang w:val="es-GT"/>
        </w:rPr>
        <w:t>.</w:t>
      </w:r>
      <w:r w:rsidRPr="007E5C2E">
        <w:rPr>
          <w:rFonts w:ascii="Times New Roman" w:hAnsi="Times New Roman" w:cs="Times New Roman"/>
          <w:sz w:val="16"/>
          <w:szCs w:val="18"/>
          <w:lang w:val="es-GT"/>
        </w:rPr>
        <w:t xml:space="preserve"> </w:t>
      </w:r>
    </w:p>
    <w:p w:rsidR="00FD333B" w:rsidRPr="00017674" w:rsidRDefault="00FD333B" w:rsidP="00FD333B">
      <w:pPr>
        <w:jc w:val="both"/>
        <w:rPr>
          <w:rFonts w:ascii="Times New Roman" w:hAnsi="Times New Roman" w:cs="Times New Roman"/>
          <w:sz w:val="16"/>
          <w:szCs w:val="22"/>
          <w:lang w:val="es-GT"/>
        </w:rPr>
      </w:pPr>
    </w:p>
    <w:p w:rsidR="007E5C2E" w:rsidRDefault="007E5C2E"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r>
        <w:rPr>
          <w:rFonts w:ascii="Times New Roman" w:hAnsi="Times New Roman" w:cs="Times New Roman"/>
          <w:sz w:val="22"/>
          <w:szCs w:val="22"/>
        </w:rPr>
        <w:t>L</w:t>
      </w:r>
      <w:r w:rsidRPr="00FD333B">
        <w:rPr>
          <w:rFonts w:ascii="Times New Roman" w:hAnsi="Times New Roman" w:cs="Times New Roman"/>
          <w:sz w:val="22"/>
          <w:szCs w:val="22"/>
        </w:rPr>
        <w:t>a Constitución Política de la República de Guatemala establece en el artículo 171, literal b) que si el Congreso de la República no aprueba el presupuesto, sigue en vigencia el del año anterior, por lo que para 2021, continúa en vigencia el de 2020, con las ampliaciones o disminuciones presupuestarias que fueran aprobados por el Organismo Legislativo en dicho año, es por ello que, el presupuesto de 2020 arrancó con un monto de Q87,715.1 millones y durante el año se realizaron 3 ampliaciones presupuestarias aprobadas mediante decretos de dicho organismo que suman Q19,805.9 millones, representando un presupuesto en vigencia para 2021 de Q107,521.5 millones.</w:t>
      </w:r>
    </w:p>
    <w:p w:rsidR="00D80411" w:rsidRDefault="00D80411" w:rsidP="00FD333B">
      <w:pPr>
        <w:jc w:val="both"/>
        <w:rPr>
          <w:rFonts w:ascii="Times New Roman" w:hAnsi="Times New Roman" w:cs="Times New Roman"/>
          <w:sz w:val="22"/>
          <w:szCs w:val="22"/>
        </w:rPr>
      </w:pPr>
    </w:p>
    <w:p w:rsidR="00FD333B" w:rsidRPr="00017674" w:rsidRDefault="00FD333B" w:rsidP="00FD333B">
      <w:pPr>
        <w:jc w:val="center"/>
        <w:rPr>
          <w:rFonts w:ascii="Times New Roman" w:hAnsi="Times New Roman" w:cs="Times New Roman"/>
          <w:b/>
          <w:sz w:val="22"/>
          <w:szCs w:val="22"/>
        </w:rPr>
      </w:pPr>
      <w:r w:rsidRPr="00017674">
        <w:rPr>
          <w:rFonts w:ascii="Times New Roman" w:hAnsi="Times New Roman" w:cs="Times New Roman"/>
          <w:b/>
          <w:sz w:val="22"/>
          <w:szCs w:val="22"/>
        </w:rPr>
        <w:t>Presupuesto en Vigencia 2021</w:t>
      </w:r>
    </w:p>
    <w:p w:rsidR="00FD333B" w:rsidRPr="00FD333B" w:rsidRDefault="00FD333B" w:rsidP="00FD333B">
      <w:pPr>
        <w:jc w:val="center"/>
        <w:rPr>
          <w:rFonts w:ascii="Times New Roman" w:hAnsi="Times New Roman" w:cs="Times New Roman"/>
          <w:sz w:val="22"/>
          <w:szCs w:val="22"/>
        </w:rPr>
      </w:pPr>
      <w:r w:rsidRPr="00FD333B">
        <w:rPr>
          <w:rFonts w:ascii="Times New Roman" w:hAnsi="Times New Roman" w:cs="Times New Roman"/>
          <w:sz w:val="22"/>
          <w:szCs w:val="22"/>
        </w:rPr>
        <w:t>Millones de quetzales</w:t>
      </w:r>
    </w:p>
    <w:p w:rsidR="00FD333B" w:rsidRPr="00FD333B" w:rsidRDefault="00FD333B" w:rsidP="00FD333B">
      <w:pPr>
        <w:jc w:val="both"/>
        <w:rPr>
          <w:rFonts w:ascii="Times New Roman" w:hAnsi="Times New Roman" w:cs="Times New Roman"/>
          <w:sz w:val="22"/>
          <w:szCs w:val="22"/>
        </w:rPr>
      </w:pPr>
      <w:r w:rsidRPr="00ED16AD">
        <w:rPr>
          <w:rFonts w:ascii="Times New Roman" w:hAnsi="Times New Roman" w:cs="Times New Roman"/>
          <w:noProof/>
          <w:lang w:val="es-ES"/>
        </w:rPr>
        <w:drawing>
          <wp:anchor distT="0" distB="0" distL="114300" distR="114300" simplePos="0" relativeHeight="251722752" behindDoc="0" locked="0" layoutInCell="1" allowOverlap="1" wp14:anchorId="1C586FE0" wp14:editId="07C8B3BA">
            <wp:simplePos x="0" y="0"/>
            <wp:positionH relativeFrom="margin">
              <wp:posOffset>791210</wp:posOffset>
            </wp:positionH>
            <wp:positionV relativeFrom="paragraph">
              <wp:posOffset>10795</wp:posOffset>
            </wp:positionV>
            <wp:extent cx="4029075" cy="1889125"/>
            <wp:effectExtent l="0" t="0" r="0" b="0"/>
            <wp:wrapSquare wrapText="bothSides"/>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p>
    <w:p w:rsidR="00FD333B" w:rsidRPr="00FD333B" w:rsidRDefault="00FD333B" w:rsidP="00FD333B">
      <w:pPr>
        <w:jc w:val="both"/>
        <w:rPr>
          <w:rFonts w:ascii="Times New Roman" w:hAnsi="Times New Roman" w:cs="Times New Roman"/>
          <w:sz w:val="18"/>
          <w:szCs w:val="18"/>
        </w:rPr>
      </w:pPr>
    </w:p>
    <w:p w:rsidR="00FD333B" w:rsidRPr="007E5C2E" w:rsidRDefault="00FD333B" w:rsidP="00017674">
      <w:pPr>
        <w:ind w:left="1416" w:firstLine="708"/>
        <w:jc w:val="both"/>
        <w:rPr>
          <w:rFonts w:ascii="Times New Roman" w:hAnsi="Times New Roman" w:cs="Times New Roman"/>
          <w:sz w:val="20"/>
          <w:szCs w:val="22"/>
          <w:lang w:val="es-GT"/>
        </w:rPr>
      </w:pPr>
      <w:r w:rsidRPr="007E5C2E">
        <w:rPr>
          <w:rFonts w:ascii="Times New Roman" w:hAnsi="Times New Roman" w:cs="Times New Roman"/>
          <w:sz w:val="16"/>
          <w:szCs w:val="18"/>
        </w:rPr>
        <w:t xml:space="preserve">Fuente: </w:t>
      </w:r>
      <w:r w:rsidR="00E6627E" w:rsidRPr="007E5C2E">
        <w:rPr>
          <w:rFonts w:ascii="Times New Roman" w:hAnsi="Times New Roman" w:cs="Times New Roman"/>
          <w:sz w:val="16"/>
          <w:szCs w:val="18"/>
          <w:lang w:val="es-GT"/>
        </w:rPr>
        <w:t>Dirección de Análisis y Política Fiscal</w:t>
      </w:r>
      <w:r w:rsidR="007E5C2E">
        <w:rPr>
          <w:rFonts w:ascii="Times New Roman" w:hAnsi="Times New Roman" w:cs="Times New Roman"/>
          <w:sz w:val="16"/>
          <w:szCs w:val="18"/>
          <w:lang w:val="es-GT"/>
        </w:rPr>
        <w:t>.</w:t>
      </w:r>
      <w:r w:rsidR="00E6627E" w:rsidRPr="007E5C2E">
        <w:rPr>
          <w:rFonts w:ascii="Times New Roman" w:hAnsi="Times New Roman" w:cs="Times New Roman"/>
          <w:sz w:val="16"/>
          <w:szCs w:val="18"/>
          <w:lang w:val="es-GT"/>
        </w:rPr>
        <w:t xml:space="preserve"> </w:t>
      </w:r>
    </w:p>
    <w:p w:rsidR="00FD333B" w:rsidRPr="00FD333B" w:rsidRDefault="00FD333B" w:rsidP="00FD333B">
      <w:pPr>
        <w:jc w:val="both"/>
        <w:rPr>
          <w:rFonts w:ascii="Times New Roman" w:hAnsi="Times New Roman" w:cs="Times New Roman"/>
          <w:sz w:val="22"/>
          <w:szCs w:val="22"/>
        </w:rPr>
      </w:pPr>
      <w:r w:rsidRPr="00FD333B">
        <w:rPr>
          <w:rFonts w:ascii="Times New Roman" w:hAnsi="Times New Roman" w:cs="Times New Roman"/>
          <w:sz w:val="22"/>
          <w:szCs w:val="22"/>
        </w:rPr>
        <w:t xml:space="preserve">Ante la falta de un nuevo presupuesto para 2021, y considerando que el presupuesto en vigencia contiene una serie de asignaciones que no cuentan con fuente financiamiento efectiva, tales como los originados por la ampliación presupuestaria del Decreto 13-2020 en la que se autoriza al Banco de Guatemala a comprar Bonos del Tesoro hasta por un monto de Q11,000 millones, derivado del </w:t>
      </w:r>
      <w:r w:rsidRPr="00FD333B">
        <w:rPr>
          <w:rFonts w:ascii="Times New Roman" w:hAnsi="Times New Roman" w:cs="Times New Roman"/>
          <w:sz w:val="22"/>
          <w:szCs w:val="22"/>
        </w:rPr>
        <w:lastRenderedPageBreak/>
        <w:t xml:space="preserve">Estado de Calamidad provocado por la Pandemia del COVID-19.  De esa cuenta, dicha emisión se pudo efectuar únicamente en 2020, por lo que la emisión de los títulos y el destino de recursos no pueden realizarse en 2021.  Asimismo, hay operaciones de préstamos y otros gastos que por su naturaleza únicamente pudieron realizarse en 2020.    </w:t>
      </w:r>
    </w:p>
    <w:p w:rsidR="00FD333B" w:rsidRPr="00FD333B" w:rsidRDefault="00FD333B" w:rsidP="00FD333B">
      <w:pPr>
        <w:jc w:val="both"/>
        <w:rPr>
          <w:rFonts w:ascii="Times New Roman" w:hAnsi="Times New Roman" w:cs="Times New Roman"/>
          <w:sz w:val="22"/>
          <w:szCs w:val="22"/>
        </w:rPr>
      </w:pPr>
    </w:p>
    <w:p w:rsidR="00FD333B" w:rsidRDefault="00FD333B" w:rsidP="00FD333B">
      <w:pPr>
        <w:jc w:val="both"/>
        <w:rPr>
          <w:rFonts w:ascii="Times New Roman" w:hAnsi="Times New Roman" w:cs="Times New Roman"/>
          <w:sz w:val="22"/>
          <w:szCs w:val="22"/>
        </w:rPr>
      </w:pPr>
      <w:r w:rsidRPr="00FD333B">
        <w:rPr>
          <w:rFonts w:ascii="Times New Roman" w:hAnsi="Times New Roman" w:cs="Times New Roman"/>
          <w:sz w:val="22"/>
          <w:szCs w:val="22"/>
        </w:rPr>
        <w:t>Por lo anterior, a finales de enero 2021, el Presidente de la República anunció una reducción del presupuesto 2021, mediante modificaciones presupuestarias, para garantizar los fondos para cubrir las necesidades recurrentes del Estado, así como otros gastos derivados de la reconstrucción por ETA e IOTA, las vacunas (inmunización del COVID-19) y para reactivación económica. Con dicha readecuación presupuestaria el techo asignado se situaría en alrededor de Q94,354.0 millones.</w:t>
      </w:r>
    </w:p>
    <w:p w:rsidR="00A9142D" w:rsidRDefault="00A9142D" w:rsidP="00FD333B">
      <w:pPr>
        <w:jc w:val="both"/>
        <w:rPr>
          <w:rFonts w:ascii="Times New Roman" w:hAnsi="Times New Roman" w:cs="Times New Roman"/>
          <w:sz w:val="22"/>
          <w:szCs w:val="22"/>
        </w:rPr>
      </w:pPr>
    </w:p>
    <w:p w:rsidR="00A9142D" w:rsidRPr="00000169" w:rsidRDefault="00A9142D" w:rsidP="00A9142D">
      <w:pPr>
        <w:pStyle w:val="Sinespaciado"/>
        <w:numPr>
          <w:ilvl w:val="0"/>
          <w:numId w:val="45"/>
        </w:numPr>
        <w:jc w:val="both"/>
        <w:rPr>
          <w:rFonts w:ascii="Times New Roman" w:hAnsi="Times New Roman" w:cs="Times New Roman"/>
        </w:rPr>
      </w:pPr>
      <w:r w:rsidRPr="00000169">
        <w:rPr>
          <w:rFonts w:ascii="Times New Roman" w:hAnsi="Times New Roman" w:cs="Times New Roman"/>
          <w:b/>
          <w:bCs/>
        </w:rPr>
        <w:t>Financiará el gasto recurrente del gobierno</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Nómina</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Pensiones y Jubilaciones</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Servicio de deuda pública</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Aportes instituciones y constitucionales</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Servicios básicos e insumos críticos</w:t>
      </w:r>
    </w:p>
    <w:p w:rsidR="00A9142D"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Inversión en infraestructura</w:t>
      </w:r>
    </w:p>
    <w:p w:rsidR="00A9142D" w:rsidRPr="00000169" w:rsidRDefault="00A9142D" w:rsidP="00A9142D">
      <w:pPr>
        <w:pStyle w:val="Sinespaciado"/>
        <w:numPr>
          <w:ilvl w:val="1"/>
          <w:numId w:val="44"/>
        </w:numPr>
        <w:jc w:val="both"/>
        <w:rPr>
          <w:rFonts w:ascii="Times New Roman" w:hAnsi="Times New Roman" w:cs="Times New Roman"/>
        </w:rPr>
      </w:pPr>
    </w:p>
    <w:p w:rsidR="00A9142D" w:rsidRPr="00000169" w:rsidRDefault="00A9142D" w:rsidP="00A9142D">
      <w:pPr>
        <w:pStyle w:val="Sinespaciado"/>
        <w:numPr>
          <w:ilvl w:val="0"/>
          <w:numId w:val="45"/>
        </w:numPr>
        <w:jc w:val="both"/>
        <w:rPr>
          <w:rFonts w:ascii="Times New Roman" w:hAnsi="Times New Roman" w:cs="Times New Roman"/>
          <w:b/>
          <w:bCs/>
        </w:rPr>
      </w:pPr>
      <w:r w:rsidRPr="00000169">
        <w:rPr>
          <w:rFonts w:ascii="Times New Roman" w:hAnsi="Times New Roman" w:cs="Times New Roman"/>
          <w:b/>
          <w:bCs/>
        </w:rPr>
        <w:t>Además</w:t>
      </w:r>
      <w:r>
        <w:rPr>
          <w:rFonts w:ascii="Times New Roman" w:hAnsi="Times New Roman" w:cs="Times New Roman"/>
          <w:b/>
          <w:bCs/>
        </w:rPr>
        <w:t>,</w:t>
      </w:r>
      <w:r w:rsidRPr="00000169">
        <w:rPr>
          <w:rFonts w:ascii="Times New Roman" w:hAnsi="Times New Roman" w:cs="Times New Roman"/>
          <w:b/>
          <w:bCs/>
        </w:rPr>
        <w:t xml:space="preserve"> se prevé </w:t>
      </w:r>
      <w:r>
        <w:rPr>
          <w:rFonts w:ascii="Times New Roman" w:hAnsi="Times New Roman" w:cs="Times New Roman"/>
          <w:b/>
          <w:bCs/>
        </w:rPr>
        <w:t>impulsar gastos relevantes como:</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Comprar la vacuna para inmunización del COVID-19</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 xml:space="preserve">Mantener el combate a la desnutrición crónica </w:t>
      </w:r>
    </w:p>
    <w:p w:rsidR="00A9142D" w:rsidRPr="00000169" w:rsidRDefault="00A9142D" w:rsidP="00A9142D">
      <w:pPr>
        <w:pStyle w:val="Sinespaciado"/>
        <w:numPr>
          <w:ilvl w:val="1"/>
          <w:numId w:val="44"/>
        </w:numPr>
        <w:jc w:val="both"/>
        <w:rPr>
          <w:rFonts w:ascii="Times New Roman" w:hAnsi="Times New Roman" w:cs="Times New Roman"/>
        </w:rPr>
      </w:pPr>
      <w:r w:rsidRPr="00000169">
        <w:rPr>
          <w:rFonts w:ascii="Times New Roman" w:hAnsi="Times New Roman" w:cs="Times New Roman"/>
        </w:rPr>
        <w:t>Aumentar la oferta educativa mediante la contratación de 11 mil maestros.</w:t>
      </w:r>
    </w:p>
    <w:p w:rsidR="00FD333B" w:rsidRDefault="00A9142D" w:rsidP="00FD333B">
      <w:pPr>
        <w:pStyle w:val="Sinespaciado"/>
        <w:numPr>
          <w:ilvl w:val="1"/>
          <w:numId w:val="44"/>
        </w:numPr>
        <w:jc w:val="both"/>
        <w:rPr>
          <w:rFonts w:ascii="Times New Roman" w:hAnsi="Times New Roman" w:cs="Times New Roman"/>
        </w:rPr>
      </w:pPr>
      <w:r w:rsidRPr="00000169">
        <w:rPr>
          <w:rFonts w:ascii="Times New Roman" w:hAnsi="Times New Roman" w:cs="Times New Roman"/>
        </w:rPr>
        <w:t>Construir viviendas para recuperar las destruidas por las tormentas tropicales en 2020 Apoyar en la reactivación económica</w:t>
      </w:r>
    </w:p>
    <w:p w:rsidR="007E5C2E" w:rsidRPr="007E5C2E" w:rsidRDefault="007E5C2E" w:rsidP="00FD333B">
      <w:pPr>
        <w:pStyle w:val="Sinespaciado"/>
        <w:numPr>
          <w:ilvl w:val="1"/>
          <w:numId w:val="44"/>
        </w:numPr>
        <w:jc w:val="both"/>
        <w:rPr>
          <w:rFonts w:ascii="Times New Roman" w:hAnsi="Times New Roman" w:cs="Times New Roman"/>
        </w:rPr>
      </w:pPr>
    </w:p>
    <w:p w:rsidR="00FD333B" w:rsidRDefault="00FD333B" w:rsidP="00FD333B">
      <w:pPr>
        <w:pStyle w:val="Sinespaciado"/>
        <w:ind w:left="360"/>
        <w:jc w:val="center"/>
        <w:rPr>
          <w:rFonts w:ascii="Times New Roman" w:hAnsi="Times New Roman" w:cs="Times New Roman"/>
          <w:b/>
          <w:bCs/>
          <w:sz w:val="24"/>
          <w:szCs w:val="24"/>
        </w:rPr>
      </w:pPr>
      <w:r>
        <w:rPr>
          <w:rFonts w:ascii="Times New Roman" w:hAnsi="Times New Roman" w:cs="Times New Roman"/>
          <w:b/>
          <w:bCs/>
          <w:sz w:val="24"/>
          <w:szCs w:val="24"/>
        </w:rPr>
        <w:t>Readecuaciones presupuestarias 2021</w:t>
      </w:r>
    </w:p>
    <w:p w:rsidR="00FD333B" w:rsidRPr="000C5B07" w:rsidRDefault="00FD333B" w:rsidP="00FD333B">
      <w:pPr>
        <w:pStyle w:val="Sinespaciado"/>
        <w:ind w:left="360"/>
        <w:jc w:val="center"/>
        <w:rPr>
          <w:rFonts w:ascii="Times New Roman" w:hAnsi="Times New Roman" w:cs="Times New Roman"/>
          <w:bCs/>
          <w:sz w:val="24"/>
          <w:szCs w:val="24"/>
        </w:rPr>
      </w:pPr>
      <w:r w:rsidRPr="000C5B07">
        <w:rPr>
          <w:rFonts w:ascii="Times New Roman" w:hAnsi="Times New Roman" w:cs="Times New Roman"/>
          <w:bCs/>
          <w:sz w:val="24"/>
          <w:szCs w:val="24"/>
        </w:rPr>
        <w:t>Millones de quetzales</w:t>
      </w:r>
    </w:p>
    <w:p w:rsidR="00FD333B" w:rsidRDefault="00FD333B" w:rsidP="00FD333B">
      <w:pPr>
        <w:pStyle w:val="Sinespaciado"/>
        <w:ind w:left="360"/>
        <w:rPr>
          <w:rFonts w:ascii="Times New Roman" w:hAnsi="Times New Roman" w:cs="Times New Roman"/>
          <w:b/>
          <w:bCs/>
          <w:sz w:val="24"/>
          <w:szCs w:val="24"/>
        </w:rPr>
      </w:pPr>
      <w:r w:rsidRPr="00ED16AD">
        <w:rPr>
          <w:rFonts w:ascii="Times New Roman" w:hAnsi="Times New Roman" w:cs="Times New Roman"/>
          <w:noProof/>
          <w:lang w:val="es-ES" w:eastAsia="es-ES"/>
        </w:rPr>
        <w:drawing>
          <wp:anchor distT="0" distB="0" distL="114300" distR="114300" simplePos="0" relativeHeight="251724800" behindDoc="0" locked="0" layoutInCell="1" allowOverlap="1" wp14:anchorId="39A3A7C2" wp14:editId="5667985D">
            <wp:simplePos x="0" y="0"/>
            <wp:positionH relativeFrom="margin">
              <wp:posOffset>-3810</wp:posOffset>
            </wp:positionH>
            <wp:positionV relativeFrom="paragraph">
              <wp:posOffset>77470</wp:posOffset>
            </wp:positionV>
            <wp:extent cx="3162300" cy="2514600"/>
            <wp:effectExtent l="57150" t="0" r="57150" b="114300"/>
            <wp:wrapSquare wrapText="bothSides"/>
            <wp:docPr id="22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rsidR="00FD333B" w:rsidRDefault="00FD333B" w:rsidP="00FD333B">
      <w:pPr>
        <w:pStyle w:val="Sinespaciado"/>
        <w:ind w:left="360"/>
        <w:jc w:val="center"/>
        <w:rPr>
          <w:rFonts w:ascii="Times New Roman" w:hAnsi="Times New Roman" w:cs="Times New Roman"/>
          <w:b/>
          <w:bCs/>
          <w:sz w:val="24"/>
          <w:szCs w:val="24"/>
        </w:rPr>
      </w:pPr>
    </w:p>
    <w:p w:rsidR="00FD333B" w:rsidRDefault="00FD333B" w:rsidP="00FD333B">
      <w:pPr>
        <w:pStyle w:val="Sinespaciado"/>
        <w:ind w:left="360"/>
        <w:jc w:val="center"/>
        <w:rPr>
          <w:rFonts w:ascii="Times New Roman" w:hAnsi="Times New Roman" w:cs="Times New Roman"/>
          <w:b/>
          <w:bCs/>
          <w:sz w:val="24"/>
          <w:szCs w:val="24"/>
        </w:rPr>
      </w:pPr>
      <w:r w:rsidRPr="000C5B07">
        <w:rPr>
          <w:noProof/>
          <w:lang w:val="es-ES" w:eastAsia="es-ES"/>
        </w:rPr>
        <w:drawing>
          <wp:anchor distT="0" distB="0" distL="114300" distR="114300" simplePos="0" relativeHeight="251725824" behindDoc="0" locked="0" layoutInCell="1" allowOverlap="1" wp14:anchorId="5F4D0E49" wp14:editId="2A29F2F1">
            <wp:simplePos x="0" y="0"/>
            <wp:positionH relativeFrom="margin">
              <wp:posOffset>3138170</wp:posOffset>
            </wp:positionH>
            <wp:positionV relativeFrom="paragraph">
              <wp:posOffset>277495</wp:posOffset>
            </wp:positionV>
            <wp:extent cx="2471420" cy="931545"/>
            <wp:effectExtent l="0" t="0" r="5080" b="19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1420"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33B" w:rsidRDefault="00FD333B" w:rsidP="00FD333B">
      <w:pPr>
        <w:pStyle w:val="Sinespaciado"/>
        <w:ind w:left="360"/>
        <w:jc w:val="center"/>
        <w:rPr>
          <w:rFonts w:ascii="Times New Roman" w:hAnsi="Times New Roman" w:cs="Times New Roman"/>
          <w:b/>
          <w:bCs/>
          <w:sz w:val="24"/>
          <w:szCs w:val="24"/>
        </w:rPr>
      </w:pPr>
    </w:p>
    <w:p w:rsidR="00FD333B" w:rsidRDefault="00FD333B" w:rsidP="00FD333B">
      <w:pPr>
        <w:pStyle w:val="Sinespaciado"/>
        <w:ind w:left="360"/>
        <w:jc w:val="center"/>
        <w:rPr>
          <w:rFonts w:ascii="Times New Roman" w:hAnsi="Times New Roman" w:cs="Times New Roman"/>
          <w:b/>
          <w:bCs/>
          <w:sz w:val="24"/>
          <w:szCs w:val="24"/>
        </w:rPr>
        <w:sectPr w:rsidR="00FD333B" w:rsidSect="00FD333B">
          <w:type w:val="continuous"/>
          <w:pgSz w:w="12240" w:h="15840" w:code="1"/>
          <w:pgMar w:top="1418" w:right="1701" w:bottom="1418" w:left="1701" w:header="709" w:footer="709" w:gutter="0"/>
          <w:cols w:space="708"/>
          <w:titlePg/>
          <w:docGrid w:linePitch="360"/>
        </w:sectPr>
      </w:pPr>
    </w:p>
    <w:p w:rsidR="007E5C2E" w:rsidRDefault="007E5C2E" w:rsidP="00FD333B">
      <w:pPr>
        <w:pStyle w:val="Sinespaciado"/>
        <w:ind w:left="360"/>
        <w:jc w:val="both"/>
        <w:rPr>
          <w:rFonts w:ascii="Times New Roman" w:hAnsi="Times New Roman" w:cs="Times New Roman"/>
          <w:sz w:val="16"/>
        </w:rPr>
      </w:pPr>
    </w:p>
    <w:p w:rsidR="007E5C2E" w:rsidRDefault="007E5C2E" w:rsidP="00FD333B">
      <w:pPr>
        <w:pStyle w:val="Sinespaciado"/>
        <w:ind w:left="360"/>
        <w:jc w:val="both"/>
        <w:rPr>
          <w:rFonts w:ascii="Times New Roman" w:hAnsi="Times New Roman" w:cs="Times New Roman"/>
          <w:sz w:val="16"/>
        </w:rPr>
      </w:pPr>
    </w:p>
    <w:p w:rsidR="007E5C2E" w:rsidRDefault="007E5C2E" w:rsidP="00FD333B">
      <w:pPr>
        <w:pStyle w:val="Sinespaciado"/>
        <w:ind w:left="360"/>
        <w:jc w:val="both"/>
        <w:rPr>
          <w:rFonts w:ascii="Times New Roman" w:hAnsi="Times New Roman" w:cs="Times New Roman"/>
          <w:sz w:val="16"/>
        </w:rPr>
      </w:pPr>
    </w:p>
    <w:p w:rsidR="007E5C2E" w:rsidRDefault="007E5C2E" w:rsidP="00FD333B">
      <w:pPr>
        <w:pStyle w:val="Sinespaciado"/>
        <w:ind w:left="360"/>
        <w:jc w:val="both"/>
        <w:rPr>
          <w:rFonts w:ascii="Times New Roman" w:hAnsi="Times New Roman" w:cs="Times New Roman"/>
          <w:sz w:val="16"/>
        </w:rPr>
      </w:pPr>
    </w:p>
    <w:p w:rsidR="007E5C2E" w:rsidRDefault="007E5C2E" w:rsidP="00FD333B">
      <w:pPr>
        <w:pStyle w:val="Sinespaciado"/>
        <w:ind w:left="360"/>
        <w:jc w:val="both"/>
        <w:rPr>
          <w:rFonts w:ascii="Times New Roman" w:hAnsi="Times New Roman" w:cs="Times New Roman"/>
          <w:sz w:val="16"/>
        </w:rPr>
      </w:pPr>
    </w:p>
    <w:p w:rsidR="007E5C2E" w:rsidRDefault="007E5C2E" w:rsidP="007E5C2E">
      <w:pPr>
        <w:pStyle w:val="Sinespaciado"/>
        <w:rPr>
          <w:rFonts w:ascii="Times New Roman" w:hAnsi="Times New Roman" w:cs="Times New Roman"/>
          <w:sz w:val="16"/>
        </w:rPr>
      </w:pPr>
      <w:r>
        <w:rPr>
          <w:rFonts w:ascii="Times New Roman" w:hAnsi="Times New Roman" w:cs="Times New Roman"/>
          <w:noProof/>
          <w:sz w:val="16"/>
          <w:lang w:val="es-ES" w:eastAsia="es-ES"/>
        </w:rPr>
        <mc:AlternateContent>
          <mc:Choice Requires="wps">
            <w:drawing>
              <wp:anchor distT="0" distB="0" distL="114300" distR="114300" simplePos="0" relativeHeight="251728896" behindDoc="0" locked="0" layoutInCell="1" allowOverlap="1" wp14:anchorId="2659DB06" wp14:editId="603435FE">
                <wp:simplePos x="0" y="0"/>
                <wp:positionH relativeFrom="column">
                  <wp:posOffset>394970</wp:posOffset>
                </wp:positionH>
                <wp:positionV relativeFrom="paragraph">
                  <wp:posOffset>92710</wp:posOffset>
                </wp:positionV>
                <wp:extent cx="3095625" cy="342900"/>
                <wp:effectExtent l="0" t="0" r="9525" b="0"/>
                <wp:wrapNone/>
                <wp:docPr id="227" name="Cuadro de texto 227"/>
                <wp:cNvGraphicFramePr/>
                <a:graphic xmlns:a="http://schemas.openxmlformats.org/drawingml/2006/main">
                  <a:graphicData uri="http://schemas.microsoft.com/office/word/2010/wordprocessingShape">
                    <wps:wsp>
                      <wps:cNvSpPr txBox="1"/>
                      <wps:spPr>
                        <a:xfrm>
                          <a:off x="0" y="0"/>
                          <a:ext cx="3095625" cy="342900"/>
                        </a:xfrm>
                        <a:prstGeom prst="rect">
                          <a:avLst/>
                        </a:prstGeom>
                        <a:solidFill>
                          <a:schemeClr val="lt1"/>
                        </a:solidFill>
                        <a:ln w="6350">
                          <a:noFill/>
                        </a:ln>
                      </wps:spPr>
                      <wps:txbx>
                        <w:txbxContent>
                          <w:p w:rsidR="007E5C2E" w:rsidRDefault="007E5C2E" w:rsidP="007E5C2E">
                            <w:r w:rsidRPr="007E5C2E">
                              <w:rPr>
                                <w:rFonts w:ascii="Times New Roman" w:hAnsi="Times New Roman" w:cs="Times New Roman"/>
                                <w:sz w:val="16"/>
                              </w:rPr>
                              <w:t>Fuente: Dirección de Análisis y Política Fiscal</w:t>
                            </w:r>
                            <w:r>
                              <w:rPr>
                                <w:rFonts w:ascii="Times New Roman" w:hAnsi="Times New Roman" w:cs="Times New Roman"/>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2659DB06" id="Cuadro de texto 227" o:spid="_x0000_s1028" type="#_x0000_t202" style="position:absolute;margin-left:31.1pt;margin-top:7.3pt;width:243.75pt;height:27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" fillcolor="white [3201]" stroked="f" strokeweight=".5pt">
                <v:textbox>
                  <w:txbxContent>
                    <w:p w:rsidR="007E5C2E" w:rsidRDefault="007E5C2E" w:rsidP="007E5C2E">
                      <w:r w:rsidRPr="007E5C2E">
                        <w:rPr>
                          <w:rFonts w:ascii="Times New Roman" w:hAnsi="Times New Roman" w:cs="Times New Roman"/>
                          <w:sz w:val="16"/>
                        </w:rPr>
                        <w:t>Fuente: Dirección de Análisis y Política Fiscal</w:t>
                      </w:r>
                      <w:r>
                        <w:rPr>
                          <w:rFonts w:ascii="Times New Roman" w:hAnsi="Times New Roman" w:cs="Times New Roman"/>
                          <w:sz w:val="16"/>
                        </w:rPr>
                        <w:t>.</w:t>
                      </w:r>
                    </w:p>
                  </w:txbxContent>
                </v:textbox>
              </v:shape>
            </w:pict>
          </mc:Fallback>
        </mc:AlternateContent>
      </w:r>
    </w:p>
    <w:p w:rsidR="007E5C2E" w:rsidRDefault="007E5C2E" w:rsidP="007E5C2E">
      <w:pPr>
        <w:pStyle w:val="Sinespaciado"/>
        <w:rPr>
          <w:rFonts w:ascii="Times New Roman" w:hAnsi="Times New Roman" w:cs="Times New Roman"/>
          <w:sz w:val="16"/>
        </w:rPr>
      </w:pPr>
    </w:p>
    <w:p w:rsidR="00FD333B" w:rsidRPr="007E5C2E" w:rsidRDefault="00FD333B" w:rsidP="007E5C2E">
      <w:pPr>
        <w:pStyle w:val="Sinespaciado"/>
        <w:rPr>
          <w:rFonts w:ascii="Times New Roman" w:hAnsi="Times New Roman" w:cs="Times New Roman"/>
          <w:sz w:val="16"/>
        </w:rPr>
      </w:pPr>
    </w:p>
    <w:p w:rsidR="00A9142D" w:rsidRDefault="00A9142D" w:rsidP="007E5C2E">
      <w:pPr>
        <w:rPr>
          <w:rFonts w:ascii="Times New Roman" w:hAnsi="Times New Roman" w:cs="Times New Roman"/>
          <w:b/>
          <w:bCs/>
        </w:rPr>
      </w:pPr>
    </w:p>
    <w:p w:rsidR="007B34EE" w:rsidRDefault="007B34EE" w:rsidP="007B34EE">
      <w:pPr>
        <w:jc w:val="both"/>
        <w:rPr>
          <w:rFonts w:ascii="Times New Roman" w:hAnsi="Times New Roman" w:cs="Times New Roman"/>
          <w:sz w:val="22"/>
          <w:szCs w:val="22"/>
        </w:rPr>
      </w:pPr>
      <w:r w:rsidRPr="0036149D">
        <w:rPr>
          <w:rFonts w:ascii="Times New Roman" w:hAnsi="Times New Roman" w:cs="Times New Roman"/>
          <w:sz w:val="22"/>
          <w:szCs w:val="22"/>
        </w:rPr>
        <w:t xml:space="preserve">Asimismo, el comportamiento que registrará la economía en 2021 será determinante en el nivel de recaudación tributaria, la cual debe verse influenciada también por un buen desempeño de la administración tributaria que logre reducir los niveles de incumplimiento en los principales impuestos, tales como: el Impuesto al Valor Agregado y el Impuesto Sobre la Renta, además, de la mejora en la </w:t>
      </w:r>
      <w:r w:rsidRPr="0036149D">
        <w:rPr>
          <w:rFonts w:ascii="Times New Roman" w:hAnsi="Times New Roman" w:cs="Times New Roman"/>
          <w:sz w:val="22"/>
          <w:szCs w:val="22"/>
        </w:rPr>
        <w:lastRenderedPageBreak/>
        <w:t xml:space="preserve">reducción del contrabando y defraudación aduanera.  </w:t>
      </w:r>
      <w:r w:rsidR="00FD333B">
        <w:rPr>
          <w:rFonts w:ascii="Times New Roman" w:hAnsi="Times New Roman" w:cs="Times New Roman"/>
          <w:sz w:val="22"/>
          <w:szCs w:val="22"/>
        </w:rPr>
        <w:t>De esa cuenta, es posible que en un torno favorable la recaudación tributaria se ubique, al final del año, en un monto cercano a los Q64,027 millones.</w:t>
      </w:r>
    </w:p>
    <w:p w:rsidR="0036149D" w:rsidRPr="0036149D" w:rsidRDefault="0036149D" w:rsidP="007B34EE">
      <w:pPr>
        <w:jc w:val="both"/>
        <w:rPr>
          <w:rFonts w:ascii="Times New Roman" w:hAnsi="Times New Roman" w:cs="Times New Roman"/>
          <w:sz w:val="22"/>
          <w:szCs w:val="22"/>
        </w:rPr>
      </w:pPr>
    </w:p>
    <w:p w:rsidR="00A9142D" w:rsidRPr="00000169" w:rsidRDefault="00A9142D" w:rsidP="00A9142D">
      <w:pPr>
        <w:pStyle w:val="Sinespaciado"/>
        <w:jc w:val="both"/>
        <w:rPr>
          <w:rFonts w:ascii="Times New Roman" w:hAnsi="Times New Roman" w:cs="Times New Roman"/>
        </w:rPr>
      </w:pPr>
      <w:r w:rsidRPr="00000169">
        <w:rPr>
          <w:rFonts w:ascii="Times New Roman" w:hAnsi="Times New Roman" w:cs="Times New Roman"/>
        </w:rPr>
        <w:t>Las fuentes de endeudamiento que se cuentan, según la readecuación presupuestaria para este año, contemplan una emisión de Bonos del Tesoro por Q19,047.9 millones, que establece el presupuesto en vigencia, y se prevé que podrían recibirse desembolsos de préstamos externos por Q3,100 millones, que corresponde a préstamos ya aprobado en ejecución, lo cual dependerá del nivel de ejecución de las entidades, del cumplimiento de condiciones previas que imponen los organismos y de la celeridad en que cada organismo realice los desembolsos para alcanzar el monto indicado.</w:t>
      </w:r>
    </w:p>
    <w:p w:rsidR="0036149D" w:rsidRPr="0036149D" w:rsidRDefault="0036149D" w:rsidP="007B34EE">
      <w:pPr>
        <w:jc w:val="both"/>
        <w:rPr>
          <w:rFonts w:ascii="Times New Roman" w:hAnsi="Times New Roman" w:cs="Times New Roman"/>
          <w:sz w:val="22"/>
          <w:szCs w:val="22"/>
        </w:rPr>
      </w:pPr>
    </w:p>
    <w:p w:rsidR="0036149D" w:rsidRDefault="0036149D" w:rsidP="0036149D">
      <w:pPr>
        <w:jc w:val="center"/>
        <w:rPr>
          <w:rFonts w:ascii="Times New Roman" w:hAnsi="Times New Roman" w:cs="Times New Roman"/>
          <w:b/>
          <w:bCs/>
          <w:color w:val="FF0000"/>
        </w:rPr>
      </w:pPr>
    </w:p>
    <w:p w:rsidR="0036149D" w:rsidRDefault="0036149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A9142D" w:rsidRDefault="00A9142D"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7E5C2E" w:rsidRDefault="007E5C2E" w:rsidP="0036149D"/>
    <w:p w:rsidR="00A9142D" w:rsidRDefault="00A9142D" w:rsidP="0036149D"/>
    <w:p w:rsidR="00B63DA6" w:rsidRDefault="00B63DA6" w:rsidP="00545196">
      <w:pPr>
        <w:pStyle w:val="Prrafodelista"/>
        <w:numPr>
          <w:ilvl w:val="0"/>
          <w:numId w:val="1"/>
        </w:numPr>
        <w:ind w:left="284" w:hanging="284"/>
        <w:jc w:val="both"/>
        <w:outlineLvl w:val="0"/>
        <w:rPr>
          <w:rFonts w:ascii="Times New Roman" w:eastAsiaTheme="majorEastAsia" w:hAnsi="Times New Roman" w:cs="Times New Roman"/>
          <w:b/>
          <w:bCs/>
          <w:sz w:val="24"/>
          <w:szCs w:val="26"/>
          <w:lang w:val="es-ES_tradnl" w:eastAsia="es-ES"/>
        </w:rPr>
      </w:pPr>
      <w:bookmarkStart w:id="182" w:name="_Toc64025459"/>
      <w:r w:rsidRPr="00545196">
        <w:rPr>
          <w:rFonts w:ascii="Times New Roman" w:eastAsiaTheme="majorEastAsia" w:hAnsi="Times New Roman" w:cs="Times New Roman"/>
          <w:b/>
          <w:bCs/>
          <w:sz w:val="24"/>
          <w:szCs w:val="26"/>
          <w:lang w:val="es-ES_tradnl" w:eastAsia="es-ES"/>
        </w:rPr>
        <w:t>Apéndice contexto macroeconómico</w:t>
      </w:r>
      <w:bookmarkEnd w:id="182"/>
    </w:p>
    <w:p w:rsidR="00545196" w:rsidRPr="00360874" w:rsidRDefault="00545196" w:rsidP="00545196">
      <w:pPr>
        <w:pStyle w:val="Prrafodelista"/>
        <w:ind w:left="284"/>
        <w:jc w:val="both"/>
        <w:rPr>
          <w:rFonts w:ascii="Times New Roman" w:eastAsiaTheme="majorEastAsia" w:hAnsi="Times New Roman" w:cs="Times New Roman"/>
          <w:b/>
          <w:bCs/>
          <w:sz w:val="14"/>
          <w:szCs w:val="26"/>
          <w:lang w:val="es-ES_tradnl" w:eastAsia="es-ES"/>
        </w:rPr>
      </w:pPr>
    </w:p>
    <w:p w:rsidR="00B24C98" w:rsidRPr="00545196" w:rsidRDefault="00B24C98" w:rsidP="00B24C98">
      <w:pPr>
        <w:pStyle w:val="Prrafodelista"/>
        <w:keepNext/>
        <w:keepLines/>
        <w:numPr>
          <w:ilvl w:val="0"/>
          <w:numId w:val="10"/>
        </w:numPr>
        <w:spacing w:before="200"/>
        <w:contextualSpacing w:val="0"/>
        <w:outlineLvl w:val="1"/>
        <w:rPr>
          <w:rFonts w:ascii="Times New Roman" w:eastAsiaTheme="majorEastAsia" w:hAnsi="Times New Roman" w:cs="Times New Roman"/>
          <w:b/>
          <w:bCs/>
          <w:vanish/>
          <w:sz w:val="24"/>
          <w:szCs w:val="26"/>
          <w:lang w:val="es-ES_tradnl" w:eastAsia="es-ES"/>
        </w:rPr>
      </w:pPr>
      <w:bookmarkStart w:id="183" w:name="_Toc472082170"/>
      <w:bookmarkStart w:id="184" w:name="_Toc472082202"/>
      <w:bookmarkStart w:id="185" w:name="_Toc472089918"/>
      <w:bookmarkStart w:id="186" w:name="_Toc472089941"/>
      <w:bookmarkStart w:id="187" w:name="_Toc505346073"/>
      <w:bookmarkStart w:id="188" w:name="_Toc505349888"/>
      <w:bookmarkStart w:id="189" w:name="_Toc534985846"/>
      <w:bookmarkStart w:id="190" w:name="_Toc534988239"/>
      <w:bookmarkStart w:id="191" w:name="_Toc31611559"/>
      <w:bookmarkStart w:id="192" w:name="_Toc31612778"/>
      <w:bookmarkStart w:id="193" w:name="_Toc31612810"/>
      <w:bookmarkStart w:id="194" w:name="_Toc31614836"/>
      <w:bookmarkStart w:id="195" w:name="_Toc31614868"/>
      <w:bookmarkStart w:id="196" w:name="_Toc31618705"/>
      <w:bookmarkStart w:id="197" w:name="_Toc31618738"/>
      <w:bookmarkStart w:id="198" w:name="_Toc31624517"/>
      <w:bookmarkStart w:id="199" w:name="_Toc62724086"/>
      <w:bookmarkStart w:id="200" w:name="_Toc62724149"/>
      <w:bookmarkStart w:id="201" w:name="_Toc62724232"/>
      <w:bookmarkStart w:id="202" w:name="_Toc62724306"/>
      <w:bookmarkStart w:id="203" w:name="_Toc64025460"/>
      <w:bookmarkStart w:id="204" w:name="_Toc457550819"/>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rsidR="00B24C98" w:rsidRPr="00545196" w:rsidRDefault="00B24C98" w:rsidP="00B24C98">
      <w:pPr>
        <w:pStyle w:val="Prrafodelista"/>
        <w:keepNext/>
        <w:keepLines/>
        <w:numPr>
          <w:ilvl w:val="0"/>
          <w:numId w:val="10"/>
        </w:numPr>
        <w:spacing w:before="200"/>
        <w:contextualSpacing w:val="0"/>
        <w:outlineLvl w:val="1"/>
        <w:rPr>
          <w:rFonts w:ascii="Times New Roman" w:eastAsiaTheme="majorEastAsia" w:hAnsi="Times New Roman" w:cs="Times New Roman"/>
          <w:b/>
          <w:bCs/>
          <w:vanish/>
          <w:sz w:val="24"/>
          <w:szCs w:val="26"/>
          <w:lang w:val="es-ES_tradnl" w:eastAsia="es-ES"/>
        </w:rPr>
      </w:pPr>
      <w:bookmarkStart w:id="205" w:name="_Toc62724087"/>
      <w:bookmarkStart w:id="206" w:name="_Toc62724150"/>
      <w:bookmarkStart w:id="207" w:name="_Toc62724233"/>
      <w:bookmarkStart w:id="208" w:name="_Toc62724307"/>
      <w:bookmarkStart w:id="209" w:name="_Toc64025461"/>
      <w:bookmarkEnd w:id="205"/>
      <w:bookmarkEnd w:id="206"/>
      <w:bookmarkEnd w:id="207"/>
      <w:bookmarkEnd w:id="208"/>
      <w:bookmarkEnd w:id="209"/>
    </w:p>
    <w:p w:rsidR="00B24C98" w:rsidRPr="00545196" w:rsidRDefault="00B24C98" w:rsidP="00B24C98">
      <w:pPr>
        <w:pStyle w:val="Prrafodelista"/>
        <w:keepNext/>
        <w:keepLines/>
        <w:numPr>
          <w:ilvl w:val="0"/>
          <w:numId w:val="10"/>
        </w:numPr>
        <w:spacing w:before="200"/>
        <w:contextualSpacing w:val="0"/>
        <w:outlineLvl w:val="1"/>
        <w:rPr>
          <w:rFonts w:ascii="Times New Roman" w:eastAsiaTheme="majorEastAsia" w:hAnsi="Times New Roman" w:cs="Times New Roman"/>
          <w:b/>
          <w:bCs/>
          <w:vanish/>
          <w:sz w:val="24"/>
          <w:szCs w:val="26"/>
          <w:lang w:val="es-ES_tradnl" w:eastAsia="es-ES"/>
        </w:rPr>
      </w:pPr>
      <w:bookmarkStart w:id="210" w:name="_Toc62724088"/>
      <w:bookmarkStart w:id="211" w:name="_Toc62724151"/>
      <w:bookmarkStart w:id="212" w:name="_Toc62724234"/>
      <w:bookmarkStart w:id="213" w:name="_Toc62724308"/>
      <w:bookmarkStart w:id="214" w:name="_Toc64025462"/>
      <w:bookmarkEnd w:id="210"/>
      <w:bookmarkEnd w:id="211"/>
      <w:bookmarkEnd w:id="212"/>
      <w:bookmarkEnd w:id="213"/>
      <w:bookmarkEnd w:id="214"/>
    </w:p>
    <w:p w:rsidR="00B24C98" w:rsidRPr="00545196" w:rsidRDefault="00B24C98" w:rsidP="00B24C98">
      <w:pPr>
        <w:pStyle w:val="Prrafodelista"/>
        <w:keepNext/>
        <w:keepLines/>
        <w:numPr>
          <w:ilvl w:val="0"/>
          <w:numId w:val="10"/>
        </w:numPr>
        <w:spacing w:before="200"/>
        <w:contextualSpacing w:val="0"/>
        <w:outlineLvl w:val="1"/>
        <w:rPr>
          <w:rFonts w:ascii="Times New Roman" w:eastAsiaTheme="majorEastAsia" w:hAnsi="Times New Roman" w:cs="Times New Roman"/>
          <w:b/>
          <w:bCs/>
          <w:vanish/>
          <w:sz w:val="24"/>
          <w:szCs w:val="26"/>
          <w:lang w:val="es-ES_tradnl" w:eastAsia="es-ES"/>
        </w:rPr>
      </w:pPr>
      <w:bookmarkStart w:id="215" w:name="_Toc62724089"/>
      <w:bookmarkStart w:id="216" w:name="_Toc62724152"/>
      <w:bookmarkStart w:id="217" w:name="_Toc62724235"/>
      <w:bookmarkStart w:id="218" w:name="_Toc62724309"/>
      <w:bookmarkStart w:id="219" w:name="_Toc64025463"/>
      <w:bookmarkEnd w:id="215"/>
      <w:bookmarkEnd w:id="216"/>
      <w:bookmarkEnd w:id="217"/>
      <w:bookmarkEnd w:id="218"/>
      <w:bookmarkEnd w:id="219"/>
    </w:p>
    <w:p w:rsidR="00B24C98" w:rsidRPr="00545196" w:rsidRDefault="00B24C98" w:rsidP="00B24C98">
      <w:pPr>
        <w:pStyle w:val="Prrafodelista"/>
        <w:keepNext/>
        <w:keepLines/>
        <w:numPr>
          <w:ilvl w:val="0"/>
          <w:numId w:val="10"/>
        </w:numPr>
        <w:spacing w:before="200"/>
        <w:contextualSpacing w:val="0"/>
        <w:outlineLvl w:val="1"/>
        <w:rPr>
          <w:rFonts w:ascii="Times New Roman" w:eastAsiaTheme="majorEastAsia" w:hAnsi="Times New Roman" w:cs="Times New Roman"/>
          <w:b/>
          <w:bCs/>
          <w:vanish/>
          <w:sz w:val="24"/>
          <w:szCs w:val="26"/>
          <w:lang w:val="es-ES_tradnl" w:eastAsia="es-ES"/>
        </w:rPr>
      </w:pPr>
      <w:bookmarkStart w:id="220" w:name="_Toc62724090"/>
      <w:bookmarkStart w:id="221" w:name="_Toc62724153"/>
      <w:bookmarkStart w:id="222" w:name="_Toc62724236"/>
      <w:bookmarkStart w:id="223" w:name="_Toc62724310"/>
      <w:bookmarkStart w:id="224" w:name="_Toc64025464"/>
      <w:bookmarkEnd w:id="220"/>
      <w:bookmarkEnd w:id="221"/>
      <w:bookmarkEnd w:id="222"/>
      <w:bookmarkEnd w:id="223"/>
      <w:bookmarkEnd w:id="224"/>
    </w:p>
    <w:p w:rsidR="0012656D" w:rsidRPr="00545196" w:rsidRDefault="0012656D" w:rsidP="00545196">
      <w:pPr>
        <w:pStyle w:val="Ttulo2"/>
        <w:numPr>
          <w:ilvl w:val="1"/>
          <w:numId w:val="10"/>
        </w:numPr>
        <w:spacing w:before="0"/>
        <w:ind w:left="567"/>
        <w:rPr>
          <w:rFonts w:ascii="Times New Roman" w:hAnsi="Times New Roman" w:cs="Times New Roman"/>
          <w:color w:val="auto"/>
          <w:sz w:val="24"/>
        </w:rPr>
      </w:pPr>
      <w:bookmarkStart w:id="225" w:name="_Toc64025465"/>
      <w:r w:rsidRPr="00545196">
        <w:rPr>
          <w:rFonts w:ascii="Times New Roman" w:hAnsi="Times New Roman" w:cs="Times New Roman"/>
          <w:color w:val="auto"/>
          <w:sz w:val="24"/>
        </w:rPr>
        <w:t>Entorno Macroeconómico Internacional</w:t>
      </w:r>
      <w:bookmarkEnd w:id="204"/>
      <w:bookmarkEnd w:id="225"/>
      <w:r w:rsidRPr="00545196">
        <w:rPr>
          <w:rFonts w:ascii="Times New Roman" w:hAnsi="Times New Roman" w:cs="Times New Roman"/>
          <w:color w:val="auto"/>
          <w:sz w:val="24"/>
        </w:rPr>
        <w:t xml:space="preserve"> </w:t>
      </w:r>
    </w:p>
    <w:p w:rsidR="0012656D" w:rsidRPr="00360874" w:rsidRDefault="0012656D" w:rsidP="0012656D">
      <w:pPr>
        <w:pStyle w:val="Default"/>
        <w:jc w:val="both"/>
        <w:rPr>
          <w:color w:val="FF0000"/>
          <w:sz w:val="14"/>
          <w:szCs w:val="22"/>
        </w:rPr>
      </w:pPr>
    </w:p>
    <w:p w:rsidR="00545196" w:rsidRDefault="006140EA" w:rsidP="00D25947">
      <w:pPr>
        <w:jc w:val="both"/>
        <w:rPr>
          <w:rFonts w:ascii="Times New Roman" w:hAnsi="Times New Roman" w:cs="Times New Roman"/>
          <w:sz w:val="22"/>
        </w:rPr>
      </w:pPr>
      <w:r>
        <w:rPr>
          <w:rFonts w:ascii="Times New Roman" w:hAnsi="Times New Roman" w:cs="Times New Roman"/>
          <w:sz w:val="22"/>
        </w:rPr>
        <w:lastRenderedPageBreak/>
        <w:t xml:space="preserve">Al final del año 2019 e inicio de 2020 los principales organismos internacionales coincidían en </w:t>
      </w:r>
      <w:r w:rsidR="00D76C00">
        <w:rPr>
          <w:rFonts w:ascii="Times New Roman" w:hAnsi="Times New Roman" w:cs="Times New Roman"/>
          <w:sz w:val="22"/>
        </w:rPr>
        <w:t>que en</w:t>
      </w:r>
      <w:r>
        <w:rPr>
          <w:rFonts w:ascii="Times New Roman" w:hAnsi="Times New Roman" w:cs="Times New Roman"/>
          <w:sz w:val="22"/>
        </w:rPr>
        <w:t xml:space="preserve"> 2020 existiría un crecimiento cercano al 3%, en ese momento, atribuido a la mejora proyectada del desempeño económico de varios mercados emergentes de América Latina, Oriente Medio y economías emergentes y en desarrollo de Europa</w:t>
      </w:r>
      <w:r w:rsidR="00D76C00">
        <w:rPr>
          <w:rFonts w:ascii="Times New Roman" w:hAnsi="Times New Roman" w:cs="Times New Roman"/>
          <w:sz w:val="22"/>
        </w:rPr>
        <w:t>.</w:t>
      </w:r>
      <w:r>
        <w:rPr>
          <w:rFonts w:ascii="Times New Roman" w:hAnsi="Times New Roman" w:cs="Times New Roman"/>
          <w:sz w:val="22"/>
        </w:rPr>
        <w:t xml:space="preserve"> </w:t>
      </w:r>
      <w:r w:rsidR="00D25947">
        <w:rPr>
          <w:rFonts w:ascii="Times New Roman" w:hAnsi="Times New Roman" w:cs="Times New Roman"/>
          <w:sz w:val="22"/>
        </w:rPr>
        <w:t xml:space="preserve"> Se esperaba que, entre las economías avanzadas, existiera un</w:t>
      </w:r>
      <w:r w:rsidR="00D25947" w:rsidRPr="00D25947">
        <w:rPr>
          <w:rFonts w:ascii="Times New Roman" w:hAnsi="Times New Roman" w:cs="Times New Roman"/>
          <w:sz w:val="22"/>
        </w:rPr>
        <w:t xml:space="preserve"> debilitamiento g</w:t>
      </w:r>
      <w:r w:rsidR="00D25947">
        <w:rPr>
          <w:rFonts w:ascii="Times New Roman" w:hAnsi="Times New Roman" w:cs="Times New Roman"/>
          <w:sz w:val="22"/>
        </w:rPr>
        <w:t xml:space="preserve">eneralizado y ha afectado a las </w:t>
      </w:r>
      <w:r w:rsidR="00D25947" w:rsidRPr="00D25947">
        <w:rPr>
          <w:rFonts w:ascii="Times New Roman" w:hAnsi="Times New Roman" w:cs="Times New Roman"/>
          <w:sz w:val="22"/>
        </w:rPr>
        <w:t>grandes economías (Esta</w:t>
      </w:r>
      <w:r w:rsidR="00D25947">
        <w:rPr>
          <w:rFonts w:ascii="Times New Roman" w:hAnsi="Times New Roman" w:cs="Times New Roman"/>
          <w:sz w:val="22"/>
        </w:rPr>
        <w:t xml:space="preserve">dos Unidos y, especialmente, la </w:t>
      </w:r>
      <w:r w:rsidR="00D25947" w:rsidRPr="00D25947">
        <w:rPr>
          <w:rFonts w:ascii="Times New Roman" w:hAnsi="Times New Roman" w:cs="Times New Roman"/>
          <w:sz w:val="22"/>
        </w:rPr>
        <w:t>z</w:t>
      </w:r>
      <w:r w:rsidR="00D25947">
        <w:rPr>
          <w:rFonts w:ascii="Times New Roman" w:hAnsi="Times New Roman" w:cs="Times New Roman"/>
          <w:sz w:val="22"/>
        </w:rPr>
        <w:t>ona del euro) y a las economías avanzadas más pequeñas de Asia; así mismo, la proyección consideraba un</w:t>
      </w:r>
      <w:r w:rsidR="00D25947" w:rsidRPr="00D25947">
        <w:rPr>
          <w:rFonts w:ascii="Times New Roman" w:hAnsi="Times New Roman" w:cs="Times New Roman"/>
          <w:sz w:val="22"/>
        </w:rPr>
        <w:t xml:space="preserve"> enfriamiento de la actividad</w:t>
      </w:r>
      <w:r w:rsidR="00D25947">
        <w:rPr>
          <w:rFonts w:ascii="Times New Roman" w:hAnsi="Times New Roman" w:cs="Times New Roman"/>
          <w:sz w:val="22"/>
        </w:rPr>
        <w:t xml:space="preserve">, más pronunciado entre las </w:t>
      </w:r>
      <w:r w:rsidR="00D25947" w:rsidRPr="00D25947">
        <w:rPr>
          <w:rFonts w:ascii="Times New Roman" w:hAnsi="Times New Roman" w:cs="Times New Roman"/>
          <w:sz w:val="22"/>
        </w:rPr>
        <w:t>eco</w:t>
      </w:r>
      <w:r w:rsidR="00D25947">
        <w:rPr>
          <w:rFonts w:ascii="Times New Roman" w:hAnsi="Times New Roman" w:cs="Times New Roman"/>
          <w:sz w:val="22"/>
        </w:rPr>
        <w:t xml:space="preserve">nomías de mercados emergentes y </w:t>
      </w:r>
      <w:r w:rsidR="00D25947" w:rsidRPr="00D25947">
        <w:rPr>
          <w:rFonts w:ascii="Times New Roman" w:hAnsi="Times New Roman" w:cs="Times New Roman"/>
          <w:sz w:val="22"/>
        </w:rPr>
        <w:t>en desarrollo, como Brasil</w:t>
      </w:r>
      <w:r w:rsidR="00D25947">
        <w:rPr>
          <w:rFonts w:ascii="Times New Roman" w:hAnsi="Times New Roman" w:cs="Times New Roman"/>
          <w:sz w:val="22"/>
        </w:rPr>
        <w:t xml:space="preserve">, China, India, México y Rusia, así como </w:t>
      </w:r>
      <w:r w:rsidR="00D25947" w:rsidRPr="00D25947">
        <w:rPr>
          <w:rFonts w:ascii="Times New Roman" w:hAnsi="Times New Roman" w:cs="Times New Roman"/>
          <w:sz w:val="22"/>
        </w:rPr>
        <w:t>en algunas economías aq</w:t>
      </w:r>
      <w:r w:rsidR="00D25947">
        <w:rPr>
          <w:rFonts w:ascii="Times New Roman" w:hAnsi="Times New Roman" w:cs="Times New Roman"/>
          <w:sz w:val="22"/>
        </w:rPr>
        <w:t xml:space="preserve">uejadas por tensiones </w:t>
      </w:r>
      <w:r w:rsidR="00D25947" w:rsidRPr="00D25947">
        <w:rPr>
          <w:rFonts w:ascii="Times New Roman" w:hAnsi="Times New Roman" w:cs="Times New Roman"/>
          <w:sz w:val="22"/>
        </w:rPr>
        <w:t>macroeconómicas y financieras</w:t>
      </w:r>
      <w:r w:rsidR="00D25947">
        <w:rPr>
          <w:rFonts w:ascii="Times New Roman" w:hAnsi="Times New Roman" w:cs="Times New Roman"/>
          <w:sz w:val="22"/>
        </w:rPr>
        <w:t>.</w:t>
      </w:r>
    </w:p>
    <w:p w:rsidR="00D25947" w:rsidRPr="00360874" w:rsidRDefault="00D25947" w:rsidP="00D25947">
      <w:pPr>
        <w:jc w:val="both"/>
        <w:rPr>
          <w:rFonts w:ascii="Times New Roman" w:hAnsi="Times New Roman" w:cs="Times New Roman"/>
          <w:sz w:val="16"/>
        </w:rPr>
      </w:pPr>
    </w:p>
    <w:p w:rsidR="00545196" w:rsidRPr="00545196" w:rsidRDefault="00545196" w:rsidP="00545196">
      <w:pPr>
        <w:jc w:val="both"/>
        <w:rPr>
          <w:rFonts w:ascii="Times New Roman" w:hAnsi="Times New Roman" w:cs="Times New Roman"/>
          <w:sz w:val="22"/>
        </w:rPr>
      </w:pPr>
      <w:r w:rsidRPr="00545196">
        <w:rPr>
          <w:rFonts w:ascii="Times New Roman" w:hAnsi="Times New Roman" w:cs="Times New Roman"/>
          <w:sz w:val="22"/>
        </w:rPr>
        <w:t>En el transcurso del 2020 el ritmo de la actividad económica mundial experimentó una drástica contracción, debido al súbito y generalizado impacto de la pandemia del coronavirus y las medidas de suspensión de las actividades que se adoptaron para contenerla; las consecuencias fueron tan severas, que es considerada la peor recesión desde la Segunda Guerra Mundial, y la primera vez desde 1870 en que tantas economías experimentaron una disminución del producto per cápita.  Al final del 2020, los efectos continúan siendo particularmente profundos en los países más afectados por la pandemia y en aquellos que dependen en gran medida del comercio internacional, el turismo, las exportaciones de productos básicos y el financiamiento externo.  El escenario continúa complejo respecto a lo observado en el primer semestre, debido que la pandemia continúa propagándose y muchos países han disminuido el ritmo de reapertura y algunos están volviendo a instituir confinamientos parciales para proteger a las poblaciones susceptibles.</w:t>
      </w:r>
    </w:p>
    <w:p w:rsidR="00545196" w:rsidRPr="00545196" w:rsidRDefault="00545196" w:rsidP="00545196">
      <w:pPr>
        <w:jc w:val="both"/>
        <w:rPr>
          <w:rFonts w:ascii="Times New Roman" w:hAnsi="Times New Roman" w:cs="Times New Roman"/>
          <w:sz w:val="22"/>
        </w:rPr>
      </w:pPr>
    </w:p>
    <w:p w:rsidR="00545196" w:rsidRPr="00545196" w:rsidRDefault="00545196" w:rsidP="00545196">
      <w:pPr>
        <w:jc w:val="both"/>
        <w:rPr>
          <w:rFonts w:ascii="Times New Roman" w:hAnsi="Times New Roman" w:cs="Times New Roman"/>
          <w:sz w:val="22"/>
        </w:rPr>
      </w:pPr>
      <w:r w:rsidRPr="00545196">
        <w:rPr>
          <w:rFonts w:ascii="Times New Roman" w:hAnsi="Times New Roman" w:cs="Times New Roman"/>
          <w:sz w:val="22"/>
        </w:rPr>
        <w:t>Aunque las estimaciones de cierre 2020 consideran niveles del PIB más optimistas que los mostrados en el primer semestre, los profundos daños en la economía se hacen más evidentes en los indicadores de salud, mercado laboral y en los datos de inflación. El FMI en su más reciente actualización de cifras indica que el producto mundial cerrará el año con una contracción de 3.5%, un dato que refleja que el colapso de la actividad económica mundial ha sido ligeramente menos grave de lo que en un principio se había proyectado, debido principalmente a que la contracción de las economías avanzadas ha sido menor de lo previsto y a que la recuperación en China ha sido más sólida de lo anticipado, a pesar que las perturbaciones de la actividad en la mayoría de los demás mercados emergentes y economías en desarrollo fueron más graves de lo esperado.</w:t>
      </w:r>
    </w:p>
    <w:p w:rsidR="00545196" w:rsidRPr="00360874" w:rsidRDefault="00545196" w:rsidP="00545196">
      <w:pPr>
        <w:jc w:val="both"/>
        <w:rPr>
          <w:rFonts w:ascii="Times New Roman" w:hAnsi="Times New Roman" w:cs="Times New Roman"/>
          <w:sz w:val="12"/>
        </w:rPr>
      </w:pPr>
    </w:p>
    <w:p w:rsidR="00113A1E" w:rsidRPr="00545196" w:rsidRDefault="00545196" w:rsidP="00545196">
      <w:pPr>
        <w:jc w:val="center"/>
        <w:rPr>
          <w:rFonts w:ascii="Times New Roman" w:hAnsi="Times New Roman" w:cs="Times New Roman"/>
          <w:b/>
          <w:sz w:val="22"/>
          <w:szCs w:val="22"/>
        </w:rPr>
      </w:pPr>
      <w:r w:rsidRPr="00545196">
        <w:rPr>
          <w:rFonts w:ascii="Times New Roman" w:hAnsi="Times New Roman" w:cs="Times New Roman"/>
          <w:b/>
          <w:sz w:val="22"/>
          <w:szCs w:val="22"/>
        </w:rPr>
        <w:t>Evolución de las estimaciones de cierre 2020</w:t>
      </w:r>
      <w:r w:rsidR="00792384">
        <w:rPr>
          <w:rFonts w:ascii="Times New Roman" w:hAnsi="Times New Roman" w:cs="Times New Roman"/>
          <w:b/>
          <w:sz w:val="22"/>
          <w:szCs w:val="22"/>
        </w:rPr>
        <w:t xml:space="preserve"> según el FMI</w:t>
      </w:r>
    </w:p>
    <w:tbl>
      <w:tblPr>
        <w:tblStyle w:val="Tablaconcuadrcula"/>
        <w:tblW w:w="0" w:type="auto"/>
        <w:jc w:val="center"/>
        <w:tblLook w:val="04A0" w:firstRow="1" w:lastRow="0" w:firstColumn="1" w:lastColumn="0" w:noHBand="0" w:noVBand="1"/>
      </w:tblPr>
      <w:tblGrid>
        <w:gridCol w:w="2977"/>
        <w:gridCol w:w="1134"/>
        <w:gridCol w:w="1134"/>
        <w:gridCol w:w="1134"/>
        <w:gridCol w:w="1105"/>
      </w:tblGrid>
      <w:tr w:rsidR="0007165D" w:rsidRPr="00360874" w:rsidTr="00017674">
        <w:trPr>
          <w:trHeight w:val="259"/>
          <w:jc w:val="center"/>
        </w:trPr>
        <w:tc>
          <w:tcPr>
            <w:tcW w:w="2977" w:type="dxa"/>
            <w:shd w:val="clear" w:color="auto" w:fill="4BACC6" w:themeFill="accent5"/>
            <w:vAlign w:val="center"/>
          </w:tcPr>
          <w:p w:rsidR="0007165D" w:rsidRPr="00360874" w:rsidRDefault="0007165D" w:rsidP="004954E2">
            <w:pPr>
              <w:jc w:val="both"/>
              <w:rPr>
                <w:rFonts w:ascii="Times New Roman" w:hAnsi="Times New Roman" w:cs="Times New Roman"/>
                <w:sz w:val="16"/>
                <w:szCs w:val="16"/>
              </w:rPr>
            </w:pPr>
            <w:r w:rsidRPr="00360874">
              <w:rPr>
                <w:rFonts w:ascii="Times New Roman" w:hAnsi="Times New Roman" w:cs="Times New Roman"/>
                <w:sz w:val="16"/>
                <w:szCs w:val="16"/>
              </w:rPr>
              <w:t>PIB real, variación porcentual anual</w:t>
            </w:r>
          </w:p>
        </w:tc>
        <w:tc>
          <w:tcPr>
            <w:tcW w:w="1134" w:type="dxa"/>
            <w:shd w:val="clear" w:color="auto" w:fill="4BACC6" w:themeFill="accent5"/>
          </w:tcPr>
          <w:p w:rsidR="0007165D" w:rsidRPr="00360874" w:rsidRDefault="0007165D" w:rsidP="004954E2">
            <w:pPr>
              <w:jc w:val="both"/>
              <w:rPr>
                <w:rFonts w:ascii="Times New Roman" w:hAnsi="Times New Roman" w:cs="Times New Roman"/>
                <w:sz w:val="16"/>
                <w:szCs w:val="16"/>
              </w:rPr>
            </w:pPr>
            <w:r w:rsidRPr="00360874">
              <w:rPr>
                <w:rFonts w:ascii="Times New Roman" w:hAnsi="Times New Roman" w:cs="Times New Roman"/>
                <w:sz w:val="16"/>
                <w:szCs w:val="16"/>
              </w:rPr>
              <w:t>Actualización Octubre 2019</w:t>
            </w:r>
          </w:p>
        </w:tc>
        <w:tc>
          <w:tcPr>
            <w:tcW w:w="1134" w:type="dxa"/>
            <w:shd w:val="clear" w:color="auto" w:fill="4BACC6" w:themeFill="accent5"/>
            <w:vAlign w:val="center"/>
          </w:tcPr>
          <w:p w:rsidR="0007165D" w:rsidRPr="00360874" w:rsidRDefault="0007165D" w:rsidP="004954E2">
            <w:pPr>
              <w:jc w:val="both"/>
              <w:rPr>
                <w:rFonts w:ascii="Times New Roman" w:hAnsi="Times New Roman" w:cs="Times New Roman"/>
                <w:sz w:val="16"/>
                <w:szCs w:val="16"/>
              </w:rPr>
            </w:pPr>
            <w:r w:rsidRPr="00360874">
              <w:rPr>
                <w:rFonts w:ascii="Times New Roman" w:hAnsi="Times New Roman" w:cs="Times New Roman"/>
                <w:sz w:val="16"/>
                <w:szCs w:val="16"/>
              </w:rPr>
              <w:t>Actualización abril 2020</w:t>
            </w:r>
          </w:p>
        </w:tc>
        <w:tc>
          <w:tcPr>
            <w:tcW w:w="1134" w:type="dxa"/>
            <w:shd w:val="clear" w:color="auto" w:fill="4BACC6" w:themeFill="accent5"/>
            <w:vAlign w:val="center"/>
          </w:tcPr>
          <w:p w:rsidR="0007165D" w:rsidRPr="00360874" w:rsidRDefault="0007165D" w:rsidP="004954E2">
            <w:pPr>
              <w:jc w:val="center"/>
              <w:rPr>
                <w:rFonts w:ascii="Times New Roman" w:hAnsi="Times New Roman" w:cs="Times New Roman"/>
                <w:sz w:val="16"/>
                <w:szCs w:val="16"/>
              </w:rPr>
            </w:pPr>
            <w:r w:rsidRPr="00360874">
              <w:rPr>
                <w:rFonts w:ascii="Times New Roman" w:hAnsi="Times New Roman" w:cs="Times New Roman"/>
                <w:sz w:val="16"/>
                <w:szCs w:val="16"/>
              </w:rPr>
              <w:t>Actualización octubre 2020</w:t>
            </w:r>
          </w:p>
        </w:tc>
        <w:tc>
          <w:tcPr>
            <w:tcW w:w="1105" w:type="dxa"/>
            <w:shd w:val="clear" w:color="auto" w:fill="4BACC6" w:themeFill="accent5"/>
            <w:vAlign w:val="center"/>
          </w:tcPr>
          <w:p w:rsidR="0007165D" w:rsidRPr="00360874" w:rsidRDefault="0007165D" w:rsidP="006301C4">
            <w:pPr>
              <w:rPr>
                <w:rFonts w:ascii="Times New Roman" w:hAnsi="Times New Roman" w:cs="Times New Roman"/>
                <w:sz w:val="16"/>
                <w:szCs w:val="16"/>
              </w:rPr>
            </w:pPr>
            <w:r w:rsidRPr="00360874">
              <w:rPr>
                <w:rFonts w:ascii="Times New Roman" w:hAnsi="Times New Roman" w:cs="Times New Roman"/>
                <w:sz w:val="16"/>
                <w:szCs w:val="16"/>
              </w:rPr>
              <w:t>Actualización enero 2021</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Producto mundial</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3.4</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-3.0</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-4.4</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-3.5</w:t>
            </w:r>
          </w:p>
        </w:tc>
      </w:tr>
      <w:tr w:rsidR="0007165D" w:rsidRPr="00360874" w:rsidTr="00017674">
        <w:trPr>
          <w:jc w:val="center"/>
        </w:trPr>
        <w:tc>
          <w:tcPr>
            <w:tcW w:w="2977" w:type="dxa"/>
            <w:shd w:val="clear" w:color="auto" w:fill="DBE5F1" w:themeFill="accent1" w:themeFillTint="33"/>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Economías avanzadas</w:t>
            </w:r>
          </w:p>
        </w:tc>
        <w:tc>
          <w:tcPr>
            <w:tcW w:w="1134" w:type="dxa"/>
            <w:shd w:val="clear" w:color="auto" w:fill="DBE5F1" w:themeFill="accent1" w:themeFillTint="33"/>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1.7</w:t>
            </w:r>
          </w:p>
        </w:tc>
        <w:tc>
          <w:tcPr>
            <w:tcW w:w="1134" w:type="dxa"/>
            <w:shd w:val="clear" w:color="auto" w:fill="DBE5F1" w:themeFill="accent1" w:themeFillTint="33"/>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-6.1</w:t>
            </w:r>
          </w:p>
        </w:tc>
        <w:tc>
          <w:tcPr>
            <w:tcW w:w="1134" w:type="dxa"/>
            <w:shd w:val="clear" w:color="auto" w:fill="DBE5F1" w:themeFill="accent1" w:themeFillTint="33"/>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-5.8</w:t>
            </w:r>
          </w:p>
        </w:tc>
        <w:tc>
          <w:tcPr>
            <w:tcW w:w="1105" w:type="dxa"/>
            <w:shd w:val="clear" w:color="auto" w:fill="DBE5F1" w:themeFill="accent1" w:themeFillTint="33"/>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-4.9</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Estados Unidos</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2.1</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-5.9</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-4.3</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-3.4</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Zona del euro</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1.4</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-7.5</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-8.3</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-7.2</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Japón</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0.5</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-5.2</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-5.3</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-5.1</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Reino Unido</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1.4</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-6.5</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-9.8</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-10.0</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Canadá</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1.8</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-6.2</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-7.1</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-5.5</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Otras economías avanzadas</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2.0</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-4.6</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-3.8</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-2.5</w:t>
            </w:r>
          </w:p>
        </w:tc>
      </w:tr>
      <w:tr w:rsidR="0007165D" w:rsidRPr="00360874" w:rsidTr="00017674">
        <w:trPr>
          <w:jc w:val="center"/>
        </w:trPr>
        <w:tc>
          <w:tcPr>
            <w:tcW w:w="2977" w:type="dxa"/>
            <w:shd w:val="clear" w:color="auto" w:fill="DBE5F1" w:themeFill="accent1" w:themeFillTint="33"/>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Economías emergentes y en desarrollo</w:t>
            </w:r>
          </w:p>
        </w:tc>
        <w:tc>
          <w:tcPr>
            <w:tcW w:w="1134" w:type="dxa"/>
            <w:shd w:val="clear" w:color="auto" w:fill="DBE5F1" w:themeFill="accent1" w:themeFillTint="33"/>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4.6</w:t>
            </w:r>
          </w:p>
        </w:tc>
        <w:tc>
          <w:tcPr>
            <w:tcW w:w="1134" w:type="dxa"/>
            <w:shd w:val="clear" w:color="auto" w:fill="DBE5F1" w:themeFill="accent1" w:themeFillTint="33"/>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-1.0</w:t>
            </w:r>
          </w:p>
        </w:tc>
        <w:tc>
          <w:tcPr>
            <w:tcW w:w="1134" w:type="dxa"/>
            <w:shd w:val="clear" w:color="auto" w:fill="DBE5F1" w:themeFill="accent1" w:themeFillTint="33"/>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-3.3</w:t>
            </w:r>
          </w:p>
        </w:tc>
        <w:tc>
          <w:tcPr>
            <w:tcW w:w="1105" w:type="dxa"/>
            <w:shd w:val="clear" w:color="auto" w:fill="DBE5F1" w:themeFill="accent1" w:themeFillTint="33"/>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-2.4</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China</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5.8</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1.2</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1.9</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2.3</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India</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7.0</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1.9</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-10.3</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-8.0</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Rusia</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1.9</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-5.5</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-4.1</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-3.6</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América Latina y el Caribe</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1.8</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-5.2</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-8.1</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-7.4</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Oriente Medio y Asia Central</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2.9</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-2.8</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-4.1</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-3.2</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África subsahariana</w:t>
            </w:r>
          </w:p>
        </w:tc>
        <w:tc>
          <w:tcPr>
            <w:tcW w:w="1134" w:type="dxa"/>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3.6</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-1.6</w:t>
            </w:r>
          </w:p>
        </w:tc>
        <w:tc>
          <w:tcPr>
            <w:tcW w:w="1134"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-3.0</w:t>
            </w:r>
          </w:p>
        </w:tc>
        <w:tc>
          <w:tcPr>
            <w:tcW w:w="1105" w:type="dxa"/>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-2.6</w:t>
            </w:r>
          </w:p>
        </w:tc>
      </w:tr>
      <w:tr w:rsidR="0007165D" w:rsidRPr="00360874" w:rsidTr="00017674">
        <w:trPr>
          <w:jc w:val="center"/>
        </w:trPr>
        <w:tc>
          <w:tcPr>
            <w:tcW w:w="2977" w:type="dxa"/>
          </w:tcPr>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Partida informativa:</w:t>
            </w:r>
          </w:p>
          <w:p w:rsidR="0007165D" w:rsidRPr="00360874" w:rsidRDefault="0007165D" w:rsidP="006301C4">
            <w:pPr>
              <w:jc w:val="both"/>
              <w:rPr>
                <w:rFonts w:ascii="Times New Roman" w:hAnsi="Times New Roman" w:cs="Times New Roman"/>
                <w:sz w:val="16"/>
                <w:szCs w:val="16"/>
              </w:rPr>
            </w:pPr>
            <w:r w:rsidRPr="00360874">
              <w:rPr>
                <w:rFonts w:ascii="Times New Roman" w:hAnsi="Times New Roman" w:cs="Times New Roman"/>
                <w:sz w:val="16"/>
                <w:szCs w:val="16"/>
              </w:rPr>
              <w:t>Países en desarrollo de bajo ingreso</w:t>
            </w:r>
          </w:p>
        </w:tc>
        <w:tc>
          <w:tcPr>
            <w:tcW w:w="1134" w:type="dxa"/>
            <w:vAlign w:val="center"/>
          </w:tcPr>
          <w:p w:rsidR="0007165D" w:rsidRPr="00360874" w:rsidRDefault="006140EA" w:rsidP="006301C4">
            <w:pPr>
              <w:jc w:val="center"/>
              <w:rPr>
                <w:rFonts w:ascii="Times New Roman" w:hAnsi="Times New Roman" w:cs="Times New Roman"/>
                <w:sz w:val="16"/>
                <w:szCs w:val="16"/>
              </w:rPr>
            </w:pPr>
            <w:r w:rsidRPr="00360874">
              <w:rPr>
                <w:rFonts w:ascii="Times New Roman" w:hAnsi="Times New Roman" w:cs="Times New Roman"/>
                <w:sz w:val="16"/>
                <w:szCs w:val="16"/>
              </w:rPr>
              <w:t>5.1</w:t>
            </w:r>
          </w:p>
        </w:tc>
        <w:tc>
          <w:tcPr>
            <w:tcW w:w="1134" w:type="dxa"/>
            <w:vAlign w:val="center"/>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0.4</w:t>
            </w:r>
          </w:p>
        </w:tc>
        <w:tc>
          <w:tcPr>
            <w:tcW w:w="1134" w:type="dxa"/>
            <w:vAlign w:val="center"/>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-1.2</w:t>
            </w:r>
          </w:p>
        </w:tc>
        <w:tc>
          <w:tcPr>
            <w:tcW w:w="1105" w:type="dxa"/>
            <w:vAlign w:val="center"/>
          </w:tcPr>
          <w:p w:rsidR="0007165D" w:rsidRPr="00360874" w:rsidRDefault="0007165D" w:rsidP="006301C4">
            <w:pPr>
              <w:jc w:val="center"/>
              <w:rPr>
                <w:rFonts w:ascii="Times New Roman" w:hAnsi="Times New Roman" w:cs="Times New Roman"/>
                <w:sz w:val="16"/>
                <w:szCs w:val="16"/>
              </w:rPr>
            </w:pPr>
            <w:r w:rsidRPr="00360874">
              <w:rPr>
                <w:rFonts w:ascii="Times New Roman" w:hAnsi="Times New Roman" w:cs="Times New Roman"/>
                <w:sz w:val="16"/>
                <w:szCs w:val="16"/>
              </w:rPr>
              <w:t>-0.8</w:t>
            </w:r>
          </w:p>
        </w:tc>
      </w:tr>
    </w:tbl>
    <w:p w:rsidR="00545196" w:rsidRDefault="006301C4" w:rsidP="00113A1E">
      <w:pPr>
        <w:jc w:val="both"/>
        <w:rPr>
          <w:rFonts w:ascii="Times New Roman" w:hAnsi="Times New Roman" w:cs="Times New Roman"/>
          <w:color w:val="FF0000"/>
          <w:sz w:val="22"/>
          <w:szCs w:val="22"/>
        </w:rPr>
      </w:pPr>
      <w:r>
        <w:rPr>
          <w:rFonts w:ascii="Times New Roman" w:hAnsi="Times New Roman" w:cs="Times New Roman"/>
          <w:sz w:val="16"/>
        </w:rPr>
        <w:t xml:space="preserve">                </w:t>
      </w:r>
      <w:r w:rsidRPr="00CB68FF">
        <w:rPr>
          <w:rFonts w:ascii="Times New Roman" w:hAnsi="Times New Roman" w:cs="Times New Roman"/>
          <w:sz w:val="16"/>
        </w:rPr>
        <w:t>Fuente:  FMI, actualización de las Perspectivas de la economía mundial,</w:t>
      </w:r>
      <w:r w:rsidR="00D25947">
        <w:rPr>
          <w:rFonts w:ascii="Times New Roman" w:hAnsi="Times New Roman" w:cs="Times New Roman"/>
          <w:sz w:val="16"/>
        </w:rPr>
        <w:t xml:space="preserve"> octubre 2019, abril 2020, octubre 2020 y </w:t>
      </w:r>
      <w:r w:rsidRPr="00CB68FF">
        <w:rPr>
          <w:rFonts w:ascii="Times New Roman" w:hAnsi="Times New Roman" w:cs="Times New Roman"/>
          <w:sz w:val="16"/>
        </w:rPr>
        <w:t>enero de 2021.</w:t>
      </w:r>
    </w:p>
    <w:p w:rsidR="00545196" w:rsidRDefault="00545196" w:rsidP="00113A1E">
      <w:pPr>
        <w:jc w:val="both"/>
        <w:rPr>
          <w:rFonts w:ascii="Times New Roman" w:hAnsi="Times New Roman" w:cs="Times New Roman"/>
          <w:color w:val="FF0000"/>
          <w:sz w:val="22"/>
          <w:szCs w:val="22"/>
        </w:rPr>
      </w:pPr>
    </w:p>
    <w:p w:rsidR="00545196" w:rsidRPr="00545196" w:rsidRDefault="00545196" w:rsidP="00545196">
      <w:pPr>
        <w:jc w:val="both"/>
        <w:rPr>
          <w:rFonts w:ascii="Times New Roman" w:hAnsi="Times New Roman" w:cs="Times New Roman"/>
          <w:sz w:val="22"/>
          <w:szCs w:val="22"/>
        </w:rPr>
      </w:pPr>
      <w:r w:rsidRPr="00545196">
        <w:rPr>
          <w:rFonts w:ascii="Times New Roman" w:hAnsi="Times New Roman" w:cs="Times New Roman"/>
          <w:sz w:val="22"/>
          <w:szCs w:val="22"/>
        </w:rPr>
        <w:t>Los principales factores relevantes que acontecieron a lo largo del 2020 se pueden resumir en:</w:t>
      </w:r>
    </w:p>
    <w:p w:rsidR="00545196" w:rsidRPr="00545196" w:rsidRDefault="00545196" w:rsidP="00545196">
      <w:pPr>
        <w:jc w:val="both"/>
        <w:rPr>
          <w:rFonts w:ascii="Times New Roman" w:hAnsi="Times New Roman" w:cs="Times New Roman"/>
          <w:color w:val="FF0000"/>
          <w:sz w:val="22"/>
          <w:szCs w:val="22"/>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lastRenderedPageBreak/>
        <w:t xml:space="preserve">La crisis desatada por el Covid-19 destruyó millones de empleos en 2020. La Organización Internacional del Trabajo observó durante el año y espera en el corto plazo, una recuperación "lenta, desigual e incierta" del mercado laboral, después de que el primer año de pandemia eliminara 255 millones de trabajo a nivel mundial.  De acuerdo con el organismo adscrito a las Naciones Unidas, la crisis originada sanitaria redujo el año pasado un 8.8% la cantidad de horas trabajadas, siendo América Latina la región más afectada. La pérdida de ingresos provenientes del trabajo en el mismo periodo fue similar, del 8.3%, equivalente a 3.7 billones de dólares o al 4.4% del PIB Mundial. </w:t>
      </w:r>
    </w:p>
    <w:p w:rsidR="00545196" w:rsidRPr="00545196" w:rsidRDefault="00545196" w:rsidP="00113A1E">
      <w:pPr>
        <w:jc w:val="both"/>
        <w:rPr>
          <w:rFonts w:ascii="Times New Roman" w:hAnsi="Times New Roman" w:cs="Times New Roman"/>
          <w:color w:val="FF0000"/>
          <w:sz w:val="22"/>
          <w:szCs w:val="22"/>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La pandemia y en el endeudamiento global.  Los paquetes de estímulos económicos y la mayor necesidad de financiación por parte de las familias y empresas dejaran su huella en el endeudamiento global, que este año se incrementará hasta 365% del PIB, desde 320% a finales del 2019 y 315% cinco años atrás. La carga financiera asociada al mayor endeudamiento se ha visto contenida, de momento, gracias a las acciones de los bancos centrales, que han mantenido los costes de financiación en mínimos históricos, y a las políticas de apoyo a la renta privada. No obstante, lo frágil de la recuperación y los posibles riesgos del aumento de deuda sugieren cautela en el proceso de “normalización” de la política económica, así como flexibilidad en los posibles procesos de restructuración de deuda privada en los próximos años. Evitar que el gran esfuerzo llevado a cabo para combatir la emergencia sanitaria genere nuevas crisis será el siguiente reto.</w:t>
      </w:r>
    </w:p>
    <w:p w:rsidR="00545196" w:rsidRPr="00545196" w:rsidRDefault="00545196" w:rsidP="00545196">
      <w:pPr>
        <w:pStyle w:val="Prrafodelista"/>
        <w:rPr>
          <w:rFonts w:ascii="Times New Roman" w:hAnsi="Times New Roman" w:cs="Times New Roman"/>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Remesas. Los flujos de remesas se contrajeron abruptamente al principio del período de confinamiento, aunque han mostrado signos de recuperación. No obstante, el riesgo de una disminución de los pagos y transferencias de trabajadores migrantes a sus países es muy significativo, en especial para países como Bangladesh, Egipto, Filipinas, Guatemala, Pakistán y los de África subsahariana en términos más generales.</w:t>
      </w:r>
    </w:p>
    <w:p w:rsidR="00545196" w:rsidRPr="00545196" w:rsidRDefault="00545196" w:rsidP="00545196">
      <w:pPr>
        <w:rPr>
          <w:rFonts w:ascii="Times New Roman" w:hAnsi="Times New Roman" w:cs="Times New Roman"/>
          <w:sz w:val="22"/>
          <w:szCs w:val="22"/>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Pobreza. La pandemia revertirá los avances realizados desde la década de 1990 en lo que respecta a la reducción de la pobreza mundial. Quienes dependen de un salario diario y están fuera de las redes formales de protección social tuvieron que hacer frente a una repentina pérdida de ingresos cuando se impusieron las restricciones a la movilidad. Entre ellos, los trabajadores migrantes que viven lejos de sus países vieron incluso mermado su acceso a las redes tradicionales de apoyo.  Como consecuencia, cerca de 90 millones de personas podrían caer este año por debajo del umbral de pobreza extrema, USD 1,9 de ingresos diarios.</w:t>
      </w:r>
    </w:p>
    <w:p w:rsidR="00545196" w:rsidRPr="00545196" w:rsidRDefault="00545196" w:rsidP="00545196">
      <w:pPr>
        <w:pStyle w:val="Prrafodelista"/>
        <w:rPr>
          <w:rFonts w:ascii="Times New Roman" w:hAnsi="Times New Roman" w:cs="Times New Roman"/>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La inversión extranjera directa mundial se derrumbó un 42% durante 2020. La Inversión Extranjera Directa (IED) terminó 2020 más del 30% por debajo de la crisis financiera mundial en 2009 y regresó a nivel visto por última vez en la década de 1990.  La disminución se concentró en los países desarrollados, donde los flujos de IED cayeron un 69% a un estimado de US$229,000 millones. Los flujos a Europa se agotaron por completo a US$-4,000 millones, incluidos los grandes flujos negativos en varios países. También se registró una fuerte disminución en los Estados Unidos (-49%) a US$134.000 millones.</w:t>
      </w:r>
    </w:p>
    <w:p w:rsidR="00545196" w:rsidRPr="00545196" w:rsidRDefault="00545196" w:rsidP="00545196">
      <w:pPr>
        <w:pStyle w:val="Prrafodelista"/>
        <w:rPr>
          <w:rFonts w:ascii="Times New Roman" w:hAnsi="Times New Roman" w:cs="Times New Roman"/>
        </w:rPr>
      </w:pPr>
    </w:p>
    <w:p w:rsidR="00545196" w:rsidRPr="00545196" w:rsidRDefault="00545196" w:rsidP="00D25947">
      <w:pPr>
        <w:pStyle w:val="Ttulo2"/>
        <w:numPr>
          <w:ilvl w:val="1"/>
          <w:numId w:val="10"/>
        </w:numPr>
        <w:spacing w:before="0"/>
        <w:rPr>
          <w:rFonts w:ascii="Times New Roman" w:hAnsi="Times New Roman" w:cs="Times New Roman"/>
          <w:color w:val="auto"/>
          <w:sz w:val="22"/>
          <w:szCs w:val="22"/>
        </w:rPr>
      </w:pPr>
      <w:bookmarkStart w:id="226" w:name="_Toc64025466"/>
      <w:r w:rsidRPr="00545196">
        <w:rPr>
          <w:rFonts w:ascii="Times New Roman" w:hAnsi="Times New Roman" w:cs="Times New Roman"/>
          <w:color w:val="auto"/>
          <w:sz w:val="22"/>
          <w:szCs w:val="22"/>
        </w:rPr>
        <w:t>Desempeño económico de los principales socios comerciales</w:t>
      </w:r>
      <w:bookmarkEnd w:id="226"/>
    </w:p>
    <w:p w:rsidR="00545196" w:rsidRPr="00545196" w:rsidRDefault="00545196" w:rsidP="00545196">
      <w:pPr>
        <w:rPr>
          <w:color w:val="FF0000"/>
          <w:sz w:val="22"/>
          <w:szCs w:val="22"/>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 xml:space="preserve">Estados Unidos. Durante el 2020, la economía estadounidense registró su peor año en décadas debido a las disrupciones provocadas por la llegada de la pandemia de Covid-19. El consenso de expectativas del mercado anticipa una contracción de 3.5% en el 2020, muy por debajo del pronóstico de principios de año de 2.1%. Sin embargo, la recesión del 2020 pudo haber sido mucho peor de no ser por los estímulos fiscales y monetarios implementados para amortiguar el súbito y prolongado cese de actividades ordenado para intentar contener la crisis sanitaria </w:t>
      </w:r>
      <w:r w:rsidRPr="00545196">
        <w:rPr>
          <w:rFonts w:ascii="Times New Roman" w:hAnsi="Times New Roman" w:cs="Times New Roman"/>
        </w:rPr>
        <w:lastRenderedPageBreak/>
        <w:t>provocada por la pandemia.  Por el lado fiscal, los estímulos en el 2020 incluyeron un paquete de US$2.6 billones (equivalente aproximadamente a 13% del PIB) implementado en tres fases, que incluyó pagos directos a personas físicas, programas de apoyo para pagar las nóminas y créditos blandos para las empresas. Las expectativas indican que el PIB crezca 4.0% en el 2021, con lo cual el PIB recuperaría su nivel precovid hacia finales del año.</w:t>
      </w:r>
    </w:p>
    <w:p w:rsidR="00545196" w:rsidRPr="00545196" w:rsidRDefault="00545196" w:rsidP="00545196">
      <w:pPr>
        <w:pStyle w:val="Prrafodelista"/>
        <w:jc w:val="both"/>
        <w:rPr>
          <w:rFonts w:ascii="Times New Roman" w:hAnsi="Times New Roman" w:cs="Times New Roman"/>
          <w:color w:val="FF0000"/>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México. La economía mexicana cerró el 2020 con una desaceleración en el Producto Interior Bruto, disminuyendo 8.5%, aunque con un rebote de 4.3% para 2021 y una desaceleración de 2.5% para 2022 según el FMI.</w:t>
      </w:r>
      <w:r w:rsidRPr="00545196">
        <w:t xml:space="preserve"> </w:t>
      </w:r>
      <w:r w:rsidRPr="00545196">
        <w:rPr>
          <w:rFonts w:ascii="Times New Roman" w:hAnsi="Times New Roman" w:cs="Times New Roman"/>
        </w:rPr>
        <w:t>La contracción reportada por la economía mexicana durante la epidemia es mucho más amplificada que las crisis recientes. Se trata de la segunda caída más profunda desde 1900, antecedida por una de 14.8% en 1932 con respecto al año anterior. Como en la mayoría de países del mundo, en México se perdieron 647,710 plazas tan solo en el sector formal de la economía; el 86% fueron puestos permanentes (560,473) y el 14% eran eventuales (87,237).</w:t>
      </w:r>
    </w:p>
    <w:p w:rsidR="00545196" w:rsidRPr="00545196" w:rsidRDefault="00545196" w:rsidP="00545196">
      <w:pPr>
        <w:jc w:val="both"/>
        <w:rPr>
          <w:rFonts w:ascii="Times New Roman" w:hAnsi="Times New Roman" w:cs="Times New Roman"/>
          <w:color w:val="FF0000"/>
          <w:sz w:val="22"/>
          <w:szCs w:val="22"/>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Zona Euro. A lo largo del año, los países que integran la zona mostraron condiciones de inestabilidad política y social, resultando en un débil ritmo de la actividad económica, cerrando el 2020 con una contracción del 7.2%, según el FMI.  Todavía impactado por las respuestas políticas a las medidas de contención del COVID-19, al término del 2020 se materializaron en un aumento de las necesidades de financiación, ubicando la ratio deuda pública/PIB</w:t>
      </w:r>
      <w:r w:rsidRPr="00545196">
        <w:t xml:space="preserve"> </w:t>
      </w:r>
      <w:r w:rsidRPr="00545196">
        <w:rPr>
          <w:rFonts w:ascii="Times New Roman" w:hAnsi="Times New Roman" w:cs="Times New Roman"/>
        </w:rPr>
        <w:t>en el 97.3% y en la Unión Europea se ubicó en 89.8%, según el Eurostat. España será el país de la zona euro que registrará un mayor rebote del PIB en 2021, con un crecimiento del 6%, frente a la media del 4.7% de la eurozona estimada por la agencia Moody’s. Sin embargo, cerrará el año como la economía más alejada del nivel anterior a la pandemia tras haber sufrido en 2020 el mayor impacto por la crisis derivada por la pandemia, con una contracción del 11.4%, frente a la media del 7.7% de la zona euro.</w:t>
      </w:r>
    </w:p>
    <w:p w:rsidR="00545196" w:rsidRPr="00545196" w:rsidRDefault="00545196" w:rsidP="00545196">
      <w:pPr>
        <w:jc w:val="both"/>
        <w:rPr>
          <w:rFonts w:ascii="Times New Roman" w:hAnsi="Times New Roman" w:cs="Times New Roman"/>
          <w:color w:val="FF0000"/>
          <w:sz w:val="22"/>
          <w:szCs w:val="22"/>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China.  La economía china fue capaz de resistir los efectos adversos en la pandemia en menor tiempo que el resto de países, según sus autoridades, fue producto de las estrictas restricciones en Beijing que le permitieron contener en gran medida el brote de Covid-19 mucho más rápido que la mayoría de los países, mientras que el aumento de producción industrial para suministrar bienes a muchos países paralizados por la pandemia y a las políticas de estímulo para la población.  La potencia económica de Asia se ha visto impulsada por un sector de exportación sorprendentemente resistente y muestra de ello es que, en diciembre, las ventas externas chinas crecieron más de lo esperado. Como resultado, lograría un crecimiento promedio anual de 5,7% entre 2021 y 2025.</w:t>
      </w:r>
    </w:p>
    <w:p w:rsidR="00545196" w:rsidRPr="00545196" w:rsidRDefault="00545196" w:rsidP="00545196">
      <w:pPr>
        <w:jc w:val="both"/>
        <w:rPr>
          <w:rFonts w:ascii="Times New Roman" w:hAnsi="Times New Roman" w:cs="Times New Roman"/>
          <w:sz w:val="22"/>
          <w:szCs w:val="22"/>
          <w:lang w:val="es-GT"/>
        </w:rPr>
      </w:pPr>
    </w:p>
    <w:p w:rsidR="00545196" w:rsidRPr="00545196" w:rsidRDefault="00545196" w:rsidP="00545196">
      <w:pPr>
        <w:pStyle w:val="Prrafodelista"/>
        <w:numPr>
          <w:ilvl w:val="0"/>
          <w:numId w:val="29"/>
        </w:numPr>
        <w:jc w:val="both"/>
        <w:rPr>
          <w:rFonts w:ascii="Times New Roman" w:hAnsi="Times New Roman" w:cs="Times New Roman"/>
        </w:rPr>
      </w:pPr>
      <w:r w:rsidRPr="00545196">
        <w:rPr>
          <w:rFonts w:ascii="Times New Roman" w:hAnsi="Times New Roman" w:cs="Times New Roman"/>
        </w:rPr>
        <w:t>Latinoamérica.  Tanto América Latina como el Caribe tendrán que hacer frente a una recuperación frágil e irregular debido a las secuelas a largo plazo causadas por la crisis de la COVID-19 en las economías de la región.  La Organización de Naciones Unidas (ONU) advierte que el impacto socioeconómico causado por la pandemia será tangible durante muchos años, a menos que se lleven a cabo inversiones estratégicas en los ámbitos de la economía, la sociedad y la resiliencia climática para garantizar una recuperación sostenible y resistente de la economía mundial.  El PIB regional disminuyó cerca del 8% en 2020 debido a la prolongación de las medidas de confinamiento nacionales, la disminución de las exportaciones de mercancías y el colapso de las actividades económicas provocado por la caída del sector turístico.</w:t>
      </w:r>
    </w:p>
    <w:p w:rsidR="00545196" w:rsidRDefault="00545196" w:rsidP="00113A1E">
      <w:pPr>
        <w:jc w:val="both"/>
        <w:rPr>
          <w:rFonts w:ascii="Times New Roman" w:hAnsi="Times New Roman" w:cs="Times New Roman"/>
          <w:color w:val="FF0000"/>
          <w:sz w:val="22"/>
          <w:szCs w:val="22"/>
        </w:rPr>
      </w:pPr>
    </w:p>
    <w:p w:rsidR="00545196" w:rsidRPr="00545196" w:rsidRDefault="00545196" w:rsidP="00545196">
      <w:pPr>
        <w:pStyle w:val="Ttulo2"/>
        <w:numPr>
          <w:ilvl w:val="1"/>
          <w:numId w:val="10"/>
        </w:numPr>
        <w:spacing w:before="0"/>
        <w:rPr>
          <w:rFonts w:ascii="Times New Roman" w:hAnsi="Times New Roman" w:cs="Times New Roman"/>
          <w:color w:val="auto"/>
          <w:sz w:val="22"/>
        </w:rPr>
      </w:pPr>
      <w:bookmarkStart w:id="227" w:name="_Toc534988245"/>
      <w:bookmarkStart w:id="228" w:name="_Toc64025467"/>
      <w:r w:rsidRPr="00545196">
        <w:rPr>
          <w:rFonts w:ascii="Times New Roman" w:hAnsi="Times New Roman" w:cs="Times New Roman"/>
          <w:color w:val="auto"/>
          <w:sz w:val="22"/>
        </w:rPr>
        <w:t>Principales indicadores Macroeconómicos y Fiscales de la región</w:t>
      </w:r>
      <w:bookmarkEnd w:id="227"/>
      <w:bookmarkEnd w:id="228"/>
      <w:r w:rsidRPr="00545196">
        <w:rPr>
          <w:rFonts w:ascii="Times New Roman" w:hAnsi="Times New Roman" w:cs="Times New Roman"/>
          <w:color w:val="auto"/>
          <w:sz w:val="22"/>
        </w:rPr>
        <w:t xml:space="preserve"> </w:t>
      </w:r>
    </w:p>
    <w:p w:rsidR="00545196" w:rsidRPr="008B3571" w:rsidRDefault="00545196" w:rsidP="00545196"/>
    <w:p w:rsidR="00545196" w:rsidRPr="007E5C2E" w:rsidRDefault="00545196" w:rsidP="007E5C2E">
      <w:pPr>
        <w:jc w:val="both"/>
        <w:rPr>
          <w:rFonts w:ascii="Times New Roman" w:hAnsi="Times New Roman" w:cs="Times New Roman"/>
          <w:sz w:val="22"/>
        </w:rPr>
      </w:pPr>
      <w:r w:rsidRPr="007E5C2E">
        <w:rPr>
          <w:rFonts w:ascii="Times New Roman" w:hAnsi="Times New Roman" w:cs="Times New Roman"/>
          <w:sz w:val="22"/>
        </w:rPr>
        <w:lastRenderedPageBreak/>
        <w:t>Los países de América Latina y el Caribe han enfrentado un escenario económico mundial complejo en el cual se observa una reducción de la dinámica del crecimiento asociado al confinamiento, tanto de los países desarrollados como de las economías emergentes, acompañada por un aumento en la volatilidad de los mercados financieros internacionales. La región ha sufrido su mayor caída de Producto Interior Bruto (PIB) en más de un siglo, y en conjunto ya arrastraban unas tasas bajas de crecimiento económico que promediaron 0.3% entre 2014 y 2019 y apenas llegaron a 0.1% en 2019, lo que les colocaba en un difícil punto de partida cuando apareció el covid-19 en el horizonte ubicándolo en -7% al término del 2020, según información de la Comisión Económica para América Latina y el Caribe (Cepal).</w:t>
      </w:r>
    </w:p>
    <w:p w:rsidR="00545196" w:rsidRPr="009550B5" w:rsidRDefault="00545196" w:rsidP="00545196">
      <w:pPr>
        <w:rPr>
          <w:rFonts w:ascii="Times New Roman" w:hAnsi="Times New Roman" w:cs="Times New Roman"/>
        </w:rPr>
      </w:pPr>
    </w:p>
    <w:p w:rsidR="00545196" w:rsidRPr="009550B5" w:rsidRDefault="00545196" w:rsidP="00545196">
      <w:pPr>
        <w:jc w:val="center"/>
        <w:rPr>
          <w:rFonts w:ascii="Times New Roman" w:hAnsi="Times New Roman" w:cs="Times New Roman"/>
          <w:b/>
        </w:rPr>
      </w:pPr>
      <w:r w:rsidRPr="009550B5">
        <w:rPr>
          <w:rFonts w:ascii="Times New Roman" w:hAnsi="Times New Roman" w:cs="Times New Roman"/>
          <w:b/>
        </w:rPr>
        <w:t>Principales indicadores Macroeconómicos y Fiscales de la región</w:t>
      </w:r>
    </w:p>
    <w:p w:rsidR="00545196" w:rsidRPr="009550B5" w:rsidRDefault="00545196" w:rsidP="00545196">
      <w:pPr>
        <w:jc w:val="center"/>
        <w:rPr>
          <w:rFonts w:ascii="Times New Roman" w:hAnsi="Times New Roman" w:cs="Times New Roman"/>
          <w:sz w:val="18"/>
        </w:rPr>
      </w:pPr>
      <w:r w:rsidRPr="009550B5">
        <w:rPr>
          <w:rFonts w:ascii="Times New Roman" w:hAnsi="Times New Roman" w:cs="Times New Roman"/>
          <w:sz w:val="18"/>
        </w:rPr>
        <w:t>Millones de US$ y variación interanual</w:t>
      </w:r>
    </w:p>
    <w:p w:rsidR="00545196" w:rsidRPr="009550B5" w:rsidRDefault="00545196" w:rsidP="00545196">
      <w:pPr>
        <w:jc w:val="center"/>
        <w:rPr>
          <w:rFonts w:ascii="Times New Roman" w:hAnsi="Times New Roman" w:cs="Times New Roman"/>
          <w:sz w:val="18"/>
        </w:rPr>
      </w:pPr>
      <w:r w:rsidRPr="009550B5">
        <w:rPr>
          <w:rFonts w:ascii="Times New Roman" w:hAnsi="Times New Roman" w:cs="Times New Roman"/>
          <w:sz w:val="18"/>
        </w:rPr>
        <w:t>Cifras al III trimestre 2020</w:t>
      </w:r>
    </w:p>
    <w:p w:rsidR="00545196" w:rsidRPr="00631C62" w:rsidRDefault="00545196" w:rsidP="00545196">
      <w:pPr>
        <w:rPr>
          <w:rFonts w:ascii="Times New Roman" w:hAnsi="Times New Roman" w:cs="Times New Roman"/>
          <w:color w:val="FF0000"/>
          <w:sz w:val="12"/>
        </w:rPr>
      </w:pPr>
    </w:p>
    <w:p w:rsidR="00545196" w:rsidRPr="00631C62" w:rsidRDefault="00545196" w:rsidP="00545196">
      <w:pPr>
        <w:jc w:val="center"/>
        <w:rPr>
          <w:rFonts w:ascii="Times New Roman" w:hAnsi="Times New Roman" w:cs="Times New Roman"/>
          <w:lang w:val="es-GT"/>
        </w:rPr>
      </w:pPr>
      <w:r w:rsidRPr="00631C62">
        <w:rPr>
          <w:noProof/>
          <w:lang w:val="es-ES"/>
        </w:rPr>
        <w:drawing>
          <wp:inline distT="0" distB="0" distL="0" distR="0" wp14:anchorId="4E082FAF" wp14:editId="2B1A2152">
            <wp:extent cx="5611050" cy="2250219"/>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extLst>
                        <a:ext uri="{28A0092B-C50C-407E-A947-70E740481C1C}">
                          <a14:useLocalDpi xmlns:a14="http://schemas.microsoft.com/office/drawing/2010/main" val="0"/>
                        </a:ext>
                      </a:extLst>
                    </a:blip>
                    <a:srcRect b="6697"/>
                    <a:stretch/>
                  </pic:blipFill>
                  <pic:spPr bwMode="auto">
                    <a:xfrm>
                      <a:off x="0" y="0"/>
                      <a:ext cx="5612130" cy="2250652"/>
                    </a:xfrm>
                    <a:prstGeom prst="rect">
                      <a:avLst/>
                    </a:prstGeom>
                    <a:noFill/>
                    <a:ln>
                      <a:noFill/>
                    </a:ln>
                    <a:extLst>
                      <a:ext uri="{53640926-AAD7-44D8-BBD7-CCE9431645EC}">
                        <a14:shadowObscured xmlns:a14="http://schemas.microsoft.com/office/drawing/2010/main"/>
                      </a:ext>
                    </a:extLst>
                  </pic:spPr>
                </pic:pic>
              </a:graphicData>
            </a:graphic>
          </wp:inline>
        </w:drawing>
      </w:r>
    </w:p>
    <w:p w:rsidR="00545196" w:rsidRPr="00631C62" w:rsidRDefault="00545196" w:rsidP="00545196">
      <w:pPr>
        <w:rPr>
          <w:rFonts w:ascii="Times New Roman" w:hAnsi="Times New Roman" w:cs="Times New Roman"/>
          <w:sz w:val="16"/>
          <w:lang w:val="es-GT"/>
        </w:rPr>
      </w:pPr>
      <w:r w:rsidRPr="00631C62">
        <w:rPr>
          <w:rFonts w:ascii="Times New Roman" w:hAnsi="Times New Roman" w:cs="Times New Roman"/>
          <w:sz w:val="16"/>
          <w:lang w:val="es-GT"/>
        </w:rPr>
        <w:t xml:space="preserve">Fuente: </w:t>
      </w:r>
      <w:r w:rsidR="00E6627E">
        <w:rPr>
          <w:rFonts w:ascii="Times New Roman" w:hAnsi="Times New Roman" w:cs="Times New Roman"/>
          <w:sz w:val="16"/>
          <w:lang w:val="es-GT"/>
        </w:rPr>
        <w:t xml:space="preserve">Dirección de Análisis y Política Fiscal con base a información de </w:t>
      </w:r>
      <w:r w:rsidRPr="00631C62">
        <w:rPr>
          <w:rFonts w:ascii="Times New Roman" w:hAnsi="Times New Roman" w:cs="Times New Roman"/>
          <w:sz w:val="16"/>
          <w:lang w:val="es-GT"/>
        </w:rPr>
        <w:t>Banco Central de cada país, Consejo Monetario Centroamericano.</w:t>
      </w:r>
    </w:p>
    <w:p w:rsidR="00545196" w:rsidRPr="00545196" w:rsidRDefault="00545196" w:rsidP="00113A1E">
      <w:pPr>
        <w:jc w:val="both"/>
        <w:rPr>
          <w:rFonts w:ascii="Times New Roman" w:hAnsi="Times New Roman" w:cs="Times New Roman"/>
          <w:color w:val="FF0000"/>
          <w:sz w:val="22"/>
          <w:szCs w:val="22"/>
          <w:lang w:val="es-GT"/>
        </w:rPr>
      </w:pPr>
    </w:p>
    <w:p w:rsidR="00545196" w:rsidRDefault="00545196" w:rsidP="0044706E">
      <w:pPr>
        <w:pStyle w:val="Ttulo2"/>
        <w:numPr>
          <w:ilvl w:val="1"/>
          <w:numId w:val="10"/>
        </w:numPr>
        <w:spacing w:before="0"/>
        <w:jc w:val="both"/>
        <w:rPr>
          <w:rFonts w:ascii="Times New Roman" w:hAnsi="Times New Roman" w:cs="Times New Roman"/>
          <w:color w:val="auto"/>
          <w:sz w:val="22"/>
        </w:rPr>
      </w:pPr>
      <w:bookmarkStart w:id="229" w:name="_Toc64025468"/>
      <w:r>
        <w:rPr>
          <w:rFonts w:ascii="Times New Roman" w:hAnsi="Times New Roman" w:cs="Times New Roman"/>
          <w:color w:val="auto"/>
          <w:sz w:val="22"/>
        </w:rPr>
        <w:t>Entorno macroeconómico nacional</w:t>
      </w:r>
      <w:bookmarkEnd w:id="229"/>
    </w:p>
    <w:p w:rsidR="00545196" w:rsidRPr="00545196" w:rsidRDefault="00545196" w:rsidP="00545196"/>
    <w:p w:rsidR="005D0275" w:rsidRDefault="00941EAB" w:rsidP="00545196">
      <w:pPr>
        <w:jc w:val="both"/>
        <w:rPr>
          <w:rFonts w:ascii="Times New Roman" w:hAnsi="Times New Roman" w:cs="Times New Roman"/>
          <w:sz w:val="22"/>
          <w:szCs w:val="22"/>
        </w:rPr>
      </w:pPr>
      <w:r>
        <w:rPr>
          <w:rFonts w:ascii="Times New Roman" w:hAnsi="Times New Roman" w:cs="Times New Roman"/>
          <w:sz w:val="22"/>
          <w:szCs w:val="22"/>
        </w:rPr>
        <w:t xml:space="preserve">Al inicio del 2020, las previsiones del desempeño económico eran mucho más alentadoras, estimando un crecimiento de 3.5%, diez puntos por arriba de la proyección media de 2019, sustentado a partir del comportamiento esperado de las remesas, un incremento del crédito al sector privado y un crecimiento de las exportaciones entre 6 y 9%.  </w:t>
      </w:r>
    </w:p>
    <w:p w:rsidR="00941EAB" w:rsidRDefault="00941EAB" w:rsidP="00545196">
      <w:pPr>
        <w:jc w:val="both"/>
        <w:rPr>
          <w:rFonts w:ascii="Times New Roman" w:hAnsi="Times New Roman" w:cs="Times New Roman"/>
          <w:sz w:val="22"/>
          <w:szCs w:val="22"/>
        </w:rPr>
      </w:pPr>
    </w:p>
    <w:p w:rsidR="00545196" w:rsidRPr="00545196" w:rsidRDefault="00941EAB" w:rsidP="00545196">
      <w:pPr>
        <w:jc w:val="both"/>
        <w:rPr>
          <w:rFonts w:ascii="Times New Roman" w:hAnsi="Times New Roman" w:cs="Times New Roman"/>
          <w:sz w:val="22"/>
          <w:szCs w:val="22"/>
        </w:rPr>
      </w:pPr>
      <w:r>
        <w:rPr>
          <w:rFonts w:ascii="Times New Roman" w:hAnsi="Times New Roman" w:cs="Times New Roman"/>
          <w:sz w:val="22"/>
          <w:szCs w:val="22"/>
        </w:rPr>
        <w:t>El giro inesperado</w:t>
      </w:r>
      <w:r w:rsidR="002E7AAA">
        <w:rPr>
          <w:rFonts w:ascii="Times New Roman" w:hAnsi="Times New Roman" w:cs="Times New Roman"/>
          <w:sz w:val="22"/>
          <w:szCs w:val="22"/>
        </w:rPr>
        <w:t xml:space="preserve"> suscitado en el 2020 a</w:t>
      </w:r>
      <w:r w:rsidR="002E7AAA" w:rsidRPr="00545196">
        <w:rPr>
          <w:rFonts w:ascii="Times New Roman" w:hAnsi="Times New Roman" w:cs="Times New Roman"/>
          <w:sz w:val="22"/>
          <w:szCs w:val="22"/>
        </w:rPr>
        <w:t xml:space="preserve"> consecuencia de la pandemia</w:t>
      </w:r>
      <w:r w:rsidR="002E7AAA">
        <w:rPr>
          <w:rFonts w:ascii="Times New Roman" w:hAnsi="Times New Roman" w:cs="Times New Roman"/>
          <w:sz w:val="22"/>
          <w:szCs w:val="22"/>
        </w:rPr>
        <w:t xml:space="preserve"> provocada por el COVID-19, ocasionó</w:t>
      </w:r>
      <w:r>
        <w:rPr>
          <w:rFonts w:ascii="Times New Roman" w:hAnsi="Times New Roman" w:cs="Times New Roman"/>
          <w:sz w:val="22"/>
          <w:szCs w:val="22"/>
        </w:rPr>
        <w:t xml:space="preserve"> que l</w:t>
      </w:r>
      <w:r w:rsidR="002E7AAA">
        <w:rPr>
          <w:rFonts w:ascii="Times New Roman" w:hAnsi="Times New Roman" w:cs="Times New Roman"/>
          <w:sz w:val="22"/>
          <w:szCs w:val="22"/>
        </w:rPr>
        <w:t>a economía guatemalteca experimentara al término del año, una reducción mayor al 1% comparado con el año anterior.</w:t>
      </w:r>
      <w:r w:rsidR="00545196" w:rsidRPr="00545196">
        <w:rPr>
          <w:rFonts w:ascii="Times New Roman" w:hAnsi="Times New Roman" w:cs="Times New Roman"/>
          <w:sz w:val="22"/>
          <w:szCs w:val="22"/>
        </w:rPr>
        <w:t xml:space="preserve"> </w:t>
      </w:r>
      <w:r w:rsidR="002E7AAA">
        <w:rPr>
          <w:rFonts w:ascii="Times New Roman" w:hAnsi="Times New Roman" w:cs="Times New Roman"/>
          <w:sz w:val="22"/>
          <w:szCs w:val="22"/>
        </w:rPr>
        <w:t xml:space="preserve">Es importante resaltar </w:t>
      </w:r>
      <w:r w:rsidR="007E5C2E">
        <w:rPr>
          <w:rFonts w:ascii="Times New Roman" w:hAnsi="Times New Roman" w:cs="Times New Roman"/>
          <w:sz w:val="22"/>
          <w:szCs w:val="22"/>
        </w:rPr>
        <w:t>que,</w:t>
      </w:r>
      <w:r w:rsidR="002E7AAA">
        <w:rPr>
          <w:rFonts w:ascii="Times New Roman" w:hAnsi="Times New Roman" w:cs="Times New Roman"/>
          <w:sz w:val="22"/>
          <w:szCs w:val="22"/>
        </w:rPr>
        <w:t xml:space="preserve"> aunque la economía se vio afectada</w:t>
      </w:r>
      <w:r w:rsidR="00545196" w:rsidRPr="00545196">
        <w:rPr>
          <w:rFonts w:ascii="Times New Roman" w:hAnsi="Times New Roman" w:cs="Times New Roman"/>
          <w:sz w:val="22"/>
          <w:szCs w:val="22"/>
        </w:rPr>
        <w:t xml:space="preserve"> drásticamente, </w:t>
      </w:r>
      <w:r w:rsidR="002E7AAA">
        <w:rPr>
          <w:rFonts w:ascii="Times New Roman" w:hAnsi="Times New Roman" w:cs="Times New Roman"/>
          <w:sz w:val="22"/>
          <w:szCs w:val="22"/>
        </w:rPr>
        <w:t>al cierre</w:t>
      </w:r>
      <w:r>
        <w:rPr>
          <w:rFonts w:ascii="Times New Roman" w:hAnsi="Times New Roman" w:cs="Times New Roman"/>
          <w:sz w:val="22"/>
          <w:szCs w:val="22"/>
        </w:rPr>
        <w:t xml:space="preserve"> mostrara</w:t>
      </w:r>
      <w:r w:rsidR="00545196" w:rsidRPr="00545196">
        <w:rPr>
          <w:rFonts w:ascii="Times New Roman" w:hAnsi="Times New Roman" w:cs="Times New Roman"/>
          <w:sz w:val="22"/>
          <w:szCs w:val="22"/>
        </w:rPr>
        <w:t xml:space="preserve"> una notable recuperación</w:t>
      </w:r>
      <w:r w:rsidR="002E7AAA">
        <w:rPr>
          <w:rFonts w:ascii="Times New Roman" w:hAnsi="Times New Roman" w:cs="Times New Roman"/>
          <w:sz w:val="22"/>
          <w:szCs w:val="22"/>
        </w:rPr>
        <w:t xml:space="preserve"> con respecto a lo esperado en el primer semestre</w:t>
      </w:r>
      <w:r w:rsidR="00545196" w:rsidRPr="00545196">
        <w:rPr>
          <w:rFonts w:ascii="Times New Roman" w:hAnsi="Times New Roman" w:cs="Times New Roman"/>
          <w:sz w:val="22"/>
          <w:szCs w:val="22"/>
        </w:rPr>
        <w:t xml:space="preserve">, cerrando en cifras no tan bajas como el resto de Latinoamérica. Dicho resultado, según el Banco de Guatemala, provienen de los estímulos monetarios y fiscales implementados, así como de la adecuada gestión de la pandemia, buscando un equilibrio entre la contención de la propagación del COVID-19, sin afectar en demasía la recuperación económica. </w:t>
      </w:r>
    </w:p>
    <w:p w:rsidR="00545196" w:rsidRPr="00545196" w:rsidRDefault="00545196" w:rsidP="00545196">
      <w:pPr>
        <w:jc w:val="both"/>
        <w:rPr>
          <w:rFonts w:ascii="Times New Roman" w:hAnsi="Times New Roman" w:cs="Times New Roman"/>
          <w:sz w:val="22"/>
          <w:szCs w:val="22"/>
        </w:rPr>
      </w:pPr>
    </w:p>
    <w:p w:rsidR="00545196" w:rsidRPr="00545196" w:rsidRDefault="00545196" w:rsidP="00545196">
      <w:pPr>
        <w:jc w:val="both"/>
        <w:rPr>
          <w:rFonts w:ascii="Times New Roman" w:hAnsi="Times New Roman" w:cs="Times New Roman"/>
          <w:sz w:val="22"/>
          <w:szCs w:val="22"/>
        </w:rPr>
      </w:pPr>
      <w:r w:rsidRPr="00545196">
        <w:rPr>
          <w:rFonts w:ascii="Times New Roman" w:hAnsi="Times New Roman" w:cs="Times New Roman"/>
          <w:sz w:val="22"/>
          <w:szCs w:val="22"/>
        </w:rPr>
        <w:t>Entre los aspectos más relevantes del escenario económico interno están:</w:t>
      </w:r>
    </w:p>
    <w:p w:rsidR="00545196" w:rsidRPr="00545196" w:rsidRDefault="00545196" w:rsidP="00545196">
      <w:pPr>
        <w:jc w:val="both"/>
        <w:rPr>
          <w:rFonts w:ascii="Times New Roman" w:hAnsi="Times New Roman" w:cs="Times New Roman"/>
          <w:color w:val="FF0000"/>
          <w:sz w:val="22"/>
          <w:szCs w:val="22"/>
        </w:rPr>
      </w:pPr>
    </w:p>
    <w:p w:rsidR="00545196" w:rsidRPr="00545196" w:rsidRDefault="00545196" w:rsidP="00545196">
      <w:pPr>
        <w:pStyle w:val="Prrafodelista"/>
        <w:numPr>
          <w:ilvl w:val="0"/>
          <w:numId w:val="30"/>
        </w:numPr>
        <w:jc w:val="both"/>
        <w:rPr>
          <w:rFonts w:ascii="Times New Roman" w:hAnsi="Times New Roman" w:cs="Times New Roman"/>
        </w:rPr>
      </w:pPr>
      <w:r w:rsidRPr="00545196">
        <w:rPr>
          <w:rFonts w:ascii="Times New Roman" w:hAnsi="Times New Roman" w:cs="Times New Roman"/>
        </w:rPr>
        <w:t xml:space="preserve">Ingreso de divisas al país por concepto de remesas familiares. Las remesas enviadas, principalmente desde Estados Unidos ahora representan el 14.6% del PIB en 2020. Cada año, la variable está ganando terreno en la actividad productiva nacional, que activa industrias manufactureras, construcción y los negocios en general, por lo que existe una dependencia de ese </w:t>
      </w:r>
      <w:r w:rsidRPr="00545196">
        <w:rPr>
          <w:rFonts w:ascii="Times New Roman" w:hAnsi="Times New Roman" w:cs="Times New Roman"/>
        </w:rPr>
        <w:lastRenderedPageBreak/>
        <w:t>flujo de dinero. Con US$11 mil 340.4 millones en 2020, que significó unos Q87 mil 321 millones en 2020, aumentó su participación en el Producto Interno Bruto (PIB), a pesar de su decremento en comparación con el 2019, cuando el ingreso fue de US$10 mil 508 millones con una participación en el PIB del 13.7%. Solo ese incremento porcentual del 2019 al 2020, representó alrededor de Q6 mil 500 millones en la economía.</w:t>
      </w:r>
    </w:p>
    <w:p w:rsidR="00545196" w:rsidRPr="00545196" w:rsidRDefault="00545196" w:rsidP="00545196">
      <w:pPr>
        <w:pStyle w:val="Prrafodelista"/>
        <w:jc w:val="both"/>
        <w:rPr>
          <w:rFonts w:ascii="Times New Roman" w:hAnsi="Times New Roman" w:cs="Times New Roman"/>
          <w:color w:val="FF0000"/>
        </w:rPr>
      </w:pPr>
    </w:p>
    <w:p w:rsidR="00545196" w:rsidRPr="00545196" w:rsidRDefault="00545196" w:rsidP="00545196">
      <w:pPr>
        <w:pStyle w:val="Prrafodelista"/>
        <w:numPr>
          <w:ilvl w:val="0"/>
          <w:numId w:val="30"/>
        </w:numPr>
        <w:jc w:val="both"/>
        <w:rPr>
          <w:rFonts w:ascii="Times New Roman" w:hAnsi="Times New Roman" w:cs="Times New Roman"/>
          <w:color w:val="FF0000"/>
          <w:lang w:val="es-MX"/>
        </w:rPr>
      </w:pPr>
      <w:r w:rsidRPr="00545196">
        <w:rPr>
          <w:rFonts w:ascii="Times New Roman" w:hAnsi="Times New Roman" w:cs="Times New Roman"/>
          <w:lang w:val="es-MX"/>
        </w:rPr>
        <w:t>Confianza en la actividad económica.  La confianza sobre la actividad económica durante el 2020 se vio mermada en 16%, a causa de la crisis económica que enfrentó el país a causa de la propagación del covi19. De acuerdo al último reporte del Banco de Guatemala, en diciembre de 2020, el nivel del Índice de Confianza de la Actividad Económica se situó en 49.84 puntos, superior en 1.65% con respecto al registrado en noviembre de 2020 (49.03 puntos) y se redujo en 15.91% respecto al registrado en diciembre de 2019 (59.27 puntos).</w:t>
      </w:r>
      <w:r w:rsidRPr="00545196">
        <w:rPr>
          <w:rFonts w:ascii="Times New Roman" w:hAnsi="Times New Roman" w:cs="Times New Roman"/>
          <w:color w:val="FF0000"/>
          <w:lang w:val="es-MX"/>
        </w:rPr>
        <w:t xml:space="preserve">  </w:t>
      </w:r>
      <w:r w:rsidRPr="00545196">
        <w:rPr>
          <w:rFonts w:ascii="Times New Roman" w:hAnsi="Times New Roman" w:cs="Times New Roman"/>
          <w:lang w:val="es-MX"/>
        </w:rPr>
        <w:t xml:space="preserve">Factores como el comportamiento en los precios de los combustibles, el precio internacional del petróleo, el desempeño de la política fiscal, y la evolución de los precios de las materias primas incidieron en el ritmo de la actividad durante el año; el Banco de Guatemala consideró en base a esto, una proyección del ritmo inflacionario de 5.16% para el cierre del 2020, 4.92% para enero y 4.60% para febrero 2021. </w:t>
      </w:r>
    </w:p>
    <w:p w:rsidR="00545196" w:rsidRPr="00545196" w:rsidRDefault="00545196" w:rsidP="00545196">
      <w:pPr>
        <w:pStyle w:val="Prrafodelista"/>
        <w:rPr>
          <w:rFonts w:ascii="Times New Roman" w:hAnsi="Times New Roman" w:cs="Times New Roman"/>
          <w:lang w:val="es-MX"/>
        </w:rPr>
      </w:pPr>
    </w:p>
    <w:p w:rsidR="00545196" w:rsidRPr="00545196" w:rsidRDefault="00545196" w:rsidP="00545196">
      <w:pPr>
        <w:pStyle w:val="Prrafodelista"/>
        <w:numPr>
          <w:ilvl w:val="0"/>
          <w:numId w:val="30"/>
        </w:numPr>
        <w:jc w:val="both"/>
        <w:rPr>
          <w:rFonts w:ascii="Times New Roman" w:hAnsi="Times New Roman" w:cs="Times New Roman"/>
        </w:rPr>
      </w:pPr>
      <w:r w:rsidRPr="00545196">
        <w:rPr>
          <w:rFonts w:ascii="Times New Roman" w:hAnsi="Times New Roman" w:cs="Times New Roman"/>
          <w:lang w:val="es-MX"/>
        </w:rPr>
        <w:t>Actividad económica. El crecimiento económico a lo largo del 2020 fue afectado severamente por el cese de actividades del primer semestre, medidores como el Índice de Confianza de la Actividad Económica y el Índice Mensual de la Actividad Económica demuestran que el PIB a final de año refleja una recuperación, atribuido principalmente a las acciones de contención implementadas por el Gobierno para mermar el impacto de la pandemia en la economía de los hogares y empresas. El Fondo Monetario Internacional calcula que la economía guatemalteca cerró en -2% en 2020, dato muy cercano al -1.9% estimado por el Banco de Guatemala, y habría sido en Latinoamérica la menos impactada por la pandemia. Para 2021, las proyecciones del banco central apuntan a una expansión de 3.5%.</w:t>
      </w:r>
    </w:p>
    <w:p w:rsidR="00545196" w:rsidRPr="00545196" w:rsidRDefault="00545196" w:rsidP="00545196">
      <w:pPr>
        <w:pStyle w:val="Prrafodelista"/>
        <w:rPr>
          <w:rFonts w:ascii="Times New Roman" w:hAnsi="Times New Roman" w:cs="Times New Roman"/>
        </w:rPr>
      </w:pPr>
    </w:p>
    <w:p w:rsidR="00545196" w:rsidRDefault="00545196" w:rsidP="00545196">
      <w:pPr>
        <w:pStyle w:val="Prrafodelista"/>
        <w:numPr>
          <w:ilvl w:val="0"/>
          <w:numId w:val="30"/>
        </w:numPr>
        <w:jc w:val="both"/>
        <w:rPr>
          <w:rFonts w:ascii="Times New Roman" w:hAnsi="Times New Roman" w:cs="Times New Roman"/>
        </w:rPr>
      </w:pPr>
      <w:r w:rsidRPr="00545196">
        <w:rPr>
          <w:rFonts w:ascii="Times New Roman" w:hAnsi="Times New Roman" w:cs="Times New Roman"/>
        </w:rPr>
        <w:t>Exportaciones.  Las exportaciones guatemaltecas se vieron afectadas por la pandemia de la covid-19 en 2020 y tuvieron un descenso de 1.4% en la generación de divisas respecto a 2019 (los exportadores esperaban una caída superior al 7.5%); dicho comportamiento es atribuido por los empresarios, a la baja demanda internacional ocasionada por la pandemia del coronavirus, aunque, aún en esas condiciones, Guatemala exportó productos a 146 países. Al país hay que reconocerle el esfuerzo e innovación de diversos productos como el cardamomo, que tuvo un crecimiento de 50.2%, o el hierro y acero con un 9.4%. Los principales destinos de las exportaciones fueron Estados Unidos con un 31.8%, Centroamérica con 28.6%, Eurozona con 8.6%, México 3.9% y Arabia Saudita con 2.9%, y países y regiones que en conjunto representaron el 75.8%.</w:t>
      </w:r>
    </w:p>
    <w:p w:rsidR="00545196" w:rsidRPr="00545196" w:rsidRDefault="00545196" w:rsidP="00545196">
      <w:pPr>
        <w:pStyle w:val="Prrafodelista"/>
        <w:rPr>
          <w:rFonts w:ascii="Times New Roman" w:hAnsi="Times New Roman" w:cs="Times New Roman"/>
        </w:rPr>
      </w:pPr>
    </w:p>
    <w:p w:rsidR="00545196" w:rsidRPr="00545196" w:rsidRDefault="00545196" w:rsidP="00545196">
      <w:pPr>
        <w:pStyle w:val="Prrafodelista"/>
        <w:numPr>
          <w:ilvl w:val="0"/>
          <w:numId w:val="30"/>
        </w:numPr>
        <w:jc w:val="both"/>
        <w:rPr>
          <w:rFonts w:ascii="Times New Roman" w:hAnsi="Times New Roman" w:cs="Times New Roman"/>
        </w:rPr>
      </w:pPr>
      <w:r w:rsidRPr="00545196">
        <w:rPr>
          <w:rFonts w:ascii="Times New Roman" w:hAnsi="Times New Roman" w:cs="Times New Roman"/>
        </w:rPr>
        <w:t>Inflación.  El nivel de inflación en Guatemala, monitoreado a través del Índice de Precios al Consumidor (IPC) cerró el 2020 a la baja (-0.01 puntos porcentuales) y acumuló en el año una inflación del 4.82%. De las 12 divisiones que integran el IPC, la de alimentos, bebidas, vestuario, muebles, restaurantes y bienes diversos cerraron a la baja en diciembre, mientras que otras como el transporte culminó con un alza.  Los meses en los que se registró mayor aumento del indicador fue en junio y octubre de 2020 con 1.41% y 1.06%, respectivamente.  Así mismo, el costo de la Canasta Básica de Alimentos al final de 2020 fue de 2,989.38 quetzales (US$383.74), mientras que el precio de la Canasta Ampliada (CA) fue de 6,902.29 quetzales (US$886.04), según información del Instituto Nacional de Estadísticas (INE).</w:t>
      </w:r>
    </w:p>
    <w:p w:rsidR="00545196" w:rsidRDefault="00545196" w:rsidP="00113A1E">
      <w:pPr>
        <w:jc w:val="both"/>
        <w:rPr>
          <w:rFonts w:ascii="Times New Roman" w:hAnsi="Times New Roman" w:cs="Times New Roman"/>
          <w:color w:val="FF0000"/>
          <w:sz w:val="22"/>
          <w:szCs w:val="22"/>
        </w:rPr>
      </w:pPr>
    </w:p>
    <w:sectPr w:rsidR="00545196" w:rsidSect="008B619B">
      <w:type w:val="continuous"/>
      <w:pgSz w:w="12240" w:h="15840" w:code="1"/>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382B" w:rsidRDefault="00AD382B" w:rsidP="000B5E1C">
      <w:r>
        <w:separator/>
      </w:r>
    </w:p>
  </w:endnote>
  <w:endnote w:type="continuationSeparator" w:id="0">
    <w:p w:rsidR="00AD382B" w:rsidRDefault="00AD382B" w:rsidP="000B5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lang w:val="es-ES"/>
      </w:rPr>
      <w:id w:val="-1390416474"/>
      <w:docPartObj>
        <w:docPartGallery w:val="Page Numbers (Bottom of Page)"/>
        <w:docPartUnique/>
      </w:docPartObj>
    </w:sdtPr>
    <w:sdtEndPr>
      <w:rPr>
        <w:rFonts w:ascii="Times New Roman" w:hAnsi="Times New Roman" w:cs="Times New Roman"/>
        <w:color w:val="4F81BD" w:themeColor="accent1"/>
        <w:sz w:val="16"/>
        <w:szCs w:val="16"/>
        <w:lang w:val="es-ES_tradnl"/>
      </w:rPr>
    </w:sdtEndPr>
    <w:sdtContent>
      <w:p w:rsidR="001B6203" w:rsidRPr="005B38A5" w:rsidRDefault="001B6203">
        <w:pPr>
          <w:pStyle w:val="Piedepgina"/>
          <w:jc w:val="right"/>
          <w:rPr>
            <w:rFonts w:ascii="Times New Roman" w:eastAsiaTheme="majorEastAsia" w:hAnsi="Times New Roman" w:cs="Times New Roman"/>
            <w:color w:val="4F81BD" w:themeColor="accent1"/>
            <w:sz w:val="16"/>
            <w:szCs w:val="16"/>
          </w:rPr>
        </w:pPr>
        <w:r w:rsidRPr="005B38A5">
          <w:rPr>
            <w:rFonts w:ascii="Times New Roman" w:hAnsi="Times New Roman" w:cs="Times New Roman"/>
            <w:noProof/>
            <w:color w:val="4F81BD" w:themeColor="accent1"/>
            <w:sz w:val="16"/>
            <w:szCs w:val="16"/>
            <w:lang w:val="es-ES"/>
          </w:rPr>
          <mc:AlternateContent>
            <mc:Choice Requires="wps">
              <w:drawing>
                <wp:anchor distT="0" distB="0" distL="114300" distR="114300" simplePos="0" relativeHeight="251676672" behindDoc="0" locked="0" layoutInCell="1" allowOverlap="1" wp14:anchorId="43AFC942" wp14:editId="49C8C6DD">
                  <wp:simplePos x="0" y="0"/>
                  <wp:positionH relativeFrom="column">
                    <wp:posOffset>1685290</wp:posOffset>
                  </wp:positionH>
                  <wp:positionV relativeFrom="paragraph">
                    <wp:posOffset>-76228</wp:posOffset>
                  </wp:positionV>
                  <wp:extent cx="4985468" cy="45719"/>
                  <wp:effectExtent l="38100" t="38100" r="81915" b="107315"/>
                  <wp:wrapNone/>
                  <wp:docPr id="225" name="Rectángulo 225"/>
                  <wp:cNvGraphicFramePr/>
                  <a:graphic xmlns:a="http://schemas.openxmlformats.org/drawingml/2006/main">
                    <a:graphicData uri="http://schemas.microsoft.com/office/word/2010/wordprocessingShape">
                      <wps:wsp>
                        <wps:cNvSpPr/>
                        <wps:spPr>
                          <a:xfrm>
                            <a:off x="0" y="0"/>
                            <a:ext cx="4985468" cy="45719"/>
                          </a:xfrm>
                          <a:prstGeom prst="rect">
                            <a:avLst/>
                          </a:prstGeom>
                          <a:gradFill flip="none" rotWithShape="1">
                            <a:gsLst>
                              <a:gs pos="1000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F470103" id="Rectángulo 225" o:spid="_x0000_s1026" style="position:absolute;margin-left:132.7pt;margin-top:-6pt;width:392.55pt;height:3.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" fillcolor="#f6fbfc [184]" strokecolor="#243f60 [1604]" strokeweight=".5pt">
                  <v:fill color2="#c9e6ee [984]" rotate="t" colors="0 #f6fbfc;6554f #f6fbfc;48497f #aedae5;54395f #aedae5" focus="100%" type="gradient"/>
                  <v:shadow on="t" color="black" opacity="26214f" origin="-.5,-.5" offset=".74836mm,.74836mm"/>
                </v:rect>
              </w:pict>
            </mc:Fallback>
          </mc:AlternateContent>
        </w:r>
        <w:r w:rsidRPr="005B38A5">
          <w:rPr>
            <w:rFonts w:ascii="Times New Roman" w:eastAsiaTheme="majorEastAsia" w:hAnsi="Times New Roman" w:cs="Times New Roman"/>
            <w:color w:val="4F81BD" w:themeColor="accent1"/>
            <w:sz w:val="16"/>
            <w:szCs w:val="16"/>
            <w:lang w:val="es-ES"/>
          </w:rPr>
          <w:t xml:space="preserve">pág. </w:t>
        </w:r>
        <w:r w:rsidRPr="005B38A5">
          <w:rPr>
            <w:rFonts w:ascii="Times New Roman" w:hAnsi="Times New Roman" w:cs="Times New Roman"/>
            <w:color w:val="4F81BD" w:themeColor="accent1"/>
            <w:sz w:val="16"/>
            <w:szCs w:val="16"/>
          </w:rPr>
          <w:fldChar w:fldCharType="begin"/>
        </w:r>
        <w:r w:rsidRPr="005B38A5">
          <w:rPr>
            <w:rFonts w:ascii="Times New Roman" w:hAnsi="Times New Roman" w:cs="Times New Roman"/>
            <w:color w:val="4F81BD" w:themeColor="accent1"/>
            <w:sz w:val="16"/>
            <w:szCs w:val="16"/>
          </w:rPr>
          <w:instrText>PAGE    \* MERGEFORMAT</w:instrText>
        </w:r>
        <w:r w:rsidRPr="005B38A5">
          <w:rPr>
            <w:rFonts w:ascii="Times New Roman" w:hAnsi="Times New Roman" w:cs="Times New Roman"/>
            <w:color w:val="4F81BD" w:themeColor="accent1"/>
            <w:sz w:val="16"/>
            <w:szCs w:val="16"/>
          </w:rPr>
          <w:fldChar w:fldCharType="separate"/>
        </w:r>
        <w:r w:rsidR="00BB1939" w:rsidRPr="00BB1939">
          <w:rPr>
            <w:rFonts w:ascii="Times New Roman" w:eastAsiaTheme="majorEastAsia" w:hAnsi="Times New Roman" w:cs="Times New Roman"/>
            <w:noProof/>
            <w:color w:val="4F81BD" w:themeColor="accent1"/>
            <w:sz w:val="16"/>
            <w:szCs w:val="16"/>
            <w:lang w:val="es-ES"/>
          </w:rPr>
          <w:t>29</w:t>
        </w:r>
        <w:r w:rsidRPr="005B38A5">
          <w:rPr>
            <w:rFonts w:ascii="Times New Roman" w:eastAsiaTheme="majorEastAsia" w:hAnsi="Times New Roman" w:cs="Times New Roman"/>
            <w:color w:val="4F81BD" w:themeColor="accent1"/>
            <w:sz w:val="16"/>
            <w:szCs w:val="16"/>
          </w:rPr>
          <w:fldChar w:fldCharType="end"/>
        </w:r>
      </w:p>
    </w:sdtContent>
  </w:sdt>
  <w:p w:rsidR="001B6203" w:rsidRDefault="001B620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color w:val="4F81BD" w:themeColor="accent1"/>
        <w:sz w:val="16"/>
        <w:szCs w:val="20"/>
        <w:lang w:val="es-ES"/>
      </w:rPr>
      <w:id w:val="1089358670"/>
      <w:docPartObj>
        <w:docPartGallery w:val="Page Numbers (Bottom of Page)"/>
        <w:docPartUnique/>
      </w:docPartObj>
    </w:sdtPr>
    <w:sdtEndPr/>
    <w:sdtContent>
      <w:p w:rsidR="001B6203" w:rsidRPr="00F55D6E" w:rsidRDefault="001B6203">
        <w:pPr>
          <w:pStyle w:val="Piedepgina"/>
          <w:jc w:val="right"/>
          <w:rPr>
            <w:rFonts w:ascii="Times New Roman" w:hAnsi="Times New Roman" w:cs="Times New Roman"/>
            <w:color w:val="4F81BD" w:themeColor="accent1"/>
            <w:sz w:val="16"/>
            <w:szCs w:val="20"/>
            <w:lang w:val="es-ES"/>
          </w:rPr>
        </w:pPr>
        <w:r w:rsidRPr="00F55D6E">
          <w:rPr>
            <w:rFonts w:ascii="Times New Roman" w:hAnsi="Times New Roman" w:cs="Times New Roman"/>
            <w:noProof/>
            <w:color w:val="4F81BD" w:themeColor="accent1"/>
            <w:sz w:val="12"/>
            <w:szCs w:val="16"/>
            <w:lang w:val="es-ES"/>
          </w:rPr>
          <mc:AlternateContent>
            <mc:Choice Requires="wps">
              <w:drawing>
                <wp:anchor distT="0" distB="0" distL="114300" distR="114300" simplePos="0" relativeHeight="251684864" behindDoc="0" locked="0" layoutInCell="1" allowOverlap="1" wp14:anchorId="5BE9E970" wp14:editId="37AD66FF">
                  <wp:simplePos x="0" y="0"/>
                  <wp:positionH relativeFrom="column">
                    <wp:posOffset>1892411</wp:posOffset>
                  </wp:positionH>
                  <wp:positionV relativeFrom="paragraph">
                    <wp:posOffset>51573</wp:posOffset>
                  </wp:positionV>
                  <wp:extent cx="4985468" cy="45719"/>
                  <wp:effectExtent l="38100" t="38100" r="81915" b="107315"/>
                  <wp:wrapNone/>
                  <wp:docPr id="28" name="Rectángulo 28"/>
                  <wp:cNvGraphicFramePr/>
                  <a:graphic xmlns:a="http://schemas.openxmlformats.org/drawingml/2006/main">
                    <a:graphicData uri="http://schemas.microsoft.com/office/word/2010/wordprocessingShape">
                      <wps:wsp>
                        <wps:cNvSpPr/>
                        <wps:spPr>
                          <a:xfrm>
                            <a:off x="0" y="0"/>
                            <a:ext cx="4985468" cy="45719"/>
                          </a:xfrm>
                          <a:prstGeom prst="rect">
                            <a:avLst/>
                          </a:prstGeom>
                          <a:gradFill flip="none" rotWithShape="1">
                            <a:gsLst>
                              <a:gs pos="1000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70BCEB9" id="Rectángulo 28" o:spid="_x0000_s1026" style="position:absolute;margin-left:149pt;margin-top:4.05pt;width:392.55pt;height:3.6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" fillcolor="#f6fbfc [184]" strokecolor="#243f60 [1604]" strokeweight=".5pt">
                  <v:fill color2="#c9e6ee [984]" rotate="t" colors="0 #f6fbfc;6554f #f6fbfc;48497f #aedae5;54395f #aedae5" focus="100%" type="gradient"/>
                  <v:shadow on="t" color="black" opacity="26214f" origin="-.5,-.5" offset=".74836mm,.74836mm"/>
                </v:rect>
              </w:pict>
            </mc:Fallback>
          </mc:AlternateContent>
        </w:r>
      </w:p>
    </w:sdtContent>
  </w:sdt>
  <w:p w:rsidR="001B6203" w:rsidRDefault="001B6203" w:rsidP="00F55D6E">
    <w:pPr>
      <w:jc w:val="right"/>
    </w:pPr>
    <w:r w:rsidRPr="00F55D6E">
      <w:rPr>
        <w:rFonts w:ascii="Times New Roman" w:hAnsi="Times New Roman" w:cs="Times New Roman"/>
        <w:color w:val="4F81BD" w:themeColor="accent1"/>
        <w:sz w:val="16"/>
        <w:szCs w:val="20"/>
        <w:lang w:val="es-ES"/>
      </w:rPr>
      <w:t xml:space="preserve">pág. </w:t>
    </w:r>
    <w:r w:rsidRPr="00F55D6E">
      <w:rPr>
        <w:rFonts w:ascii="Times New Roman" w:hAnsi="Times New Roman" w:cs="Times New Roman"/>
        <w:color w:val="4F81BD" w:themeColor="accent1"/>
        <w:sz w:val="16"/>
        <w:szCs w:val="20"/>
      </w:rPr>
      <w:fldChar w:fldCharType="begin"/>
    </w:r>
    <w:r w:rsidRPr="00F55D6E">
      <w:rPr>
        <w:rFonts w:ascii="Times New Roman" w:hAnsi="Times New Roman" w:cs="Times New Roman"/>
        <w:color w:val="4F81BD" w:themeColor="accent1"/>
        <w:sz w:val="16"/>
        <w:szCs w:val="20"/>
      </w:rPr>
      <w:instrText>PAGE  \* Arabic</w:instrText>
    </w:r>
    <w:r w:rsidRPr="00F55D6E">
      <w:rPr>
        <w:rFonts w:ascii="Times New Roman" w:hAnsi="Times New Roman" w:cs="Times New Roman"/>
        <w:color w:val="4F81BD" w:themeColor="accent1"/>
        <w:sz w:val="16"/>
        <w:szCs w:val="20"/>
      </w:rPr>
      <w:fldChar w:fldCharType="separate"/>
    </w:r>
    <w:r w:rsidR="00BB1939">
      <w:rPr>
        <w:rFonts w:ascii="Times New Roman" w:hAnsi="Times New Roman" w:cs="Times New Roman"/>
        <w:noProof/>
        <w:color w:val="4F81BD" w:themeColor="accent1"/>
        <w:sz w:val="16"/>
        <w:szCs w:val="20"/>
      </w:rPr>
      <w:t>47</w:t>
    </w:r>
    <w:r w:rsidRPr="00F55D6E">
      <w:rPr>
        <w:rFonts w:ascii="Times New Roman" w:hAnsi="Times New Roman" w:cs="Times New Roman"/>
        <w:color w:val="4F81BD" w:themeColor="accent1"/>
        <w:sz w:val="16"/>
        <w:szCs w:val="20"/>
      </w:rPr>
      <w:fldChar w:fldCharType="end"/>
    </w:r>
  </w:p>
  <w:p w:rsidR="001B6203" w:rsidRDefault="001B620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203" w:rsidRPr="00F55D6E" w:rsidRDefault="001B6203">
    <w:pPr>
      <w:pStyle w:val="Piedepgina"/>
      <w:jc w:val="right"/>
      <w:rPr>
        <w:rFonts w:ascii="Times New Roman" w:hAnsi="Times New Roman" w:cs="Times New Roman"/>
        <w:sz w:val="20"/>
      </w:rPr>
    </w:pPr>
    <w:r w:rsidRPr="00F55D6E">
      <w:rPr>
        <w:rFonts w:ascii="Times New Roman" w:hAnsi="Times New Roman" w:cs="Times New Roman"/>
        <w:noProof/>
        <w:color w:val="4F81BD" w:themeColor="accent1"/>
        <w:sz w:val="12"/>
        <w:szCs w:val="16"/>
        <w:lang w:val="es-ES"/>
      </w:rPr>
      <mc:AlternateContent>
        <mc:Choice Requires="wps">
          <w:drawing>
            <wp:anchor distT="0" distB="0" distL="114300" distR="114300" simplePos="0" relativeHeight="251680768" behindDoc="0" locked="0" layoutInCell="1" allowOverlap="1" wp14:anchorId="55D615C4" wp14:editId="110DD52D">
              <wp:simplePos x="0" y="0"/>
              <wp:positionH relativeFrom="column">
                <wp:posOffset>1892411</wp:posOffset>
              </wp:positionH>
              <wp:positionV relativeFrom="paragraph">
                <wp:posOffset>-57316</wp:posOffset>
              </wp:positionV>
              <wp:extent cx="4985468" cy="45719"/>
              <wp:effectExtent l="38100" t="38100" r="81915" b="107315"/>
              <wp:wrapNone/>
              <wp:docPr id="22" name="Rectángulo 22"/>
              <wp:cNvGraphicFramePr/>
              <a:graphic xmlns:a="http://schemas.openxmlformats.org/drawingml/2006/main">
                <a:graphicData uri="http://schemas.microsoft.com/office/word/2010/wordprocessingShape">
                  <wps:wsp>
                    <wps:cNvSpPr/>
                    <wps:spPr>
                      <a:xfrm>
                        <a:off x="0" y="0"/>
                        <a:ext cx="4985468" cy="45719"/>
                      </a:xfrm>
                      <a:prstGeom prst="rect">
                        <a:avLst/>
                      </a:prstGeom>
                      <a:gradFill flip="none" rotWithShape="1">
                        <a:gsLst>
                          <a:gs pos="1000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EB0E42F" id="Rectángulo 22" o:spid="_x0000_s1026" style="position:absolute;margin-left:149pt;margin-top:-4.5pt;width:392.55pt;height:3.6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" fillcolor="#f6fbfc [184]" strokecolor="#243f60 [1604]" strokeweight=".5pt">
              <v:fill color2="#c9e6ee [984]" rotate="t" colors="0 #f6fbfc;6554f #f6fbfc;48497f #aedae5;54395f #aedae5" focus="100%" type="gradient"/>
              <v:shadow on="t" color="black" opacity="26214f" origin="-.5,-.5" offset=".74836mm,.74836mm"/>
            </v:rect>
          </w:pict>
        </mc:Fallback>
      </mc:AlternateContent>
    </w:r>
    <w:r w:rsidRPr="00F55D6E">
      <w:rPr>
        <w:rFonts w:ascii="Times New Roman" w:hAnsi="Times New Roman" w:cs="Times New Roman"/>
        <w:color w:val="4F81BD" w:themeColor="accent1"/>
        <w:sz w:val="16"/>
        <w:szCs w:val="20"/>
        <w:lang w:val="es-ES"/>
      </w:rPr>
      <w:t xml:space="preserve">pág. </w:t>
    </w:r>
    <w:r w:rsidRPr="00F55D6E">
      <w:rPr>
        <w:rFonts w:ascii="Times New Roman" w:hAnsi="Times New Roman" w:cs="Times New Roman"/>
        <w:color w:val="4F81BD" w:themeColor="accent1"/>
        <w:sz w:val="16"/>
        <w:szCs w:val="20"/>
      </w:rPr>
      <w:fldChar w:fldCharType="begin"/>
    </w:r>
    <w:r w:rsidRPr="00F55D6E">
      <w:rPr>
        <w:rFonts w:ascii="Times New Roman" w:hAnsi="Times New Roman" w:cs="Times New Roman"/>
        <w:color w:val="4F81BD" w:themeColor="accent1"/>
        <w:sz w:val="16"/>
        <w:szCs w:val="20"/>
      </w:rPr>
      <w:instrText>PAGE  \* Arabic</w:instrText>
    </w:r>
    <w:r w:rsidRPr="00F55D6E">
      <w:rPr>
        <w:rFonts w:ascii="Times New Roman" w:hAnsi="Times New Roman" w:cs="Times New Roman"/>
        <w:color w:val="4F81BD" w:themeColor="accent1"/>
        <w:sz w:val="16"/>
        <w:szCs w:val="20"/>
      </w:rPr>
      <w:fldChar w:fldCharType="separate"/>
    </w:r>
    <w:r w:rsidR="00BB1939">
      <w:rPr>
        <w:rFonts w:ascii="Times New Roman" w:hAnsi="Times New Roman" w:cs="Times New Roman"/>
        <w:noProof/>
        <w:color w:val="4F81BD" w:themeColor="accent1"/>
        <w:sz w:val="16"/>
        <w:szCs w:val="20"/>
      </w:rPr>
      <w:t>30</w:t>
    </w:r>
    <w:r w:rsidRPr="00F55D6E">
      <w:rPr>
        <w:rFonts w:ascii="Times New Roman" w:hAnsi="Times New Roman" w:cs="Times New Roman"/>
        <w:color w:val="4F81BD" w:themeColor="accent1"/>
        <w:sz w:val="16"/>
        <w:szCs w:val="20"/>
      </w:rPr>
      <w:fldChar w:fldCharType="end"/>
    </w:r>
  </w:p>
  <w:p w:rsidR="001B6203" w:rsidRDefault="001B620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382B" w:rsidRDefault="00AD382B" w:rsidP="000B5E1C">
      <w:r>
        <w:separator/>
      </w:r>
    </w:p>
  </w:footnote>
  <w:footnote w:type="continuationSeparator" w:id="0">
    <w:p w:rsidR="00AD382B" w:rsidRDefault="00AD382B" w:rsidP="000B5E1C">
      <w:r>
        <w:continuationSeparator/>
      </w:r>
    </w:p>
  </w:footnote>
  <w:footnote w:id="1">
    <w:p w:rsidR="001B6203" w:rsidRPr="00496542" w:rsidRDefault="001B6203" w:rsidP="006B1BB6">
      <w:pPr>
        <w:pStyle w:val="Textonotapie"/>
        <w:rPr>
          <w:lang w:val="es-US"/>
        </w:rPr>
      </w:pPr>
      <w:r>
        <w:rPr>
          <w:rStyle w:val="Refdenotaalpie"/>
        </w:rPr>
        <w:footnoteRef/>
      </w:r>
      <w:r>
        <w:t xml:space="preserve"> </w:t>
      </w:r>
      <w:r w:rsidRPr="005D35C9">
        <w:rPr>
          <w:rFonts w:ascii="Times New Roman" w:hAnsi="Times New Roman" w:cs="Times New Roman"/>
          <w:sz w:val="16"/>
          <w:szCs w:val="18"/>
        </w:rPr>
        <w:t>TEUS: Capacidad de carga de un contenedor de 20 pies</w:t>
      </w:r>
    </w:p>
  </w:footnote>
  <w:footnote w:id="2">
    <w:p w:rsidR="001B6203" w:rsidRPr="001A48E1" w:rsidRDefault="001B6203" w:rsidP="00B24C98">
      <w:pPr>
        <w:pStyle w:val="Textonotapie"/>
        <w:rPr>
          <w:rFonts w:ascii="Times New Roman" w:hAnsi="Times New Roman" w:cs="Times New Roman"/>
          <w:sz w:val="18"/>
          <w:szCs w:val="18"/>
        </w:rPr>
      </w:pPr>
      <w:r w:rsidRPr="001A48E1">
        <w:rPr>
          <w:rStyle w:val="Refdenotaalpie"/>
          <w:rFonts w:ascii="Times New Roman" w:hAnsi="Times New Roman" w:cs="Times New Roman"/>
          <w:sz w:val="18"/>
          <w:szCs w:val="18"/>
        </w:rPr>
        <w:footnoteRef/>
      </w:r>
      <w:r w:rsidRPr="001A48E1">
        <w:rPr>
          <w:rFonts w:ascii="Times New Roman" w:hAnsi="Times New Roman" w:cs="Times New Roman"/>
          <w:sz w:val="18"/>
          <w:szCs w:val="18"/>
        </w:rPr>
        <w:t xml:space="preserve"> El precio del barril es el promedio de Brent, Dubái y West Texas Interm</w:t>
      </w:r>
      <w:r>
        <w:rPr>
          <w:rFonts w:ascii="Times New Roman" w:hAnsi="Times New Roman" w:cs="Times New Roman"/>
          <w:sz w:val="18"/>
          <w:szCs w:val="18"/>
        </w:rPr>
        <w:t>e</w:t>
      </w:r>
      <w:r w:rsidRPr="001A48E1">
        <w:rPr>
          <w:rFonts w:ascii="Times New Roman" w:hAnsi="Times New Roman" w:cs="Times New Roman"/>
          <w:sz w:val="18"/>
          <w:szCs w:val="18"/>
        </w:rPr>
        <w:t>diate.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203" w:rsidRPr="005329C2" w:rsidRDefault="001B6203" w:rsidP="00B63DA6">
    <w:pPr>
      <w:pStyle w:val="Encabezado"/>
      <w:jc w:val="right"/>
      <w:rPr>
        <w:rFonts w:ascii="Times New Roman" w:hAnsi="Times New Roman" w:cs="Times New Roman"/>
        <w:i/>
        <w:color w:val="1F497D" w:themeColor="text2"/>
      </w:rPr>
    </w:pPr>
    <w:r>
      <w:rPr>
        <w:noProof/>
        <w:lang w:val="es-ES"/>
      </w:rPr>
      <w:drawing>
        <wp:anchor distT="0" distB="0" distL="114300" distR="114300" simplePos="0" relativeHeight="251673600" behindDoc="0" locked="0" layoutInCell="1" allowOverlap="1" wp14:anchorId="71454E2D" wp14:editId="0AD504AB">
          <wp:simplePos x="0" y="0"/>
          <wp:positionH relativeFrom="column">
            <wp:posOffset>0</wp:posOffset>
          </wp:positionH>
          <wp:positionV relativeFrom="paragraph">
            <wp:posOffset>-294833</wp:posOffset>
          </wp:positionV>
          <wp:extent cx="1598212" cy="723976"/>
          <wp:effectExtent l="0" t="0" r="2540" b="0"/>
          <wp:wrapNone/>
          <wp:docPr id="226" name="Imagen 4" descr="Resultado de imagen para gobierno de guatema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gobierno de guatemal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8212" cy="7239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19D">
      <w:rPr>
        <w:rFonts w:ascii="Times New Roman" w:hAnsi="Times New Roman" w:cs="Times New Roman"/>
        <w:i/>
        <w:color w:val="1F497D" w:themeColor="text2"/>
        <w:sz w:val="28"/>
      </w:rPr>
      <w:t>Dirección de Análisis y Política Fiscal</w:t>
    </w:r>
  </w:p>
  <w:p w:rsidR="001B6203" w:rsidRDefault="001B6203">
    <w:pPr>
      <w:pStyle w:val="Encabezado"/>
    </w:pPr>
    <w:r>
      <w:rPr>
        <w:noProof/>
        <w:lang w:val="es-ES"/>
      </w:rPr>
      <mc:AlternateContent>
        <mc:Choice Requires="wps">
          <w:drawing>
            <wp:anchor distT="0" distB="0" distL="114300" distR="114300" simplePos="0" relativeHeight="251674624" behindDoc="0" locked="0" layoutInCell="1" allowOverlap="1" wp14:anchorId="2920D263" wp14:editId="6B33F7A1">
              <wp:simplePos x="0" y="0"/>
              <wp:positionH relativeFrom="column">
                <wp:posOffset>1686919</wp:posOffset>
              </wp:positionH>
              <wp:positionV relativeFrom="paragraph">
                <wp:posOffset>108641</wp:posOffset>
              </wp:positionV>
              <wp:extent cx="4985468" cy="45719"/>
              <wp:effectExtent l="38100" t="38100" r="81915" b="107315"/>
              <wp:wrapNone/>
              <wp:docPr id="223" name="Rectángulo 223"/>
              <wp:cNvGraphicFramePr/>
              <a:graphic xmlns:a="http://schemas.openxmlformats.org/drawingml/2006/main">
                <a:graphicData uri="http://schemas.microsoft.com/office/word/2010/wordprocessingShape">
                  <wps:wsp>
                    <wps:cNvSpPr/>
                    <wps:spPr>
                      <a:xfrm>
                        <a:off x="0" y="0"/>
                        <a:ext cx="4985468" cy="45719"/>
                      </a:xfrm>
                      <a:prstGeom prst="rect">
                        <a:avLst/>
                      </a:prstGeom>
                      <a:gradFill flip="none" rotWithShape="1">
                        <a:gsLst>
                          <a:gs pos="1000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957DC08" id="Rectángulo 223" o:spid="_x0000_s1026" style="position:absolute;margin-left:132.85pt;margin-top:8.55pt;width:392.55pt;height:3.6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" fillcolor="#f6fbfc [184]" strokecolor="#243f60 [1604]" strokeweight=".5pt">
              <v:fill color2="#c9e6ee [984]" rotate="t" colors="0 #f6fbfc;6554f #f6fbfc;48497f #aedae5;54395f #aedae5" focus="100%" type="gradient"/>
              <v:shadow on="t" color="black" opacity="26214f" origin="-.5,-.5" offset=".74836mm,.74836mm"/>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203" w:rsidRPr="00F55D6E" w:rsidRDefault="001B6203" w:rsidP="00AC45C7">
    <w:pPr>
      <w:pStyle w:val="Encabezado"/>
      <w:jc w:val="right"/>
      <w:rPr>
        <w:rFonts w:ascii="Times New Roman" w:hAnsi="Times New Roman" w:cs="Times New Roman"/>
        <w:i/>
        <w:color w:val="1F497D" w:themeColor="text2"/>
        <w:sz w:val="28"/>
      </w:rPr>
    </w:pPr>
    <w:r w:rsidRPr="00F55D6E">
      <w:rPr>
        <w:noProof/>
        <w:sz w:val="28"/>
        <w:lang w:val="es-ES"/>
      </w:rPr>
      <w:drawing>
        <wp:anchor distT="0" distB="0" distL="114300" distR="114300" simplePos="0" relativeHeight="251670528" behindDoc="0" locked="0" layoutInCell="1" allowOverlap="1" wp14:anchorId="3681D69D" wp14:editId="2E132612">
          <wp:simplePos x="0" y="0"/>
          <wp:positionH relativeFrom="column">
            <wp:posOffset>-63611</wp:posOffset>
          </wp:positionH>
          <wp:positionV relativeFrom="paragraph">
            <wp:posOffset>-286882</wp:posOffset>
          </wp:positionV>
          <wp:extent cx="1598212" cy="723976"/>
          <wp:effectExtent l="0" t="0" r="2540" b="0"/>
          <wp:wrapNone/>
          <wp:docPr id="5" name="Imagen 5" descr="Resultado de imagen para gobierno de guatema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gobierno de guatemal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8212" cy="7239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D6E">
      <w:rPr>
        <w:rFonts w:ascii="Times New Roman" w:hAnsi="Times New Roman" w:cs="Times New Roman"/>
        <w:i/>
        <w:color w:val="1F497D" w:themeColor="text2"/>
        <w:sz w:val="28"/>
      </w:rPr>
      <w:t>Dirección de Análisis y Política Fiscal</w:t>
    </w:r>
  </w:p>
  <w:p w:rsidR="001B6203" w:rsidRDefault="001B6203">
    <w:r w:rsidRPr="00F55D6E">
      <w:rPr>
        <w:rFonts w:ascii="Times New Roman" w:hAnsi="Times New Roman" w:cs="Times New Roman"/>
        <w:noProof/>
        <w:color w:val="4F81BD" w:themeColor="accent1"/>
        <w:sz w:val="12"/>
        <w:szCs w:val="16"/>
        <w:lang w:val="es-ES"/>
      </w:rPr>
      <mc:AlternateContent>
        <mc:Choice Requires="wps">
          <w:drawing>
            <wp:anchor distT="0" distB="0" distL="114300" distR="114300" simplePos="0" relativeHeight="251682816" behindDoc="0" locked="0" layoutInCell="1" allowOverlap="1" wp14:anchorId="2FA83CA2" wp14:editId="642AE040">
              <wp:simplePos x="0" y="0"/>
              <wp:positionH relativeFrom="column">
                <wp:posOffset>1892300</wp:posOffset>
              </wp:positionH>
              <wp:positionV relativeFrom="paragraph">
                <wp:posOffset>137712</wp:posOffset>
              </wp:positionV>
              <wp:extent cx="4985468" cy="45719"/>
              <wp:effectExtent l="38100" t="38100" r="81915" b="107315"/>
              <wp:wrapNone/>
              <wp:docPr id="23" name="Rectángulo 23"/>
              <wp:cNvGraphicFramePr/>
              <a:graphic xmlns:a="http://schemas.openxmlformats.org/drawingml/2006/main">
                <a:graphicData uri="http://schemas.microsoft.com/office/word/2010/wordprocessingShape">
                  <wps:wsp>
                    <wps:cNvSpPr/>
                    <wps:spPr>
                      <a:xfrm>
                        <a:off x="0" y="0"/>
                        <a:ext cx="4985468" cy="45719"/>
                      </a:xfrm>
                      <a:prstGeom prst="rect">
                        <a:avLst/>
                      </a:prstGeom>
                      <a:gradFill flip="none" rotWithShape="1">
                        <a:gsLst>
                          <a:gs pos="1000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B3DC015" id="Rectángulo 23" o:spid="_x0000_s1026" style="position:absolute;margin-left:149pt;margin-top:10.85pt;width:392.55pt;height:3.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" fillcolor="#f6fbfc [184]" strokecolor="#243f60 [1604]" strokeweight=".5pt">
              <v:fill color2="#c9e6ee [984]" rotate="t" colors="0 #f6fbfc;6554f #f6fbfc;48497f #aedae5;54395f #aedae5" focus="100%" type="gradient"/>
              <v:shadow on="t" color="black" opacity="26214f" origin="-.5,-.5" offset=".74836mm,.74836mm"/>
            </v:rect>
          </w:pict>
        </mc:Fallback>
      </mc:AlternateContent>
    </w:r>
  </w:p>
  <w:p w:rsidR="001B6203" w:rsidRDefault="001B620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203" w:rsidRPr="005329C2" w:rsidRDefault="001B6203" w:rsidP="005329C2">
    <w:pPr>
      <w:pStyle w:val="Encabezado"/>
      <w:jc w:val="right"/>
      <w:rPr>
        <w:rFonts w:ascii="Times New Roman" w:hAnsi="Times New Roman" w:cs="Times New Roman"/>
        <w:i/>
        <w:color w:val="1F497D" w:themeColor="text2"/>
      </w:rPr>
    </w:pPr>
    <w:r w:rsidRPr="005B38A5">
      <w:rPr>
        <w:rFonts w:ascii="Times New Roman" w:hAnsi="Times New Roman" w:cs="Times New Roman"/>
        <w:noProof/>
        <w:color w:val="4F81BD" w:themeColor="accent1"/>
        <w:sz w:val="16"/>
        <w:szCs w:val="16"/>
        <w:lang w:val="es-ES"/>
      </w:rPr>
      <mc:AlternateContent>
        <mc:Choice Requires="wps">
          <w:drawing>
            <wp:anchor distT="0" distB="0" distL="114300" distR="114300" simplePos="0" relativeHeight="251678720" behindDoc="0" locked="0" layoutInCell="1" allowOverlap="1" wp14:anchorId="12552167" wp14:editId="66EF1AF2">
              <wp:simplePos x="0" y="0"/>
              <wp:positionH relativeFrom="column">
                <wp:posOffset>1892438</wp:posOffset>
              </wp:positionH>
              <wp:positionV relativeFrom="paragraph">
                <wp:posOffset>323712</wp:posOffset>
              </wp:positionV>
              <wp:extent cx="4985468" cy="45719"/>
              <wp:effectExtent l="38100" t="38100" r="81915" b="107315"/>
              <wp:wrapNone/>
              <wp:docPr id="17" name="Rectángulo 17"/>
              <wp:cNvGraphicFramePr/>
              <a:graphic xmlns:a="http://schemas.openxmlformats.org/drawingml/2006/main">
                <a:graphicData uri="http://schemas.microsoft.com/office/word/2010/wordprocessingShape">
                  <wps:wsp>
                    <wps:cNvSpPr/>
                    <wps:spPr>
                      <a:xfrm>
                        <a:off x="0" y="0"/>
                        <a:ext cx="4985468" cy="45719"/>
                      </a:xfrm>
                      <a:prstGeom prst="rect">
                        <a:avLst/>
                      </a:prstGeom>
                      <a:gradFill flip="none" rotWithShape="1">
                        <a:gsLst>
                          <a:gs pos="1000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1B121000" id="Rectángulo 17" o:spid="_x0000_s1026" style="position:absolute;margin-left:149pt;margin-top:25.5pt;width:392.55pt;height:3.6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" fillcolor="#f6fbfc [184]" strokecolor="#243f60 [1604]" strokeweight=".5pt">
              <v:fill color2="#c9e6ee [984]" rotate="t" colors="0 #f6fbfc;6554f #f6fbfc;48497f #aedae5;54395f #aedae5" focus="100%" type="gradient"/>
              <v:shadow on="t" color="black" opacity="26214f" origin="-.5,-.5" offset=".74836mm,.74836mm"/>
            </v:rect>
          </w:pict>
        </mc:Fallback>
      </mc:AlternateContent>
    </w:r>
    <w:r>
      <w:rPr>
        <w:noProof/>
        <w:lang w:val="es-ES"/>
      </w:rPr>
      <w:drawing>
        <wp:anchor distT="0" distB="0" distL="114300" distR="114300" simplePos="0" relativeHeight="251668480" behindDoc="0" locked="0" layoutInCell="1" allowOverlap="1" wp14:anchorId="7DE9AE65" wp14:editId="08D45BE5">
          <wp:simplePos x="0" y="0"/>
          <wp:positionH relativeFrom="column">
            <wp:posOffset>0</wp:posOffset>
          </wp:positionH>
          <wp:positionV relativeFrom="paragraph">
            <wp:posOffset>-294833</wp:posOffset>
          </wp:positionV>
          <wp:extent cx="1598212" cy="723976"/>
          <wp:effectExtent l="0" t="0" r="2540" b="0"/>
          <wp:wrapNone/>
          <wp:docPr id="4" name="Imagen 4" descr="Resultado de imagen para gobierno de guatema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gobierno de guatemal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8212" cy="7239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19D">
      <w:rPr>
        <w:rFonts w:ascii="Times New Roman" w:hAnsi="Times New Roman" w:cs="Times New Roman"/>
        <w:i/>
        <w:color w:val="1F497D" w:themeColor="text2"/>
        <w:sz w:val="28"/>
      </w:rPr>
      <w:t>Dirección de Análisis y Política Fiscal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77EB2"/>
    <w:multiLevelType w:val="hybridMultilevel"/>
    <w:tmpl w:val="B09E52A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nsid w:val="0B2B160D"/>
    <w:multiLevelType w:val="hybridMultilevel"/>
    <w:tmpl w:val="5652F5FA"/>
    <w:lvl w:ilvl="0" w:tplc="47281706">
      <w:start w:val="1"/>
      <w:numFmt w:val="bullet"/>
      <w:lvlText w:val="•"/>
      <w:lvlJc w:val="left"/>
      <w:pPr>
        <w:tabs>
          <w:tab w:val="num" w:pos="720"/>
        </w:tabs>
        <w:ind w:left="720" w:hanging="360"/>
      </w:pPr>
      <w:rPr>
        <w:rFonts w:ascii="Arial" w:hAnsi="Arial" w:hint="default"/>
      </w:rPr>
    </w:lvl>
    <w:lvl w:ilvl="1" w:tplc="100A0017">
      <w:start w:val="1"/>
      <w:numFmt w:val="lowerLetter"/>
      <w:lvlText w:val="%2)"/>
      <w:lvlJc w:val="left"/>
      <w:pPr>
        <w:tabs>
          <w:tab w:val="num" w:pos="1440"/>
        </w:tabs>
        <w:ind w:left="1440" w:hanging="360"/>
      </w:pPr>
      <w:rPr>
        <w:rFonts w:hint="default"/>
      </w:rPr>
    </w:lvl>
    <w:lvl w:ilvl="2" w:tplc="1C30B89C" w:tentative="1">
      <w:start w:val="1"/>
      <w:numFmt w:val="bullet"/>
      <w:lvlText w:val="•"/>
      <w:lvlJc w:val="left"/>
      <w:pPr>
        <w:tabs>
          <w:tab w:val="num" w:pos="2160"/>
        </w:tabs>
        <w:ind w:left="2160" w:hanging="360"/>
      </w:pPr>
      <w:rPr>
        <w:rFonts w:ascii="Arial" w:hAnsi="Arial" w:hint="default"/>
      </w:rPr>
    </w:lvl>
    <w:lvl w:ilvl="3" w:tplc="BC8E2AC2" w:tentative="1">
      <w:start w:val="1"/>
      <w:numFmt w:val="bullet"/>
      <w:lvlText w:val="•"/>
      <w:lvlJc w:val="left"/>
      <w:pPr>
        <w:tabs>
          <w:tab w:val="num" w:pos="2880"/>
        </w:tabs>
        <w:ind w:left="2880" w:hanging="360"/>
      </w:pPr>
      <w:rPr>
        <w:rFonts w:ascii="Arial" w:hAnsi="Arial" w:hint="default"/>
      </w:rPr>
    </w:lvl>
    <w:lvl w:ilvl="4" w:tplc="A130603C" w:tentative="1">
      <w:start w:val="1"/>
      <w:numFmt w:val="bullet"/>
      <w:lvlText w:val="•"/>
      <w:lvlJc w:val="left"/>
      <w:pPr>
        <w:tabs>
          <w:tab w:val="num" w:pos="3600"/>
        </w:tabs>
        <w:ind w:left="3600" w:hanging="360"/>
      </w:pPr>
      <w:rPr>
        <w:rFonts w:ascii="Arial" w:hAnsi="Arial" w:hint="default"/>
      </w:rPr>
    </w:lvl>
    <w:lvl w:ilvl="5" w:tplc="347CF7B6" w:tentative="1">
      <w:start w:val="1"/>
      <w:numFmt w:val="bullet"/>
      <w:lvlText w:val="•"/>
      <w:lvlJc w:val="left"/>
      <w:pPr>
        <w:tabs>
          <w:tab w:val="num" w:pos="4320"/>
        </w:tabs>
        <w:ind w:left="4320" w:hanging="360"/>
      </w:pPr>
      <w:rPr>
        <w:rFonts w:ascii="Arial" w:hAnsi="Arial" w:hint="default"/>
      </w:rPr>
    </w:lvl>
    <w:lvl w:ilvl="6" w:tplc="9580CE46" w:tentative="1">
      <w:start w:val="1"/>
      <w:numFmt w:val="bullet"/>
      <w:lvlText w:val="•"/>
      <w:lvlJc w:val="left"/>
      <w:pPr>
        <w:tabs>
          <w:tab w:val="num" w:pos="5040"/>
        </w:tabs>
        <w:ind w:left="5040" w:hanging="360"/>
      </w:pPr>
      <w:rPr>
        <w:rFonts w:ascii="Arial" w:hAnsi="Arial" w:hint="default"/>
      </w:rPr>
    </w:lvl>
    <w:lvl w:ilvl="7" w:tplc="1304CE74" w:tentative="1">
      <w:start w:val="1"/>
      <w:numFmt w:val="bullet"/>
      <w:lvlText w:val="•"/>
      <w:lvlJc w:val="left"/>
      <w:pPr>
        <w:tabs>
          <w:tab w:val="num" w:pos="5760"/>
        </w:tabs>
        <w:ind w:left="5760" w:hanging="360"/>
      </w:pPr>
      <w:rPr>
        <w:rFonts w:ascii="Arial" w:hAnsi="Arial" w:hint="default"/>
      </w:rPr>
    </w:lvl>
    <w:lvl w:ilvl="8" w:tplc="EBA26016" w:tentative="1">
      <w:start w:val="1"/>
      <w:numFmt w:val="bullet"/>
      <w:lvlText w:val="•"/>
      <w:lvlJc w:val="left"/>
      <w:pPr>
        <w:tabs>
          <w:tab w:val="num" w:pos="6480"/>
        </w:tabs>
        <w:ind w:left="6480" w:hanging="360"/>
      </w:pPr>
      <w:rPr>
        <w:rFonts w:ascii="Arial" w:hAnsi="Arial" w:hint="default"/>
      </w:rPr>
    </w:lvl>
  </w:abstractNum>
  <w:abstractNum w:abstractNumId="2">
    <w:nsid w:val="111A32CD"/>
    <w:multiLevelType w:val="hybridMultilevel"/>
    <w:tmpl w:val="4082364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nsid w:val="130B3E59"/>
    <w:multiLevelType w:val="hybridMultilevel"/>
    <w:tmpl w:val="F832278A"/>
    <w:lvl w:ilvl="0" w:tplc="4142F532">
      <w:start w:val="1"/>
      <w:numFmt w:val="lowerLetter"/>
      <w:lvlText w:val="%1)"/>
      <w:lvlJc w:val="left"/>
      <w:pPr>
        <w:ind w:left="720"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145536B5"/>
    <w:multiLevelType w:val="hybridMultilevel"/>
    <w:tmpl w:val="02E2FB34"/>
    <w:lvl w:ilvl="0" w:tplc="2E828656">
      <w:start w:val="1"/>
      <w:numFmt w:val="decimal"/>
      <w:lvlText w:val="%1.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16811248"/>
    <w:multiLevelType w:val="hybridMultilevel"/>
    <w:tmpl w:val="2E12EF8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nsid w:val="1AC53FCF"/>
    <w:multiLevelType w:val="hybridMultilevel"/>
    <w:tmpl w:val="A436428C"/>
    <w:lvl w:ilvl="0" w:tplc="100A0009">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nsid w:val="1DFA2B56"/>
    <w:multiLevelType w:val="hybridMultilevel"/>
    <w:tmpl w:val="60DAF598"/>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nsid w:val="1FEA0C7D"/>
    <w:multiLevelType w:val="multilevel"/>
    <w:tmpl w:val="432204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0E5232B"/>
    <w:multiLevelType w:val="hybridMultilevel"/>
    <w:tmpl w:val="E06C4B02"/>
    <w:lvl w:ilvl="0" w:tplc="47281706">
      <w:start w:val="1"/>
      <w:numFmt w:val="bullet"/>
      <w:lvlText w:val="•"/>
      <w:lvlJc w:val="left"/>
      <w:pPr>
        <w:tabs>
          <w:tab w:val="num" w:pos="720"/>
        </w:tabs>
        <w:ind w:left="720" w:hanging="360"/>
      </w:pPr>
      <w:rPr>
        <w:rFonts w:ascii="Arial" w:hAnsi="Arial" w:hint="default"/>
      </w:rPr>
    </w:lvl>
    <w:lvl w:ilvl="1" w:tplc="100A0017">
      <w:start w:val="1"/>
      <w:numFmt w:val="lowerLetter"/>
      <w:lvlText w:val="%2)"/>
      <w:lvlJc w:val="left"/>
      <w:pPr>
        <w:tabs>
          <w:tab w:val="num" w:pos="1440"/>
        </w:tabs>
        <w:ind w:left="1440" w:hanging="360"/>
      </w:pPr>
      <w:rPr>
        <w:rFonts w:hint="default"/>
      </w:rPr>
    </w:lvl>
    <w:lvl w:ilvl="2" w:tplc="1C30B89C" w:tentative="1">
      <w:start w:val="1"/>
      <w:numFmt w:val="bullet"/>
      <w:lvlText w:val="•"/>
      <w:lvlJc w:val="left"/>
      <w:pPr>
        <w:tabs>
          <w:tab w:val="num" w:pos="2160"/>
        </w:tabs>
        <w:ind w:left="2160" w:hanging="360"/>
      </w:pPr>
      <w:rPr>
        <w:rFonts w:ascii="Arial" w:hAnsi="Arial" w:hint="default"/>
      </w:rPr>
    </w:lvl>
    <w:lvl w:ilvl="3" w:tplc="BC8E2AC2" w:tentative="1">
      <w:start w:val="1"/>
      <w:numFmt w:val="bullet"/>
      <w:lvlText w:val="•"/>
      <w:lvlJc w:val="left"/>
      <w:pPr>
        <w:tabs>
          <w:tab w:val="num" w:pos="2880"/>
        </w:tabs>
        <w:ind w:left="2880" w:hanging="360"/>
      </w:pPr>
      <w:rPr>
        <w:rFonts w:ascii="Arial" w:hAnsi="Arial" w:hint="default"/>
      </w:rPr>
    </w:lvl>
    <w:lvl w:ilvl="4" w:tplc="A130603C" w:tentative="1">
      <w:start w:val="1"/>
      <w:numFmt w:val="bullet"/>
      <w:lvlText w:val="•"/>
      <w:lvlJc w:val="left"/>
      <w:pPr>
        <w:tabs>
          <w:tab w:val="num" w:pos="3600"/>
        </w:tabs>
        <w:ind w:left="3600" w:hanging="360"/>
      </w:pPr>
      <w:rPr>
        <w:rFonts w:ascii="Arial" w:hAnsi="Arial" w:hint="default"/>
      </w:rPr>
    </w:lvl>
    <w:lvl w:ilvl="5" w:tplc="347CF7B6" w:tentative="1">
      <w:start w:val="1"/>
      <w:numFmt w:val="bullet"/>
      <w:lvlText w:val="•"/>
      <w:lvlJc w:val="left"/>
      <w:pPr>
        <w:tabs>
          <w:tab w:val="num" w:pos="4320"/>
        </w:tabs>
        <w:ind w:left="4320" w:hanging="360"/>
      </w:pPr>
      <w:rPr>
        <w:rFonts w:ascii="Arial" w:hAnsi="Arial" w:hint="default"/>
      </w:rPr>
    </w:lvl>
    <w:lvl w:ilvl="6" w:tplc="9580CE46" w:tentative="1">
      <w:start w:val="1"/>
      <w:numFmt w:val="bullet"/>
      <w:lvlText w:val="•"/>
      <w:lvlJc w:val="left"/>
      <w:pPr>
        <w:tabs>
          <w:tab w:val="num" w:pos="5040"/>
        </w:tabs>
        <w:ind w:left="5040" w:hanging="360"/>
      </w:pPr>
      <w:rPr>
        <w:rFonts w:ascii="Arial" w:hAnsi="Arial" w:hint="default"/>
      </w:rPr>
    </w:lvl>
    <w:lvl w:ilvl="7" w:tplc="1304CE74" w:tentative="1">
      <w:start w:val="1"/>
      <w:numFmt w:val="bullet"/>
      <w:lvlText w:val="•"/>
      <w:lvlJc w:val="left"/>
      <w:pPr>
        <w:tabs>
          <w:tab w:val="num" w:pos="5760"/>
        </w:tabs>
        <w:ind w:left="5760" w:hanging="360"/>
      </w:pPr>
      <w:rPr>
        <w:rFonts w:ascii="Arial" w:hAnsi="Arial" w:hint="default"/>
      </w:rPr>
    </w:lvl>
    <w:lvl w:ilvl="8" w:tplc="EBA26016" w:tentative="1">
      <w:start w:val="1"/>
      <w:numFmt w:val="bullet"/>
      <w:lvlText w:val="•"/>
      <w:lvlJc w:val="left"/>
      <w:pPr>
        <w:tabs>
          <w:tab w:val="num" w:pos="6480"/>
        </w:tabs>
        <w:ind w:left="6480" w:hanging="360"/>
      </w:pPr>
      <w:rPr>
        <w:rFonts w:ascii="Arial" w:hAnsi="Arial" w:hint="default"/>
      </w:rPr>
    </w:lvl>
  </w:abstractNum>
  <w:abstractNum w:abstractNumId="10">
    <w:nsid w:val="27605102"/>
    <w:multiLevelType w:val="hybridMultilevel"/>
    <w:tmpl w:val="FEA4A058"/>
    <w:lvl w:ilvl="0" w:tplc="100A0001">
      <w:start w:val="1"/>
      <w:numFmt w:val="bullet"/>
      <w:lvlText w:val=""/>
      <w:lvlJc w:val="left"/>
      <w:pPr>
        <w:ind w:left="1068" w:hanging="360"/>
      </w:pPr>
      <w:rPr>
        <w:rFonts w:ascii="Symbol" w:hAnsi="Symbol" w:hint="default"/>
      </w:rPr>
    </w:lvl>
    <w:lvl w:ilvl="1" w:tplc="100A0003" w:tentative="1">
      <w:start w:val="1"/>
      <w:numFmt w:val="bullet"/>
      <w:lvlText w:val="o"/>
      <w:lvlJc w:val="left"/>
      <w:pPr>
        <w:ind w:left="1788" w:hanging="360"/>
      </w:pPr>
      <w:rPr>
        <w:rFonts w:ascii="Courier New" w:hAnsi="Courier New" w:cs="Courier New" w:hint="default"/>
      </w:rPr>
    </w:lvl>
    <w:lvl w:ilvl="2" w:tplc="100A0005" w:tentative="1">
      <w:start w:val="1"/>
      <w:numFmt w:val="bullet"/>
      <w:lvlText w:val=""/>
      <w:lvlJc w:val="left"/>
      <w:pPr>
        <w:ind w:left="2508" w:hanging="360"/>
      </w:pPr>
      <w:rPr>
        <w:rFonts w:ascii="Wingdings" w:hAnsi="Wingdings" w:hint="default"/>
      </w:rPr>
    </w:lvl>
    <w:lvl w:ilvl="3" w:tplc="100A0001" w:tentative="1">
      <w:start w:val="1"/>
      <w:numFmt w:val="bullet"/>
      <w:lvlText w:val=""/>
      <w:lvlJc w:val="left"/>
      <w:pPr>
        <w:ind w:left="3228" w:hanging="360"/>
      </w:pPr>
      <w:rPr>
        <w:rFonts w:ascii="Symbol" w:hAnsi="Symbol" w:hint="default"/>
      </w:rPr>
    </w:lvl>
    <w:lvl w:ilvl="4" w:tplc="100A0003" w:tentative="1">
      <w:start w:val="1"/>
      <w:numFmt w:val="bullet"/>
      <w:lvlText w:val="o"/>
      <w:lvlJc w:val="left"/>
      <w:pPr>
        <w:ind w:left="3948" w:hanging="360"/>
      </w:pPr>
      <w:rPr>
        <w:rFonts w:ascii="Courier New" w:hAnsi="Courier New" w:cs="Courier New" w:hint="default"/>
      </w:rPr>
    </w:lvl>
    <w:lvl w:ilvl="5" w:tplc="100A0005" w:tentative="1">
      <w:start w:val="1"/>
      <w:numFmt w:val="bullet"/>
      <w:lvlText w:val=""/>
      <w:lvlJc w:val="left"/>
      <w:pPr>
        <w:ind w:left="4668" w:hanging="360"/>
      </w:pPr>
      <w:rPr>
        <w:rFonts w:ascii="Wingdings" w:hAnsi="Wingdings" w:hint="default"/>
      </w:rPr>
    </w:lvl>
    <w:lvl w:ilvl="6" w:tplc="100A0001" w:tentative="1">
      <w:start w:val="1"/>
      <w:numFmt w:val="bullet"/>
      <w:lvlText w:val=""/>
      <w:lvlJc w:val="left"/>
      <w:pPr>
        <w:ind w:left="5388" w:hanging="360"/>
      </w:pPr>
      <w:rPr>
        <w:rFonts w:ascii="Symbol" w:hAnsi="Symbol" w:hint="default"/>
      </w:rPr>
    </w:lvl>
    <w:lvl w:ilvl="7" w:tplc="100A0003" w:tentative="1">
      <w:start w:val="1"/>
      <w:numFmt w:val="bullet"/>
      <w:lvlText w:val="o"/>
      <w:lvlJc w:val="left"/>
      <w:pPr>
        <w:ind w:left="6108" w:hanging="360"/>
      </w:pPr>
      <w:rPr>
        <w:rFonts w:ascii="Courier New" w:hAnsi="Courier New" w:cs="Courier New" w:hint="default"/>
      </w:rPr>
    </w:lvl>
    <w:lvl w:ilvl="8" w:tplc="100A0005" w:tentative="1">
      <w:start w:val="1"/>
      <w:numFmt w:val="bullet"/>
      <w:lvlText w:val=""/>
      <w:lvlJc w:val="left"/>
      <w:pPr>
        <w:ind w:left="6828" w:hanging="360"/>
      </w:pPr>
      <w:rPr>
        <w:rFonts w:ascii="Wingdings" w:hAnsi="Wingdings" w:hint="default"/>
      </w:rPr>
    </w:lvl>
  </w:abstractNum>
  <w:abstractNum w:abstractNumId="11">
    <w:nsid w:val="2B756652"/>
    <w:multiLevelType w:val="hybridMultilevel"/>
    <w:tmpl w:val="4C3CF3C6"/>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nsid w:val="2CA0439D"/>
    <w:multiLevelType w:val="hybridMultilevel"/>
    <w:tmpl w:val="4012538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nsid w:val="2CEE5E3C"/>
    <w:multiLevelType w:val="multilevel"/>
    <w:tmpl w:val="10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2D3D32D9"/>
    <w:multiLevelType w:val="hybridMultilevel"/>
    <w:tmpl w:val="D6B8F3D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nsid w:val="2D5A09C0"/>
    <w:multiLevelType w:val="hybridMultilevel"/>
    <w:tmpl w:val="92F073A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nsid w:val="2D653D78"/>
    <w:multiLevelType w:val="hybridMultilevel"/>
    <w:tmpl w:val="B4DCDFE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nsid w:val="2F3A7D94"/>
    <w:multiLevelType w:val="hybridMultilevel"/>
    <w:tmpl w:val="D4A4493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8">
    <w:nsid w:val="31A24AD2"/>
    <w:multiLevelType w:val="multilevel"/>
    <w:tmpl w:val="0C0A0025"/>
    <w:lvl w:ilvl="0">
      <w:start w:val="1"/>
      <w:numFmt w:val="decimal"/>
      <w:pStyle w:val="Ttulo11"/>
      <w:lvlText w:val="%1"/>
      <w:lvlJc w:val="left"/>
      <w:pPr>
        <w:ind w:left="432" w:hanging="432"/>
      </w:pPr>
    </w:lvl>
    <w:lvl w:ilvl="1">
      <w:start w:val="1"/>
      <w:numFmt w:val="decimal"/>
      <w:pStyle w:val="Ttulo21"/>
      <w:lvlText w:val="%1.%2"/>
      <w:lvlJc w:val="left"/>
      <w:pPr>
        <w:ind w:left="576" w:hanging="576"/>
      </w:pPr>
    </w:lvl>
    <w:lvl w:ilvl="2">
      <w:start w:val="1"/>
      <w:numFmt w:val="decimal"/>
      <w:pStyle w:val="Ttulo31"/>
      <w:lvlText w:val="%1.%2.%3"/>
      <w:lvlJc w:val="left"/>
      <w:pPr>
        <w:ind w:left="720" w:hanging="720"/>
      </w:pPr>
    </w:lvl>
    <w:lvl w:ilvl="3">
      <w:start w:val="1"/>
      <w:numFmt w:val="decimal"/>
      <w:pStyle w:val="Ttulo41"/>
      <w:lvlText w:val="%1.%2.%3.%4"/>
      <w:lvlJc w:val="left"/>
      <w:pPr>
        <w:ind w:left="864" w:hanging="864"/>
      </w:pPr>
    </w:lvl>
    <w:lvl w:ilvl="4">
      <w:start w:val="1"/>
      <w:numFmt w:val="decimal"/>
      <w:pStyle w:val="Ttulo51"/>
      <w:lvlText w:val="%1.%2.%3.%4.%5"/>
      <w:lvlJc w:val="left"/>
      <w:pPr>
        <w:ind w:left="1008" w:hanging="1008"/>
      </w:pPr>
    </w:lvl>
    <w:lvl w:ilvl="5">
      <w:start w:val="1"/>
      <w:numFmt w:val="decimal"/>
      <w:pStyle w:val="Ttulo61"/>
      <w:lvlText w:val="%1.%2.%3.%4.%5.%6"/>
      <w:lvlJc w:val="left"/>
      <w:pPr>
        <w:ind w:left="1152" w:hanging="1152"/>
      </w:pPr>
    </w:lvl>
    <w:lvl w:ilvl="6">
      <w:start w:val="1"/>
      <w:numFmt w:val="decimal"/>
      <w:pStyle w:val="Ttulo71"/>
      <w:lvlText w:val="%1.%2.%3.%4.%5.%6.%7"/>
      <w:lvlJc w:val="left"/>
      <w:pPr>
        <w:ind w:left="1296" w:hanging="1296"/>
      </w:pPr>
    </w:lvl>
    <w:lvl w:ilvl="7">
      <w:start w:val="1"/>
      <w:numFmt w:val="decimal"/>
      <w:pStyle w:val="Ttulo81"/>
      <w:lvlText w:val="%1.%2.%3.%4.%5.%6.%7.%8"/>
      <w:lvlJc w:val="left"/>
      <w:pPr>
        <w:ind w:left="1440" w:hanging="1440"/>
      </w:pPr>
    </w:lvl>
    <w:lvl w:ilvl="8">
      <w:start w:val="1"/>
      <w:numFmt w:val="decimal"/>
      <w:pStyle w:val="Ttulo91"/>
      <w:lvlText w:val="%1.%2.%3.%4.%5.%6.%7.%8.%9"/>
      <w:lvlJc w:val="left"/>
      <w:pPr>
        <w:ind w:left="1584" w:hanging="1584"/>
      </w:pPr>
    </w:lvl>
  </w:abstractNum>
  <w:abstractNum w:abstractNumId="19">
    <w:nsid w:val="38E61988"/>
    <w:multiLevelType w:val="hybridMultilevel"/>
    <w:tmpl w:val="7D04A81C"/>
    <w:lvl w:ilvl="0" w:tplc="A1F83D42">
      <w:start w:val="1"/>
      <w:numFmt w:val="lowerLetter"/>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0">
    <w:nsid w:val="39344CF8"/>
    <w:multiLevelType w:val="hybridMultilevel"/>
    <w:tmpl w:val="39F4D9A0"/>
    <w:lvl w:ilvl="0" w:tplc="100A0017">
      <w:start w:val="1"/>
      <w:numFmt w:val="lowerLetter"/>
      <w:lvlText w:val="%1)"/>
      <w:lvlJc w:val="left"/>
      <w:pPr>
        <w:tabs>
          <w:tab w:val="num" w:pos="1428"/>
        </w:tabs>
        <w:ind w:left="1428" w:hanging="360"/>
      </w:pPr>
      <w:rPr>
        <w:rFonts w:hint="default"/>
      </w:rPr>
    </w:lvl>
    <w:lvl w:ilvl="1" w:tplc="88A822C4" w:tentative="1">
      <w:start w:val="1"/>
      <w:numFmt w:val="bullet"/>
      <w:lvlText w:val="•"/>
      <w:lvlJc w:val="left"/>
      <w:pPr>
        <w:tabs>
          <w:tab w:val="num" w:pos="2148"/>
        </w:tabs>
        <w:ind w:left="2148" w:hanging="360"/>
      </w:pPr>
      <w:rPr>
        <w:rFonts w:ascii="Arial" w:hAnsi="Arial" w:hint="default"/>
      </w:rPr>
    </w:lvl>
    <w:lvl w:ilvl="2" w:tplc="0A663566" w:tentative="1">
      <w:start w:val="1"/>
      <w:numFmt w:val="bullet"/>
      <w:lvlText w:val="•"/>
      <w:lvlJc w:val="left"/>
      <w:pPr>
        <w:tabs>
          <w:tab w:val="num" w:pos="2868"/>
        </w:tabs>
        <w:ind w:left="2868" w:hanging="360"/>
      </w:pPr>
      <w:rPr>
        <w:rFonts w:ascii="Arial" w:hAnsi="Arial" w:hint="default"/>
      </w:rPr>
    </w:lvl>
    <w:lvl w:ilvl="3" w:tplc="FC0AC50E" w:tentative="1">
      <w:start w:val="1"/>
      <w:numFmt w:val="bullet"/>
      <w:lvlText w:val="•"/>
      <w:lvlJc w:val="left"/>
      <w:pPr>
        <w:tabs>
          <w:tab w:val="num" w:pos="3588"/>
        </w:tabs>
        <w:ind w:left="3588" w:hanging="360"/>
      </w:pPr>
      <w:rPr>
        <w:rFonts w:ascii="Arial" w:hAnsi="Arial" w:hint="default"/>
      </w:rPr>
    </w:lvl>
    <w:lvl w:ilvl="4" w:tplc="2F2C20D6" w:tentative="1">
      <w:start w:val="1"/>
      <w:numFmt w:val="bullet"/>
      <w:lvlText w:val="•"/>
      <w:lvlJc w:val="left"/>
      <w:pPr>
        <w:tabs>
          <w:tab w:val="num" w:pos="4308"/>
        </w:tabs>
        <w:ind w:left="4308" w:hanging="360"/>
      </w:pPr>
      <w:rPr>
        <w:rFonts w:ascii="Arial" w:hAnsi="Arial" w:hint="default"/>
      </w:rPr>
    </w:lvl>
    <w:lvl w:ilvl="5" w:tplc="3D765614" w:tentative="1">
      <w:start w:val="1"/>
      <w:numFmt w:val="bullet"/>
      <w:lvlText w:val="•"/>
      <w:lvlJc w:val="left"/>
      <w:pPr>
        <w:tabs>
          <w:tab w:val="num" w:pos="5028"/>
        </w:tabs>
        <w:ind w:left="5028" w:hanging="360"/>
      </w:pPr>
      <w:rPr>
        <w:rFonts w:ascii="Arial" w:hAnsi="Arial" w:hint="default"/>
      </w:rPr>
    </w:lvl>
    <w:lvl w:ilvl="6" w:tplc="D7B4C0EE" w:tentative="1">
      <w:start w:val="1"/>
      <w:numFmt w:val="bullet"/>
      <w:lvlText w:val="•"/>
      <w:lvlJc w:val="left"/>
      <w:pPr>
        <w:tabs>
          <w:tab w:val="num" w:pos="5748"/>
        </w:tabs>
        <w:ind w:left="5748" w:hanging="360"/>
      </w:pPr>
      <w:rPr>
        <w:rFonts w:ascii="Arial" w:hAnsi="Arial" w:hint="default"/>
      </w:rPr>
    </w:lvl>
    <w:lvl w:ilvl="7" w:tplc="FFBC65E4" w:tentative="1">
      <w:start w:val="1"/>
      <w:numFmt w:val="bullet"/>
      <w:lvlText w:val="•"/>
      <w:lvlJc w:val="left"/>
      <w:pPr>
        <w:tabs>
          <w:tab w:val="num" w:pos="6468"/>
        </w:tabs>
        <w:ind w:left="6468" w:hanging="360"/>
      </w:pPr>
      <w:rPr>
        <w:rFonts w:ascii="Arial" w:hAnsi="Arial" w:hint="default"/>
      </w:rPr>
    </w:lvl>
    <w:lvl w:ilvl="8" w:tplc="7AD008E2" w:tentative="1">
      <w:start w:val="1"/>
      <w:numFmt w:val="bullet"/>
      <w:lvlText w:val="•"/>
      <w:lvlJc w:val="left"/>
      <w:pPr>
        <w:tabs>
          <w:tab w:val="num" w:pos="7188"/>
        </w:tabs>
        <w:ind w:left="7188" w:hanging="360"/>
      </w:pPr>
      <w:rPr>
        <w:rFonts w:ascii="Arial" w:hAnsi="Arial" w:hint="default"/>
      </w:rPr>
    </w:lvl>
  </w:abstractNum>
  <w:abstractNum w:abstractNumId="21">
    <w:nsid w:val="3F4E4675"/>
    <w:multiLevelType w:val="hybridMultilevel"/>
    <w:tmpl w:val="592A14C8"/>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nsid w:val="41EF33CF"/>
    <w:multiLevelType w:val="multilevel"/>
    <w:tmpl w:val="432204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1F878AD"/>
    <w:multiLevelType w:val="multilevel"/>
    <w:tmpl w:val="6BE6BB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sz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23772FF"/>
    <w:multiLevelType w:val="multilevel"/>
    <w:tmpl w:val="8960C1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D4F1B71"/>
    <w:multiLevelType w:val="hybridMultilevel"/>
    <w:tmpl w:val="C492AE54"/>
    <w:lvl w:ilvl="0" w:tplc="679E7344">
      <w:start w:val="1"/>
      <w:numFmt w:val="bullet"/>
      <w:lvlText w:val=""/>
      <w:lvlJc w:val="left"/>
      <w:pPr>
        <w:tabs>
          <w:tab w:val="num" w:pos="720"/>
        </w:tabs>
        <w:ind w:left="720" w:hanging="360"/>
      </w:pPr>
      <w:rPr>
        <w:rFonts w:ascii="Wingdings" w:hAnsi="Wingdings" w:hint="default"/>
      </w:rPr>
    </w:lvl>
    <w:lvl w:ilvl="1" w:tplc="5D3C541E">
      <w:numFmt w:val="bullet"/>
      <w:lvlText w:val="•"/>
      <w:lvlJc w:val="left"/>
      <w:pPr>
        <w:tabs>
          <w:tab w:val="num" w:pos="1440"/>
        </w:tabs>
        <w:ind w:left="1440" w:hanging="360"/>
      </w:pPr>
      <w:rPr>
        <w:rFonts w:ascii="Arial" w:hAnsi="Arial" w:hint="default"/>
      </w:rPr>
    </w:lvl>
    <w:lvl w:ilvl="2" w:tplc="5666FBA8" w:tentative="1">
      <w:start w:val="1"/>
      <w:numFmt w:val="bullet"/>
      <w:lvlText w:val=""/>
      <w:lvlJc w:val="left"/>
      <w:pPr>
        <w:tabs>
          <w:tab w:val="num" w:pos="2160"/>
        </w:tabs>
        <w:ind w:left="2160" w:hanging="360"/>
      </w:pPr>
      <w:rPr>
        <w:rFonts w:ascii="Wingdings" w:hAnsi="Wingdings" w:hint="default"/>
      </w:rPr>
    </w:lvl>
    <w:lvl w:ilvl="3" w:tplc="F4D2A358" w:tentative="1">
      <w:start w:val="1"/>
      <w:numFmt w:val="bullet"/>
      <w:lvlText w:val=""/>
      <w:lvlJc w:val="left"/>
      <w:pPr>
        <w:tabs>
          <w:tab w:val="num" w:pos="2880"/>
        </w:tabs>
        <w:ind w:left="2880" w:hanging="360"/>
      </w:pPr>
      <w:rPr>
        <w:rFonts w:ascii="Wingdings" w:hAnsi="Wingdings" w:hint="default"/>
      </w:rPr>
    </w:lvl>
    <w:lvl w:ilvl="4" w:tplc="D812E89A" w:tentative="1">
      <w:start w:val="1"/>
      <w:numFmt w:val="bullet"/>
      <w:lvlText w:val=""/>
      <w:lvlJc w:val="left"/>
      <w:pPr>
        <w:tabs>
          <w:tab w:val="num" w:pos="3600"/>
        </w:tabs>
        <w:ind w:left="3600" w:hanging="360"/>
      </w:pPr>
      <w:rPr>
        <w:rFonts w:ascii="Wingdings" w:hAnsi="Wingdings" w:hint="default"/>
      </w:rPr>
    </w:lvl>
    <w:lvl w:ilvl="5" w:tplc="0BD8CD36" w:tentative="1">
      <w:start w:val="1"/>
      <w:numFmt w:val="bullet"/>
      <w:lvlText w:val=""/>
      <w:lvlJc w:val="left"/>
      <w:pPr>
        <w:tabs>
          <w:tab w:val="num" w:pos="4320"/>
        </w:tabs>
        <w:ind w:left="4320" w:hanging="360"/>
      </w:pPr>
      <w:rPr>
        <w:rFonts w:ascii="Wingdings" w:hAnsi="Wingdings" w:hint="default"/>
      </w:rPr>
    </w:lvl>
    <w:lvl w:ilvl="6" w:tplc="3D960370" w:tentative="1">
      <w:start w:val="1"/>
      <w:numFmt w:val="bullet"/>
      <w:lvlText w:val=""/>
      <w:lvlJc w:val="left"/>
      <w:pPr>
        <w:tabs>
          <w:tab w:val="num" w:pos="5040"/>
        </w:tabs>
        <w:ind w:left="5040" w:hanging="360"/>
      </w:pPr>
      <w:rPr>
        <w:rFonts w:ascii="Wingdings" w:hAnsi="Wingdings" w:hint="default"/>
      </w:rPr>
    </w:lvl>
    <w:lvl w:ilvl="7" w:tplc="2B1ADD40" w:tentative="1">
      <w:start w:val="1"/>
      <w:numFmt w:val="bullet"/>
      <w:lvlText w:val=""/>
      <w:lvlJc w:val="left"/>
      <w:pPr>
        <w:tabs>
          <w:tab w:val="num" w:pos="5760"/>
        </w:tabs>
        <w:ind w:left="5760" w:hanging="360"/>
      </w:pPr>
      <w:rPr>
        <w:rFonts w:ascii="Wingdings" w:hAnsi="Wingdings" w:hint="default"/>
      </w:rPr>
    </w:lvl>
    <w:lvl w:ilvl="8" w:tplc="98243F7C" w:tentative="1">
      <w:start w:val="1"/>
      <w:numFmt w:val="bullet"/>
      <w:lvlText w:val=""/>
      <w:lvlJc w:val="left"/>
      <w:pPr>
        <w:tabs>
          <w:tab w:val="num" w:pos="6480"/>
        </w:tabs>
        <w:ind w:left="6480" w:hanging="360"/>
      </w:pPr>
      <w:rPr>
        <w:rFonts w:ascii="Wingdings" w:hAnsi="Wingdings" w:hint="default"/>
      </w:rPr>
    </w:lvl>
  </w:abstractNum>
  <w:abstractNum w:abstractNumId="26">
    <w:nsid w:val="50587C29"/>
    <w:multiLevelType w:val="hybridMultilevel"/>
    <w:tmpl w:val="21D2FB3A"/>
    <w:lvl w:ilvl="0" w:tplc="100A0017">
      <w:start w:val="1"/>
      <w:numFmt w:val="lowerLetter"/>
      <w:lvlText w:val="%1)"/>
      <w:lvlJc w:val="left"/>
      <w:pPr>
        <w:ind w:left="1776" w:hanging="360"/>
      </w:pPr>
    </w:lvl>
    <w:lvl w:ilvl="1" w:tplc="100A0019" w:tentative="1">
      <w:start w:val="1"/>
      <w:numFmt w:val="lowerLetter"/>
      <w:lvlText w:val="%2."/>
      <w:lvlJc w:val="left"/>
      <w:pPr>
        <w:ind w:left="2496" w:hanging="360"/>
      </w:pPr>
    </w:lvl>
    <w:lvl w:ilvl="2" w:tplc="100A001B" w:tentative="1">
      <w:start w:val="1"/>
      <w:numFmt w:val="lowerRoman"/>
      <w:lvlText w:val="%3."/>
      <w:lvlJc w:val="right"/>
      <w:pPr>
        <w:ind w:left="3216" w:hanging="180"/>
      </w:pPr>
    </w:lvl>
    <w:lvl w:ilvl="3" w:tplc="100A000F" w:tentative="1">
      <w:start w:val="1"/>
      <w:numFmt w:val="decimal"/>
      <w:lvlText w:val="%4."/>
      <w:lvlJc w:val="left"/>
      <w:pPr>
        <w:ind w:left="3936" w:hanging="360"/>
      </w:pPr>
    </w:lvl>
    <w:lvl w:ilvl="4" w:tplc="100A0019" w:tentative="1">
      <w:start w:val="1"/>
      <w:numFmt w:val="lowerLetter"/>
      <w:lvlText w:val="%5."/>
      <w:lvlJc w:val="left"/>
      <w:pPr>
        <w:ind w:left="4656" w:hanging="360"/>
      </w:pPr>
    </w:lvl>
    <w:lvl w:ilvl="5" w:tplc="100A001B" w:tentative="1">
      <w:start w:val="1"/>
      <w:numFmt w:val="lowerRoman"/>
      <w:lvlText w:val="%6."/>
      <w:lvlJc w:val="right"/>
      <w:pPr>
        <w:ind w:left="5376" w:hanging="180"/>
      </w:pPr>
    </w:lvl>
    <w:lvl w:ilvl="6" w:tplc="100A000F" w:tentative="1">
      <w:start w:val="1"/>
      <w:numFmt w:val="decimal"/>
      <w:lvlText w:val="%7."/>
      <w:lvlJc w:val="left"/>
      <w:pPr>
        <w:ind w:left="6096" w:hanging="360"/>
      </w:pPr>
    </w:lvl>
    <w:lvl w:ilvl="7" w:tplc="100A0019" w:tentative="1">
      <w:start w:val="1"/>
      <w:numFmt w:val="lowerLetter"/>
      <w:lvlText w:val="%8."/>
      <w:lvlJc w:val="left"/>
      <w:pPr>
        <w:ind w:left="6816" w:hanging="360"/>
      </w:pPr>
    </w:lvl>
    <w:lvl w:ilvl="8" w:tplc="100A001B" w:tentative="1">
      <w:start w:val="1"/>
      <w:numFmt w:val="lowerRoman"/>
      <w:lvlText w:val="%9."/>
      <w:lvlJc w:val="right"/>
      <w:pPr>
        <w:ind w:left="7536" w:hanging="180"/>
      </w:pPr>
    </w:lvl>
  </w:abstractNum>
  <w:abstractNum w:abstractNumId="27">
    <w:nsid w:val="523C077D"/>
    <w:multiLevelType w:val="multilevel"/>
    <w:tmpl w:val="432204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5777B9E"/>
    <w:multiLevelType w:val="hybridMultilevel"/>
    <w:tmpl w:val="3F00470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9">
    <w:nsid w:val="58741E90"/>
    <w:multiLevelType w:val="multilevel"/>
    <w:tmpl w:val="58DEA22A"/>
    <w:lvl w:ilvl="0">
      <w:start w:val="1"/>
      <w:numFmt w:val="upperRoman"/>
      <w:lvlText w:val="%1."/>
      <w:lvlJc w:val="left"/>
      <w:pPr>
        <w:ind w:left="720" w:hanging="720"/>
      </w:pPr>
      <w:rPr>
        <w:rFonts w:hint="default"/>
      </w:rPr>
    </w:lvl>
    <w:lvl w:ilvl="1">
      <w:start w:val="3"/>
      <w:numFmt w:val="decimal"/>
      <w:isLgl/>
      <w:lvlText w:val="%1.%2"/>
      <w:lvlJc w:val="left"/>
      <w:pPr>
        <w:ind w:left="660" w:hanging="66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0">
    <w:nsid w:val="58B02801"/>
    <w:multiLevelType w:val="hybridMultilevel"/>
    <w:tmpl w:val="CDF23244"/>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1">
    <w:nsid w:val="5CE5754F"/>
    <w:multiLevelType w:val="hybridMultilevel"/>
    <w:tmpl w:val="66D0A53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2">
    <w:nsid w:val="5D1A7293"/>
    <w:multiLevelType w:val="hybridMultilevel"/>
    <w:tmpl w:val="574693B0"/>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3">
    <w:nsid w:val="5E9B22BF"/>
    <w:multiLevelType w:val="hybridMultilevel"/>
    <w:tmpl w:val="7D0EE6BA"/>
    <w:lvl w:ilvl="0" w:tplc="FD3A4A76">
      <w:start w:val="1"/>
      <w:numFmt w:val="lowerLetter"/>
      <w:lvlText w:val="%1."/>
      <w:lvlJc w:val="left"/>
      <w:pPr>
        <w:ind w:left="720" w:hanging="360"/>
      </w:pPr>
      <w:rPr>
        <w:sz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4">
    <w:nsid w:val="627D15BE"/>
    <w:multiLevelType w:val="multilevel"/>
    <w:tmpl w:val="E6A250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sz w:val="22"/>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29C3A2A"/>
    <w:multiLevelType w:val="hybridMultilevel"/>
    <w:tmpl w:val="36860404"/>
    <w:lvl w:ilvl="0" w:tplc="46F0C8B4">
      <w:start w:val="1"/>
      <w:numFmt w:val="bullet"/>
      <w:lvlText w:val="•"/>
      <w:lvlJc w:val="left"/>
      <w:pPr>
        <w:tabs>
          <w:tab w:val="num" w:pos="720"/>
        </w:tabs>
        <w:ind w:left="720" w:hanging="360"/>
      </w:pPr>
      <w:rPr>
        <w:rFonts w:ascii="Arial" w:hAnsi="Arial" w:hint="default"/>
      </w:rPr>
    </w:lvl>
    <w:lvl w:ilvl="1" w:tplc="3640B6EE">
      <w:start w:val="82"/>
      <w:numFmt w:val="bullet"/>
      <w:lvlText w:val=""/>
      <w:lvlJc w:val="left"/>
      <w:pPr>
        <w:tabs>
          <w:tab w:val="num" w:pos="1440"/>
        </w:tabs>
        <w:ind w:left="1440" w:hanging="360"/>
      </w:pPr>
      <w:rPr>
        <w:rFonts w:ascii="Wingdings" w:hAnsi="Wingdings" w:hint="default"/>
      </w:rPr>
    </w:lvl>
    <w:lvl w:ilvl="2" w:tplc="803E46F8">
      <w:start w:val="82"/>
      <w:numFmt w:val="bullet"/>
      <w:lvlText w:val=""/>
      <w:lvlJc w:val="left"/>
      <w:pPr>
        <w:tabs>
          <w:tab w:val="num" w:pos="2160"/>
        </w:tabs>
        <w:ind w:left="2160" w:hanging="360"/>
      </w:pPr>
      <w:rPr>
        <w:rFonts w:ascii="Wingdings" w:hAnsi="Wingdings" w:hint="default"/>
      </w:rPr>
    </w:lvl>
    <w:lvl w:ilvl="3" w:tplc="E9BEBE16" w:tentative="1">
      <w:start w:val="1"/>
      <w:numFmt w:val="bullet"/>
      <w:lvlText w:val="•"/>
      <w:lvlJc w:val="left"/>
      <w:pPr>
        <w:tabs>
          <w:tab w:val="num" w:pos="2880"/>
        </w:tabs>
        <w:ind w:left="2880" w:hanging="360"/>
      </w:pPr>
      <w:rPr>
        <w:rFonts w:ascii="Arial" w:hAnsi="Arial" w:hint="default"/>
      </w:rPr>
    </w:lvl>
    <w:lvl w:ilvl="4" w:tplc="E7928B86" w:tentative="1">
      <w:start w:val="1"/>
      <w:numFmt w:val="bullet"/>
      <w:lvlText w:val="•"/>
      <w:lvlJc w:val="left"/>
      <w:pPr>
        <w:tabs>
          <w:tab w:val="num" w:pos="3600"/>
        </w:tabs>
        <w:ind w:left="3600" w:hanging="360"/>
      </w:pPr>
      <w:rPr>
        <w:rFonts w:ascii="Arial" w:hAnsi="Arial" w:hint="default"/>
      </w:rPr>
    </w:lvl>
    <w:lvl w:ilvl="5" w:tplc="FA6205C2" w:tentative="1">
      <w:start w:val="1"/>
      <w:numFmt w:val="bullet"/>
      <w:lvlText w:val="•"/>
      <w:lvlJc w:val="left"/>
      <w:pPr>
        <w:tabs>
          <w:tab w:val="num" w:pos="4320"/>
        </w:tabs>
        <w:ind w:left="4320" w:hanging="360"/>
      </w:pPr>
      <w:rPr>
        <w:rFonts w:ascii="Arial" w:hAnsi="Arial" w:hint="default"/>
      </w:rPr>
    </w:lvl>
    <w:lvl w:ilvl="6" w:tplc="3B56D9A4" w:tentative="1">
      <w:start w:val="1"/>
      <w:numFmt w:val="bullet"/>
      <w:lvlText w:val="•"/>
      <w:lvlJc w:val="left"/>
      <w:pPr>
        <w:tabs>
          <w:tab w:val="num" w:pos="5040"/>
        </w:tabs>
        <w:ind w:left="5040" w:hanging="360"/>
      </w:pPr>
      <w:rPr>
        <w:rFonts w:ascii="Arial" w:hAnsi="Arial" w:hint="default"/>
      </w:rPr>
    </w:lvl>
    <w:lvl w:ilvl="7" w:tplc="FF32ECCC" w:tentative="1">
      <w:start w:val="1"/>
      <w:numFmt w:val="bullet"/>
      <w:lvlText w:val="•"/>
      <w:lvlJc w:val="left"/>
      <w:pPr>
        <w:tabs>
          <w:tab w:val="num" w:pos="5760"/>
        </w:tabs>
        <w:ind w:left="5760" w:hanging="360"/>
      </w:pPr>
      <w:rPr>
        <w:rFonts w:ascii="Arial" w:hAnsi="Arial" w:hint="default"/>
      </w:rPr>
    </w:lvl>
    <w:lvl w:ilvl="8" w:tplc="DE920C2A" w:tentative="1">
      <w:start w:val="1"/>
      <w:numFmt w:val="bullet"/>
      <w:lvlText w:val="•"/>
      <w:lvlJc w:val="left"/>
      <w:pPr>
        <w:tabs>
          <w:tab w:val="num" w:pos="6480"/>
        </w:tabs>
        <w:ind w:left="6480" w:hanging="360"/>
      </w:pPr>
      <w:rPr>
        <w:rFonts w:ascii="Arial" w:hAnsi="Arial" w:hint="default"/>
      </w:rPr>
    </w:lvl>
  </w:abstractNum>
  <w:abstractNum w:abstractNumId="36">
    <w:nsid w:val="6377071E"/>
    <w:multiLevelType w:val="multilevel"/>
    <w:tmpl w:val="8960C1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5413B3A"/>
    <w:multiLevelType w:val="hybridMultilevel"/>
    <w:tmpl w:val="FE8E48BA"/>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38">
    <w:nsid w:val="6C3E5119"/>
    <w:multiLevelType w:val="hybridMultilevel"/>
    <w:tmpl w:val="D05E2C2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9">
    <w:nsid w:val="70CB5DA4"/>
    <w:multiLevelType w:val="hybridMultilevel"/>
    <w:tmpl w:val="E174D1C4"/>
    <w:lvl w:ilvl="0" w:tplc="80D2798C">
      <w:start w:val="1"/>
      <w:numFmt w:val="decimal"/>
      <w:lvlText w:val="%1."/>
      <w:lvlJc w:val="left"/>
      <w:pPr>
        <w:ind w:left="720" w:hanging="360"/>
      </w:pPr>
      <w:rPr>
        <w:b/>
      </w:rPr>
    </w:lvl>
    <w:lvl w:ilvl="1" w:tplc="100A0017">
      <w:start w:val="1"/>
      <w:numFmt w:val="lowerLetter"/>
      <w:lvlText w:val="%2)"/>
      <w:lvlJc w:val="left"/>
      <w:pPr>
        <w:ind w:left="1440" w:hanging="360"/>
      </w:pPr>
    </w:lvl>
    <w:lvl w:ilvl="2" w:tplc="100A001B">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0">
    <w:nsid w:val="73985C45"/>
    <w:multiLevelType w:val="hybridMultilevel"/>
    <w:tmpl w:val="0C14AC04"/>
    <w:lvl w:ilvl="0" w:tplc="100A0017">
      <w:start w:val="1"/>
      <w:numFmt w:val="lowerLetter"/>
      <w:lvlText w:val="%1)"/>
      <w:lvlJc w:val="left"/>
      <w:pPr>
        <w:ind w:left="1068" w:hanging="360"/>
      </w:pPr>
    </w:lvl>
    <w:lvl w:ilvl="1" w:tplc="100A0019" w:tentative="1">
      <w:start w:val="1"/>
      <w:numFmt w:val="lowerLetter"/>
      <w:lvlText w:val="%2."/>
      <w:lvlJc w:val="left"/>
      <w:pPr>
        <w:ind w:left="1788" w:hanging="360"/>
      </w:pPr>
    </w:lvl>
    <w:lvl w:ilvl="2" w:tplc="100A001B" w:tentative="1">
      <w:start w:val="1"/>
      <w:numFmt w:val="lowerRoman"/>
      <w:lvlText w:val="%3."/>
      <w:lvlJc w:val="right"/>
      <w:pPr>
        <w:ind w:left="2508" w:hanging="180"/>
      </w:pPr>
    </w:lvl>
    <w:lvl w:ilvl="3" w:tplc="100A000F" w:tentative="1">
      <w:start w:val="1"/>
      <w:numFmt w:val="decimal"/>
      <w:lvlText w:val="%4."/>
      <w:lvlJc w:val="left"/>
      <w:pPr>
        <w:ind w:left="3228" w:hanging="360"/>
      </w:pPr>
    </w:lvl>
    <w:lvl w:ilvl="4" w:tplc="100A0019" w:tentative="1">
      <w:start w:val="1"/>
      <w:numFmt w:val="lowerLetter"/>
      <w:lvlText w:val="%5."/>
      <w:lvlJc w:val="left"/>
      <w:pPr>
        <w:ind w:left="3948" w:hanging="360"/>
      </w:pPr>
    </w:lvl>
    <w:lvl w:ilvl="5" w:tplc="100A001B" w:tentative="1">
      <w:start w:val="1"/>
      <w:numFmt w:val="lowerRoman"/>
      <w:lvlText w:val="%6."/>
      <w:lvlJc w:val="right"/>
      <w:pPr>
        <w:ind w:left="4668" w:hanging="180"/>
      </w:pPr>
    </w:lvl>
    <w:lvl w:ilvl="6" w:tplc="100A000F" w:tentative="1">
      <w:start w:val="1"/>
      <w:numFmt w:val="decimal"/>
      <w:lvlText w:val="%7."/>
      <w:lvlJc w:val="left"/>
      <w:pPr>
        <w:ind w:left="5388" w:hanging="360"/>
      </w:pPr>
    </w:lvl>
    <w:lvl w:ilvl="7" w:tplc="100A0019" w:tentative="1">
      <w:start w:val="1"/>
      <w:numFmt w:val="lowerLetter"/>
      <w:lvlText w:val="%8."/>
      <w:lvlJc w:val="left"/>
      <w:pPr>
        <w:ind w:left="6108" w:hanging="360"/>
      </w:pPr>
    </w:lvl>
    <w:lvl w:ilvl="8" w:tplc="100A001B" w:tentative="1">
      <w:start w:val="1"/>
      <w:numFmt w:val="lowerRoman"/>
      <w:lvlText w:val="%9."/>
      <w:lvlJc w:val="right"/>
      <w:pPr>
        <w:ind w:left="6828" w:hanging="180"/>
      </w:pPr>
    </w:lvl>
  </w:abstractNum>
  <w:abstractNum w:abstractNumId="41">
    <w:nsid w:val="75050691"/>
    <w:multiLevelType w:val="hybridMultilevel"/>
    <w:tmpl w:val="ED325860"/>
    <w:lvl w:ilvl="0" w:tplc="BDAE2E86">
      <w:start w:val="1"/>
      <w:numFmt w:val="bullet"/>
      <w:lvlText w:val=""/>
      <w:lvlJc w:val="left"/>
      <w:pPr>
        <w:ind w:left="720" w:hanging="360"/>
      </w:pPr>
      <w:rPr>
        <w:rFonts w:ascii="Symbol" w:hAnsi="Symbol" w:hint="default"/>
        <w:color w:val="auto"/>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2">
    <w:nsid w:val="7AB00F91"/>
    <w:multiLevelType w:val="hybridMultilevel"/>
    <w:tmpl w:val="A398AE5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3">
    <w:nsid w:val="7BD86473"/>
    <w:multiLevelType w:val="hybridMultilevel"/>
    <w:tmpl w:val="AFA85F1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4">
    <w:nsid w:val="7E490913"/>
    <w:multiLevelType w:val="hybridMultilevel"/>
    <w:tmpl w:val="8D88FC8E"/>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45">
    <w:nsid w:val="7FC208F4"/>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28"/>
  </w:num>
  <w:num w:numId="3">
    <w:abstractNumId w:val="15"/>
  </w:num>
  <w:num w:numId="4">
    <w:abstractNumId w:val="14"/>
  </w:num>
  <w:num w:numId="5">
    <w:abstractNumId w:val="31"/>
  </w:num>
  <w:num w:numId="6">
    <w:abstractNumId w:val="43"/>
  </w:num>
  <w:num w:numId="7">
    <w:abstractNumId w:val="32"/>
  </w:num>
  <w:num w:numId="8">
    <w:abstractNumId w:val="5"/>
  </w:num>
  <w:num w:numId="9">
    <w:abstractNumId w:val="4"/>
  </w:num>
  <w:num w:numId="10">
    <w:abstractNumId w:val="23"/>
  </w:num>
  <w:num w:numId="11">
    <w:abstractNumId w:val="24"/>
  </w:num>
  <w:num w:numId="12">
    <w:abstractNumId w:val="27"/>
  </w:num>
  <w:num w:numId="13">
    <w:abstractNumId w:val="33"/>
  </w:num>
  <w:num w:numId="14">
    <w:abstractNumId w:val="30"/>
  </w:num>
  <w:num w:numId="15">
    <w:abstractNumId w:val="9"/>
  </w:num>
  <w:num w:numId="16">
    <w:abstractNumId w:val="1"/>
  </w:num>
  <w:num w:numId="17">
    <w:abstractNumId w:val="20"/>
  </w:num>
  <w:num w:numId="18">
    <w:abstractNumId w:val="26"/>
  </w:num>
  <w:num w:numId="19">
    <w:abstractNumId w:val="35"/>
  </w:num>
  <w:num w:numId="20">
    <w:abstractNumId w:val="19"/>
  </w:num>
  <w:num w:numId="21">
    <w:abstractNumId w:val="39"/>
  </w:num>
  <w:num w:numId="22">
    <w:abstractNumId w:val="40"/>
  </w:num>
  <w:num w:numId="23">
    <w:abstractNumId w:val="18"/>
  </w:num>
  <w:num w:numId="24">
    <w:abstractNumId w:val="18"/>
  </w:num>
  <w:num w:numId="25">
    <w:abstractNumId w:val="10"/>
  </w:num>
  <w:num w:numId="26">
    <w:abstractNumId w:val="3"/>
  </w:num>
  <w:num w:numId="27">
    <w:abstractNumId w:val="38"/>
  </w:num>
  <w:num w:numId="28">
    <w:abstractNumId w:val="11"/>
  </w:num>
  <w:num w:numId="29">
    <w:abstractNumId w:val="17"/>
  </w:num>
  <w:num w:numId="30">
    <w:abstractNumId w:val="41"/>
  </w:num>
  <w:num w:numId="31">
    <w:abstractNumId w:val="2"/>
  </w:num>
  <w:num w:numId="32">
    <w:abstractNumId w:val="34"/>
  </w:num>
  <w:num w:numId="33">
    <w:abstractNumId w:val="44"/>
  </w:num>
  <w:num w:numId="34">
    <w:abstractNumId w:val="21"/>
  </w:num>
  <w:num w:numId="35">
    <w:abstractNumId w:val="13"/>
  </w:num>
  <w:num w:numId="36">
    <w:abstractNumId w:val="45"/>
  </w:num>
  <w:num w:numId="37">
    <w:abstractNumId w:val="7"/>
  </w:num>
  <w:num w:numId="38">
    <w:abstractNumId w:val="42"/>
  </w:num>
  <w:num w:numId="39">
    <w:abstractNumId w:val="16"/>
  </w:num>
  <w:num w:numId="40">
    <w:abstractNumId w:val="0"/>
  </w:num>
  <w:num w:numId="41">
    <w:abstractNumId w:val="8"/>
  </w:num>
  <w:num w:numId="42">
    <w:abstractNumId w:val="22"/>
  </w:num>
  <w:num w:numId="43">
    <w:abstractNumId w:val="37"/>
  </w:num>
  <w:num w:numId="44">
    <w:abstractNumId w:val="25"/>
  </w:num>
  <w:num w:numId="45">
    <w:abstractNumId w:val="6"/>
  </w:num>
  <w:num w:numId="46">
    <w:abstractNumId w:val="36"/>
  </w:num>
  <w:num w:numId="4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598"/>
    <w:rsid w:val="00000530"/>
    <w:rsid w:val="00011685"/>
    <w:rsid w:val="00017674"/>
    <w:rsid w:val="00023DC8"/>
    <w:rsid w:val="00031A96"/>
    <w:rsid w:val="00033312"/>
    <w:rsid w:val="00045570"/>
    <w:rsid w:val="0007165D"/>
    <w:rsid w:val="00084C1F"/>
    <w:rsid w:val="0008775B"/>
    <w:rsid w:val="00090AF4"/>
    <w:rsid w:val="000968E3"/>
    <w:rsid w:val="0009761F"/>
    <w:rsid w:val="000B5E1C"/>
    <w:rsid w:val="000C0470"/>
    <w:rsid w:val="000C5BDD"/>
    <w:rsid w:val="000D29F4"/>
    <w:rsid w:val="000D2F4D"/>
    <w:rsid w:val="000D42A8"/>
    <w:rsid w:val="000D58D6"/>
    <w:rsid w:val="000D5E74"/>
    <w:rsid w:val="000F0DA3"/>
    <w:rsid w:val="000F505D"/>
    <w:rsid w:val="001111A3"/>
    <w:rsid w:val="001118EA"/>
    <w:rsid w:val="00112A52"/>
    <w:rsid w:val="00113A1E"/>
    <w:rsid w:val="0012656D"/>
    <w:rsid w:val="001401B2"/>
    <w:rsid w:val="001636CB"/>
    <w:rsid w:val="001B2958"/>
    <w:rsid w:val="001B6203"/>
    <w:rsid w:val="001D2C47"/>
    <w:rsid w:val="001E7182"/>
    <w:rsid w:val="001E7325"/>
    <w:rsid w:val="001F67A2"/>
    <w:rsid w:val="00206BA3"/>
    <w:rsid w:val="002171B6"/>
    <w:rsid w:val="00231C81"/>
    <w:rsid w:val="00241428"/>
    <w:rsid w:val="00243DA8"/>
    <w:rsid w:val="00244A1B"/>
    <w:rsid w:val="00246573"/>
    <w:rsid w:val="002610C9"/>
    <w:rsid w:val="002663D9"/>
    <w:rsid w:val="00292521"/>
    <w:rsid w:val="002B7931"/>
    <w:rsid w:val="002D4737"/>
    <w:rsid w:val="002D48F3"/>
    <w:rsid w:val="002D5796"/>
    <w:rsid w:val="002E7AAA"/>
    <w:rsid w:val="00300F2D"/>
    <w:rsid w:val="00310124"/>
    <w:rsid w:val="0032588B"/>
    <w:rsid w:val="0033184E"/>
    <w:rsid w:val="00333816"/>
    <w:rsid w:val="00360874"/>
    <w:rsid w:val="0036149D"/>
    <w:rsid w:val="00364844"/>
    <w:rsid w:val="00367243"/>
    <w:rsid w:val="0037418E"/>
    <w:rsid w:val="00383208"/>
    <w:rsid w:val="003A3D61"/>
    <w:rsid w:val="003B560F"/>
    <w:rsid w:val="003C0FB9"/>
    <w:rsid w:val="003C338B"/>
    <w:rsid w:val="003F28D0"/>
    <w:rsid w:val="003F5841"/>
    <w:rsid w:val="003F6C74"/>
    <w:rsid w:val="00406A74"/>
    <w:rsid w:val="00421AD9"/>
    <w:rsid w:val="00421BF6"/>
    <w:rsid w:val="00432E87"/>
    <w:rsid w:val="00436454"/>
    <w:rsid w:val="00443624"/>
    <w:rsid w:val="0044706E"/>
    <w:rsid w:val="00457E5B"/>
    <w:rsid w:val="00463E5D"/>
    <w:rsid w:val="00465D69"/>
    <w:rsid w:val="004675CE"/>
    <w:rsid w:val="004678EC"/>
    <w:rsid w:val="00473867"/>
    <w:rsid w:val="00476B36"/>
    <w:rsid w:val="004954E2"/>
    <w:rsid w:val="004A346A"/>
    <w:rsid w:val="004C1A75"/>
    <w:rsid w:val="004C321C"/>
    <w:rsid w:val="004C7721"/>
    <w:rsid w:val="004F2A43"/>
    <w:rsid w:val="004F4021"/>
    <w:rsid w:val="0050318F"/>
    <w:rsid w:val="00504015"/>
    <w:rsid w:val="00504C85"/>
    <w:rsid w:val="00513A4A"/>
    <w:rsid w:val="005176B4"/>
    <w:rsid w:val="00522E54"/>
    <w:rsid w:val="0053131C"/>
    <w:rsid w:val="005329C2"/>
    <w:rsid w:val="00534328"/>
    <w:rsid w:val="005360E7"/>
    <w:rsid w:val="00541296"/>
    <w:rsid w:val="00545196"/>
    <w:rsid w:val="00545F8F"/>
    <w:rsid w:val="005460B1"/>
    <w:rsid w:val="00556E54"/>
    <w:rsid w:val="00557356"/>
    <w:rsid w:val="00562B3B"/>
    <w:rsid w:val="005639BA"/>
    <w:rsid w:val="00563AFD"/>
    <w:rsid w:val="00563EE2"/>
    <w:rsid w:val="00574C98"/>
    <w:rsid w:val="00575B63"/>
    <w:rsid w:val="0059289A"/>
    <w:rsid w:val="005A7DC2"/>
    <w:rsid w:val="005B38A5"/>
    <w:rsid w:val="005C2BD0"/>
    <w:rsid w:val="005C5656"/>
    <w:rsid w:val="005D0275"/>
    <w:rsid w:val="005D391E"/>
    <w:rsid w:val="005D52AC"/>
    <w:rsid w:val="005E6093"/>
    <w:rsid w:val="006140EA"/>
    <w:rsid w:val="006227DA"/>
    <w:rsid w:val="00624E2C"/>
    <w:rsid w:val="006301C4"/>
    <w:rsid w:val="0063193D"/>
    <w:rsid w:val="00651FD7"/>
    <w:rsid w:val="00653100"/>
    <w:rsid w:val="00660FB3"/>
    <w:rsid w:val="006907C5"/>
    <w:rsid w:val="006924C1"/>
    <w:rsid w:val="00694C06"/>
    <w:rsid w:val="00694C5F"/>
    <w:rsid w:val="006A5725"/>
    <w:rsid w:val="006A66B2"/>
    <w:rsid w:val="006A7A0B"/>
    <w:rsid w:val="006B1BB6"/>
    <w:rsid w:val="006D1884"/>
    <w:rsid w:val="006E1820"/>
    <w:rsid w:val="00705989"/>
    <w:rsid w:val="00713598"/>
    <w:rsid w:val="00714864"/>
    <w:rsid w:val="00724C04"/>
    <w:rsid w:val="00725702"/>
    <w:rsid w:val="00726496"/>
    <w:rsid w:val="00731678"/>
    <w:rsid w:val="00741476"/>
    <w:rsid w:val="00754057"/>
    <w:rsid w:val="00770433"/>
    <w:rsid w:val="00785371"/>
    <w:rsid w:val="00785922"/>
    <w:rsid w:val="00792384"/>
    <w:rsid w:val="00795274"/>
    <w:rsid w:val="00796C04"/>
    <w:rsid w:val="007A0740"/>
    <w:rsid w:val="007A47E6"/>
    <w:rsid w:val="007B34EE"/>
    <w:rsid w:val="007C04D7"/>
    <w:rsid w:val="007C418C"/>
    <w:rsid w:val="007D29A4"/>
    <w:rsid w:val="007E3BA0"/>
    <w:rsid w:val="007E5C2E"/>
    <w:rsid w:val="007E7F22"/>
    <w:rsid w:val="007F4A25"/>
    <w:rsid w:val="007F6D2F"/>
    <w:rsid w:val="00801935"/>
    <w:rsid w:val="008031C0"/>
    <w:rsid w:val="00811C41"/>
    <w:rsid w:val="00847B8D"/>
    <w:rsid w:val="00864A8B"/>
    <w:rsid w:val="00892DE1"/>
    <w:rsid w:val="00895C38"/>
    <w:rsid w:val="008A3B13"/>
    <w:rsid w:val="008B619B"/>
    <w:rsid w:val="008B6DDB"/>
    <w:rsid w:val="008C0B31"/>
    <w:rsid w:val="008C5A14"/>
    <w:rsid w:val="008D1935"/>
    <w:rsid w:val="008F29E8"/>
    <w:rsid w:val="0091511B"/>
    <w:rsid w:val="00917901"/>
    <w:rsid w:val="00920C04"/>
    <w:rsid w:val="009273D9"/>
    <w:rsid w:val="00941EAB"/>
    <w:rsid w:val="009421FB"/>
    <w:rsid w:val="00943DE6"/>
    <w:rsid w:val="00954A13"/>
    <w:rsid w:val="00961634"/>
    <w:rsid w:val="00972718"/>
    <w:rsid w:val="00977BE7"/>
    <w:rsid w:val="00984A5F"/>
    <w:rsid w:val="00985B25"/>
    <w:rsid w:val="009A2F32"/>
    <w:rsid w:val="009C023C"/>
    <w:rsid w:val="009C497E"/>
    <w:rsid w:val="009D769A"/>
    <w:rsid w:val="009E0D8B"/>
    <w:rsid w:val="009F2118"/>
    <w:rsid w:val="00A020E2"/>
    <w:rsid w:val="00A27335"/>
    <w:rsid w:val="00A43CC4"/>
    <w:rsid w:val="00A527A2"/>
    <w:rsid w:val="00A74565"/>
    <w:rsid w:val="00A75A8C"/>
    <w:rsid w:val="00A80087"/>
    <w:rsid w:val="00A82646"/>
    <w:rsid w:val="00A84E2D"/>
    <w:rsid w:val="00A86B20"/>
    <w:rsid w:val="00A9142D"/>
    <w:rsid w:val="00AA1A61"/>
    <w:rsid w:val="00AA224F"/>
    <w:rsid w:val="00AA50BC"/>
    <w:rsid w:val="00AB13A0"/>
    <w:rsid w:val="00AC2EA5"/>
    <w:rsid w:val="00AC45C7"/>
    <w:rsid w:val="00AD382B"/>
    <w:rsid w:val="00AD458F"/>
    <w:rsid w:val="00AD4A33"/>
    <w:rsid w:val="00AD6E9A"/>
    <w:rsid w:val="00AD7B47"/>
    <w:rsid w:val="00AE00A2"/>
    <w:rsid w:val="00AE377D"/>
    <w:rsid w:val="00AE3BB3"/>
    <w:rsid w:val="00AF53F8"/>
    <w:rsid w:val="00B10811"/>
    <w:rsid w:val="00B161F8"/>
    <w:rsid w:val="00B2083B"/>
    <w:rsid w:val="00B228D4"/>
    <w:rsid w:val="00B22C3E"/>
    <w:rsid w:val="00B24C98"/>
    <w:rsid w:val="00B30758"/>
    <w:rsid w:val="00B40FD8"/>
    <w:rsid w:val="00B43618"/>
    <w:rsid w:val="00B46A75"/>
    <w:rsid w:val="00B63DA6"/>
    <w:rsid w:val="00B6539F"/>
    <w:rsid w:val="00BA48DF"/>
    <w:rsid w:val="00BA51FA"/>
    <w:rsid w:val="00BA57FB"/>
    <w:rsid w:val="00BB0EF5"/>
    <w:rsid w:val="00BB1939"/>
    <w:rsid w:val="00BC01B9"/>
    <w:rsid w:val="00BC48EA"/>
    <w:rsid w:val="00BE7C94"/>
    <w:rsid w:val="00BF05F0"/>
    <w:rsid w:val="00C21EC0"/>
    <w:rsid w:val="00C57558"/>
    <w:rsid w:val="00C7731E"/>
    <w:rsid w:val="00C84436"/>
    <w:rsid w:val="00C84639"/>
    <w:rsid w:val="00C879A4"/>
    <w:rsid w:val="00CA7EF3"/>
    <w:rsid w:val="00CC230C"/>
    <w:rsid w:val="00CC4A96"/>
    <w:rsid w:val="00CD22B8"/>
    <w:rsid w:val="00CD68C8"/>
    <w:rsid w:val="00CE0449"/>
    <w:rsid w:val="00CF4EF0"/>
    <w:rsid w:val="00CF5755"/>
    <w:rsid w:val="00D2259B"/>
    <w:rsid w:val="00D23E26"/>
    <w:rsid w:val="00D25947"/>
    <w:rsid w:val="00D40B20"/>
    <w:rsid w:val="00D428D4"/>
    <w:rsid w:val="00D43598"/>
    <w:rsid w:val="00D54885"/>
    <w:rsid w:val="00D5619D"/>
    <w:rsid w:val="00D57B82"/>
    <w:rsid w:val="00D66D20"/>
    <w:rsid w:val="00D66D34"/>
    <w:rsid w:val="00D76C00"/>
    <w:rsid w:val="00D77959"/>
    <w:rsid w:val="00D80107"/>
    <w:rsid w:val="00D80411"/>
    <w:rsid w:val="00D85325"/>
    <w:rsid w:val="00D8619A"/>
    <w:rsid w:val="00DA2B77"/>
    <w:rsid w:val="00DC3569"/>
    <w:rsid w:val="00DD1859"/>
    <w:rsid w:val="00DD5841"/>
    <w:rsid w:val="00E115F9"/>
    <w:rsid w:val="00E11F2E"/>
    <w:rsid w:val="00E14CCD"/>
    <w:rsid w:val="00E2009B"/>
    <w:rsid w:val="00E20F9B"/>
    <w:rsid w:val="00E263F5"/>
    <w:rsid w:val="00E353E5"/>
    <w:rsid w:val="00E3771E"/>
    <w:rsid w:val="00E4611D"/>
    <w:rsid w:val="00E50994"/>
    <w:rsid w:val="00E520CE"/>
    <w:rsid w:val="00E56779"/>
    <w:rsid w:val="00E56C87"/>
    <w:rsid w:val="00E6019E"/>
    <w:rsid w:val="00E64612"/>
    <w:rsid w:val="00E648CB"/>
    <w:rsid w:val="00E64F93"/>
    <w:rsid w:val="00E6627E"/>
    <w:rsid w:val="00E77EDB"/>
    <w:rsid w:val="00E91509"/>
    <w:rsid w:val="00EA34D1"/>
    <w:rsid w:val="00EA37AC"/>
    <w:rsid w:val="00EB2532"/>
    <w:rsid w:val="00EC0821"/>
    <w:rsid w:val="00EE52DF"/>
    <w:rsid w:val="00EF5CE1"/>
    <w:rsid w:val="00EF6BE5"/>
    <w:rsid w:val="00F00B41"/>
    <w:rsid w:val="00F050A9"/>
    <w:rsid w:val="00F15F18"/>
    <w:rsid w:val="00F3006C"/>
    <w:rsid w:val="00F34A58"/>
    <w:rsid w:val="00F474A5"/>
    <w:rsid w:val="00F51181"/>
    <w:rsid w:val="00F55D6E"/>
    <w:rsid w:val="00F57DB3"/>
    <w:rsid w:val="00F7193D"/>
    <w:rsid w:val="00F75211"/>
    <w:rsid w:val="00F76322"/>
    <w:rsid w:val="00FA3597"/>
    <w:rsid w:val="00FA7929"/>
    <w:rsid w:val="00FB5BA0"/>
    <w:rsid w:val="00FC61AD"/>
    <w:rsid w:val="00FD05D9"/>
    <w:rsid w:val="00FD333B"/>
    <w:rsid w:val="00FD68C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598"/>
    <w:pPr>
      <w:spacing w:after="0" w:line="240" w:lineRule="auto"/>
    </w:pPr>
    <w:rPr>
      <w:rFonts w:eastAsiaTheme="minorEastAsia"/>
      <w:sz w:val="24"/>
      <w:szCs w:val="24"/>
      <w:lang w:val="es-ES_tradnl" w:eastAsia="es-ES"/>
    </w:rPr>
  </w:style>
  <w:style w:type="paragraph" w:styleId="Ttulo1">
    <w:name w:val="heading 1"/>
    <w:basedOn w:val="Normal"/>
    <w:next w:val="Normal"/>
    <w:link w:val="Ttulo1Car"/>
    <w:uiPriority w:val="9"/>
    <w:qFormat/>
    <w:rsid w:val="0032588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4359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0C0470"/>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D43598"/>
    <w:rPr>
      <w:rFonts w:asciiTheme="majorHAnsi" w:eastAsiaTheme="majorEastAsia" w:hAnsiTheme="majorHAnsi" w:cstheme="majorBidi"/>
      <w:b/>
      <w:bCs/>
      <w:color w:val="4F81BD" w:themeColor="accent1"/>
      <w:sz w:val="26"/>
      <w:szCs w:val="26"/>
      <w:lang w:val="es-ES_tradnl" w:eastAsia="es-ES"/>
    </w:rPr>
  </w:style>
  <w:style w:type="paragraph" w:styleId="Prrafodelista">
    <w:name w:val="List Paragraph"/>
    <w:basedOn w:val="Normal"/>
    <w:uiPriority w:val="34"/>
    <w:qFormat/>
    <w:rsid w:val="00D43598"/>
    <w:pPr>
      <w:ind w:left="720"/>
      <w:contextualSpacing/>
    </w:pPr>
    <w:rPr>
      <w:rFonts w:eastAsiaTheme="minorHAnsi"/>
      <w:sz w:val="22"/>
      <w:szCs w:val="22"/>
      <w:lang w:val="es-GT" w:eastAsia="en-US"/>
    </w:rPr>
  </w:style>
  <w:style w:type="paragraph" w:customStyle="1" w:styleId="Default">
    <w:name w:val="Default"/>
    <w:rsid w:val="00D43598"/>
    <w:pPr>
      <w:autoSpaceDE w:val="0"/>
      <w:autoSpaceDN w:val="0"/>
      <w:adjustRightInd w:val="0"/>
      <w:spacing w:after="0" w:line="240" w:lineRule="auto"/>
    </w:pPr>
    <w:rPr>
      <w:rFonts w:ascii="Times New Roman" w:hAnsi="Times New Roman" w:cs="Times New Roman"/>
      <w:color w:val="000000"/>
      <w:sz w:val="24"/>
      <w:szCs w:val="24"/>
    </w:rPr>
  </w:style>
  <w:style w:type="table" w:styleId="Tablaconcuadrcula">
    <w:name w:val="Table Grid"/>
    <w:basedOn w:val="Tablanormal"/>
    <w:uiPriority w:val="39"/>
    <w:rsid w:val="00D435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D68CD"/>
    <w:pPr>
      <w:spacing w:before="100" w:beforeAutospacing="1" w:after="100" w:afterAutospacing="1"/>
    </w:pPr>
    <w:rPr>
      <w:rFonts w:ascii="Times New Roman" w:hAnsi="Times New Roman" w:cs="Times New Roman"/>
      <w:lang w:val="es-GT" w:eastAsia="es-GT"/>
    </w:rPr>
  </w:style>
  <w:style w:type="paragraph" w:styleId="Textonotapie">
    <w:name w:val="footnote text"/>
    <w:basedOn w:val="Normal"/>
    <w:link w:val="TextonotapieCar"/>
    <w:uiPriority w:val="99"/>
    <w:semiHidden/>
    <w:unhideWhenUsed/>
    <w:rsid w:val="000B5E1C"/>
    <w:rPr>
      <w:rFonts w:eastAsiaTheme="minorHAnsi"/>
      <w:sz w:val="20"/>
      <w:szCs w:val="20"/>
      <w:lang w:val="es-GT" w:eastAsia="en-US"/>
    </w:rPr>
  </w:style>
  <w:style w:type="character" w:customStyle="1" w:styleId="TextonotapieCar">
    <w:name w:val="Texto nota pie Car"/>
    <w:basedOn w:val="Fuentedeprrafopredeter"/>
    <w:link w:val="Textonotapie"/>
    <w:uiPriority w:val="99"/>
    <w:semiHidden/>
    <w:rsid w:val="000B5E1C"/>
    <w:rPr>
      <w:sz w:val="20"/>
      <w:szCs w:val="20"/>
    </w:rPr>
  </w:style>
  <w:style w:type="character" w:styleId="Refdenotaalpie">
    <w:name w:val="footnote reference"/>
    <w:basedOn w:val="Fuentedeprrafopredeter"/>
    <w:uiPriority w:val="99"/>
    <w:semiHidden/>
    <w:unhideWhenUsed/>
    <w:rsid w:val="000B5E1C"/>
    <w:rPr>
      <w:vertAlign w:val="superscript"/>
    </w:rPr>
  </w:style>
  <w:style w:type="table" w:styleId="Cuadrculaclara-nfasis1">
    <w:name w:val="Light Grid Accent 1"/>
    <w:basedOn w:val="Tablanormal"/>
    <w:uiPriority w:val="62"/>
    <w:rsid w:val="000B5E1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5">
    <w:name w:val="Light Shading Accent 5"/>
    <w:basedOn w:val="Tablanormal"/>
    <w:uiPriority w:val="60"/>
    <w:rsid w:val="000B5E1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Sinespaciado">
    <w:name w:val="No Spacing"/>
    <w:link w:val="SinespaciadoCar"/>
    <w:uiPriority w:val="1"/>
    <w:qFormat/>
    <w:rsid w:val="000B5E1C"/>
    <w:pPr>
      <w:spacing w:after="0" w:line="240" w:lineRule="auto"/>
    </w:pPr>
  </w:style>
  <w:style w:type="character" w:customStyle="1" w:styleId="SinespaciadoCar">
    <w:name w:val="Sin espaciado Car"/>
    <w:basedOn w:val="Fuentedeprrafopredeter"/>
    <w:link w:val="Sinespaciado"/>
    <w:uiPriority w:val="1"/>
    <w:locked/>
    <w:rsid w:val="000B5E1C"/>
  </w:style>
  <w:style w:type="paragraph" w:styleId="Ttulo">
    <w:name w:val="Title"/>
    <w:basedOn w:val="Normal"/>
    <w:next w:val="Normal"/>
    <w:link w:val="TtuloCar"/>
    <w:uiPriority w:val="10"/>
    <w:qFormat/>
    <w:rsid w:val="0032588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s-GT" w:eastAsia="es-GT"/>
    </w:rPr>
  </w:style>
  <w:style w:type="character" w:customStyle="1" w:styleId="TtuloCar">
    <w:name w:val="Título Car"/>
    <w:basedOn w:val="Fuentedeprrafopredeter"/>
    <w:link w:val="Ttulo"/>
    <w:uiPriority w:val="10"/>
    <w:rsid w:val="0032588B"/>
    <w:rPr>
      <w:rFonts w:asciiTheme="majorHAnsi" w:eastAsiaTheme="majorEastAsia" w:hAnsiTheme="majorHAnsi" w:cstheme="majorBidi"/>
      <w:color w:val="17365D" w:themeColor="text2" w:themeShade="BF"/>
      <w:spacing w:val="5"/>
      <w:kern w:val="28"/>
      <w:sz w:val="52"/>
      <w:szCs w:val="52"/>
      <w:lang w:eastAsia="es-GT"/>
    </w:rPr>
  </w:style>
  <w:style w:type="paragraph" w:styleId="Subttulo">
    <w:name w:val="Subtitle"/>
    <w:basedOn w:val="Normal"/>
    <w:next w:val="Normal"/>
    <w:link w:val="SubttuloCar"/>
    <w:uiPriority w:val="11"/>
    <w:qFormat/>
    <w:rsid w:val="0032588B"/>
    <w:pPr>
      <w:numPr>
        <w:ilvl w:val="1"/>
      </w:numPr>
      <w:spacing w:after="200" w:line="276" w:lineRule="auto"/>
    </w:pPr>
    <w:rPr>
      <w:rFonts w:asciiTheme="majorHAnsi" w:eastAsiaTheme="majorEastAsia" w:hAnsiTheme="majorHAnsi" w:cstheme="majorBidi"/>
      <w:i/>
      <w:iCs/>
      <w:color w:val="4F81BD" w:themeColor="accent1"/>
      <w:spacing w:val="15"/>
      <w:lang w:val="es-GT" w:eastAsia="es-GT"/>
    </w:rPr>
  </w:style>
  <w:style w:type="character" w:customStyle="1" w:styleId="SubttuloCar">
    <w:name w:val="Subtítulo Car"/>
    <w:basedOn w:val="Fuentedeprrafopredeter"/>
    <w:link w:val="Subttulo"/>
    <w:uiPriority w:val="11"/>
    <w:rsid w:val="0032588B"/>
    <w:rPr>
      <w:rFonts w:asciiTheme="majorHAnsi" w:eastAsiaTheme="majorEastAsia" w:hAnsiTheme="majorHAnsi" w:cstheme="majorBidi"/>
      <w:i/>
      <w:iCs/>
      <w:color w:val="4F81BD" w:themeColor="accent1"/>
      <w:spacing w:val="15"/>
      <w:sz w:val="24"/>
      <w:szCs w:val="24"/>
      <w:lang w:eastAsia="es-GT"/>
    </w:rPr>
  </w:style>
  <w:style w:type="character" w:customStyle="1" w:styleId="Ttulo1Car">
    <w:name w:val="Título 1 Car"/>
    <w:basedOn w:val="Fuentedeprrafopredeter"/>
    <w:link w:val="Ttulo1"/>
    <w:uiPriority w:val="9"/>
    <w:rsid w:val="0032588B"/>
    <w:rPr>
      <w:rFonts w:asciiTheme="majorHAnsi" w:eastAsiaTheme="majorEastAsia" w:hAnsiTheme="majorHAnsi" w:cstheme="majorBidi"/>
      <w:b/>
      <w:bCs/>
      <w:color w:val="365F91" w:themeColor="accent1" w:themeShade="BF"/>
      <w:sz w:val="28"/>
      <w:szCs w:val="28"/>
      <w:lang w:val="es-ES_tradnl" w:eastAsia="es-ES"/>
    </w:rPr>
  </w:style>
  <w:style w:type="paragraph" w:styleId="TtulodeTDC">
    <w:name w:val="TOC Heading"/>
    <w:basedOn w:val="Ttulo1"/>
    <w:next w:val="Normal"/>
    <w:uiPriority w:val="39"/>
    <w:semiHidden/>
    <w:unhideWhenUsed/>
    <w:qFormat/>
    <w:rsid w:val="0032588B"/>
    <w:pPr>
      <w:spacing w:line="276" w:lineRule="auto"/>
      <w:outlineLvl w:val="9"/>
    </w:pPr>
    <w:rPr>
      <w:lang w:val="es-GT" w:eastAsia="es-GT"/>
    </w:rPr>
  </w:style>
  <w:style w:type="paragraph" w:styleId="TDC1">
    <w:name w:val="toc 1"/>
    <w:basedOn w:val="Normal"/>
    <w:next w:val="Normal"/>
    <w:autoRedefine/>
    <w:uiPriority w:val="39"/>
    <w:unhideWhenUsed/>
    <w:rsid w:val="00D77959"/>
    <w:pPr>
      <w:tabs>
        <w:tab w:val="left" w:pos="440"/>
        <w:tab w:val="right" w:leader="dot" w:pos="9394"/>
      </w:tabs>
    </w:pPr>
    <w:rPr>
      <w:rFonts w:ascii="Times New Roman" w:eastAsiaTheme="majorEastAsia" w:hAnsi="Times New Roman" w:cs="Times New Roman"/>
      <w:b/>
      <w:bCs/>
      <w:noProof/>
    </w:rPr>
  </w:style>
  <w:style w:type="paragraph" w:styleId="TDC2">
    <w:name w:val="toc 2"/>
    <w:basedOn w:val="Normal"/>
    <w:next w:val="Normal"/>
    <w:autoRedefine/>
    <w:uiPriority w:val="39"/>
    <w:unhideWhenUsed/>
    <w:rsid w:val="00BF05F0"/>
    <w:pPr>
      <w:tabs>
        <w:tab w:val="left" w:pos="880"/>
        <w:tab w:val="right" w:leader="dot" w:pos="9394"/>
      </w:tabs>
      <w:ind w:left="709" w:hanging="567"/>
    </w:pPr>
  </w:style>
  <w:style w:type="character" w:styleId="Hipervnculo">
    <w:name w:val="Hyperlink"/>
    <w:basedOn w:val="Fuentedeprrafopredeter"/>
    <w:uiPriority w:val="99"/>
    <w:unhideWhenUsed/>
    <w:rsid w:val="0032588B"/>
    <w:rPr>
      <w:color w:val="0000FF" w:themeColor="hyperlink"/>
      <w:u w:val="single"/>
    </w:rPr>
  </w:style>
  <w:style w:type="paragraph" w:styleId="Encabezado">
    <w:name w:val="header"/>
    <w:basedOn w:val="Normal"/>
    <w:link w:val="EncabezadoCar"/>
    <w:uiPriority w:val="99"/>
    <w:unhideWhenUsed/>
    <w:rsid w:val="00AC45C7"/>
    <w:pPr>
      <w:tabs>
        <w:tab w:val="center" w:pos="4419"/>
        <w:tab w:val="right" w:pos="8838"/>
      </w:tabs>
    </w:pPr>
  </w:style>
  <w:style w:type="character" w:customStyle="1" w:styleId="EncabezadoCar">
    <w:name w:val="Encabezado Car"/>
    <w:basedOn w:val="Fuentedeprrafopredeter"/>
    <w:link w:val="Encabezado"/>
    <w:uiPriority w:val="99"/>
    <w:rsid w:val="00AC45C7"/>
    <w:rPr>
      <w:rFonts w:eastAsiaTheme="minorEastAsia"/>
      <w:sz w:val="24"/>
      <w:szCs w:val="24"/>
      <w:lang w:val="es-ES_tradnl" w:eastAsia="es-ES"/>
    </w:rPr>
  </w:style>
  <w:style w:type="paragraph" w:styleId="Piedepgina">
    <w:name w:val="footer"/>
    <w:basedOn w:val="Normal"/>
    <w:link w:val="PiedepginaCar"/>
    <w:uiPriority w:val="99"/>
    <w:unhideWhenUsed/>
    <w:rsid w:val="00AC45C7"/>
    <w:pPr>
      <w:tabs>
        <w:tab w:val="center" w:pos="4419"/>
        <w:tab w:val="right" w:pos="8838"/>
      </w:tabs>
    </w:pPr>
  </w:style>
  <w:style w:type="character" w:customStyle="1" w:styleId="PiedepginaCar">
    <w:name w:val="Pie de página Car"/>
    <w:basedOn w:val="Fuentedeprrafopredeter"/>
    <w:link w:val="Piedepgina"/>
    <w:uiPriority w:val="99"/>
    <w:rsid w:val="00AC45C7"/>
    <w:rPr>
      <w:rFonts w:eastAsiaTheme="minorEastAsia"/>
      <w:sz w:val="24"/>
      <w:szCs w:val="24"/>
      <w:lang w:val="es-ES_tradnl" w:eastAsia="es-ES"/>
    </w:rPr>
  </w:style>
  <w:style w:type="paragraph" w:styleId="Textodeglobo">
    <w:name w:val="Balloon Text"/>
    <w:basedOn w:val="Normal"/>
    <w:link w:val="TextodegloboCar"/>
    <w:uiPriority w:val="99"/>
    <w:semiHidden/>
    <w:unhideWhenUsed/>
    <w:rsid w:val="002B7931"/>
    <w:rPr>
      <w:rFonts w:ascii="Tahoma" w:hAnsi="Tahoma" w:cs="Tahoma"/>
      <w:sz w:val="16"/>
      <w:szCs w:val="16"/>
    </w:rPr>
  </w:style>
  <w:style w:type="character" w:customStyle="1" w:styleId="TextodegloboCar">
    <w:name w:val="Texto de globo Car"/>
    <w:basedOn w:val="Fuentedeprrafopredeter"/>
    <w:link w:val="Textodeglobo"/>
    <w:uiPriority w:val="99"/>
    <w:semiHidden/>
    <w:rsid w:val="002B7931"/>
    <w:rPr>
      <w:rFonts w:ascii="Tahoma" w:eastAsiaTheme="minorEastAsia" w:hAnsi="Tahoma" w:cs="Tahoma"/>
      <w:sz w:val="16"/>
      <w:szCs w:val="16"/>
      <w:lang w:val="es-ES_tradnl" w:eastAsia="es-ES"/>
    </w:rPr>
  </w:style>
  <w:style w:type="character" w:customStyle="1" w:styleId="Ttulo3Car">
    <w:name w:val="Título 3 Car"/>
    <w:basedOn w:val="Fuentedeprrafopredeter"/>
    <w:link w:val="Ttulo3"/>
    <w:uiPriority w:val="9"/>
    <w:semiHidden/>
    <w:rsid w:val="000C0470"/>
    <w:rPr>
      <w:rFonts w:asciiTheme="majorHAnsi" w:eastAsiaTheme="majorEastAsia" w:hAnsiTheme="majorHAnsi" w:cstheme="majorBidi"/>
      <w:color w:val="243F60" w:themeColor="accent1" w:themeShade="7F"/>
      <w:sz w:val="24"/>
      <w:szCs w:val="24"/>
      <w:lang w:val="es-ES_tradnl" w:eastAsia="es-ES"/>
    </w:rPr>
  </w:style>
  <w:style w:type="paragraph" w:customStyle="1" w:styleId="Ttulo11">
    <w:name w:val="Título 11"/>
    <w:basedOn w:val="Normal"/>
    <w:rsid w:val="000C0470"/>
    <w:pPr>
      <w:numPr>
        <w:numId w:val="23"/>
      </w:numPr>
    </w:pPr>
  </w:style>
  <w:style w:type="paragraph" w:customStyle="1" w:styleId="Ttulo21">
    <w:name w:val="Título 21"/>
    <w:basedOn w:val="Normal"/>
    <w:rsid w:val="000C0470"/>
    <w:pPr>
      <w:numPr>
        <w:ilvl w:val="1"/>
        <w:numId w:val="23"/>
      </w:numPr>
    </w:pPr>
  </w:style>
  <w:style w:type="paragraph" w:customStyle="1" w:styleId="Ttulo31">
    <w:name w:val="Título 31"/>
    <w:basedOn w:val="Normal"/>
    <w:rsid w:val="000C0470"/>
    <w:pPr>
      <w:numPr>
        <w:ilvl w:val="2"/>
        <w:numId w:val="23"/>
      </w:numPr>
    </w:pPr>
  </w:style>
  <w:style w:type="paragraph" w:customStyle="1" w:styleId="Ttulo41">
    <w:name w:val="Título 41"/>
    <w:basedOn w:val="Normal"/>
    <w:rsid w:val="000C0470"/>
    <w:pPr>
      <w:numPr>
        <w:ilvl w:val="3"/>
        <w:numId w:val="23"/>
      </w:numPr>
    </w:pPr>
  </w:style>
  <w:style w:type="paragraph" w:customStyle="1" w:styleId="Ttulo51">
    <w:name w:val="Título 51"/>
    <w:basedOn w:val="Normal"/>
    <w:rsid w:val="000C0470"/>
    <w:pPr>
      <w:numPr>
        <w:ilvl w:val="4"/>
        <w:numId w:val="23"/>
      </w:numPr>
    </w:pPr>
  </w:style>
  <w:style w:type="paragraph" w:customStyle="1" w:styleId="Ttulo61">
    <w:name w:val="Título 61"/>
    <w:basedOn w:val="Normal"/>
    <w:rsid w:val="000C0470"/>
    <w:pPr>
      <w:numPr>
        <w:ilvl w:val="5"/>
        <w:numId w:val="23"/>
      </w:numPr>
    </w:pPr>
  </w:style>
  <w:style w:type="paragraph" w:customStyle="1" w:styleId="Ttulo71">
    <w:name w:val="Título 71"/>
    <w:basedOn w:val="Normal"/>
    <w:rsid w:val="000C0470"/>
    <w:pPr>
      <w:numPr>
        <w:ilvl w:val="6"/>
        <w:numId w:val="23"/>
      </w:numPr>
    </w:pPr>
  </w:style>
  <w:style w:type="paragraph" w:customStyle="1" w:styleId="Ttulo81">
    <w:name w:val="Título 81"/>
    <w:basedOn w:val="Normal"/>
    <w:rsid w:val="000C0470"/>
    <w:pPr>
      <w:numPr>
        <w:ilvl w:val="7"/>
        <w:numId w:val="23"/>
      </w:numPr>
    </w:pPr>
  </w:style>
  <w:style w:type="paragraph" w:customStyle="1" w:styleId="Ttulo91">
    <w:name w:val="Título 91"/>
    <w:basedOn w:val="Normal"/>
    <w:rsid w:val="000C0470"/>
    <w:pPr>
      <w:numPr>
        <w:ilvl w:val="8"/>
        <w:numId w:val="23"/>
      </w:numPr>
    </w:pPr>
  </w:style>
  <w:style w:type="paragraph" w:styleId="TDC3">
    <w:name w:val="toc 3"/>
    <w:basedOn w:val="Normal"/>
    <w:next w:val="Normal"/>
    <w:autoRedefine/>
    <w:uiPriority w:val="39"/>
    <w:unhideWhenUsed/>
    <w:rsid w:val="00BF05F0"/>
    <w:pPr>
      <w:tabs>
        <w:tab w:val="left" w:pos="1320"/>
        <w:tab w:val="right" w:leader="dot" w:pos="8828"/>
      </w:tabs>
      <w:ind w:left="480"/>
    </w:pPr>
  </w:style>
  <w:style w:type="paragraph" w:customStyle="1" w:styleId="BodyText2Sgl">
    <w:name w:val="Body Text 2 Sgl"/>
    <w:basedOn w:val="Normal"/>
    <w:qFormat/>
    <w:rsid w:val="00EE52DF"/>
    <w:pPr>
      <w:spacing w:after="240"/>
      <w:ind w:firstLine="720"/>
    </w:pPr>
    <w:rPr>
      <w:rFonts w:ascii="Times New Roman" w:eastAsiaTheme="minorHAnsi" w:hAnsi="Times New Roman"/>
      <w:sz w:val="20"/>
      <w:lang w:val="en-US" w:eastAsia="en-US"/>
    </w:rPr>
  </w:style>
  <w:style w:type="paragraph" w:styleId="Textoindependiente">
    <w:name w:val="Body Text"/>
    <w:basedOn w:val="Normal"/>
    <w:link w:val="TextoindependienteCar"/>
    <w:uiPriority w:val="99"/>
    <w:unhideWhenUsed/>
    <w:rsid w:val="00EE52DF"/>
    <w:pPr>
      <w:spacing w:after="120" w:line="259" w:lineRule="auto"/>
    </w:pPr>
    <w:rPr>
      <w:rFonts w:eastAsiaTheme="minorHAnsi"/>
      <w:sz w:val="22"/>
      <w:szCs w:val="22"/>
      <w:lang w:val="es-GT" w:eastAsia="en-US"/>
    </w:rPr>
  </w:style>
  <w:style w:type="character" w:customStyle="1" w:styleId="TextoindependienteCar">
    <w:name w:val="Texto independiente Car"/>
    <w:basedOn w:val="Fuentedeprrafopredeter"/>
    <w:link w:val="Textoindependiente"/>
    <w:uiPriority w:val="99"/>
    <w:rsid w:val="00EE52DF"/>
  </w:style>
  <w:style w:type="character" w:styleId="nfasis">
    <w:name w:val="Emphasis"/>
    <w:basedOn w:val="Fuentedeprrafopredeter"/>
    <w:uiPriority w:val="20"/>
    <w:qFormat/>
    <w:rsid w:val="0055735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598"/>
    <w:pPr>
      <w:spacing w:after="0" w:line="240" w:lineRule="auto"/>
    </w:pPr>
    <w:rPr>
      <w:rFonts w:eastAsiaTheme="minorEastAsia"/>
      <w:sz w:val="24"/>
      <w:szCs w:val="24"/>
      <w:lang w:val="es-ES_tradnl" w:eastAsia="es-ES"/>
    </w:rPr>
  </w:style>
  <w:style w:type="paragraph" w:styleId="Ttulo1">
    <w:name w:val="heading 1"/>
    <w:basedOn w:val="Normal"/>
    <w:next w:val="Normal"/>
    <w:link w:val="Ttulo1Car"/>
    <w:uiPriority w:val="9"/>
    <w:qFormat/>
    <w:rsid w:val="0032588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4359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0C0470"/>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D43598"/>
    <w:rPr>
      <w:rFonts w:asciiTheme="majorHAnsi" w:eastAsiaTheme="majorEastAsia" w:hAnsiTheme="majorHAnsi" w:cstheme="majorBidi"/>
      <w:b/>
      <w:bCs/>
      <w:color w:val="4F81BD" w:themeColor="accent1"/>
      <w:sz w:val="26"/>
      <w:szCs w:val="26"/>
      <w:lang w:val="es-ES_tradnl" w:eastAsia="es-ES"/>
    </w:rPr>
  </w:style>
  <w:style w:type="paragraph" w:styleId="Prrafodelista">
    <w:name w:val="List Paragraph"/>
    <w:basedOn w:val="Normal"/>
    <w:uiPriority w:val="34"/>
    <w:qFormat/>
    <w:rsid w:val="00D43598"/>
    <w:pPr>
      <w:ind w:left="720"/>
      <w:contextualSpacing/>
    </w:pPr>
    <w:rPr>
      <w:rFonts w:eastAsiaTheme="minorHAnsi"/>
      <w:sz w:val="22"/>
      <w:szCs w:val="22"/>
      <w:lang w:val="es-GT" w:eastAsia="en-US"/>
    </w:rPr>
  </w:style>
  <w:style w:type="paragraph" w:customStyle="1" w:styleId="Default">
    <w:name w:val="Default"/>
    <w:rsid w:val="00D43598"/>
    <w:pPr>
      <w:autoSpaceDE w:val="0"/>
      <w:autoSpaceDN w:val="0"/>
      <w:adjustRightInd w:val="0"/>
      <w:spacing w:after="0" w:line="240" w:lineRule="auto"/>
    </w:pPr>
    <w:rPr>
      <w:rFonts w:ascii="Times New Roman" w:hAnsi="Times New Roman" w:cs="Times New Roman"/>
      <w:color w:val="000000"/>
      <w:sz w:val="24"/>
      <w:szCs w:val="24"/>
    </w:rPr>
  </w:style>
  <w:style w:type="table" w:styleId="Tablaconcuadrcula">
    <w:name w:val="Table Grid"/>
    <w:basedOn w:val="Tablanormal"/>
    <w:uiPriority w:val="39"/>
    <w:rsid w:val="00D435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D68CD"/>
    <w:pPr>
      <w:spacing w:before="100" w:beforeAutospacing="1" w:after="100" w:afterAutospacing="1"/>
    </w:pPr>
    <w:rPr>
      <w:rFonts w:ascii="Times New Roman" w:hAnsi="Times New Roman" w:cs="Times New Roman"/>
      <w:lang w:val="es-GT" w:eastAsia="es-GT"/>
    </w:rPr>
  </w:style>
  <w:style w:type="paragraph" w:styleId="Textonotapie">
    <w:name w:val="footnote text"/>
    <w:basedOn w:val="Normal"/>
    <w:link w:val="TextonotapieCar"/>
    <w:uiPriority w:val="99"/>
    <w:semiHidden/>
    <w:unhideWhenUsed/>
    <w:rsid w:val="000B5E1C"/>
    <w:rPr>
      <w:rFonts w:eastAsiaTheme="minorHAnsi"/>
      <w:sz w:val="20"/>
      <w:szCs w:val="20"/>
      <w:lang w:val="es-GT" w:eastAsia="en-US"/>
    </w:rPr>
  </w:style>
  <w:style w:type="character" w:customStyle="1" w:styleId="TextonotapieCar">
    <w:name w:val="Texto nota pie Car"/>
    <w:basedOn w:val="Fuentedeprrafopredeter"/>
    <w:link w:val="Textonotapie"/>
    <w:uiPriority w:val="99"/>
    <w:semiHidden/>
    <w:rsid w:val="000B5E1C"/>
    <w:rPr>
      <w:sz w:val="20"/>
      <w:szCs w:val="20"/>
    </w:rPr>
  </w:style>
  <w:style w:type="character" w:styleId="Refdenotaalpie">
    <w:name w:val="footnote reference"/>
    <w:basedOn w:val="Fuentedeprrafopredeter"/>
    <w:uiPriority w:val="99"/>
    <w:semiHidden/>
    <w:unhideWhenUsed/>
    <w:rsid w:val="000B5E1C"/>
    <w:rPr>
      <w:vertAlign w:val="superscript"/>
    </w:rPr>
  </w:style>
  <w:style w:type="table" w:styleId="Cuadrculaclara-nfasis1">
    <w:name w:val="Light Grid Accent 1"/>
    <w:basedOn w:val="Tablanormal"/>
    <w:uiPriority w:val="62"/>
    <w:rsid w:val="000B5E1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5">
    <w:name w:val="Light Shading Accent 5"/>
    <w:basedOn w:val="Tablanormal"/>
    <w:uiPriority w:val="60"/>
    <w:rsid w:val="000B5E1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Sinespaciado">
    <w:name w:val="No Spacing"/>
    <w:link w:val="SinespaciadoCar"/>
    <w:uiPriority w:val="1"/>
    <w:qFormat/>
    <w:rsid w:val="000B5E1C"/>
    <w:pPr>
      <w:spacing w:after="0" w:line="240" w:lineRule="auto"/>
    </w:pPr>
  </w:style>
  <w:style w:type="character" w:customStyle="1" w:styleId="SinespaciadoCar">
    <w:name w:val="Sin espaciado Car"/>
    <w:basedOn w:val="Fuentedeprrafopredeter"/>
    <w:link w:val="Sinespaciado"/>
    <w:uiPriority w:val="1"/>
    <w:locked/>
    <w:rsid w:val="000B5E1C"/>
  </w:style>
  <w:style w:type="paragraph" w:styleId="Ttulo">
    <w:name w:val="Title"/>
    <w:basedOn w:val="Normal"/>
    <w:next w:val="Normal"/>
    <w:link w:val="TtuloCar"/>
    <w:uiPriority w:val="10"/>
    <w:qFormat/>
    <w:rsid w:val="0032588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s-GT" w:eastAsia="es-GT"/>
    </w:rPr>
  </w:style>
  <w:style w:type="character" w:customStyle="1" w:styleId="TtuloCar">
    <w:name w:val="Título Car"/>
    <w:basedOn w:val="Fuentedeprrafopredeter"/>
    <w:link w:val="Ttulo"/>
    <w:uiPriority w:val="10"/>
    <w:rsid w:val="0032588B"/>
    <w:rPr>
      <w:rFonts w:asciiTheme="majorHAnsi" w:eastAsiaTheme="majorEastAsia" w:hAnsiTheme="majorHAnsi" w:cstheme="majorBidi"/>
      <w:color w:val="17365D" w:themeColor="text2" w:themeShade="BF"/>
      <w:spacing w:val="5"/>
      <w:kern w:val="28"/>
      <w:sz w:val="52"/>
      <w:szCs w:val="52"/>
      <w:lang w:eastAsia="es-GT"/>
    </w:rPr>
  </w:style>
  <w:style w:type="paragraph" w:styleId="Subttulo">
    <w:name w:val="Subtitle"/>
    <w:basedOn w:val="Normal"/>
    <w:next w:val="Normal"/>
    <w:link w:val="SubttuloCar"/>
    <w:uiPriority w:val="11"/>
    <w:qFormat/>
    <w:rsid w:val="0032588B"/>
    <w:pPr>
      <w:numPr>
        <w:ilvl w:val="1"/>
      </w:numPr>
      <w:spacing w:after="200" w:line="276" w:lineRule="auto"/>
    </w:pPr>
    <w:rPr>
      <w:rFonts w:asciiTheme="majorHAnsi" w:eastAsiaTheme="majorEastAsia" w:hAnsiTheme="majorHAnsi" w:cstheme="majorBidi"/>
      <w:i/>
      <w:iCs/>
      <w:color w:val="4F81BD" w:themeColor="accent1"/>
      <w:spacing w:val="15"/>
      <w:lang w:val="es-GT" w:eastAsia="es-GT"/>
    </w:rPr>
  </w:style>
  <w:style w:type="character" w:customStyle="1" w:styleId="SubttuloCar">
    <w:name w:val="Subtítulo Car"/>
    <w:basedOn w:val="Fuentedeprrafopredeter"/>
    <w:link w:val="Subttulo"/>
    <w:uiPriority w:val="11"/>
    <w:rsid w:val="0032588B"/>
    <w:rPr>
      <w:rFonts w:asciiTheme="majorHAnsi" w:eastAsiaTheme="majorEastAsia" w:hAnsiTheme="majorHAnsi" w:cstheme="majorBidi"/>
      <w:i/>
      <w:iCs/>
      <w:color w:val="4F81BD" w:themeColor="accent1"/>
      <w:spacing w:val="15"/>
      <w:sz w:val="24"/>
      <w:szCs w:val="24"/>
      <w:lang w:eastAsia="es-GT"/>
    </w:rPr>
  </w:style>
  <w:style w:type="character" w:customStyle="1" w:styleId="Ttulo1Car">
    <w:name w:val="Título 1 Car"/>
    <w:basedOn w:val="Fuentedeprrafopredeter"/>
    <w:link w:val="Ttulo1"/>
    <w:uiPriority w:val="9"/>
    <w:rsid w:val="0032588B"/>
    <w:rPr>
      <w:rFonts w:asciiTheme="majorHAnsi" w:eastAsiaTheme="majorEastAsia" w:hAnsiTheme="majorHAnsi" w:cstheme="majorBidi"/>
      <w:b/>
      <w:bCs/>
      <w:color w:val="365F91" w:themeColor="accent1" w:themeShade="BF"/>
      <w:sz w:val="28"/>
      <w:szCs w:val="28"/>
      <w:lang w:val="es-ES_tradnl" w:eastAsia="es-ES"/>
    </w:rPr>
  </w:style>
  <w:style w:type="paragraph" w:styleId="TtulodeTDC">
    <w:name w:val="TOC Heading"/>
    <w:basedOn w:val="Ttulo1"/>
    <w:next w:val="Normal"/>
    <w:uiPriority w:val="39"/>
    <w:semiHidden/>
    <w:unhideWhenUsed/>
    <w:qFormat/>
    <w:rsid w:val="0032588B"/>
    <w:pPr>
      <w:spacing w:line="276" w:lineRule="auto"/>
      <w:outlineLvl w:val="9"/>
    </w:pPr>
    <w:rPr>
      <w:lang w:val="es-GT" w:eastAsia="es-GT"/>
    </w:rPr>
  </w:style>
  <w:style w:type="paragraph" w:styleId="TDC1">
    <w:name w:val="toc 1"/>
    <w:basedOn w:val="Normal"/>
    <w:next w:val="Normal"/>
    <w:autoRedefine/>
    <w:uiPriority w:val="39"/>
    <w:unhideWhenUsed/>
    <w:rsid w:val="00D77959"/>
    <w:pPr>
      <w:tabs>
        <w:tab w:val="left" w:pos="440"/>
        <w:tab w:val="right" w:leader="dot" w:pos="9394"/>
      </w:tabs>
    </w:pPr>
    <w:rPr>
      <w:rFonts w:ascii="Times New Roman" w:eastAsiaTheme="majorEastAsia" w:hAnsi="Times New Roman" w:cs="Times New Roman"/>
      <w:b/>
      <w:bCs/>
      <w:noProof/>
    </w:rPr>
  </w:style>
  <w:style w:type="paragraph" w:styleId="TDC2">
    <w:name w:val="toc 2"/>
    <w:basedOn w:val="Normal"/>
    <w:next w:val="Normal"/>
    <w:autoRedefine/>
    <w:uiPriority w:val="39"/>
    <w:unhideWhenUsed/>
    <w:rsid w:val="00BF05F0"/>
    <w:pPr>
      <w:tabs>
        <w:tab w:val="left" w:pos="880"/>
        <w:tab w:val="right" w:leader="dot" w:pos="9394"/>
      </w:tabs>
      <w:ind w:left="709" w:hanging="567"/>
    </w:pPr>
  </w:style>
  <w:style w:type="character" w:styleId="Hipervnculo">
    <w:name w:val="Hyperlink"/>
    <w:basedOn w:val="Fuentedeprrafopredeter"/>
    <w:uiPriority w:val="99"/>
    <w:unhideWhenUsed/>
    <w:rsid w:val="0032588B"/>
    <w:rPr>
      <w:color w:val="0000FF" w:themeColor="hyperlink"/>
      <w:u w:val="single"/>
    </w:rPr>
  </w:style>
  <w:style w:type="paragraph" w:styleId="Encabezado">
    <w:name w:val="header"/>
    <w:basedOn w:val="Normal"/>
    <w:link w:val="EncabezadoCar"/>
    <w:uiPriority w:val="99"/>
    <w:unhideWhenUsed/>
    <w:rsid w:val="00AC45C7"/>
    <w:pPr>
      <w:tabs>
        <w:tab w:val="center" w:pos="4419"/>
        <w:tab w:val="right" w:pos="8838"/>
      </w:tabs>
    </w:pPr>
  </w:style>
  <w:style w:type="character" w:customStyle="1" w:styleId="EncabezadoCar">
    <w:name w:val="Encabezado Car"/>
    <w:basedOn w:val="Fuentedeprrafopredeter"/>
    <w:link w:val="Encabezado"/>
    <w:uiPriority w:val="99"/>
    <w:rsid w:val="00AC45C7"/>
    <w:rPr>
      <w:rFonts w:eastAsiaTheme="minorEastAsia"/>
      <w:sz w:val="24"/>
      <w:szCs w:val="24"/>
      <w:lang w:val="es-ES_tradnl" w:eastAsia="es-ES"/>
    </w:rPr>
  </w:style>
  <w:style w:type="paragraph" w:styleId="Piedepgina">
    <w:name w:val="footer"/>
    <w:basedOn w:val="Normal"/>
    <w:link w:val="PiedepginaCar"/>
    <w:uiPriority w:val="99"/>
    <w:unhideWhenUsed/>
    <w:rsid w:val="00AC45C7"/>
    <w:pPr>
      <w:tabs>
        <w:tab w:val="center" w:pos="4419"/>
        <w:tab w:val="right" w:pos="8838"/>
      </w:tabs>
    </w:pPr>
  </w:style>
  <w:style w:type="character" w:customStyle="1" w:styleId="PiedepginaCar">
    <w:name w:val="Pie de página Car"/>
    <w:basedOn w:val="Fuentedeprrafopredeter"/>
    <w:link w:val="Piedepgina"/>
    <w:uiPriority w:val="99"/>
    <w:rsid w:val="00AC45C7"/>
    <w:rPr>
      <w:rFonts w:eastAsiaTheme="minorEastAsia"/>
      <w:sz w:val="24"/>
      <w:szCs w:val="24"/>
      <w:lang w:val="es-ES_tradnl" w:eastAsia="es-ES"/>
    </w:rPr>
  </w:style>
  <w:style w:type="paragraph" w:styleId="Textodeglobo">
    <w:name w:val="Balloon Text"/>
    <w:basedOn w:val="Normal"/>
    <w:link w:val="TextodegloboCar"/>
    <w:uiPriority w:val="99"/>
    <w:semiHidden/>
    <w:unhideWhenUsed/>
    <w:rsid w:val="002B7931"/>
    <w:rPr>
      <w:rFonts w:ascii="Tahoma" w:hAnsi="Tahoma" w:cs="Tahoma"/>
      <w:sz w:val="16"/>
      <w:szCs w:val="16"/>
    </w:rPr>
  </w:style>
  <w:style w:type="character" w:customStyle="1" w:styleId="TextodegloboCar">
    <w:name w:val="Texto de globo Car"/>
    <w:basedOn w:val="Fuentedeprrafopredeter"/>
    <w:link w:val="Textodeglobo"/>
    <w:uiPriority w:val="99"/>
    <w:semiHidden/>
    <w:rsid w:val="002B7931"/>
    <w:rPr>
      <w:rFonts w:ascii="Tahoma" w:eastAsiaTheme="minorEastAsia" w:hAnsi="Tahoma" w:cs="Tahoma"/>
      <w:sz w:val="16"/>
      <w:szCs w:val="16"/>
      <w:lang w:val="es-ES_tradnl" w:eastAsia="es-ES"/>
    </w:rPr>
  </w:style>
  <w:style w:type="character" w:customStyle="1" w:styleId="Ttulo3Car">
    <w:name w:val="Título 3 Car"/>
    <w:basedOn w:val="Fuentedeprrafopredeter"/>
    <w:link w:val="Ttulo3"/>
    <w:uiPriority w:val="9"/>
    <w:semiHidden/>
    <w:rsid w:val="000C0470"/>
    <w:rPr>
      <w:rFonts w:asciiTheme="majorHAnsi" w:eastAsiaTheme="majorEastAsia" w:hAnsiTheme="majorHAnsi" w:cstheme="majorBidi"/>
      <w:color w:val="243F60" w:themeColor="accent1" w:themeShade="7F"/>
      <w:sz w:val="24"/>
      <w:szCs w:val="24"/>
      <w:lang w:val="es-ES_tradnl" w:eastAsia="es-ES"/>
    </w:rPr>
  </w:style>
  <w:style w:type="paragraph" w:customStyle="1" w:styleId="Ttulo11">
    <w:name w:val="Título 11"/>
    <w:basedOn w:val="Normal"/>
    <w:rsid w:val="000C0470"/>
    <w:pPr>
      <w:numPr>
        <w:numId w:val="23"/>
      </w:numPr>
    </w:pPr>
  </w:style>
  <w:style w:type="paragraph" w:customStyle="1" w:styleId="Ttulo21">
    <w:name w:val="Título 21"/>
    <w:basedOn w:val="Normal"/>
    <w:rsid w:val="000C0470"/>
    <w:pPr>
      <w:numPr>
        <w:ilvl w:val="1"/>
        <w:numId w:val="23"/>
      </w:numPr>
    </w:pPr>
  </w:style>
  <w:style w:type="paragraph" w:customStyle="1" w:styleId="Ttulo31">
    <w:name w:val="Título 31"/>
    <w:basedOn w:val="Normal"/>
    <w:rsid w:val="000C0470"/>
    <w:pPr>
      <w:numPr>
        <w:ilvl w:val="2"/>
        <w:numId w:val="23"/>
      </w:numPr>
    </w:pPr>
  </w:style>
  <w:style w:type="paragraph" w:customStyle="1" w:styleId="Ttulo41">
    <w:name w:val="Título 41"/>
    <w:basedOn w:val="Normal"/>
    <w:rsid w:val="000C0470"/>
    <w:pPr>
      <w:numPr>
        <w:ilvl w:val="3"/>
        <w:numId w:val="23"/>
      </w:numPr>
    </w:pPr>
  </w:style>
  <w:style w:type="paragraph" w:customStyle="1" w:styleId="Ttulo51">
    <w:name w:val="Título 51"/>
    <w:basedOn w:val="Normal"/>
    <w:rsid w:val="000C0470"/>
    <w:pPr>
      <w:numPr>
        <w:ilvl w:val="4"/>
        <w:numId w:val="23"/>
      </w:numPr>
    </w:pPr>
  </w:style>
  <w:style w:type="paragraph" w:customStyle="1" w:styleId="Ttulo61">
    <w:name w:val="Título 61"/>
    <w:basedOn w:val="Normal"/>
    <w:rsid w:val="000C0470"/>
    <w:pPr>
      <w:numPr>
        <w:ilvl w:val="5"/>
        <w:numId w:val="23"/>
      </w:numPr>
    </w:pPr>
  </w:style>
  <w:style w:type="paragraph" w:customStyle="1" w:styleId="Ttulo71">
    <w:name w:val="Título 71"/>
    <w:basedOn w:val="Normal"/>
    <w:rsid w:val="000C0470"/>
    <w:pPr>
      <w:numPr>
        <w:ilvl w:val="6"/>
        <w:numId w:val="23"/>
      </w:numPr>
    </w:pPr>
  </w:style>
  <w:style w:type="paragraph" w:customStyle="1" w:styleId="Ttulo81">
    <w:name w:val="Título 81"/>
    <w:basedOn w:val="Normal"/>
    <w:rsid w:val="000C0470"/>
    <w:pPr>
      <w:numPr>
        <w:ilvl w:val="7"/>
        <w:numId w:val="23"/>
      </w:numPr>
    </w:pPr>
  </w:style>
  <w:style w:type="paragraph" w:customStyle="1" w:styleId="Ttulo91">
    <w:name w:val="Título 91"/>
    <w:basedOn w:val="Normal"/>
    <w:rsid w:val="000C0470"/>
    <w:pPr>
      <w:numPr>
        <w:ilvl w:val="8"/>
        <w:numId w:val="23"/>
      </w:numPr>
    </w:pPr>
  </w:style>
  <w:style w:type="paragraph" w:styleId="TDC3">
    <w:name w:val="toc 3"/>
    <w:basedOn w:val="Normal"/>
    <w:next w:val="Normal"/>
    <w:autoRedefine/>
    <w:uiPriority w:val="39"/>
    <w:unhideWhenUsed/>
    <w:rsid w:val="00BF05F0"/>
    <w:pPr>
      <w:tabs>
        <w:tab w:val="left" w:pos="1320"/>
        <w:tab w:val="right" w:leader="dot" w:pos="8828"/>
      </w:tabs>
      <w:ind w:left="480"/>
    </w:pPr>
  </w:style>
  <w:style w:type="paragraph" w:customStyle="1" w:styleId="BodyText2Sgl">
    <w:name w:val="Body Text 2 Sgl"/>
    <w:basedOn w:val="Normal"/>
    <w:qFormat/>
    <w:rsid w:val="00EE52DF"/>
    <w:pPr>
      <w:spacing w:after="240"/>
      <w:ind w:firstLine="720"/>
    </w:pPr>
    <w:rPr>
      <w:rFonts w:ascii="Times New Roman" w:eastAsiaTheme="minorHAnsi" w:hAnsi="Times New Roman"/>
      <w:sz w:val="20"/>
      <w:lang w:val="en-US" w:eastAsia="en-US"/>
    </w:rPr>
  </w:style>
  <w:style w:type="paragraph" w:styleId="Textoindependiente">
    <w:name w:val="Body Text"/>
    <w:basedOn w:val="Normal"/>
    <w:link w:val="TextoindependienteCar"/>
    <w:uiPriority w:val="99"/>
    <w:unhideWhenUsed/>
    <w:rsid w:val="00EE52DF"/>
    <w:pPr>
      <w:spacing w:after="120" w:line="259" w:lineRule="auto"/>
    </w:pPr>
    <w:rPr>
      <w:rFonts w:eastAsiaTheme="minorHAnsi"/>
      <w:sz w:val="22"/>
      <w:szCs w:val="22"/>
      <w:lang w:val="es-GT" w:eastAsia="en-US"/>
    </w:rPr>
  </w:style>
  <w:style w:type="character" w:customStyle="1" w:styleId="TextoindependienteCar">
    <w:name w:val="Texto independiente Car"/>
    <w:basedOn w:val="Fuentedeprrafopredeter"/>
    <w:link w:val="Textoindependiente"/>
    <w:uiPriority w:val="99"/>
    <w:rsid w:val="00EE52DF"/>
  </w:style>
  <w:style w:type="character" w:styleId="nfasis">
    <w:name w:val="Emphasis"/>
    <w:basedOn w:val="Fuentedeprrafopredeter"/>
    <w:uiPriority w:val="20"/>
    <w:qFormat/>
    <w:rsid w:val="0055735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3591794">
      <w:bodyDiv w:val="1"/>
      <w:marLeft w:val="0"/>
      <w:marRight w:val="0"/>
      <w:marTop w:val="0"/>
      <w:marBottom w:val="0"/>
      <w:divBdr>
        <w:top w:val="none" w:sz="0" w:space="0" w:color="auto"/>
        <w:left w:val="none" w:sz="0" w:space="0" w:color="auto"/>
        <w:bottom w:val="none" w:sz="0" w:space="0" w:color="auto"/>
        <w:right w:val="none" w:sz="0" w:space="0" w:color="auto"/>
      </w:divBdr>
    </w:div>
    <w:div w:id="1036812108">
      <w:bodyDiv w:val="1"/>
      <w:marLeft w:val="0"/>
      <w:marRight w:val="0"/>
      <w:marTop w:val="0"/>
      <w:marBottom w:val="0"/>
      <w:divBdr>
        <w:top w:val="none" w:sz="0" w:space="0" w:color="auto"/>
        <w:left w:val="none" w:sz="0" w:space="0" w:color="auto"/>
        <w:bottom w:val="none" w:sz="0" w:space="0" w:color="auto"/>
        <w:right w:val="none" w:sz="0" w:space="0" w:color="auto"/>
      </w:divBdr>
    </w:div>
    <w:div w:id="1148786281">
      <w:bodyDiv w:val="1"/>
      <w:marLeft w:val="0"/>
      <w:marRight w:val="0"/>
      <w:marTop w:val="0"/>
      <w:marBottom w:val="0"/>
      <w:divBdr>
        <w:top w:val="none" w:sz="0" w:space="0" w:color="auto"/>
        <w:left w:val="none" w:sz="0" w:space="0" w:color="auto"/>
        <w:bottom w:val="none" w:sz="0" w:space="0" w:color="auto"/>
        <w:right w:val="none" w:sz="0" w:space="0" w:color="auto"/>
      </w:divBdr>
    </w:div>
    <w:div w:id="1731222267">
      <w:bodyDiv w:val="1"/>
      <w:marLeft w:val="0"/>
      <w:marRight w:val="0"/>
      <w:marTop w:val="0"/>
      <w:marBottom w:val="0"/>
      <w:divBdr>
        <w:top w:val="none" w:sz="0" w:space="0" w:color="auto"/>
        <w:left w:val="none" w:sz="0" w:space="0" w:color="auto"/>
        <w:bottom w:val="none" w:sz="0" w:space="0" w:color="auto"/>
        <w:right w:val="none" w:sz="0" w:space="0" w:color="auto"/>
      </w:divBdr>
    </w:div>
    <w:div w:id="1905945296">
      <w:bodyDiv w:val="1"/>
      <w:marLeft w:val="0"/>
      <w:marRight w:val="0"/>
      <w:marTop w:val="0"/>
      <w:marBottom w:val="0"/>
      <w:divBdr>
        <w:top w:val="none" w:sz="0" w:space="0" w:color="auto"/>
        <w:left w:val="none" w:sz="0" w:space="0" w:color="auto"/>
        <w:bottom w:val="none" w:sz="0" w:space="0" w:color="auto"/>
        <w:right w:val="none" w:sz="0" w:space="0" w:color="auto"/>
      </w:divBdr>
    </w:div>
    <w:div w:id="2132359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image" Target="media/image3.emf"/><Relationship Id="rId21" Type="http://schemas.openxmlformats.org/officeDocument/2006/relationships/chart" Target="charts/chart12.xml"/><Relationship Id="rId34" Type="http://schemas.openxmlformats.org/officeDocument/2006/relationships/image" Target="media/image4.png"/><Relationship Id="rId42" Type="http://schemas.openxmlformats.org/officeDocument/2006/relationships/image" Target="media/image7.emf"/><Relationship Id="rId47" Type="http://schemas.openxmlformats.org/officeDocument/2006/relationships/image" Target="media/image8.png"/><Relationship Id="rId50" Type="http://schemas.openxmlformats.org/officeDocument/2006/relationships/header" Target="header2.xml"/><Relationship Id="rId55" Type="http://schemas.openxmlformats.org/officeDocument/2006/relationships/chart" Target="charts/chart29.xml"/><Relationship Id="rId63" Type="http://schemas.openxmlformats.org/officeDocument/2006/relationships/chart" Target="charts/chart36.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1.xml"/><Relationship Id="rId37" Type="http://schemas.openxmlformats.org/officeDocument/2006/relationships/chart" Target="charts/chart22.xml"/><Relationship Id="rId40" Type="http://schemas.openxmlformats.org/officeDocument/2006/relationships/image" Target="media/image5.png"/><Relationship Id="rId45" Type="http://schemas.openxmlformats.org/officeDocument/2006/relationships/chart" Target="charts/chart26.xml"/><Relationship Id="rId53" Type="http://schemas.openxmlformats.org/officeDocument/2006/relationships/footer" Target="footer3.xml"/><Relationship Id="rId58" Type="http://schemas.openxmlformats.org/officeDocument/2006/relationships/chart" Target="charts/chart32.xml"/><Relationship Id="rId66" Type="http://schemas.openxmlformats.org/officeDocument/2006/relationships/image" Target="media/image6.emf"/><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oleObject" Target="embeddings/Microsoft_Excel_Chart1.xls"/><Relationship Id="rId49" Type="http://schemas.openxmlformats.org/officeDocument/2006/relationships/chart" Target="charts/chart27.xml"/><Relationship Id="rId57" Type="http://schemas.openxmlformats.org/officeDocument/2006/relationships/chart" Target="charts/chart31.xml"/><Relationship Id="rId61" Type="http://schemas.openxmlformats.org/officeDocument/2006/relationships/chart" Target="charts/chart35.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chart" Target="charts/chart20.xml"/><Relationship Id="rId44" Type="http://schemas.openxmlformats.org/officeDocument/2006/relationships/chart" Target="charts/chart25.xml"/><Relationship Id="rId52" Type="http://schemas.openxmlformats.org/officeDocument/2006/relationships/header" Target="header3.xml"/><Relationship Id="rId60" Type="http://schemas.openxmlformats.org/officeDocument/2006/relationships/chart" Target="charts/chart34.xml"/><Relationship Id="rId65"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footer" Target="footer1.xml"/><Relationship Id="rId35" Type="http://schemas.openxmlformats.org/officeDocument/2006/relationships/oleObject" Target="embeddings/Microsoft_Excel_Chart.xls"/><Relationship Id="rId43" Type="http://schemas.openxmlformats.org/officeDocument/2006/relationships/chart" Target="charts/chart24.xml"/><Relationship Id="rId48" Type="http://schemas.openxmlformats.org/officeDocument/2006/relationships/image" Target="media/image9.png"/><Relationship Id="rId56" Type="http://schemas.openxmlformats.org/officeDocument/2006/relationships/chart" Target="charts/chart30.xml"/><Relationship Id="rId64" Type="http://schemas.openxmlformats.org/officeDocument/2006/relationships/chart" Target="charts/chart37.xml"/><Relationship Id="rId8" Type="http://schemas.openxmlformats.org/officeDocument/2006/relationships/endnotes" Target="endnotes.xml"/><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image" Target="media/image3.png"/><Relationship Id="rId38" Type="http://schemas.openxmlformats.org/officeDocument/2006/relationships/chart" Target="charts/chart23.xml"/><Relationship Id="rId46" Type="http://schemas.openxmlformats.org/officeDocument/2006/relationships/image" Target="media/image7.png"/><Relationship Id="rId59" Type="http://schemas.openxmlformats.org/officeDocument/2006/relationships/chart" Target="charts/chart33.xml"/><Relationship Id="rId67" Type="http://schemas.openxmlformats.org/officeDocument/2006/relationships/fontTable" Target="fontTable.xml"/><Relationship Id="rId20" Type="http://schemas.openxmlformats.org/officeDocument/2006/relationships/chart" Target="charts/chart11.xml"/><Relationship Id="rId41" Type="http://schemas.openxmlformats.org/officeDocument/2006/relationships/image" Target="media/image6.png"/><Relationship Id="rId54" Type="http://schemas.openxmlformats.org/officeDocument/2006/relationships/chart" Target="charts/chart28.xml"/><Relationship Id="rId62"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xm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embeddings/oleObject1.bin"/></Relationships>
</file>

<file path=word/charts/_rels/chart2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4.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25.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26.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27.xml.rels><?xml version="1.0" encoding="UTF-8" standalone="yes"?>
<Relationships xmlns="http://schemas.openxmlformats.org/package/2006/relationships"><Relationship Id="rId1" Type="http://schemas.openxmlformats.org/officeDocument/2006/relationships/oleObject" Target="file:///C:\Users\edeleon\AppData\Local\Microsoft\Windows\INetCache\Content.Outlook\U9OGEOAG\Sitfin%20al%20311220%20(180120).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psantizo\Downloads\WEOJan2021update.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hpirique\Documents\Informaci&#243;n%20Laboral\2020\ESCENARIOS%20MACRO%20BANGUAT\Escenarios%20%20Macro%20BANGUAT%20completo.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hpirique\Documents\Informaci&#243;n%20Laboral\2021\Enero\PIB\3.3_Proyeccion_PIB_por_el_destino_del_gasto_AR2013.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hpirique\Documents\Informaci&#243;n%20Laboral\2021\Enero\IPC\2.3_Proyeccion_PIB_por_el_origen_de_la_produccion_tasas_de_variacion_AR2013.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psantizo\Downloads\WEOJan2021update.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psantizo\Downloads\WEOJan2021update.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24.xlsx"/></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2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468740023666007E-2"/>
          <c:y val="4.2091905999434798E-2"/>
          <c:w val="0.87748956726366945"/>
          <c:h val="0.786666095697929"/>
        </c:manualLayout>
      </c:layout>
      <c:lineChart>
        <c:grouping val="standard"/>
        <c:varyColors val="0"/>
        <c:ser>
          <c:idx val="0"/>
          <c:order val="0"/>
          <c:tx>
            <c:strRef>
              <c:f>Hoja1!$B$1</c:f>
              <c:strCache>
                <c:ptCount val="1"/>
                <c:pt idx="0">
                  <c:v>Var. Imp</c:v>
                </c:pt>
              </c:strCache>
            </c:strRef>
          </c:tx>
          <c:spPr>
            <a:ln w="22225" cap="rnd">
              <a:solidFill>
                <a:schemeClr val="tx1"/>
              </a:solidFill>
              <a:prstDash val="sysDot"/>
              <a:round/>
            </a:ln>
            <a:effectLst>
              <a:glow rad="38100">
                <a:schemeClr val="accent6">
                  <a:satMod val="175000"/>
                  <a:alpha val="40000"/>
                </a:schemeClr>
              </a:glow>
            </a:effectLst>
          </c:spPr>
          <c:marker>
            <c:symbol val="circle"/>
            <c:size val="5"/>
            <c:spPr>
              <a:solidFill>
                <a:schemeClr val="lt1"/>
              </a:solidFill>
              <a:ln w="15875">
                <a:solidFill>
                  <a:schemeClr val="accent1"/>
                </a:solidFill>
                <a:round/>
              </a:ln>
              <a:effectLst>
                <a:glow rad="38100">
                  <a:schemeClr val="accent6">
                    <a:satMod val="175000"/>
                    <a:alpha val="40000"/>
                  </a:schemeClr>
                </a:glow>
              </a:effectLst>
            </c:spPr>
          </c:marker>
          <c:dLbls>
            <c:dLbl>
              <c:idx val="1"/>
              <c:layout>
                <c:manualLayout>
                  <c:x val="-6.3433227562972636E-2"/>
                  <c:y val="-6.688583635074812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11F-4192-B735-51605266CD86}"/>
                </c:ext>
              </c:extLst>
            </c:dLbl>
            <c:dLbl>
              <c:idx val="2"/>
              <c:layout>
                <c:manualLayout>
                  <c:x val="-6.6518706283346052E-2"/>
                  <c:y val="-9.33877107726066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11F-4192-B735-51605266CD86}"/>
                </c:ext>
              </c:extLst>
            </c:dLbl>
            <c:dLbl>
              <c:idx val="3"/>
              <c:layout>
                <c:manualLayout>
                  <c:x val="-0.25995064049829592"/>
                  <c:y val="5.96348449144586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11F-4192-B735-51605266CD86}"/>
                </c:ext>
              </c:extLst>
            </c:dLbl>
            <c:dLbl>
              <c:idx val="4"/>
              <c:layout>
                <c:manualLayout>
                  <c:x val="-0.27878342540200013"/>
                  <c:y val="2.60344464241239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11F-4192-B735-51605266CD86}"/>
                </c:ext>
              </c:extLst>
            </c:dLbl>
            <c:dLbl>
              <c:idx val="5"/>
              <c:layout>
                <c:manualLayout>
                  <c:x val="-0.14994572859823124"/>
                  <c:y val="5.96348449144586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11F-4192-B735-51605266CD86}"/>
                </c:ext>
              </c:extLst>
            </c:dLbl>
            <c:dLbl>
              <c:idx val="6"/>
              <c:layout>
                <c:manualLayout>
                  <c:x val="0"/>
                  <c:y val="6.761538019426403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11F-4192-B735-51605266CD86}"/>
                </c:ext>
              </c:extLst>
            </c:dLbl>
            <c:numFmt formatCode="0.0%" sourceLinked="0"/>
            <c:spPr>
              <a:noFill/>
              <a:ln>
                <a:noFill/>
              </a:ln>
              <a:effectLst/>
            </c:spPr>
            <c:txPr>
              <a:bodyPr rot="0" spcFirstLastPara="1" vertOverflow="ellipsis" vert="horz" wrap="square" anchor="ctr" anchorCtr="1"/>
              <a:lstStyle/>
              <a:p>
                <a:pPr>
                  <a:defRPr sz="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Ene</c:v>
                </c:pt>
                <c:pt idx="1">
                  <c:v>Feb</c:v>
                </c:pt>
                <c:pt idx="2">
                  <c:v>Mar</c:v>
                </c:pt>
                <c:pt idx="3">
                  <c:v>Abr</c:v>
                </c:pt>
                <c:pt idx="4">
                  <c:v>May</c:v>
                </c:pt>
                <c:pt idx="5">
                  <c:v>Jun</c:v>
                </c:pt>
                <c:pt idx="6">
                  <c:v>Jul</c:v>
                </c:pt>
              </c:strCache>
            </c:strRef>
          </c:cat>
          <c:val>
            <c:numRef>
              <c:f>Hoja1!$B$2:$B$8</c:f>
              <c:numCache>
                <c:formatCode>#,##0.000</c:formatCode>
                <c:ptCount val="7"/>
                <c:pt idx="0">
                  <c:v>5.1166451982252781E-2</c:v>
                </c:pt>
                <c:pt idx="1">
                  <c:v>5.649674204676125E-2</c:v>
                </c:pt>
                <c:pt idx="2">
                  <c:v>8.0541642546116954E-4</c:v>
                </c:pt>
                <c:pt idx="3">
                  <c:v>-4.0120210368144282E-2</c:v>
                </c:pt>
                <c:pt idx="4">
                  <c:v>-8.6918762971576635E-2</c:v>
                </c:pt>
                <c:pt idx="5">
                  <c:v>-9.5348319057285691E-2</c:v>
                </c:pt>
                <c:pt idx="6">
                  <c:v>-0.10273210273210265</c:v>
                </c:pt>
              </c:numCache>
            </c:numRef>
          </c:val>
          <c:smooth val="1"/>
          <c:extLst xmlns:c16r2="http://schemas.microsoft.com/office/drawing/2015/06/chart">
            <c:ext xmlns:c16="http://schemas.microsoft.com/office/drawing/2014/chart" uri="{C3380CC4-5D6E-409C-BE32-E72D297353CC}">
              <c16:uniqueId val="{00000006-711F-4192-B735-51605266CD86}"/>
            </c:ext>
          </c:extLst>
        </c:ser>
        <c:ser>
          <c:idx val="1"/>
          <c:order val="1"/>
          <c:tx>
            <c:strRef>
              <c:f>Hoja1!$C$1</c:f>
              <c:strCache>
                <c:ptCount val="1"/>
                <c:pt idx="0">
                  <c:v>Var. Contenedores</c:v>
                </c:pt>
              </c:strCache>
            </c:strRef>
          </c:tx>
          <c:spPr>
            <a:ln w="15875" cap="rnd">
              <a:solidFill>
                <a:srgbClr val="FF0000"/>
              </a:solidFill>
              <a:prstDash val="sysDash"/>
              <a:round/>
            </a:ln>
            <a:effectLst/>
          </c:spPr>
          <c:marker>
            <c:symbol val="circle"/>
            <c:size val="3"/>
            <c:spPr>
              <a:solidFill>
                <a:schemeClr val="lt1"/>
              </a:solidFill>
              <a:ln w="15875">
                <a:solidFill>
                  <a:srgbClr val="FF0000"/>
                </a:solidFill>
                <a:prstDash val="solid"/>
                <a:round/>
              </a:ln>
              <a:effectLst/>
            </c:spPr>
          </c:marker>
          <c:dLbls>
            <c:dLbl>
              <c:idx val="0"/>
              <c:layout>
                <c:manualLayout>
                  <c:x val="-0.11369019422074846"/>
                  <c:y val="0.1265206812652068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11F-4192-B735-51605266CD86}"/>
                </c:ext>
              </c:extLst>
            </c:dLbl>
            <c:dLbl>
              <c:idx val="1"/>
              <c:layout>
                <c:manualLayout>
                  <c:x val="-2.8422548555187159E-2"/>
                  <c:y val="-4.866180048661800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11F-4192-B735-51605266CD86}"/>
                </c:ext>
              </c:extLst>
            </c:dLbl>
            <c:dLbl>
              <c:idx val="2"/>
              <c:layout>
                <c:manualLayout>
                  <c:x val="-0.22738038844149697"/>
                  <c:y val="6.812652068126520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11F-4192-B735-51605266CD86}"/>
                </c:ext>
              </c:extLst>
            </c:dLbl>
            <c:dLbl>
              <c:idx val="3"/>
              <c:layout>
                <c:manualLayout>
                  <c:x val="-3.789673140691624E-2"/>
                  <c:y val="-0.107055961070559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11F-4192-B735-51605266CD86}"/>
                </c:ext>
              </c:extLst>
            </c:dLbl>
            <c:dLbl>
              <c:idx val="4"/>
              <c:layout>
                <c:manualLayout>
                  <c:x val="-4.7370914258645279E-2"/>
                  <c:y val="-7.78588807785887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11F-4192-B735-51605266CD86}"/>
                </c:ext>
              </c:extLst>
            </c:dLbl>
            <c:dLbl>
              <c:idx val="5"/>
              <c:layout>
                <c:manualLayout>
                  <c:x val="-5.6845097110374401E-2"/>
                  <c:y val="-4.866180048661809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11F-4192-B735-51605266CD86}"/>
                </c:ext>
              </c:extLst>
            </c:dLbl>
            <c:dLbl>
              <c:idx val="6"/>
              <c:layout>
                <c:manualLayout>
                  <c:x val="-0.12316437707247758"/>
                  <c:y val="1.9464720194647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11F-4192-B735-51605266CD8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5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Ene</c:v>
                </c:pt>
                <c:pt idx="1">
                  <c:v>Feb</c:v>
                </c:pt>
                <c:pt idx="2">
                  <c:v>Mar</c:v>
                </c:pt>
                <c:pt idx="3">
                  <c:v>Abr</c:v>
                </c:pt>
                <c:pt idx="4">
                  <c:v>May</c:v>
                </c:pt>
                <c:pt idx="5">
                  <c:v>Jun</c:v>
                </c:pt>
                <c:pt idx="6">
                  <c:v>Jul</c:v>
                </c:pt>
              </c:strCache>
            </c:strRef>
          </c:cat>
          <c:val>
            <c:numRef>
              <c:f>Hoja1!$C$2:$C$8</c:f>
              <c:numCache>
                <c:formatCode>#,##0.000</c:formatCode>
                <c:ptCount val="7"/>
                <c:pt idx="0">
                  <c:v>2.6507491777317541E-2</c:v>
                </c:pt>
                <c:pt idx="1">
                  <c:v>0.11191835534537262</c:v>
                </c:pt>
                <c:pt idx="2">
                  <c:v>-1.1895960253149554E-2</c:v>
                </c:pt>
                <c:pt idx="3">
                  <c:v>3.3562271854401613E-3</c:v>
                </c:pt>
                <c:pt idx="4">
                  <c:v>-9.8658446656193638E-3</c:v>
                </c:pt>
                <c:pt idx="5">
                  <c:v>-2.9495365287283307E-2</c:v>
                </c:pt>
                <c:pt idx="6">
                  <c:v>-4.9717462183273685E-2</c:v>
                </c:pt>
              </c:numCache>
            </c:numRef>
          </c:val>
          <c:smooth val="1"/>
          <c:extLst xmlns:c16r2="http://schemas.microsoft.com/office/drawing/2015/06/chart">
            <c:ext xmlns:c16="http://schemas.microsoft.com/office/drawing/2014/chart" uri="{C3380CC4-5D6E-409C-BE32-E72D297353CC}">
              <c16:uniqueId val="{0000000E-711F-4192-B735-51605266CD86}"/>
            </c:ext>
          </c:extLst>
        </c:ser>
        <c:dLbls>
          <c:showLegendKey val="0"/>
          <c:showVal val="0"/>
          <c:showCatName val="0"/>
          <c:showSerName val="0"/>
          <c:showPercent val="0"/>
          <c:showBubbleSize val="0"/>
        </c:dLbls>
        <c:marker val="1"/>
        <c:smooth val="0"/>
        <c:axId val="50513024"/>
        <c:axId val="50514560"/>
      </c:lineChart>
      <c:catAx>
        <c:axId val="5051302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0514560"/>
        <c:crosses val="autoZero"/>
        <c:auto val="1"/>
        <c:lblAlgn val="ctr"/>
        <c:lblOffset val="100"/>
        <c:noMultiLvlLbl val="0"/>
      </c:catAx>
      <c:valAx>
        <c:axId val="5051456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0513024"/>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
          <c:y val="0.90955426968637754"/>
          <c:w val="1"/>
          <c:h val="9.0445730313622422E-2"/>
        </c:manualLayout>
      </c:layout>
      <c:overlay val="0"/>
      <c:spPr>
        <a:noFill/>
        <a:ln>
          <a:noFill/>
        </a:ln>
        <a:effectLst/>
      </c:spPr>
      <c:txPr>
        <a:bodyPr rot="0" spcFirstLastPara="1" vertOverflow="ellipsis" vert="horz" wrap="square" anchor="ctr" anchorCtr="1"/>
        <a:lstStyle/>
        <a:p>
          <a:pPr>
            <a:defRPr sz="55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599700627972684E-2"/>
          <c:y val="3.082080649009783E-2"/>
          <c:w val="0.93540029937202729"/>
          <c:h val="0.83374015748031494"/>
        </c:manualLayout>
      </c:layout>
      <c:lineChart>
        <c:grouping val="standard"/>
        <c:varyColors val="0"/>
        <c:ser>
          <c:idx val="0"/>
          <c:order val="0"/>
          <c:tx>
            <c:strRef>
              <c:f>Hoja1!$B$1</c:f>
              <c:strCache>
                <c:ptCount val="1"/>
                <c:pt idx="0">
                  <c:v>Productividad IVA A junio</c:v>
                </c:pt>
              </c:strCache>
            </c:strRef>
          </c:tx>
          <c:marker>
            <c:symbol val="circle"/>
            <c:size val="7"/>
          </c:marker>
          <c:dLbls>
            <c:dLbl>
              <c:idx val="9"/>
              <c:layout>
                <c:manualLayout>
                  <c:x val="-5.2137232845894263E-2"/>
                  <c:y val="-9.378231337107835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289-40C9-A96A-5C681B43821C}"/>
                </c:ext>
              </c:extLst>
            </c:dLbl>
            <c:numFmt formatCode="0.0%" sourceLinked="0"/>
            <c:spPr>
              <a:noFill/>
              <a:ln>
                <a:noFill/>
              </a:ln>
              <a:effectLst/>
            </c:spPr>
            <c:txPr>
              <a:bodyPr/>
              <a:lstStyle/>
              <a:p>
                <a:pPr>
                  <a:defRPr sz="700" b="1">
                    <a:solidFill>
                      <a:srgbClr val="0070C0"/>
                    </a:solidFill>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Hoja1!$A$2:$A$13</c:f>
              <c:numCache>
                <c:formatCode>mmm\-yy</c:formatCode>
                <c:ptCount val="1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numCache>
            </c:numRef>
          </c:cat>
          <c:val>
            <c:numRef>
              <c:f>Hoja1!$B$2:$B$13</c:f>
              <c:numCache>
                <c:formatCode>0.0%</c:formatCode>
                <c:ptCount val="12"/>
                <c:pt idx="0">
                  <c:v>2.6507491777317593E-2</c:v>
                </c:pt>
                <c:pt idx="1">
                  <c:v>0.11191835534537264</c:v>
                </c:pt>
                <c:pt idx="2">
                  <c:v>-1.2413497367954052E-2</c:v>
                </c:pt>
                <c:pt idx="3">
                  <c:v>2.5488873126537914E-3</c:v>
                </c:pt>
                <c:pt idx="4">
                  <c:v>-1.0827695816863492E-2</c:v>
                </c:pt>
                <c:pt idx="5">
                  <c:v>-3.0298740995497231E-2</c:v>
                </c:pt>
                <c:pt idx="6">
                  <c:v>-5.0406979225836479E-2</c:v>
                </c:pt>
                <c:pt idx="7">
                  <c:v>-3.2498859969386173E-2</c:v>
                </c:pt>
                <c:pt idx="8">
                  <c:v>-2.1085035678404918E-2</c:v>
                </c:pt>
                <c:pt idx="9">
                  <c:v>-1.3549106886120765E-2</c:v>
                </c:pt>
                <c:pt idx="10">
                  <c:v>-1.9853943242493122E-2</c:v>
                </c:pt>
                <c:pt idx="11">
                  <c:v>-4.8488111124590505E-3</c:v>
                </c:pt>
              </c:numCache>
            </c:numRef>
          </c:val>
          <c:smooth val="1"/>
          <c:extLst xmlns:c16r2="http://schemas.microsoft.com/office/drawing/2015/06/chart">
            <c:ext xmlns:c16="http://schemas.microsoft.com/office/drawing/2014/chart" uri="{C3380CC4-5D6E-409C-BE32-E72D297353CC}">
              <c16:uniqueId val="{00000001-D289-40C9-A96A-5C681B43821C}"/>
            </c:ext>
          </c:extLst>
        </c:ser>
        <c:dLbls>
          <c:showLegendKey val="0"/>
          <c:showVal val="0"/>
          <c:showCatName val="0"/>
          <c:showSerName val="0"/>
          <c:showPercent val="0"/>
          <c:showBubbleSize val="0"/>
        </c:dLbls>
        <c:marker val="1"/>
        <c:smooth val="0"/>
        <c:axId val="186331904"/>
        <c:axId val="186333440"/>
      </c:lineChart>
      <c:dateAx>
        <c:axId val="186331904"/>
        <c:scaling>
          <c:orientation val="minMax"/>
        </c:scaling>
        <c:delete val="0"/>
        <c:axPos val="b"/>
        <c:numFmt formatCode="mmm\-yy" sourceLinked="1"/>
        <c:majorTickMark val="out"/>
        <c:minorTickMark val="none"/>
        <c:tickLblPos val="low"/>
        <c:spPr>
          <a:ln>
            <a:solidFill>
              <a:srgbClr val="FF0000"/>
            </a:solidFill>
          </a:ln>
        </c:spPr>
        <c:txPr>
          <a:bodyPr rot="-5400000" vert="horz"/>
          <a:lstStyle/>
          <a:p>
            <a:pPr>
              <a:defRPr sz="700" b="1"/>
            </a:pPr>
            <a:endParaRPr lang="es-ES"/>
          </a:p>
        </c:txPr>
        <c:crossAx val="186333440"/>
        <c:crosses val="autoZero"/>
        <c:auto val="1"/>
        <c:lblOffset val="100"/>
        <c:baseTimeUnit val="months"/>
      </c:dateAx>
      <c:valAx>
        <c:axId val="186333440"/>
        <c:scaling>
          <c:orientation val="minMax"/>
        </c:scaling>
        <c:delete val="0"/>
        <c:axPos val="l"/>
        <c:numFmt formatCode="0%" sourceLinked="0"/>
        <c:majorTickMark val="out"/>
        <c:minorTickMark val="none"/>
        <c:tickLblPos val="nextTo"/>
        <c:txPr>
          <a:bodyPr/>
          <a:lstStyle/>
          <a:p>
            <a:pPr>
              <a:defRPr sz="800"/>
            </a:pPr>
            <a:endParaRPr lang="es-ES"/>
          </a:p>
        </c:txPr>
        <c:crossAx val="186331904"/>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25232439165441"/>
          <c:y val="3.082080649009783E-2"/>
          <c:w val="0.85506970950665062"/>
          <c:h val="0.83374015748031494"/>
        </c:manualLayout>
      </c:layout>
      <c:lineChart>
        <c:grouping val="standard"/>
        <c:varyColors val="0"/>
        <c:ser>
          <c:idx val="0"/>
          <c:order val="0"/>
          <c:tx>
            <c:strRef>
              <c:f>Hoja1!$B$1</c:f>
              <c:strCache>
                <c:ptCount val="1"/>
                <c:pt idx="0">
                  <c:v>Productividad IVA A junio</c:v>
                </c:pt>
              </c:strCache>
            </c:strRef>
          </c:tx>
          <c:marker>
            <c:symbol val="circle"/>
            <c:size val="7"/>
          </c:marker>
          <c:dLbls>
            <c:dLbl>
              <c:idx val="0"/>
              <c:layout>
                <c:manualLayout>
                  <c:x val="-0.12881355932203392"/>
                  <c:y val="-7.777777777777779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B50-4C07-B5C5-7858F20DA8A5}"/>
                </c:ext>
              </c:extLst>
            </c:dLbl>
            <c:dLbl>
              <c:idx val="1"/>
              <c:layout>
                <c:manualLayout>
                  <c:x val="-2.0338983050847498E-2"/>
                  <c:y val="-1.212121212121214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B50-4C07-B5C5-7858F20DA8A5}"/>
                </c:ext>
              </c:extLst>
            </c:dLbl>
            <c:dLbl>
              <c:idx val="2"/>
              <c:layout>
                <c:manualLayout>
                  <c:x val="-6.7796610169491523E-3"/>
                  <c:y val="-4.242424242424242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B50-4C07-B5C5-7858F20DA8A5}"/>
                </c:ext>
              </c:extLst>
            </c:dLbl>
            <c:dLbl>
              <c:idx val="3"/>
              <c:layout>
                <c:manualLayout>
                  <c:x val="-0.21920903954802259"/>
                  <c:y val="-1.212121212121212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B50-4C07-B5C5-7858F20DA8A5}"/>
                </c:ext>
              </c:extLst>
            </c:dLbl>
            <c:dLbl>
              <c:idx val="4"/>
              <c:layout>
                <c:manualLayout>
                  <c:x val="-0.19209039548022599"/>
                  <c:y val="8.0808080808079889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B50-4C07-B5C5-7858F20DA8A5}"/>
                </c:ext>
              </c:extLst>
            </c:dLbl>
            <c:dLbl>
              <c:idx val="5"/>
              <c:layout>
                <c:manualLayout>
                  <c:x val="-9.7175141242937857E-2"/>
                  <c:y val="4.848484848484848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B50-4C07-B5C5-7858F20DA8A5}"/>
                </c:ext>
              </c:extLst>
            </c:dLbl>
            <c:dLbl>
              <c:idx val="6"/>
              <c:layout>
                <c:manualLayout>
                  <c:x val="-0.17401129943502833"/>
                  <c:y val="-5.03107908925178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B50-4C07-B5C5-7858F20DA8A5}"/>
                </c:ext>
              </c:extLst>
            </c:dLbl>
            <c:dLbl>
              <c:idx val="7"/>
              <c:layout>
                <c:manualLayout>
                  <c:x val="-7.4576271186440765E-2"/>
                  <c:y val="9.553159303362941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B50-4C07-B5C5-7858F20DA8A5}"/>
                </c:ext>
              </c:extLst>
            </c:dLbl>
            <c:dLbl>
              <c:idx val="8"/>
              <c:layout>
                <c:manualLayout>
                  <c:x val="-2.0755371680236541E-3"/>
                  <c:y val="-5.757575757575757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B50-4C07-B5C5-7858F20DA8A5}"/>
                </c:ext>
              </c:extLst>
            </c:dLbl>
            <c:numFmt formatCode="0.0%" sourceLinked="0"/>
            <c:spPr>
              <a:noFill/>
              <a:ln>
                <a:noFill/>
              </a:ln>
              <a:effectLst/>
            </c:spPr>
            <c:txPr>
              <a:bodyPr/>
              <a:lstStyle/>
              <a:p>
                <a:pPr>
                  <a:defRPr sz="800" b="1">
                    <a:solidFill>
                      <a:srgbClr val="0070C0"/>
                    </a:solidFill>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Hoja1!$B$2:$B$11</c:f>
              <c:numCache>
                <c:formatCode>0.0%</c:formatCode>
                <c:ptCount val="10"/>
                <c:pt idx="0">
                  <c:v>0.43934246712279074</c:v>
                </c:pt>
                <c:pt idx="1">
                  <c:v>0.44579238963386064</c:v>
                </c:pt>
                <c:pt idx="2">
                  <c:v>0.43777545071428492</c:v>
                </c:pt>
                <c:pt idx="3">
                  <c:v>0.43132037598123218</c:v>
                </c:pt>
                <c:pt idx="4">
                  <c:v>0.40739195009431622</c:v>
                </c:pt>
                <c:pt idx="5">
                  <c:v>0.40197818366380406</c:v>
                </c:pt>
                <c:pt idx="6">
                  <c:v>0.41471415207290102</c:v>
                </c:pt>
                <c:pt idx="7">
                  <c:v>0.42035043304096126</c:v>
                </c:pt>
                <c:pt idx="8">
                  <c:v>0.42230081777426604</c:v>
                </c:pt>
                <c:pt idx="9">
                  <c:v>0.40084415214050856</c:v>
                </c:pt>
              </c:numCache>
            </c:numRef>
          </c:val>
          <c:smooth val="1"/>
          <c:extLst xmlns:c16r2="http://schemas.microsoft.com/office/drawing/2015/06/chart">
            <c:ext xmlns:c16="http://schemas.microsoft.com/office/drawing/2014/chart" uri="{C3380CC4-5D6E-409C-BE32-E72D297353CC}">
              <c16:uniqueId val="{00000009-CB50-4C07-B5C5-7858F20DA8A5}"/>
            </c:ext>
          </c:extLst>
        </c:ser>
        <c:dLbls>
          <c:showLegendKey val="0"/>
          <c:showVal val="0"/>
          <c:showCatName val="0"/>
          <c:showSerName val="0"/>
          <c:showPercent val="0"/>
          <c:showBubbleSize val="0"/>
        </c:dLbls>
        <c:marker val="1"/>
        <c:smooth val="0"/>
        <c:axId val="197789568"/>
        <c:axId val="197791104"/>
      </c:lineChart>
      <c:catAx>
        <c:axId val="197789568"/>
        <c:scaling>
          <c:orientation val="minMax"/>
        </c:scaling>
        <c:delete val="0"/>
        <c:axPos val="b"/>
        <c:numFmt formatCode="General" sourceLinked="1"/>
        <c:majorTickMark val="out"/>
        <c:minorTickMark val="none"/>
        <c:tickLblPos val="low"/>
        <c:txPr>
          <a:bodyPr rot="-5400000" vert="horz"/>
          <a:lstStyle/>
          <a:p>
            <a:pPr>
              <a:defRPr sz="700" b="0"/>
            </a:pPr>
            <a:endParaRPr lang="es-ES"/>
          </a:p>
        </c:txPr>
        <c:crossAx val="197791104"/>
        <c:crosses val="autoZero"/>
        <c:auto val="1"/>
        <c:lblAlgn val="ctr"/>
        <c:lblOffset val="100"/>
        <c:noMultiLvlLbl val="0"/>
      </c:catAx>
      <c:valAx>
        <c:axId val="197791104"/>
        <c:scaling>
          <c:orientation val="minMax"/>
          <c:min val="0.39000000000000007"/>
        </c:scaling>
        <c:delete val="0"/>
        <c:axPos val="l"/>
        <c:numFmt formatCode="0%" sourceLinked="0"/>
        <c:majorTickMark val="out"/>
        <c:minorTickMark val="none"/>
        <c:tickLblPos val="nextTo"/>
        <c:txPr>
          <a:bodyPr/>
          <a:lstStyle/>
          <a:p>
            <a:pPr>
              <a:defRPr sz="800"/>
            </a:pPr>
            <a:endParaRPr lang="es-ES"/>
          </a:p>
        </c:txPr>
        <c:crossAx val="197789568"/>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6040304283999"/>
          <c:y val="3.082080649009783E-2"/>
          <c:w val="0.87461755416166198"/>
          <c:h val="0.82266882587952372"/>
        </c:manualLayout>
      </c:layout>
      <c:lineChart>
        <c:grouping val="standard"/>
        <c:varyColors val="0"/>
        <c:ser>
          <c:idx val="0"/>
          <c:order val="0"/>
          <c:tx>
            <c:strRef>
              <c:f>Hoja1!$B$1</c:f>
              <c:strCache>
                <c:ptCount val="1"/>
                <c:pt idx="0">
                  <c:v>IVA dom</c:v>
                </c:pt>
              </c:strCache>
            </c:strRef>
          </c:tx>
          <c:marker>
            <c:symbol val="circle"/>
            <c:size val="7"/>
          </c:marker>
          <c:dLbls>
            <c:dLbl>
              <c:idx val="9"/>
              <c:layout>
                <c:manualLayout>
                  <c:x val="-9.9700303419519376E-4"/>
                  <c:y val="8.308080808080799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871-4DC5-9A6D-6D7B727B5D94}"/>
                </c:ext>
              </c:extLst>
            </c:dLbl>
            <c:spPr>
              <a:noFill/>
              <a:ln>
                <a:noFill/>
              </a:ln>
              <a:effectLst/>
            </c:spPr>
            <c:txPr>
              <a:bodyPr/>
              <a:lstStyle/>
              <a:p>
                <a:pPr>
                  <a:defRPr sz="600" b="1">
                    <a:solidFill>
                      <a:srgbClr val="0070C0"/>
                    </a:solidFill>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Hoja1!$B$2:$B$11</c:f>
              <c:numCache>
                <c:formatCode>0.0%</c:formatCode>
                <c:ptCount val="10"/>
                <c:pt idx="0">
                  <c:v>0.17137158206938063</c:v>
                </c:pt>
                <c:pt idx="1">
                  <c:v>0.17790142934391079</c:v>
                </c:pt>
                <c:pt idx="2">
                  <c:v>0.18545434250444362</c:v>
                </c:pt>
                <c:pt idx="3">
                  <c:v>0.1880550497079311</c:v>
                </c:pt>
                <c:pt idx="4">
                  <c:v>0.18717649418733315</c:v>
                </c:pt>
                <c:pt idx="5">
                  <c:v>0.19768839857445863</c:v>
                </c:pt>
                <c:pt idx="6">
                  <c:v>0.20541461239471651</c:v>
                </c:pt>
                <c:pt idx="7">
                  <c:v>0.20103799372168107</c:v>
                </c:pt>
                <c:pt idx="8">
                  <c:v>0.20622660760170622</c:v>
                </c:pt>
                <c:pt idx="9">
                  <c:v>0.20449085500145175</c:v>
                </c:pt>
              </c:numCache>
            </c:numRef>
          </c:val>
          <c:smooth val="1"/>
          <c:extLst xmlns:c16r2="http://schemas.microsoft.com/office/drawing/2015/06/chart">
            <c:ext xmlns:c16="http://schemas.microsoft.com/office/drawing/2014/chart" uri="{C3380CC4-5D6E-409C-BE32-E72D297353CC}">
              <c16:uniqueId val="{00000001-2871-4DC5-9A6D-6D7B727B5D94}"/>
            </c:ext>
          </c:extLst>
        </c:ser>
        <c:ser>
          <c:idx val="1"/>
          <c:order val="1"/>
          <c:tx>
            <c:strRef>
              <c:f>Hoja1!$C$1</c:f>
              <c:strCache>
                <c:ptCount val="1"/>
                <c:pt idx="0">
                  <c:v>IVA imp</c:v>
                </c:pt>
              </c:strCache>
            </c:strRef>
          </c:tx>
          <c:spPr>
            <a:ln>
              <a:solidFill>
                <a:srgbClr val="FF0000"/>
              </a:solidFill>
            </a:ln>
          </c:spPr>
          <c:marker>
            <c:symbol val="circle"/>
            <c:size val="6"/>
            <c:spPr>
              <a:solidFill>
                <a:srgbClr val="FF0000"/>
              </a:solidFill>
            </c:spPr>
          </c:marker>
          <c:dLbls>
            <c:dLbl>
              <c:idx val="9"/>
              <c:layout>
                <c:manualLayout>
                  <c:x val="-9.9700303419519376E-4"/>
                  <c:y val="-9.570707070707065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871-4DC5-9A6D-6D7B727B5D94}"/>
                </c:ext>
              </c:extLst>
            </c:dLbl>
            <c:spPr>
              <a:noFill/>
              <a:ln>
                <a:noFill/>
              </a:ln>
              <a:effectLst/>
            </c:spPr>
            <c:txPr>
              <a:bodyPr/>
              <a:lstStyle/>
              <a:p>
                <a:pPr>
                  <a:defRPr sz="600" b="1">
                    <a:solidFill>
                      <a:srgbClr val="FF0000"/>
                    </a:solidFill>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Hoja1!$C$2:$C$11</c:f>
              <c:numCache>
                <c:formatCode>0.0%</c:formatCode>
                <c:ptCount val="10"/>
                <c:pt idx="0">
                  <c:v>0.26797088505341005</c:v>
                </c:pt>
                <c:pt idx="1">
                  <c:v>0.2678909602899498</c:v>
                </c:pt>
                <c:pt idx="2">
                  <c:v>0.25232110820984122</c:v>
                </c:pt>
                <c:pt idx="3">
                  <c:v>0.24326532627330111</c:v>
                </c:pt>
                <c:pt idx="4">
                  <c:v>0.2202154559069831</c:v>
                </c:pt>
                <c:pt idx="5">
                  <c:v>0.20428978508934542</c:v>
                </c:pt>
                <c:pt idx="6">
                  <c:v>0.20929953967818446</c:v>
                </c:pt>
                <c:pt idx="7">
                  <c:v>0.21931243931928032</c:v>
                </c:pt>
                <c:pt idx="8">
                  <c:v>0.2160742101725599</c:v>
                </c:pt>
                <c:pt idx="9">
                  <c:v>0.1963532971390568</c:v>
                </c:pt>
              </c:numCache>
            </c:numRef>
          </c:val>
          <c:smooth val="0"/>
          <c:extLst xmlns:c16r2="http://schemas.microsoft.com/office/drawing/2015/06/chart">
            <c:ext xmlns:c16="http://schemas.microsoft.com/office/drawing/2014/chart" uri="{C3380CC4-5D6E-409C-BE32-E72D297353CC}">
              <c16:uniqueId val="{00000003-2871-4DC5-9A6D-6D7B727B5D94}"/>
            </c:ext>
          </c:extLst>
        </c:ser>
        <c:dLbls>
          <c:showLegendKey val="0"/>
          <c:showVal val="0"/>
          <c:showCatName val="0"/>
          <c:showSerName val="0"/>
          <c:showPercent val="0"/>
          <c:showBubbleSize val="0"/>
        </c:dLbls>
        <c:marker val="1"/>
        <c:smooth val="0"/>
        <c:axId val="197834624"/>
        <c:axId val="197836160"/>
      </c:lineChart>
      <c:catAx>
        <c:axId val="197834624"/>
        <c:scaling>
          <c:orientation val="minMax"/>
        </c:scaling>
        <c:delete val="0"/>
        <c:axPos val="b"/>
        <c:numFmt formatCode="General" sourceLinked="1"/>
        <c:majorTickMark val="out"/>
        <c:minorTickMark val="none"/>
        <c:tickLblPos val="nextTo"/>
        <c:txPr>
          <a:bodyPr rot="-5400000" vert="horz"/>
          <a:lstStyle/>
          <a:p>
            <a:pPr>
              <a:defRPr sz="700" b="0"/>
            </a:pPr>
            <a:endParaRPr lang="es-ES"/>
          </a:p>
        </c:txPr>
        <c:crossAx val="197836160"/>
        <c:crosses val="autoZero"/>
        <c:auto val="1"/>
        <c:lblAlgn val="ctr"/>
        <c:lblOffset val="100"/>
        <c:noMultiLvlLbl val="0"/>
      </c:catAx>
      <c:valAx>
        <c:axId val="197836160"/>
        <c:scaling>
          <c:orientation val="minMax"/>
          <c:min val="0.12000000000000001"/>
        </c:scaling>
        <c:delete val="0"/>
        <c:axPos val="l"/>
        <c:numFmt formatCode="0%" sourceLinked="0"/>
        <c:majorTickMark val="out"/>
        <c:minorTickMark val="none"/>
        <c:tickLblPos val="nextTo"/>
        <c:txPr>
          <a:bodyPr/>
          <a:lstStyle/>
          <a:p>
            <a:pPr>
              <a:defRPr sz="800" b="0"/>
            </a:pPr>
            <a:endParaRPr lang="es-ES"/>
          </a:p>
        </c:txPr>
        <c:crossAx val="197834624"/>
        <c:crosses val="autoZero"/>
        <c:crossBetween val="between"/>
      </c:valAx>
    </c:plotArea>
    <c:legend>
      <c:legendPos val="b"/>
      <c:layout>
        <c:manualLayout>
          <c:xMode val="edge"/>
          <c:yMode val="edge"/>
          <c:x val="0.27030732860520096"/>
          <c:y val="0.76785771096794708"/>
          <c:w val="0.65507789492415147"/>
          <c:h val="8.5677642567406342E-2"/>
        </c:manualLayout>
      </c:layout>
      <c:overlay val="0"/>
      <c:txPr>
        <a:bodyPr/>
        <a:lstStyle/>
        <a:p>
          <a:pPr>
            <a:defRPr b="1"/>
          </a:pPr>
          <a:endParaRPr lang="es-ES"/>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24776427833399"/>
          <c:y val="0.16722033711413062"/>
          <c:w val="0.87428795382477642"/>
          <c:h val="0.66274803650816738"/>
        </c:manualLayout>
      </c:layout>
      <c:lineChart>
        <c:grouping val="standard"/>
        <c:varyColors val="0"/>
        <c:ser>
          <c:idx val="0"/>
          <c:order val="0"/>
          <c:tx>
            <c:strRef>
              <c:f>Hoja1!$B$1</c:f>
              <c:strCache>
                <c:ptCount val="1"/>
                <c:pt idx="0">
                  <c:v>Carga Trib</c:v>
                </c:pt>
              </c:strCache>
            </c:strRef>
          </c:tx>
          <c:spPr>
            <a:ln>
              <a:solidFill>
                <a:schemeClr val="tx1"/>
              </a:solidFill>
            </a:ln>
          </c:spPr>
          <c:marker>
            <c:symbol val="circle"/>
            <c:size val="5"/>
            <c:spPr>
              <a:solidFill>
                <a:schemeClr val="tx1"/>
              </a:solidFill>
            </c:spPr>
          </c:marker>
          <c:dLbls>
            <c:dLbl>
              <c:idx val="0"/>
              <c:layout>
                <c:manualLayout>
                  <c:x val="-4.1835699797160245E-2"/>
                  <c:y val="5.20529504150773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73B-43E6-B811-7370A265AFFE}"/>
                </c:ext>
              </c:extLst>
            </c:dLbl>
            <c:dLbl>
              <c:idx val="1"/>
              <c:layout>
                <c:manualLayout>
                  <c:x val="-5.4513184584178496E-2"/>
                  <c:y val="-5.115548575274848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73B-43E6-B811-7370A265AFFE}"/>
                </c:ext>
              </c:extLst>
            </c:dLbl>
            <c:dLbl>
              <c:idx val="2"/>
              <c:layout>
                <c:manualLayout>
                  <c:x val="-3.8032454361054766E-3"/>
                  <c:y val="-2.871886919452546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73B-43E6-B811-7370A265AFFE}"/>
                </c:ext>
              </c:extLst>
            </c:dLbl>
            <c:dLbl>
              <c:idx val="4"/>
              <c:layout>
                <c:manualLayout>
                  <c:x val="-4.9442190669371194E-2"/>
                  <c:y val="-5.56428090643930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73B-43E6-B811-7370A265AFFE}"/>
                </c:ext>
              </c:extLst>
            </c:dLbl>
            <c:dLbl>
              <c:idx val="6"/>
              <c:layout>
                <c:manualLayout>
                  <c:x val="-4.9327354260089683E-2"/>
                  <c:y val="-4.577656675749323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73B-43E6-B811-7370A265AFFE}"/>
                </c:ext>
              </c:extLst>
            </c:dLbl>
            <c:dLbl>
              <c:idx val="7"/>
              <c:layout>
                <c:manualLayout>
                  <c:x val="-0.11808669656203288"/>
                  <c:y val="4.141689373297002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73B-43E6-B811-7370A265AFFE}"/>
                </c:ext>
              </c:extLst>
            </c:dLbl>
            <c:dLbl>
              <c:idx val="8"/>
              <c:layout>
                <c:manualLayout>
                  <c:x val="-9.5461318456269206E-2"/>
                  <c:y val="8.7193460490463219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73B-43E6-B811-7370A265AFFE}"/>
                </c:ext>
              </c:extLst>
            </c:dLbl>
            <c:numFmt formatCode="0.0%" sourceLinked="0"/>
            <c:spPr>
              <a:noFill/>
              <a:ln>
                <a:noFill/>
              </a:ln>
              <a:effectLst/>
            </c:spPr>
            <c:txPr>
              <a:bodyPr/>
              <a:lstStyle/>
              <a:p>
                <a:pPr>
                  <a:defRPr sz="800" b="1"/>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Hoja1!$A$2:$A$10</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Hoja1!$B$2:$B$10</c:f>
              <c:numCache>
                <c:formatCode>0.00%</c:formatCode>
                <c:ptCount val="9"/>
                <c:pt idx="0">
                  <c:v>0.10953264737896941</c:v>
                </c:pt>
                <c:pt idx="1">
                  <c:v>0.11128101557307478</c:v>
                </c:pt>
                <c:pt idx="2">
                  <c:v>0.10975635860671257</c:v>
                </c:pt>
                <c:pt idx="3">
                  <c:v>0.10447132107290816</c:v>
                </c:pt>
                <c:pt idx="4">
                  <c:v>0.10778739581375095</c:v>
                </c:pt>
                <c:pt idx="5">
                  <c:v>0.10772335588957116</c:v>
                </c:pt>
                <c:pt idx="6">
                  <c:v>0.10701466812499047</c:v>
                </c:pt>
                <c:pt idx="7">
                  <c:v>0.10601587719705946</c:v>
                </c:pt>
                <c:pt idx="8">
                  <c:v>0.10100000000000001</c:v>
                </c:pt>
              </c:numCache>
            </c:numRef>
          </c:val>
          <c:smooth val="0"/>
          <c:extLst xmlns:c16r2="http://schemas.microsoft.com/office/drawing/2015/06/chart">
            <c:ext xmlns:c16="http://schemas.microsoft.com/office/drawing/2014/chart" uri="{C3380CC4-5D6E-409C-BE32-E72D297353CC}">
              <c16:uniqueId val="{00000007-173B-43E6-B811-7370A265AFFE}"/>
            </c:ext>
          </c:extLst>
        </c:ser>
        <c:dLbls>
          <c:showLegendKey val="0"/>
          <c:showVal val="0"/>
          <c:showCatName val="0"/>
          <c:showSerName val="0"/>
          <c:showPercent val="0"/>
          <c:showBubbleSize val="0"/>
        </c:dLbls>
        <c:marker val="1"/>
        <c:smooth val="0"/>
        <c:axId val="198052480"/>
        <c:axId val="197730688"/>
      </c:lineChart>
      <c:catAx>
        <c:axId val="198052480"/>
        <c:scaling>
          <c:orientation val="minMax"/>
        </c:scaling>
        <c:delete val="0"/>
        <c:axPos val="b"/>
        <c:numFmt formatCode="General" sourceLinked="1"/>
        <c:majorTickMark val="out"/>
        <c:minorTickMark val="none"/>
        <c:tickLblPos val="low"/>
        <c:txPr>
          <a:bodyPr/>
          <a:lstStyle/>
          <a:p>
            <a:pPr>
              <a:defRPr sz="800" b="0"/>
            </a:pPr>
            <a:endParaRPr lang="es-ES"/>
          </a:p>
        </c:txPr>
        <c:crossAx val="197730688"/>
        <c:crosses val="autoZero"/>
        <c:auto val="1"/>
        <c:lblAlgn val="ctr"/>
        <c:lblOffset val="100"/>
        <c:noMultiLvlLbl val="0"/>
      </c:catAx>
      <c:valAx>
        <c:axId val="197730688"/>
        <c:scaling>
          <c:orientation val="minMax"/>
          <c:min val="0.1"/>
        </c:scaling>
        <c:delete val="0"/>
        <c:axPos val="l"/>
        <c:numFmt formatCode="0.0%" sourceLinked="0"/>
        <c:majorTickMark val="out"/>
        <c:minorTickMark val="none"/>
        <c:tickLblPos val="nextTo"/>
        <c:txPr>
          <a:bodyPr/>
          <a:lstStyle/>
          <a:p>
            <a:pPr>
              <a:defRPr sz="800" b="0"/>
            </a:pPr>
            <a:endParaRPr lang="es-ES"/>
          </a:p>
        </c:txPr>
        <c:crossAx val="198052480"/>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0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601642303559872"/>
          <c:y val="0.28034105204305076"/>
          <c:w val="0.65718461362207825"/>
          <c:h val="0.54506641303847581"/>
        </c:manualLayout>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54-4E96-A09A-C07C2C6220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54-4E96-A09A-C07C2C6220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54-4E96-A09A-C07C2C6220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54-4E96-A09A-C07C2C6220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54-4E96-A09A-C07C2C622008}"/>
              </c:ext>
            </c:extLst>
          </c:dPt>
          <c:dLbls>
            <c:dLbl>
              <c:idx val="0"/>
              <c:layout>
                <c:manualLayout>
                  <c:x val="-1.7466505243667913E-3"/>
                  <c:y val="0.1144167026435916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36390687904778568"/>
                      <c:h val="0.12526563402547652"/>
                    </c:manualLayout>
                  </c15:layout>
                </c:ext>
                <c:ext xmlns:c16="http://schemas.microsoft.com/office/drawing/2014/chart" uri="{C3380CC4-5D6E-409C-BE32-E72D297353CC}">
                  <c16:uniqueId val="{00000001-AC54-4E96-A09A-C07C2C622008}"/>
                </c:ext>
              </c:extLst>
            </c:dLbl>
            <c:dLbl>
              <c:idx val="1"/>
              <c:layout>
                <c:manualLayout>
                  <c:x val="1.5481745473911712E-7"/>
                  <c:y val="-0.21270997192704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38953264484509015"/>
                      <c:h val="0.22157335907335907"/>
                    </c:manualLayout>
                  </c15:layout>
                </c:ext>
                <c:ext xmlns:c16="http://schemas.microsoft.com/office/drawing/2014/chart" uri="{C3380CC4-5D6E-409C-BE32-E72D297353CC}">
                  <c16:uniqueId val="{00000003-AC54-4E96-A09A-C07C2C622008}"/>
                </c:ext>
              </c:extLst>
            </c:dLbl>
            <c:dLbl>
              <c:idx val="2"/>
              <c:layout>
                <c:manualLayout>
                  <c:x val="-9.5396326378159466E-2"/>
                  <c:y val="-0.1595277431026430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30071766147383161"/>
                      <c:h val="0.16891884851822631"/>
                    </c:manualLayout>
                  </c15:layout>
                </c:ext>
                <c:ext xmlns:c16="http://schemas.microsoft.com/office/drawing/2014/chart" uri="{C3380CC4-5D6E-409C-BE32-E72D297353CC}">
                  <c16:uniqueId val="{00000005-AC54-4E96-A09A-C07C2C622008}"/>
                </c:ext>
              </c:extLst>
            </c:dLbl>
            <c:dLbl>
              <c:idx val="3"/>
              <c:layout>
                <c:manualLayout>
                  <c:x val="0"/>
                  <c:y val="-7.894426417397262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18606686504463504"/>
                      <c:h val="0.17374517374517376"/>
                    </c:manualLayout>
                  </c15:layout>
                </c:ext>
                <c:ext xmlns:c16="http://schemas.microsoft.com/office/drawing/2014/chart" uri="{C3380CC4-5D6E-409C-BE32-E72D297353CC}">
                  <c16:uniqueId val="{00000007-AC54-4E96-A09A-C07C2C622008}"/>
                </c:ext>
              </c:extLst>
            </c:dLbl>
            <c:dLbl>
              <c:idx val="4"/>
              <c:layout>
                <c:manualLayout>
                  <c:x val="-3.4137248769989739E-4"/>
                  <c:y val="6.249246676060834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0936446921029672"/>
                      <c:h val="0.1735281822880248"/>
                    </c:manualLayout>
                  </c15:layout>
                </c:ext>
                <c:ext xmlns:c16="http://schemas.microsoft.com/office/drawing/2014/chart" uri="{C3380CC4-5D6E-409C-BE32-E72D297353CC}">
                  <c16:uniqueId val="{00000009-AC54-4E96-A09A-C07C2C622008}"/>
                </c:ext>
              </c:extLst>
            </c:dLbl>
            <c:numFmt formatCode="0.0%" sourceLinked="0"/>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Hoja1!$A$2:$A$6</c:f>
              <c:strCache>
                <c:ptCount val="5"/>
                <c:pt idx="0">
                  <c:v>Ingresos no Tributarios</c:v>
                </c:pt>
                <c:pt idx="1">
                  <c:v>Contribuciones a la Seguridad y Previsión Social</c:v>
                </c:pt>
                <c:pt idx="2">
                  <c:v>Venta de Bienes y Servicios de la Administración Pública</c:v>
                </c:pt>
                <c:pt idx="3">
                  <c:v>Rentas de la Propiedad</c:v>
                </c:pt>
                <c:pt idx="4">
                  <c:v>Transferencias Corrientes</c:v>
                </c:pt>
              </c:strCache>
            </c:strRef>
          </c:cat>
          <c:val>
            <c:numRef>
              <c:f>Hoja1!$B$2:$B$6</c:f>
              <c:numCache>
                <c:formatCode>General</c:formatCode>
                <c:ptCount val="5"/>
                <c:pt idx="0">
                  <c:v>607.47262341999999</c:v>
                </c:pt>
                <c:pt idx="1">
                  <c:v>2558.3941977599998</c:v>
                </c:pt>
                <c:pt idx="2">
                  <c:v>362.09760392000004</c:v>
                </c:pt>
                <c:pt idx="3">
                  <c:v>164.84326895000001</c:v>
                </c:pt>
                <c:pt idx="4">
                  <c:v>76.787781679999995</c:v>
                </c:pt>
              </c:numCache>
            </c:numRef>
          </c:val>
          <c:extLst xmlns:c16r2="http://schemas.microsoft.com/office/drawing/2015/06/chart">
            <c:ext xmlns:c16="http://schemas.microsoft.com/office/drawing/2014/chart" uri="{C3380CC4-5D6E-409C-BE32-E72D297353CC}">
              <c16:uniqueId val="{0000000A-AC54-4E96-A09A-C07C2C622008}"/>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442165063811205E-2"/>
          <c:y val="2.0876531573986806E-2"/>
          <c:w val="0.94055783493618883"/>
          <c:h val="0.72083682753604905"/>
        </c:manualLayout>
      </c:layout>
      <c:barChart>
        <c:barDir val="col"/>
        <c:grouping val="clustered"/>
        <c:varyColors val="0"/>
        <c:ser>
          <c:idx val="4"/>
          <c:order val="4"/>
          <c:tx>
            <c:strRef>
              <c:f>Sheet1!$F$1</c:f>
              <c:strCache>
                <c:ptCount val="1"/>
                <c:pt idx="0">
                  <c:v>2020</c:v>
                </c:pt>
              </c:strCache>
            </c:strRef>
          </c:tx>
          <c:spPr>
            <a:solidFill>
              <a:schemeClr val="accent5"/>
            </a:solidFill>
            <a:ln>
              <a:noFill/>
            </a:ln>
            <a:effectLst>
              <a:outerShdw blurRad="50800" dist="38100" algn="l" rotWithShape="0">
                <a:prstClr val="black">
                  <a:alpha val="40000"/>
                </a:prstClr>
              </a:outerShdw>
            </a:effectLst>
            <a:scene3d>
              <a:camera prst="orthographicFront"/>
              <a:lightRig rig="threePt" dir="t"/>
            </a:scene3d>
            <a:sp3d/>
          </c:spPr>
          <c:invertIfNegative val="0"/>
          <c:dPt>
            <c:idx val="12"/>
            <c:invertIfNegative val="0"/>
            <c:bubble3D val="0"/>
            <c:spPr>
              <a:solidFill>
                <a:srgbClr val="FF0000"/>
              </a:solidFill>
              <a:ln>
                <a:noFill/>
              </a:ln>
              <a:effectLst>
                <a:outerShdw blurRad="50800" dist="38100" algn="l" rotWithShape="0">
                  <a:prstClr val="black">
                    <a:alpha val="40000"/>
                  </a:prstClr>
                </a:outerShdw>
              </a:effectLst>
              <a:scene3d>
                <a:camera prst="orthographicFront"/>
                <a:lightRig rig="threePt" dir="t"/>
              </a:scene3d>
              <a:sp3d/>
            </c:spPr>
            <c:extLst xmlns:c16r2="http://schemas.microsoft.com/office/drawing/2015/06/chart">
              <c:ext xmlns:c16="http://schemas.microsoft.com/office/drawing/2014/chart" uri="{C3380CC4-5D6E-409C-BE32-E72D297353CC}">
                <c16:uniqueId val="{00000001-974E-411A-B9E7-374D2300E2C7}"/>
              </c:ext>
            </c:extLst>
          </c:dPt>
          <c:dLbls>
            <c:dLbl>
              <c:idx val="0"/>
              <c:layout>
                <c:manualLayout>
                  <c:x val="0"/>
                  <c:y val="1.19047619047619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74E-411A-B9E7-374D2300E2C7}"/>
                </c:ext>
              </c:extLst>
            </c:dLbl>
            <c:dLbl>
              <c:idx val="1"/>
              <c:layout>
                <c:manualLayout>
                  <c:x val="2.3148148148148147E-3"/>
                  <c:y val="1.58730158730157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74E-411A-B9E7-374D2300E2C7}"/>
                </c:ext>
              </c:extLst>
            </c:dLbl>
            <c:dLbl>
              <c:idx val="2"/>
              <c:layout>
                <c:manualLayout>
                  <c:x val="0"/>
                  <c:y val="-1.9841269841269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74E-411A-B9E7-374D2300E2C7}"/>
                </c:ext>
              </c:extLst>
            </c:dLbl>
            <c:dLbl>
              <c:idx val="12"/>
              <c:layout>
                <c:manualLayout>
                  <c:x val="-1.6975112544026657E-16"/>
                  <c:y val="-1.1904761904761977E-2"/>
                </c:manualLayout>
              </c:layout>
              <c:spPr>
                <a:solidFill>
                  <a:srgbClr val="C00000"/>
                </a:solidFill>
                <a:ln>
                  <a:noFill/>
                </a:ln>
                <a:effectLst/>
              </c:spPr>
              <c:txPr>
                <a:bodyPr rot="0" spcFirstLastPara="1" vertOverflow="ellipsis" vert="horz" wrap="square" anchor="ctr" anchorCtr="1"/>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74E-411A-B9E7-374D2300E2C7}"/>
                </c:ext>
              </c:extLst>
            </c:dLbl>
            <c:spPr>
              <a:noFill/>
              <a:ln>
                <a:noFill/>
              </a:ln>
              <a:effectLst/>
            </c:spPr>
            <c:txPr>
              <a:bodyPr rot="0" spcFirstLastPara="1" vertOverflow="ellipsis" vert="horz" wrap="square" anchor="ctr" anchorCtr="1"/>
              <a:lstStyle/>
              <a:p>
                <a:pPr>
                  <a:defRPr sz="800" b="1" i="0" u="none" strike="noStrike" kern="1200" baseline="0">
                    <a:solidFill>
                      <a:schemeClr val="accent5">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Sheet1!$F$2:$F$14</c:f>
              <c:numCache>
                <c:formatCode>0.0</c:formatCode>
                <c:ptCount val="13"/>
                <c:pt idx="0">
                  <c:v>4.8191861258905817</c:v>
                </c:pt>
                <c:pt idx="1">
                  <c:v>9.5655130970186519E-2</c:v>
                </c:pt>
                <c:pt idx="2">
                  <c:v>2.3974325379896584</c:v>
                </c:pt>
                <c:pt idx="3">
                  <c:v>-1.9848700717106169</c:v>
                </c:pt>
                <c:pt idx="4">
                  <c:v>4.2224631181484256</c:v>
                </c:pt>
                <c:pt idx="5">
                  <c:v>9.0680434021580965</c:v>
                </c:pt>
                <c:pt idx="6">
                  <c:v>10.232293442045986</c:v>
                </c:pt>
                <c:pt idx="7">
                  <c:v>12.533229099769343</c:v>
                </c:pt>
                <c:pt idx="8">
                  <c:v>14.872198669992656</c:v>
                </c:pt>
                <c:pt idx="9">
                  <c:v>14.678379762438269</c:v>
                </c:pt>
                <c:pt idx="10">
                  <c:v>15.472802612662733</c:v>
                </c:pt>
                <c:pt idx="11">
                  <c:v>17.151091678742532</c:v>
                </c:pt>
                <c:pt idx="12">
                  <c:v>0.20372339638619508</c:v>
                </c:pt>
              </c:numCache>
            </c:numRef>
          </c:val>
          <c:extLst xmlns:c16r2="http://schemas.microsoft.com/office/drawing/2015/06/chart">
            <c:ext xmlns:c16="http://schemas.microsoft.com/office/drawing/2014/chart" uri="{C3380CC4-5D6E-409C-BE32-E72D297353CC}">
              <c16:uniqueId val="{00000005-974E-411A-B9E7-374D2300E2C7}"/>
            </c:ext>
          </c:extLst>
        </c:ser>
        <c:dLbls>
          <c:showLegendKey val="0"/>
          <c:showVal val="0"/>
          <c:showCatName val="0"/>
          <c:showSerName val="0"/>
          <c:showPercent val="0"/>
          <c:showBubbleSize val="0"/>
        </c:dLbls>
        <c:gapWidth val="84"/>
        <c:axId val="198187648"/>
        <c:axId val="198193536"/>
      </c:barChart>
      <c:lineChart>
        <c:grouping val="standard"/>
        <c:varyColors val="0"/>
        <c:ser>
          <c:idx val="0"/>
          <c:order val="0"/>
          <c:tx>
            <c:strRef>
              <c:f>Sheet1!$B$1</c:f>
              <c:strCache>
                <c:ptCount val="1"/>
                <c:pt idx="0">
                  <c:v>2016</c:v>
                </c:pt>
              </c:strCache>
            </c:strRef>
          </c:tx>
          <c:spPr>
            <a:ln w="38100" cap="rnd">
              <a:solidFill>
                <a:schemeClr val="accent1"/>
              </a:solidFill>
              <a:prstDash val="lgDashDot"/>
              <a:round/>
            </a:ln>
            <a:effectLst/>
          </c:spPr>
          <c:marker>
            <c:symbol val="none"/>
          </c:marker>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Sheet1!$B$2:$B$14</c:f>
              <c:numCache>
                <c:formatCode>General</c:formatCode>
                <c:ptCount val="13"/>
                <c:pt idx="0">
                  <c:v>0.4</c:v>
                </c:pt>
                <c:pt idx="1">
                  <c:v>-4.3</c:v>
                </c:pt>
                <c:pt idx="2">
                  <c:v>-8.9</c:v>
                </c:pt>
                <c:pt idx="3">
                  <c:v>-11.9</c:v>
                </c:pt>
                <c:pt idx="4">
                  <c:v>-10.9</c:v>
                </c:pt>
                <c:pt idx="5">
                  <c:v>-8.1999999999999993</c:v>
                </c:pt>
                <c:pt idx="6">
                  <c:v>-5.0999999999999996</c:v>
                </c:pt>
                <c:pt idx="7">
                  <c:v>-4.0999999999999996</c:v>
                </c:pt>
                <c:pt idx="8">
                  <c:v>-2</c:v>
                </c:pt>
                <c:pt idx="9">
                  <c:v>-0.1</c:v>
                </c:pt>
                <c:pt idx="10">
                  <c:v>3.1</c:v>
                </c:pt>
                <c:pt idx="11">
                  <c:v>5.3</c:v>
                </c:pt>
              </c:numCache>
            </c:numRef>
          </c:val>
          <c:smooth val="1"/>
          <c:extLst xmlns:c16r2="http://schemas.microsoft.com/office/drawing/2015/06/chart">
            <c:ext xmlns:c16="http://schemas.microsoft.com/office/drawing/2014/chart" uri="{C3380CC4-5D6E-409C-BE32-E72D297353CC}">
              <c16:uniqueId val="{00000006-974E-411A-B9E7-374D2300E2C7}"/>
            </c:ext>
          </c:extLst>
        </c:ser>
        <c:ser>
          <c:idx val="1"/>
          <c:order val="1"/>
          <c:tx>
            <c:strRef>
              <c:f>Sheet1!$C$1</c:f>
              <c:strCache>
                <c:ptCount val="1"/>
                <c:pt idx="0">
                  <c:v>2017</c:v>
                </c:pt>
              </c:strCache>
            </c:strRef>
          </c:tx>
          <c:spPr>
            <a:ln w="38100" cap="rnd" cmpd="thickThin">
              <a:solidFill>
                <a:schemeClr val="accent2"/>
              </a:solidFill>
              <a:prstDash val="lgDash"/>
              <a:round/>
            </a:ln>
            <a:effectLst/>
          </c:spPr>
          <c:marker>
            <c:symbol val="none"/>
          </c:marker>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Sheet1!$C$2:$C$14</c:f>
              <c:numCache>
                <c:formatCode>General</c:formatCode>
                <c:ptCount val="13"/>
                <c:pt idx="0">
                  <c:v>8.1</c:v>
                </c:pt>
                <c:pt idx="1">
                  <c:v>4.2</c:v>
                </c:pt>
                <c:pt idx="2">
                  <c:v>2.7</c:v>
                </c:pt>
                <c:pt idx="3">
                  <c:v>7.5</c:v>
                </c:pt>
                <c:pt idx="4">
                  <c:v>9.1999999999999993</c:v>
                </c:pt>
                <c:pt idx="5">
                  <c:v>6.9</c:v>
                </c:pt>
                <c:pt idx="6">
                  <c:v>5.7</c:v>
                </c:pt>
                <c:pt idx="7">
                  <c:v>5.2</c:v>
                </c:pt>
                <c:pt idx="8">
                  <c:v>5.2</c:v>
                </c:pt>
                <c:pt idx="9">
                  <c:v>4.8</c:v>
                </c:pt>
                <c:pt idx="10">
                  <c:v>4.0999999999999996</c:v>
                </c:pt>
                <c:pt idx="11">
                  <c:v>6.6</c:v>
                </c:pt>
              </c:numCache>
            </c:numRef>
          </c:val>
          <c:smooth val="1"/>
          <c:extLst xmlns:c16r2="http://schemas.microsoft.com/office/drawing/2015/06/chart">
            <c:ext xmlns:c16="http://schemas.microsoft.com/office/drawing/2014/chart" uri="{C3380CC4-5D6E-409C-BE32-E72D297353CC}">
              <c16:uniqueId val="{00000007-974E-411A-B9E7-374D2300E2C7}"/>
            </c:ext>
          </c:extLst>
        </c:ser>
        <c:ser>
          <c:idx val="2"/>
          <c:order val="2"/>
          <c:tx>
            <c:strRef>
              <c:f>Sheet1!$D$1</c:f>
              <c:strCache>
                <c:ptCount val="1"/>
                <c:pt idx="0">
                  <c:v>2018</c:v>
                </c:pt>
              </c:strCache>
            </c:strRef>
          </c:tx>
          <c:spPr>
            <a:ln w="53975" cap="rnd">
              <a:solidFill>
                <a:srgbClr val="00B050"/>
              </a:solidFill>
              <a:prstDash val="sysDot"/>
              <a:round/>
            </a:ln>
            <a:effectLst/>
          </c:spPr>
          <c:marker>
            <c:symbol val="none"/>
          </c:marker>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Sheet1!$D$2:$D$14</c:f>
              <c:numCache>
                <c:formatCode>General</c:formatCode>
                <c:ptCount val="13"/>
                <c:pt idx="0">
                  <c:v>1.7</c:v>
                </c:pt>
                <c:pt idx="1">
                  <c:v>3.2</c:v>
                </c:pt>
                <c:pt idx="2">
                  <c:v>3.2</c:v>
                </c:pt>
                <c:pt idx="3">
                  <c:v>3.9</c:v>
                </c:pt>
                <c:pt idx="4">
                  <c:v>3.6</c:v>
                </c:pt>
                <c:pt idx="5">
                  <c:v>7</c:v>
                </c:pt>
                <c:pt idx="6">
                  <c:v>7.4</c:v>
                </c:pt>
                <c:pt idx="7">
                  <c:v>8.5</c:v>
                </c:pt>
                <c:pt idx="8">
                  <c:v>8.4</c:v>
                </c:pt>
                <c:pt idx="9">
                  <c:v>8.6999999999999993</c:v>
                </c:pt>
                <c:pt idx="10">
                  <c:v>9.8000000000000007</c:v>
                </c:pt>
                <c:pt idx="11">
                  <c:v>8.1</c:v>
                </c:pt>
              </c:numCache>
            </c:numRef>
          </c:val>
          <c:smooth val="1"/>
          <c:extLst xmlns:c16r2="http://schemas.microsoft.com/office/drawing/2015/06/chart">
            <c:ext xmlns:c16="http://schemas.microsoft.com/office/drawing/2014/chart" uri="{C3380CC4-5D6E-409C-BE32-E72D297353CC}">
              <c16:uniqueId val="{00000008-974E-411A-B9E7-374D2300E2C7}"/>
            </c:ext>
          </c:extLst>
        </c:ser>
        <c:ser>
          <c:idx val="3"/>
          <c:order val="3"/>
          <c:tx>
            <c:strRef>
              <c:f>Sheet1!$E$1</c:f>
              <c:strCache>
                <c:ptCount val="1"/>
                <c:pt idx="0">
                  <c:v>2019</c:v>
                </c:pt>
              </c:strCache>
            </c:strRef>
          </c:tx>
          <c:spPr>
            <a:ln w="31750" cap="rnd">
              <a:solidFill>
                <a:schemeClr val="accent4"/>
              </a:solidFill>
              <a:prstDash val="sysDash"/>
              <a:round/>
            </a:ln>
            <a:effectLst/>
          </c:spPr>
          <c:marker>
            <c:symbol val="none"/>
          </c:marker>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Sheet1!$E$2:$E$14</c:f>
              <c:numCache>
                <c:formatCode>General</c:formatCode>
                <c:ptCount val="13"/>
                <c:pt idx="0">
                  <c:v>20.7</c:v>
                </c:pt>
                <c:pt idx="1">
                  <c:v>17.600000000000001</c:v>
                </c:pt>
                <c:pt idx="2">
                  <c:v>18.2</c:v>
                </c:pt>
                <c:pt idx="3">
                  <c:v>20.7</c:v>
                </c:pt>
                <c:pt idx="4">
                  <c:v>17.600000000000001</c:v>
                </c:pt>
                <c:pt idx="5">
                  <c:v>16.5</c:v>
                </c:pt>
                <c:pt idx="6">
                  <c:v>14</c:v>
                </c:pt>
                <c:pt idx="7">
                  <c:v>13.1</c:v>
                </c:pt>
                <c:pt idx="8">
                  <c:v>13.2</c:v>
                </c:pt>
                <c:pt idx="9">
                  <c:v>13.1</c:v>
                </c:pt>
                <c:pt idx="10">
                  <c:v>11.4</c:v>
                </c:pt>
                <c:pt idx="11">
                  <c:v>9.8000000000000007</c:v>
                </c:pt>
              </c:numCache>
            </c:numRef>
          </c:val>
          <c:smooth val="1"/>
          <c:extLst xmlns:c16r2="http://schemas.microsoft.com/office/drawing/2015/06/chart">
            <c:ext xmlns:c16="http://schemas.microsoft.com/office/drawing/2014/chart" uri="{C3380CC4-5D6E-409C-BE32-E72D297353CC}">
              <c16:uniqueId val="{00000009-974E-411A-B9E7-374D2300E2C7}"/>
            </c:ext>
          </c:extLst>
        </c:ser>
        <c:dLbls>
          <c:showLegendKey val="0"/>
          <c:showVal val="0"/>
          <c:showCatName val="0"/>
          <c:showSerName val="0"/>
          <c:showPercent val="0"/>
          <c:showBubbleSize val="0"/>
        </c:dLbls>
        <c:marker val="1"/>
        <c:smooth val="0"/>
        <c:axId val="198187648"/>
        <c:axId val="198193536"/>
      </c:lineChart>
      <c:catAx>
        <c:axId val="19818764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1920000" spcFirstLastPara="1" vertOverflow="ellipsis"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193536"/>
        <c:crosses val="autoZero"/>
        <c:auto val="1"/>
        <c:lblAlgn val="ctr"/>
        <c:lblOffset val="100"/>
        <c:noMultiLvlLbl val="0"/>
      </c:catAx>
      <c:valAx>
        <c:axId val="19819353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187648"/>
        <c:crosses val="autoZero"/>
        <c:crossBetween val="between"/>
      </c:valAx>
      <c:spPr>
        <a:noFill/>
        <a:ln>
          <a:noFill/>
        </a:ln>
        <a:effectLst/>
      </c:spPr>
    </c:plotArea>
    <c:legend>
      <c:legendPos val="b"/>
      <c:layout>
        <c:manualLayout>
          <c:xMode val="edge"/>
          <c:yMode val="edge"/>
          <c:x val="1.0830754582242324E-2"/>
          <c:y val="0.92516189176141583"/>
          <c:w val="0.70697452987383957"/>
          <c:h val="7.47660430287872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930824838341236"/>
          <c:y val="0"/>
          <c:w val="0.71769559864080124"/>
          <c:h val="0.93305279690877119"/>
        </c:manualLayout>
      </c:layout>
      <c:barChart>
        <c:barDir val="bar"/>
        <c:grouping val="clustered"/>
        <c:varyColors val="0"/>
        <c:ser>
          <c:idx val="0"/>
          <c:order val="0"/>
          <c:tx>
            <c:strRef>
              <c:f>Sheet1!$B$1</c:f>
              <c:strCache>
                <c:ptCount val="1"/>
                <c:pt idx="0">
                  <c:v>2019</c:v>
                </c:pt>
              </c:strCache>
            </c:strRef>
          </c:tx>
          <c:spPr>
            <a:solidFill>
              <a:schemeClr val="accent1">
                <a:lumMod val="75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Sheet1!$A$2:$A$9</c:f>
              <c:strCache>
                <c:ptCount val="8"/>
                <c:pt idx="0">
                  <c:v>Inversión Real Directa </c:v>
                </c:pt>
                <c:pt idx="1">
                  <c:v>Prestaciones a la S.S</c:v>
                </c:pt>
                <c:pt idx="2">
                  <c:v>Trans. De Capital</c:v>
                </c:pt>
                <c:pt idx="3">
                  <c:v>Intereses </c:v>
                </c:pt>
                <c:pt idx="4">
                  <c:v>Bienes y servicios </c:v>
                </c:pt>
                <c:pt idx="5">
                  <c:v>Remuneraciones </c:v>
                </c:pt>
                <c:pt idx="6">
                  <c:v>Inversión Financiera</c:v>
                </c:pt>
                <c:pt idx="7">
                  <c:v>Trans. Corrientes</c:v>
                </c:pt>
              </c:strCache>
            </c:strRef>
          </c:cat>
          <c:val>
            <c:numRef>
              <c:f>Sheet1!$B$2:$B$9</c:f>
              <c:numCache>
                <c:formatCode>#,##0.0</c:formatCode>
                <c:ptCount val="8"/>
                <c:pt idx="0">
                  <c:v>1082.2471292900004</c:v>
                </c:pt>
                <c:pt idx="1">
                  <c:v>435.65193931999966</c:v>
                </c:pt>
                <c:pt idx="2">
                  <c:v>878.96838692000165</c:v>
                </c:pt>
                <c:pt idx="3">
                  <c:v>1206.1237212699998</c:v>
                </c:pt>
                <c:pt idx="4">
                  <c:v>270.22419308000099</c:v>
                </c:pt>
                <c:pt idx="5">
                  <c:v>2740.6627985800042</c:v>
                </c:pt>
                <c:pt idx="6">
                  <c:v>-30.550631679999995</c:v>
                </c:pt>
                <c:pt idx="7">
                  <c:v>499.38889639000081</c:v>
                </c:pt>
              </c:numCache>
            </c:numRef>
          </c:val>
          <c:extLst xmlns:c16r2="http://schemas.microsoft.com/office/drawing/2015/06/chart">
            <c:ext xmlns:c16="http://schemas.microsoft.com/office/drawing/2014/chart" uri="{C3380CC4-5D6E-409C-BE32-E72D297353CC}">
              <c16:uniqueId val="{00000000-BB8F-4769-88D2-F7FEAFA08CCC}"/>
            </c:ext>
          </c:extLst>
        </c:ser>
        <c:ser>
          <c:idx val="1"/>
          <c:order val="1"/>
          <c:tx>
            <c:strRef>
              <c:f>Sheet1!$C$1</c:f>
              <c:strCache>
                <c:ptCount val="1"/>
                <c:pt idx="0">
                  <c:v>2020</c:v>
                </c:pt>
              </c:strCache>
            </c:strRef>
          </c:tx>
          <c:spPr>
            <a:solidFill>
              <a:schemeClr val="accent5">
                <a:lumMod val="50000"/>
              </a:schemeClr>
            </a:solidFill>
            <a:ln>
              <a:noFill/>
            </a:ln>
            <a:effectLst>
              <a:innerShdw blurRad="63500" dist="50800" dir="13500000">
                <a:prstClr val="black">
                  <a:alpha val="50000"/>
                </a:prstClr>
              </a:innerShdw>
            </a:effectLst>
          </c:spPr>
          <c:invertIfNegative val="0"/>
          <c:dLbls>
            <c:dLbl>
              <c:idx val="0"/>
              <c:layout>
                <c:manualLayout>
                  <c:x val="-4.4516889478965378E-3"/>
                  <c:y val="-7.93650793650808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B8F-4769-88D2-F7FEAFA08CCC}"/>
                </c:ext>
              </c:extLst>
            </c:dLbl>
            <c:dLbl>
              <c:idx val="7"/>
              <c:layout>
                <c:manualLayout>
                  <c:x val="-1.1314777098891152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B8F-4769-88D2-F7FEAFA08CC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Sheet1!$A$2:$A$9</c:f>
              <c:strCache>
                <c:ptCount val="8"/>
                <c:pt idx="0">
                  <c:v>Inversión Real Directa </c:v>
                </c:pt>
                <c:pt idx="1">
                  <c:v>Prestaciones a la S.S</c:v>
                </c:pt>
                <c:pt idx="2">
                  <c:v>Trans. De Capital</c:v>
                </c:pt>
                <c:pt idx="3">
                  <c:v>Intereses </c:v>
                </c:pt>
                <c:pt idx="4">
                  <c:v>Bienes y servicios </c:v>
                </c:pt>
                <c:pt idx="5">
                  <c:v>Remuneraciones </c:v>
                </c:pt>
                <c:pt idx="6">
                  <c:v>Inversión Financiera</c:v>
                </c:pt>
                <c:pt idx="7">
                  <c:v>Trans. Corrientes</c:v>
                </c:pt>
              </c:strCache>
            </c:strRef>
          </c:cat>
          <c:val>
            <c:numRef>
              <c:f>Sheet1!$C$2:$C$9</c:f>
              <c:numCache>
                <c:formatCode>#,##0.0</c:formatCode>
                <c:ptCount val="8"/>
                <c:pt idx="0">
                  <c:v>-2039.7617381700002</c:v>
                </c:pt>
                <c:pt idx="1">
                  <c:v>25.769682840000314</c:v>
                </c:pt>
                <c:pt idx="2">
                  <c:v>387.82092365000062</c:v>
                </c:pt>
                <c:pt idx="3">
                  <c:v>641.69562552999741</c:v>
                </c:pt>
                <c:pt idx="4">
                  <c:v>1240.1152725600004</c:v>
                </c:pt>
                <c:pt idx="5">
                  <c:v>1641.4646671700029</c:v>
                </c:pt>
                <c:pt idx="6">
                  <c:v>3326.2950593199998</c:v>
                </c:pt>
                <c:pt idx="7">
                  <c:v>8535.4238227699934</c:v>
                </c:pt>
              </c:numCache>
            </c:numRef>
          </c:val>
          <c:extLst xmlns:c16r2="http://schemas.microsoft.com/office/drawing/2015/06/chart">
            <c:ext xmlns:c16="http://schemas.microsoft.com/office/drawing/2014/chart" uri="{C3380CC4-5D6E-409C-BE32-E72D297353CC}">
              <c16:uniqueId val="{00000003-BB8F-4769-88D2-F7FEAFA08CCC}"/>
            </c:ext>
          </c:extLst>
        </c:ser>
        <c:dLbls>
          <c:showLegendKey val="0"/>
          <c:showVal val="0"/>
          <c:showCatName val="0"/>
          <c:showSerName val="0"/>
          <c:showPercent val="0"/>
          <c:showBubbleSize val="0"/>
        </c:dLbls>
        <c:gapWidth val="69"/>
        <c:axId val="198237184"/>
        <c:axId val="198316800"/>
      </c:barChart>
      <c:catAx>
        <c:axId val="19823718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316800"/>
        <c:crosses val="autoZero"/>
        <c:auto val="1"/>
        <c:lblAlgn val="ctr"/>
        <c:lblOffset val="100"/>
        <c:noMultiLvlLbl val="0"/>
      </c:catAx>
      <c:valAx>
        <c:axId val="198316800"/>
        <c:scaling>
          <c:orientation val="minMax"/>
          <c:max val="9500"/>
          <c:min val="-2500"/>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237184"/>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77230971128608938"/>
          <c:y val="0.37355018122734657"/>
          <c:w val="0.1440721412327633"/>
          <c:h val="6.29577552805899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lt1"/>
    </a:solidFill>
    <a:ln w="9525" cap="flat" cmpd="sng" algn="ctr">
      <a:noFill/>
      <a:round/>
    </a:ln>
    <a:effectLst/>
  </c:spPr>
  <c:txPr>
    <a:bodyPr/>
    <a:lstStyle/>
    <a:p>
      <a:pPr algn="just">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665588998361684E-2"/>
          <c:y val="4.3650793650793648E-2"/>
          <c:w val="0.8595059591625942"/>
          <c:h val="0.78840420921410803"/>
        </c:manualLayout>
      </c:layout>
      <c:barChart>
        <c:barDir val="col"/>
        <c:grouping val="clustered"/>
        <c:varyColors val="0"/>
        <c:ser>
          <c:idx val="0"/>
          <c:order val="0"/>
          <c:tx>
            <c:strRef>
              <c:f>Sheet1!$B$1</c:f>
              <c:strCache>
                <c:ptCount val="1"/>
                <c:pt idx="0">
                  <c:v>Caidas</c:v>
                </c:pt>
              </c:strCache>
            </c:strRef>
          </c:tx>
          <c:spPr>
            <a:solidFill>
              <a:schemeClr val="accent6">
                <a:lumMod val="60000"/>
                <a:lumOff val="40000"/>
              </a:schemeClr>
            </a:solidFill>
            <a:ln>
              <a:noFill/>
            </a:ln>
            <a:effectLst>
              <a:outerShdw blurRad="50800" dist="38100" dir="18900000" algn="bl" rotWithShape="0">
                <a:prstClr val="black">
                  <a:alpha val="40000"/>
                </a:prstClr>
              </a:outerShdw>
            </a:effectLst>
            <a:scene3d>
              <a:camera prst="orthographicFront"/>
              <a:lightRig rig="threePt" dir="t"/>
            </a:scene3d>
            <a:sp3d/>
          </c:spPr>
          <c:invertIfNegative val="0"/>
          <c:dLbls>
            <c:dLbl>
              <c:idx val="2"/>
              <c:layout>
                <c:manualLayout>
                  <c:x val="0"/>
                  <c:y val="4.717517704653113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E55-4E6D-8415-346DC7ADD835}"/>
                </c:ext>
              </c:extLst>
            </c:dLbl>
            <c:dLbl>
              <c:idx val="3"/>
              <c:layout>
                <c:manualLayout>
                  <c:x val="-8.1245830035669357E-17"/>
                  <c:y val="1.126958602005735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E55-4E6D-8415-346DC7ADD835}"/>
                </c:ext>
              </c:extLst>
            </c:dLbl>
            <c:dLbl>
              <c:idx val="4"/>
              <c:layout>
                <c:manualLayout>
                  <c:x val="0"/>
                  <c:y val="1.140826146731658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E55-4E6D-8415-346DC7ADD835}"/>
                </c:ext>
              </c:extLst>
            </c:dLbl>
            <c:dLbl>
              <c:idx val="5"/>
              <c:layout>
                <c:manualLayout>
                  <c:x val="2.3148148148148147E-3"/>
                  <c:y val="6.5535558055243096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E55-4E6D-8415-346DC7ADD835}"/>
                </c:ext>
              </c:extLst>
            </c:dLbl>
            <c:numFmt formatCode="&quot;Q&quot;#,##0.0" sourceLinked="0"/>
            <c:spPr>
              <a:noFill/>
              <a:ln>
                <a:noFill/>
              </a:ln>
              <a:effectLst/>
            </c:spPr>
            <c:txPr>
              <a:bodyPr rot="-5400000" spcFirstLastPara="1" vertOverflow="ellipsis"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Sheet1!$A$2:$A$7</c:f>
              <c:strCache>
                <c:ptCount val="6"/>
                <c:pt idx="0">
                  <c:v>Agricultura</c:v>
                </c:pt>
                <c:pt idx="1">
                  <c:v>Secretarias</c:v>
                </c:pt>
                <c:pt idx="2">
                  <c:v>Gobernación</c:v>
                </c:pt>
                <c:pt idx="3">
                  <c:v>Cultura y Deportes</c:v>
                </c:pt>
                <c:pt idx="4">
                  <c:v>Finanzas Públicas</c:v>
                </c:pt>
                <c:pt idx="5">
                  <c:v>Otras </c:v>
                </c:pt>
              </c:strCache>
            </c:strRef>
          </c:cat>
          <c:val>
            <c:numRef>
              <c:f>Sheet1!$B$2:$B$7</c:f>
              <c:numCache>
                <c:formatCode>#,##0.0</c:formatCode>
                <c:ptCount val="6"/>
                <c:pt idx="0">
                  <c:v>-101.70243248000003</c:v>
                </c:pt>
                <c:pt idx="1">
                  <c:v>-74.473084610000001</c:v>
                </c:pt>
                <c:pt idx="2">
                  <c:v>-21.320285960000007</c:v>
                </c:pt>
                <c:pt idx="3">
                  <c:v>-13.390688679999997</c:v>
                </c:pt>
                <c:pt idx="4">
                  <c:v>-13.143754799999996</c:v>
                </c:pt>
                <c:pt idx="5">
                  <c:v>-13.015405660000006</c:v>
                </c:pt>
              </c:numCache>
            </c:numRef>
          </c:val>
          <c:extLst xmlns:c16r2="http://schemas.microsoft.com/office/drawing/2015/06/chart">
            <c:ext xmlns:c16="http://schemas.microsoft.com/office/drawing/2014/chart" uri="{C3380CC4-5D6E-409C-BE32-E72D297353CC}">
              <c16:uniqueId val="{00000004-2E55-4E6D-8415-346DC7ADD835}"/>
            </c:ext>
          </c:extLst>
        </c:ser>
        <c:dLbls>
          <c:showLegendKey val="0"/>
          <c:showVal val="0"/>
          <c:showCatName val="0"/>
          <c:showSerName val="0"/>
          <c:showPercent val="0"/>
          <c:showBubbleSize val="0"/>
        </c:dLbls>
        <c:gapWidth val="115"/>
        <c:axId val="198376064"/>
        <c:axId val="198394240"/>
      </c:barChart>
      <c:lineChart>
        <c:grouping val="standard"/>
        <c:varyColors val="0"/>
        <c:ser>
          <c:idx val="1"/>
          <c:order val="1"/>
          <c:tx>
            <c:strRef>
              <c:f>Sheet1!$C$1</c:f>
              <c:strCache>
                <c:ptCount val="1"/>
                <c:pt idx="0">
                  <c:v>%</c:v>
                </c:pt>
              </c:strCache>
            </c:strRef>
          </c:tx>
          <c:spPr>
            <a:ln w="25400" cap="rnd">
              <a:noFill/>
              <a:round/>
            </a:ln>
            <a:effectLst/>
          </c:spPr>
          <c:marker>
            <c:symbol val="diamond"/>
            <c:size val="10"/>
            <c:spPr>
              <a:solidFill>
                <a:schemeClr val="accent2">
                  <a:lumMod val="60000"/>
                  <a:lumOff val="40000"/>
                </a:schemeClr>
              </a:solidFill>
              <a:ln w="15875">
                <a:solidFill>
                  <a:schemeClr val="accent2"/>
                </a:solidFill>
                <a:round/>
              </a:ln>
              <a:effectLst/>
            </c:spPr>
          </c:marker>
          <c:dLbls>
            <c:dLbl>
              <c:idx val="0"/>
              <c:layout>
                <c:manualLayout>
                  <c:x val="1.3888888888888867E-2"/>
                  <c:y val="1.19047619047618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E55-4E6D-8415-346DC7ADD835}"/>
                </c:ext>
              </c:extLst>
            </c:dLbl>
            <c:dLbl>
              <c:idx val="1"/>
              <c:layout>
                <c:manualLayout>
                  <c:x val="-2.215820961666338E-3"/>
                  <c:y val="-1.00603621730383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E55-4E6D-8415-346DC7ADD835}"/>
                </c:ext>
              </c:extLst>
            </c:dLbl>
            <c:dLbl>
              <c:idx val="2"/>
              <c:layout>
                <c:manualLayout>
                  <c:x val="-5.5395524041657512E-2"/>
                  <c:y val="6.03621730382293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E55-4E6D-8415-346DC7ADD83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Agricultura</c:v>
                </c:pt>
                <c:pt idx="1">
                  <c:v>Secretarias</c:v>
                </c:pt>
                <c:pt idx="2">
                  <c:v>Gobernación</c:v>
                </c:pt>
                <c:pt idx="3">
                  <c:v>Cultura y Deportes</c:v>
                </c:pt>
                <c:pt idx="4">
                  <c:v>Finanzas Públicas</c:v>
                </c:pt>
                <c:pt idx="5">
                  <c:v>Otras </c:v>
                </c:pt>
              </c:strCache>
            </c:strRef>
          </c:cat>
          <c:val>
            <c:numRef>
              <c:f>Sheet1!$C$2:$C$7</c:f>
              <c:numCache>
                <c:formatCode>0.0%</c:formatCode>
                <c:ptCount val="6"/>
                <c:pt idx="0">
                  <c:v>-0.2525896328929248</c:v>
                </c:pt>
                <c:pt idx="1">
                  <c:v>-0.3389392098556635</c:v>
                </c:pt>
                <c:pt idx="2">
                  <c:v>-0.13776709335926574</c:v>
                </c:pt>
                <c:pt idx="3">
                  <c:v>-0.16956411020567674</c:v>
                </c:pt>
                <c:pt idx="4">
                  <c:v>-0.22802849728275876</c:v>
                </c:pt>
              </c:numCache>
            </c:numRef>
          </c:val>
          <c:smooth val="0"/>
          <c:extLst xmlns:c16r2="http://schemas.microsoft.com/office/drawing/2015/06/chart">
            <c:ext xmlns:c16="http://schemas.microsoft.com/office/drawing/2014/chart" uri="{C3380CC4-5D6E-409C-BE32-E72D297353CC}">
              <c16:uniqueId val="{00000008-2E55-4E6D-8415-346DC7ADD835}"/>
            </c:ext>
          </c:extLst>
        </c:ser>
        <c:dLbls>
          <c:showLegendKey val="0"/>
          <c:showVal val="0"/>
          <c:showCatName val="0"/>
          <c:showSerName val="0"/>
          <c:showPercent val="0"/>
          <c:showBubbleSize val="0"/>
        </c:dLbls>
        <c:marker val="1"/>
        <c:smooth val="0"/>
        <c:axId val="198397312"/>
        <c:axId val="198395776"/>
      </c:lineChart>
      <c:catAx>
        <c:axId val="1983760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394240"/>
        <c:crosses val="autoZero"/>
        <c:auto val="1"/>
        <c:lblAlgn val="ctr"/>
        <c:lblOffset val="100"/>
        <c:noMultiLvlLbl val="0"/>
      </c:catAx>
      <c:valAx>
        <c:axId val="198394240"/>
        <c:scaling>
          <c:orientation val="minMax"/>
          <c:max val="0"/>
          <c:min val="-110"/>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376064"/>
        <c:crosses val="autoZero"/>
        <c:crossBetween val="between"/>
      </c:valAx>
      <c:valAx>
        <c:axId val="198395776"/>
        <c:scaling>
          <c:orientation val="minMax"/>
          <c:min val="-0.35000000000000003"/>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397312"/>
        <c:crosses val="max"/>
        <c:crossBetween val="between"/>
      </c:valAx>
      <c:catAx>
        <c:axId val="198397312"/>
        <c:scaling>
          <c:orientation val="minMax"/>
        </c:scaling>
        <c:delete val="1"/>
        <c:axPos val="b"/>
        <c:numFmt formatCode="General" sourceLinked="1"/>
        <c:majorTickMark val="out"/>
        <c:minorTickMark val="none"/>
        <c:tickLblPos val="nextTo"/>
        <c:crossAx val="198395776"/>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008123475400616E-2"/>
          <c:y val="3.8739572776175256E-2"/>
          <c:w val="0.9090413087366116"/>
          <c:h val="0.66364991814142049"/>
        </c:manualLayout>
      </c:layout>
      <c:barChart>
        <c:barDir val="col"/>
        <c:grouping val="stacked"/>
        <c:varyColors val="0"/>
        <c:ser>
          <c:idx val="0"/>
          <c:order val="0"/>
          <c:tx>
            <c:strRef>
              <c:f>Hoja1!$A$2</c:f>
              <c:strCache>
                <c:ptCount val="1"/>
                <c:pt idx="0">
                  <c:v>Personal 029</c:v>
                </c:pt>
              </c:strCache>
            </c:strRef>
          </c:tx>
          <c:spPr>
            <a:solidFill>
              <a:schemeClr val="accent1">
                <a:lumMod val="50000"/>
              </a:schemeClr>
            </a:solidFill>
            <a:ln>
              <a:noFill/>
            </a:ln>
            <a:effectLst>
              <a:outerShdw blurRad="50800" dist="38100" algn="l" rotWithShape="0">
                <a:prstClr val="black">
                  <a:alpha val="40000"/>
                </a:prstClr>
              </a:outerShdw>
            </a:effectLst>
          </c:spPr>
          <c:invertIfNegative val="0"/>
          <c:dLbls>
            <c:dLbl>
              <c:idx val="2"/>
              <c:layout>
                <c:manualLayout>
                  <c:x val="0"/>
                  <c:y val="-1.23762376237623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404-434F-B6E4-AE294FDC2B5C}"/>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2017</c:v>
                </c:pt>
                <c:pt idx="1">
                  <c:v>2018</c:v>
                </c:pt>
                <c:pt idx="2">
                  <c:v>2019</c:v>
                </c:pt>
                <c:pt idx="3">
                  <c:v>2020</c:v>
                </c:pt>
              </c:strCache>
            </c:strRef>
          </c:cat>
          <c:val>
            <c:numRef>
              <c:f>Hoja1!$B$2:$E$2</c:f>
              <c:numCache>
                <c:formatCode>#,##0.0</c:formatCode>
                <c:ptCount val="4"/>
                <c:pt idx="0">
                  <c:v>1242.6482662400001</c:v>
                </c:pt>
                <c:pt idx="1">
                  <c:v>1373.54370204</c:v>
                </c:pt>
                <c:pt idx="2">
                  <c:v>1638.8516405700002</c:v>
                </c:pt>
                <c:pt idx="3">
                  <c:v>1401.8059883799999</c:v>
                </c:pt>
              </c:numCache>
            </c:numRef>
          </c:val>
          <c:extLst xmlns:c16r2="http://schemas.microsoft.com/office/drawing/2015/06/chart">
            <c:ext xmlns:c16="http://schemas.microsoft.com/office/drawing/2014/chart" uri="{C3380CC4-5D6E-409C-BE32-E72D297353CC}">
              <c16:uniqueId val="{00000001-D404-434F-B6E4-AE294FDC2B5C}"/>
            </c:ext>
          </c:extLst>
        </c:ser>
        <c:ser>
          <c:idx val="1"/>
          <c:order val="1"/>
          <c:tx>
            <c:strRef>
              <c:f>Hoja1!$A$3</c:f>
              <c:strCache>
                <c:ptCount val="1"/>
                <c:pt idx="0">
                  <c:v>Subgrupo 18 (sin incluir salud)</c:v>
                </c:pt>
              </c:strCache>
            </c:strRef>
          </c:tx>
          <c:spPr>
            <a:solidFill>
              <a:schemeClr val="accent6">
                <a:lumMod val="50000"/>
              </a:schemeClr>
            </a:solidFill>
            <a:ln>
              <a:noFill/>
            </a:ln>
            <a:effectLst>
              <a:outerShdw blurRad="50800" dist="38100" algn="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2017</c:v>
                </c:pt>
                <c:pt idx="1">
                  <c:v>2018</c:v>
                </c:pt>
                <c:pt idx="2">
                  <c:v>2019</c:v>
                </c:pt>
                <c:pt idx="3">
                  <c:v>2020</c:v>
                </c:pt>
              </c:strCache>
            </c:strRef>
          </c:cat>
          <c:val>
            <c:numRef>
              <c:f>Hoja1!$B$3:$E$3</c:f>
              <c:numCache>
                <c:formatCode>#,##0.0</c:formatCode>
                <c:ptCount val="4"/>
                <c:pt idx="0">
                  <c:v>600.4601392400001</c:v>
                </c:pt>
                <c:pt idx="1">
                  <c:v>976.10583787999997</c:v>
                </c:pt>
                <c:pt idx="2">
                  <c:v>1048.0346643099999</c:v>
                </c:pt>
                <c:pt idx="3">
                  <c:v>798.23540684</c:v>
                </c:pt>
              </c:numCache>
            </c:numRef>
          </c:val>
          <c:extLst xmlns:c16r2="http://schemas.microsoft.com/office/drawing/2015/06/chart">
            <c:ext xmlns:c16="http://schemas.microsoft.com/office/drawing/2014/chart" uri="{C3380CC4-5D6E-409C-BE32-E72D297353CC}">
              <c16:uniqueId val="{00000002-D404-434F-B6E4-AE294FDC2B5C}"/>
            </c:ext>
          </c:extLst>
        </c:ser>
        <c:ser>
          <c:idx val="2"/>
          <c:order val="2"/>
          <c:tx>
            <c:strRef>
              <c:f>Hoja1!$A$4</c:f>
              <c:strCache>
                <c:ptCount val="1"/>
                <c:pt idx="0">
                  <c:v>Combustibles</c:v>
                </c:pt>
              </c:strCache>
            </c:strRef>
          </c:tx>
          <c:spPr>
            <a:solidFill>
              <a:schemeClr val="bg1">
                <a:lumMod val="75000"/>
              </a:schemeClr>
            </a:solidFill>
            <a:ln>
              <a:noFill/>
            </a:ln>
            <a:effectLst>
              <a:outerShdw blurRad="50800" dist="38100" algn="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2017</c:v>
                </c:pt>
                <c:pt idx="1">
                  <c:v>2018</c:v>
                </c:pt>
                <c:pt idx="2">
                  <c:v>2019</c:v>
                </c:pt>
                <c:pt idx="3">
                  <c:v>2020</c:v>
                </c:pt>
              </c:strCache>
            </c:strRef>
          </c:cat>
          <c:val>
            <c:numRef>
              <c:f>Hoja1!$B$4:$E$4</c:f>
              <c:numCache>
                <c:formatCode>#,##0.0</c:formatCode>
                <c:ptCount val="4"/>
                <c:pt idx="0">
                  <c:v>222.47994650999993</c:v>
                </c:pt>
                <c:pt idx="1">
                  <c:v>263.75067335</c:v>
                </c:pt>
                <c:pt idx="2">
                  <c:v>279.09683971000004</c:v>
                </c:pt>
                <c:pt idx="3">
                  <c:v>281.11694873000005</c:v>
                </c:pt>
              </c:numCache>
            </c:numRef>
          </c:val>
          <c:extLst xmlns:c16r2="http://schemas.microsoft.com/office/drawing/2015/06/chart">
            <c:ext xmlns:c16="http://schemas.microsoft.com/office/drawing/2014/chart" uri="{C3380CC4-5D6E-409C-BE32-E72D297353CC}">
              <c16:uniqueId val="{00000003-D404-434F-B6E4-AE294FDC2B5C}"/>
            </c:ext>
          </c:extLst>
        </c:ser>
        <c:ser>
          <c:idx val="3"/>
          <c:order val="3"/>
          <c:tx>
            <c:strRef>
              <c:f>Hoja1!$A$5</c:f>
              <c:strCache>
                <c:ptCount val="1"/>
                <c:pt idx="0">
                  <c:v>Viaticos</c:v>
                </c:pt>
              </c:strCache>
            </c:strRef>
          </c:tx>
          <c:spPr>
            <a:solidFill>
              <a:srgbClr val="FFFF00"/>
            </a:solidFill>
            <a:ln>
              <a:noFill/>
            </a:ln>
            <a:effectLst>
              <a:outerShdw blurRad="50800" dist="38100" algn="l" rotWithShape="0">
                <a:prstClr val="black">
                  <a:alpha val="40000"/>
                </a:prstClr>
              </a:outerShdw>
            </a:effectLst>
          </c:spPr>
          <c:invertIfNegative val="0"/>
          <c:cat>
            <c:strRef>
              <c:f>Hoja1!$B$1:$E$1</c:f>
              <c:strCache>
                <c:ptCount val="4"/>
                <c:pt idx="0">
                  <c:v>2017</c:v>
                </c:pt>
                <c:pt idx="1">
                  <c:v>2018</c:v>
                </c:pt>
                <c:pt idx="2">
                  <c:v>2019</c:v>
                </c:pt>
                <c:pt idx="3">
                  <c:v>2020</c:v>
                </c:pt>
              </c:strCache>
            </c:strRef>
          </c:cat>
          <c:val>
            <c:numRef>
              <c:f>Hoja1!$B$5:$E$5</c:f>
              <c:numCache>
                <c:formatCode>#,##0.0</c:formatCode>
                <c:ptCount val="4"/>
                <c:pt idx="0">
                  <c:v>76.243001220000025</c:v>
                </c:pt>
                <c:pt idx="1">
                  <c:v>93.794948879999993</c:v>
                </c:pt>
                <c:pt idx="2">
                  <c:v>107.42455489</c:v>
                </c:pt>
                <c:pt idx="3">
                  <c:v>45.070503750000007</c:v>
                </c:pt>
              </c:numCache>
            </c:numRef>
          </c:val>
          <c:extLst xmlns:c16r2="http://schemas.microsoft.com/office/drawing/2015/06/chart">
            <c:ext xmlns:c16="http://schemas.microsoft.com/office/drawing/2014/chart" uri="{C3380CC4-5D6E-409C-BE32-E72D297353CC}">
              <c16:uniqueId val="{00000004-D404-434F-B6E4-AE294FDC2B5C}"/>
            </c:ext>
          </c:extLst>
        </c:ser>
        <c:ser>
          <c:idx val="4"/>
          <c:order val="4"/>
          <c:tx>
            <c:strRef>
              <c:f>Hoja1!$A$6</c:f>
              <c:strCache>
                <c:ptCount val="1"/>
                <c:pt idx="0">
                  <c:v>Divulgación e información</c:v>
                </c:pt>
              </c:strCache>
            </c:strRef>
          </c:tx>
          <c:spPr>
            <a:solidFill>
              <a:srgbClr val="FF0000"/>
            </a:solidFill>
            <a:ln>
              <a:noFill/>
            </a:ln>
            <a:effectLst>
              <a:outerShdw blurRad="50800" dist="38100" algn="l" rotWithShape="0">
                <a:prstClr val="black">
                  <a:alpha val="40000"/>
                </a:prstClr>
              </a:outerShdw>
            </a:effectLst>
          </c:spPr>
          <c:invertIfNegative val="0"/>
          <c:cat>
            <c:strRef>
              <c:f>Hoja1!$B$1:$E$1</c:f>
              <c:strCache>
                <c:ptCount val="4"/>
                <c:pt idx="0">
                  <c:v>2017</c:v>
                </c:pt>
                <c:pt idx="1">
                  <c:v>2018</c:v>
                </c:pt>
                <c:pt idx="2">
                  <c:v>2019</c:v>
                </c:pt>
                <c:pt idx="3">
                  <c:v>2020</c:v>
                </c:pt>
              </c:strCache>
            </c:strRef>
          </c:cat>
          <c:val>
            <c:numRef>
              <c:f>Hoja1!$B$6:$E$6</c:f>
              <c:numCache>
                <c:formatCode>#,##0.0</c:formatCode>
                <c:ptCount val="4"/>
                <c:pt idx="0">
                  <c:v>8.4291616900000008</c:v>
                </c:pt>
                <c:pt idx="1">
                  <c:v>10.329214309999999</c:v>
                </c:pt>
                <c:pt idx="2">
                  <c:v>13.665250260000001</c:v>
                </c:pt>
                <c:pt idx="3">
                  <c:v>40.93260686</c:v>
                </c:pt>
              </c:numCache>
            </c:numRef>
          </c:val>
          <c:extLst xmlns:c16r2="http://schemas.microsoft.com/office/drawing/2015/06/chart">
            <c:ext xmlns:c16="http://schemas.microsoft.com/office/drawing/2014/chart" uri="{C3380CC4-5D6E-409C-BE32-E72D297353CC}">
              <c16:uniqueId val="{00000005-D404-434F-B6E4-AE294FDC2B5C}"/>
            </c:ext>
          </c:extLst>
        </c:ser>
        <c:dLbls>
          <c:showLegendKey val="0"/>
          <c:showVal val="0"/>
          <c:showCatName val="0"/>
          <c:showSerName val="0"/>
          <c:showPercent val="0"/>
          <c:showBubbleSize val="0"/>
        </c:dLbls>
        <c:gapWidth val="90"/>
        <c:overlap val="100"/>
        <c:axId val="198467968"/>
        <c:axId val="198469504"/>
      </c:barChart>
      <c:lineChart>
        <c:grouping val="standard"/>
        <c:varyColors val="0"/>
        <c:ser>
          <c:idx val="5"/>
          <c:order val="5"/>
          <c:tx>
            <c:strRef>
              <c:f>Hoja1!$A$7</c:f>
              <c:strCache>
                <c:ptCount val="1"/>
                <c:pt idx="0">
                  <c:v>Total</c:v>
                </c:pt>
              </c:strCache>
            </c:strRef>
          </c:tx>
          <c:spPr>
            <a:ln w="57150" cap="rnd">
              <a:solidFill>
                <a:srgbClr val="00B050"/>
              </a:solidFill>
              <a:prstDash val="sysDot"/>
              <a:round/>
            </a:ln>
            <a:effectLst/>
          </c:spPr>
          <c:marker>
            <c:symbol val="none"/>
          </c:marker>
          <c:dPt>
            <c:idx val="3"/>
            <c:bubble3D val="0"/>
            <c:extLst xmlns:c16r2="http://schemas.microsoft.com/office/drawing/2015/06/chart">
              <c:ext xmlns:c16="http://schemas.microsoft.com/office/drawing/2014/chart" uri="{C3380CC4-5D6E-409C-BE32-E72D297353CC}">
                <c16:uniqueId val="{00000006-D404-434F-B6E4-AE294FDC2B5C}"/>
              </c:ext>
            </c:extLst>
          </c:dPt>
          <c:dLbls>
            <c:dLbl>
              <c:idx val="3"/>
              <c:layout>
                <c:manualLayout>
                  <c:x val="-4.5259108395564608E-2"/>
                  <c:y val="-4.19658402848159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404-434F-B6E4-AE294FDC2B5C}"/>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2017</c:v>
                </c:pt>
                <c:pt idx="1">
                  <c:v>2018</c:v>
                </c:pt>
                <c:pt idx="2">
                  <c:v>2019</c:v>
                </c:pt>
                <c:pt idx="3">
                  <c:v>2020</c:v>
                </c:pt>
              </c:strCache>
            </c:strRef>
          </c:cat>
          <c:val>
            <c:numRef>
              <c:f>Hoja1!$B$7:$E$7</c:f>
              <c:numCache>
                <c:formatCode>#,##0.0</c:formatCode>
                <c:ptCount val="4"/>
                <c:pt idx="0">
                  <c:v>2150.2605149000005</c:v>
                </c:pt>
                <c:pt idx="1">
                  <c:v>2717.52437646</c:v>
                </c:pt>
                <c:pt idx="2">
                  <c:v>3087.0729497400002</c:v>
                </c:pt>
                <c:pt idx="3">
                  <c:v>2567.1614545599996</c:v>
                </c:pt>
              </c:numCache>
            </c:numRef>
          </c:val>
          <c:smooth val="1"/>
          <c:extLst xmlns:c16r2="http://schemas.microsoft.com/office/drawing/2015/06/chart">
            <c:ext xmlns:c16="http://schemas.microsoft.com/office/drawing/2014/chart" uri="{C3380CC4-5D6E-409C-BE32-E72D297353CC}">
              <c16:uniqueId val="{00000007-D404-434F-B6E4-AE294FDC2B5C}"/>
            </c:ext>
          </c:extLst>
        </c:ser>
        <c:dLbls>
          <c:showLegendKey val="0"/>
          <c:showVal val="0"/>
          <c:showCatName val="0"/>
          <c:showSerName val="0"/>
          <c:showPercent val="0"/>
          <c:showBubbleSize val="0"/>
        </c:dLbls>
        <c:marker val="1"/>
        <c:smooth val="0"/>
        <c:axId val="198467968"/>
        <c:axId val="198469504"/>
      </c:lineChart>
      <c:catAx>
        <c:axId val="19846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469504"/>
        <c:crosses val="autoZero"/>
        <c:auto val="1"/>
        <c:lblAlgn val="ctr"/>
        <c:lblOffset val="100"/>
        <c:noMultiLvlLbl val="0"/>
      </c:catAx>
      <c:valAx>
        <c:axId val="198469504"/>
        <c:scaling>
          <c:orientation val="minMax"/>
          <c:max val="3500"/>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467968"/>
        <c:crosses val="autoZero"/>
        <c:crossBetween val="between"/>
      </c:valAx>
      <c:spPr>
        <a:noFill/>
        <a:ln>
          <a:noFill/>
        </a:ln>
        <a:effectLst/>
      </c:spPr>
    </c:plotArea>
    <c:legend>
      <c:legendPos val="b"/>
      <c:layout>
        <c:manualLayout>
          <c:xMode val="edge"/>
          <c:yMode val="edge"/>
          <c:x val="5.5385210249940767E-2"/>
          <c:y val="0.80570931108858934"/>
          <c:w val="0.87565184698144916"/>
          <c:h val="0.16953821366388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73700650699912"/>
          <c:y val="8.3388193987272333E-2"/>
          <c:w val="0.79080202865266847"/>
          <c:h val="0.54045675166180263"/>
        </c:manualLayout>
      </c:layout>
      <c:barChart>
        <c:barDir val="col"/>
        <c:grouping val="clustered"/>
        <c:varyColors val="0"/>
        <c:ser>
          <c:idx val="0"/>
          <c:order val="0"/>
          <c:tx>
            <c:strRef>
              <c:f>Sheet1!$B$1</c:f>
              <c:strCache>
                <c:ptCount val="1"/>
                <c:pt idx="0">
                  <c:v>Monto</c:v>
                </c:pt>
              </c:strCache>
            </c:strRef>
          </c:tx>
          <c:spPr>
            <a:solidFill>
              <a:schemeClr val="accent1"/>
            </a:solidFill>
            <a:ln>
              <a:noFill/>
            </a:ln>
            <a:effectLst>
              <a:outerShdw blurRad="50800" dist="38100" dir="2700000" algn="tl" rotWithShape="0">
                <a:prstClr val="black">
                  <a:alpha val="40000"/>
                </a:prstClr>
              </a:outerShdw>
            </a:effectLst>
          </c:spPr>
          <c:invertIfNegative val="0"/>
          <c:dLbls>
            <c:dLbl>
              <c:idx val="3"/>
              <c:layout>
                <c:manualLayout>
                  <c:x val="0"/>
                  <c:y val="0.163100119397517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361-42DF-B0A7-AEB686945559}"/>
                </c:ext>
              </c:extLst>
            </c:dLbl>
            <c:dLbl>
              <c:idx val="4"/>
              <c:layout>
                <c:manualLayout>
                  <c:x val="-2.170138888888889E-3"/>
                  <c:y val="0.13908687681320941"/>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361-42DF-B0A7-AEB686945559}"/>
                </c:ext>
              </c:extLst>
            </c:dLbl>
            <c:dLbl>
              <c:idx val="7"/>
              <c:layout>
                <c:manualLayout>
                  <c:x val="0"/>
                  <c:y val="1.63296408225469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361-42DF-B0A7-AEB686945559}"/>
                </c:ext>
              </c:extLst>
            </c:dLbl>
            <c:dLbl>
              <c:idx val="8"/>
              <c:layout>
                <c:manualLayout>
                  <c:x val="0"/>
                  <c:y val="1.916200567095011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361-42DF-B0A7-AEB686945559}"/>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2">
                        <a:lumMod val="75000"/>
                      </a:schemeClr>
                    </a:solidFill>
                    <a:latin typeface="+mn-lt"/>
                    <a:ea typeface="+mn-ea"/>
                    <a:cs typeface="+mn-cs"/>
                  </a:defRPr>
                </a:pPr>
                <a:endParaRPr lang="es-E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Sheet1!$A$2:$A$20</c:f>
              <c:strCache>
                <c:ptCount val="19"/>
                <c:pt idx="0">
                  <c:v>Obligaciones </c:v>
                </c:pt>
                <c:pt idx="1">
                  <c:v>Educación </c:v>
                </c:pt>
                <c:pt idx="2">
                  <c:v>Deuda Pública</c:v>
                </c:pt>
                <c:pt idx="3">
                  <c:v>Salud Pública </c:v>
                </c:pt>
                <c:pt idx="4">
                  <c:v>Desarrollo</c:v>
                </c:pt>
                <c:pt idx="5">
                  <c:v>Gobernación</c:v>
                </c:pt>
                <c:pt idx="6">
                  <c:v>Comunicaciones</c:v>
                </c:pt>
                <c:pt idx="7">
                  <c:v>Economía</c:v>
                </c:pt>
                <c:pt idx="8">
                  <c:v>Defensa </c:v>
                </c:pt>
                <c:pt idx="9">
                  <c:v>Secretarías</c:v>
                </c:pt>
                <c:pt idx="10">
                  <c:v>Agricultura</c:v>
                </c:pt>
                <c:pt idx="11">
                  <c:v>Trabajo </c:v>
                </c:pt>
                <c:pt idx="12">
                  <c:v>MINREX</c:v>
                </c:pt>
                <c:pt idx="13">
                  <c:v>Cultura</c:v>
                </c:pt>
                <c:pt idx="14">
                  <c:v>Finanzas</c:v>
                </c:pt>
                <c:pt idx="15">
                  <c:v>Presidencia</c:v>
                </c:pt>
                <c:pt idx="16">
                  <c:v>PGN</c:v>
                </c:pt>
                <c:pt idx="17">
                  <c:v>Ambiente </c:v>
                </c:pt>
                <c:pt idx="18">
                  <c:v>Energía</c:v>
                </c:pt>
              </c:strCache>
            </c:strRef>
          </c:cat>
          <c:val>
            <c:numRef>
              <c:f>Sheet1!$B$2:$B$20</c:f>
              <c:numCache>
                <c:formatCode>#,##0.0</c:formatCode>
                <c:ptCount val="19"/>
                <c:pt idx="0">
                  <c:v>30237.591984430001</c:v>
                </c:pt>
                <c:pt idx="1">
                  <c:v>16732.657637849999</c:v>
                </c:pt>
                <c:pt idx="2">
                  <c:v>13427.764100599999</c:v>
                </c:pt>
                <c:pt idx="3">
                  <c:v>8618.9054425499999</c:v>
                </c:pt>
                <c:pt idx="4">
                  <c:v>7152.6701708099999</c:v>
                </c:pt>
                <c:pt idx="5">
                  <c:v>5100.2842049700002</c:v>
                </c:pt>
                <c:pt idx="6">
                  <c:v>4813.0770414500003</c:v>
                </c:pt>
                <c:pt idx="7">
                  <c:v>3408.90340049</c:v>
                </c:pt>
                <c:pt idx="8">
                  <c:v>2509.93043343</c:v>
                </c:pt>
                <c:pt idx="9">
                  <c:v>1145.55807706</c:v>
                </c:pt>
                <c:pt idx="10">
                  <c:v>1122.4159021400001</c:v>
                </c:pt>
                <c:pt idx="11">
                  <c:v>650.48380096000005</c:v>
                </c:pt>
                <c:pt idx="12">
                  <c:v>547.53086488999998</c:v>
                </c:pt>
                <c:pt idx="13">
                  <c:v>358.81652127000001</c:v>
                </c:pt>
                <c:pt idx="14">
                  <c:v>283.95136274999999</c:v>
                </c:pt>
                <c:pt idx="15">
                  <c:v>203.42828953</c:v>
                </c:pt>
                <c:pt idx="16">
                  <c:v>125.1440698</c:v>
                </c:pt>
                <c:pt idx="17">
                  <c:v>117.43575996</c:v>
                </c:pt>
                <c:pt idx="18">
                  <c:v>68.886555659999999</c:v>
                </c:pt>
              </c:numCache>
            </c:numRef>
          </c:val>
          <c:extLst xmlns:c16r2="http://schemas.microsoft.com/office/drawing/2015/06/chart">
            <c:ext xmlns:c16="http://schemas.microsoft.com/office/drawing/2014/chart" uri="{C3380CC4-5D6E-409C-BE32-E72D297353CC}">
              <c16:uniqueId val="{00000004-0361-42DF-B0A7-AEB686945559}"/>
            </c:ext>
          </c:extLst>
        </c:ser>
        <c:dLbls>
          <c:showLegendKey val="0"/>
          <c:showVal val="0"/>
          <c:showCatName val="0"/>
          <c:showSerName val="0"/>
          <c:showPercent val="0"/>
          <c:showBubbleSize val="0"/>
        </c:dLbls>
        <c:gapWidth val="42"/>
        <c:overlap val="-27"/>
        <c:axId val="198510464"/>
        <c:axId val="198512000"/>
      </c:barChart>
      <c:lineChart>
        <c:grouping val="standard"/>
        <c:varyColors val="0"/>
        <c:ser>
          <c:idx val="1"/>
          <c:order val="1"/>
          <c:tx>
            <c:strRef>
              <c:f>Sheet1!$C$1</c:f>
              <c:strCache>
                <c:ptCount val="1"/>
                <c:pt idx="0">
                  <c:v>% de ejecución</c:v>
                </c:pt>
              </c:strCache>
            </c:strRef>
          </c:tx>
          <c:spPr>
            <a:ln w="25400" cap="rnd">
              <a:noFill/>
              <a:round/>
            </a:ln>
            <a:effectLst/>
          </c:spPr>
          <c:marker>
            <c:symbol val="circle"/>
            <c:size val="6"/>
            <c:spPr>
              <a:solidFill>
                <a:schemeClr val="accent2">
                  <a:lumMod val="60000"/>
                  <a:lumOff val="40000"/>
                </a:schemeClr>
              </a:solidFill>
              <a:ln w="28575">
                <a:solidFill>
                  <a:schemeClr val="accent2"/>
                </a:solidFill>
                <a:round/>
              </a:ln>
              <a:effectLst/>
            </c:spPr>
          </c:marker>
          <c:dLbls>
            <c:dLbl>
              <c:idx val="0"/>
              <c:layout>
                <c:manualLayout>
                  <c:x val="-3.2552083333333336E-2"/>
                  <c:y val="-5.26662277814351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361-42DF-B0A7-AEB686945559}"/>
                </c:ext>
              </c:extLst>
            </c:dLbl>
            <c:dLbl>
              <c:idx val="1"/>
              <c:layout>
                <c:manualLayout>
                  <c:x val="-3.4722222222222245E-2"/>
                  <c:y val="5.70550800965547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361-42DF-B0A7-AEB686945559}"/>
                </c:ext>
              </c:extLst>
            </c:dLbl>
            <c:dLbl>
              <c:idx val="2"/>
              <c:layout>
                <c:manualLayout>
                  <c:x val="-3.4722222222222265E-2"/>
                  <c:y val="-4.8277375466315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361-42DF-B0A7-AEB686945559}"/>
                </c:ext>
              </c:extLst>
            </c:dLbl>
            <c:dLbl>
              <c:idx val="3"/>
              <c:layout>
                <c:manualLayout>
                  <c:x val="-3.2552083333333336E-2"/>
                  <c:y val="4.827737546631553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361-42DF-B0A7-AEB686945559}"/>
                </c:ext>
              </c:extLst>
            </c:dLbl>
            <c:dLbl>
              <c:idx val="4"/>
              <c:layout>
                <c:manualLayout>
                  <c:x val="-3.90625E-2"/>
                  <c:y val="-4.8277375466315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361-42DF-B0A7-AEB686945559}"/>
                </c:ext>
              </c:extLst>
            </c:dLbl>
            <c:dLbl>
              <c:idx val="5"/>
              <c:layout>
                <c:manualLayout>
                  <c:x val="-3.6892361111111154E-2"/>
                  <c:y val="4.8277375466315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361-42DF-B0A7-AEB686945559}"/>
                </c:ext>
              </c:extLst>
            </c:dLbl>
            <c:dLbl>
              <c:idx val="6"/>
              <c:layout>
                <c:manualLayout>
                  <c:x val="-3.4722222222222224E-2"/>
                  <c:y val="3.94996708360763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361-42DF-B0A7-AEB686945559}"/>
                </c:ext>
              </c:extLst>
            </c:dLbl>
            <c:dLbl>
              <c:idx val="7"/>
              <c:layout>
                <c:manualLayout>
                  <c:x val="-3.6892361111111188E-2"/>
                  <c:y val="-4.8277375466315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0361-42DF-B0A7-AEB686945559}"/>
                </c:ext>
              </c:extLst>
            </c:dLbl>
            <c:dLbl>
              <c:idx val="8"/>
              <c:layout>
                <c:manualLayout>
                  <c:x val="-3.2552083333333336E-2"/>
                  <c:y val="4.8277375466315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361-42DF-B0A7-AEB686945559}"/>
                </c:ext>
              </c:extLst>
            </c:dLbl>
            <c:dLbl>
              <c:idx val="9"/>
              <c:layout>
                <c:manualLayout>
                  <c:x val="-3.47222222222223E-2"/>
                  <c:y val="4.38885231511959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0361-42DF-B0A7-AEB686945559}"/>
                </c:ext>
              </c:extLst>
            </c:dLbl>
            <c:dLbl>
              <c:idx val="10"/>
              <c:layout>
                <c:manualLayout>
                  <c:x val="-3.2552083333333412E-2"/>
                  <c:y val="4.388852315119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361-42DF-B0A7-AEB686945559}"/>
                </c:ext>
              </c:extLst>
            </c:dLbl>
            <c:dLbl>
              <c:idx val="11"/>
              <c:layout>
                <c:manualLayout>
                  <c:x val="-3.47222222222223E-2"/>
                  <c:y val="4.38885231511959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0361-42DF-B0A7-AEB686945559}"/>
                </c:ext>
              </c:extLst>
            </c:dLbl>
            <c:dLbl>
              <c:idx val="12"/>
              <c:layout>
                <c:manualLayout>
                  <c:x val="-3.2552083333333412E-2"/>
                  <c:y val="4.38885231511959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361-42DF-B0A7-AEB686945559}"/>
                </c:ext>
              </c:extLst>
            </c:dLbl>
            <c:dLbl>
              <c:idx val="13"/>
              <c:layout>
                <c:manualLayout>
                  <c:x val="-3.47222222222223E-2"/>
                  <c:y val="4.38885231511959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0361-42DF-B0A7-AEB686945559}"/>
                </c:ext>
              </c:extLst>
            </c:dLbl>
            <c:dLbl>
              <c:idx val="14"/>
              <c:layout>
                <c:manualLayout>
                  <c:x val="-3.2552083333333336E-2"/>
                  <c:y val="4.827737546631551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0361-42DF-B0A7-AEB686945559}"/>
                </c:ext>
              </c:extLst>
            </c:dLbl>
            <c:dLbl>
              <c:idx val="15"/>
              <c:layout>
                <c:manualLayout>
                  <c:x val="-3.4722222222222224E-2"/>
                  <c:y val="-5.26662277814351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0361-42DF-B0A7-AEB686945559}"/>
                </c:ext>
              </c:extLst>
            </c:dLbl>
            <c:dLbl>
              <c:idx val="16"/>
              <c:layout>
                <c:manualLayout>
                  <c:x val="-3.2552083333333336E-2"/>
                  <c:y val="-4.38885231511959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0361-42DF-B0A7-AEB686945559}"/>
                </c:ext>
              </c:extLst>
            </c:dLbl>
            <c:dLbl>
              <c:idx val="17"/>
              <c:layout>
                <c:manualLayout>
                  <c:x val="-3.6892361111111112E-2"/>
                  <c:y val="4.8277375466315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0361-42DF-B0A7-AEB686945559}"/>
                </c:ext>
              </c:extLst>
            </c:dLbl>
            <c:dLbl>
              <c:idx val="18"/>
              <c:layout>
                <c:manualLayout>
                  <c:x val="-3.4722222222222224E-2"/>
                  <c:y val="4.388852315119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0361-42DF-B0A7-AEB68694555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Sheet1!$A$2:$A$20</c:f>
              <c:strCache>
                <c:ptCount val="19"/>
                <c:pt idx="0">
                  <c:v>Obligaciones </c:v>
                </c:pt>
                <c:pt idx="1">
                  <c:v>Educación </c:v>
                </c:pt>
                <c:pt idx="2">
                  <c:v>Deuda Pública</c:v>
                </c:pt>
                <c:pt idx="3">
                  <c:v>Salud Pública </c:v>
                </c:pt>
                <c:pt idx="4">
                  <c:v>Desarrollo</c:v>
                </c:pt>
                <c:pt idx="5">
                  <c:v>Gobernación</c:v>
                </c:pt>
                <c:pt idx="6">
                  <c:v>Comunicaciones</c:v>
                </c:pt>
                <c:pt idx="7">
                  <c:v>Economía</c:v>
                </c:pt>
                <c:pt idx="8">
                  <c:v>Defensa </c:v>
                </c:pt>
                <c:pt idx="9">
                  <c:v>Secretarías</c:v>
                </c:pt>
                <c:pt idx="10">
                  <c:v>Agricultura</c:v>
                </c:pt>
                <c:pt idx="11">
                  <c:v>Trabajo </c:v>
                </c:pt>
                <c:pt idx="12">
                  <c:v>MINREX</c:v>
                </c:pt>
                <c:pt idx="13">
                  <c:v>Cultura</c:v>
                </c:pt>
                <c:pt idx="14">
                  <c:v>Finanzas</c:v>
                </c:pt>
                <c:pt idx="15">
                  <c:v>Presidencia</c:v>
                </c:pt>
                <c:pt idx="16">
                  <c:v>PGN</c:v>
                </c:pt>
                <c:pt idx="17">
                  <c:v>Ambiente </c:v>
                </c:pt>
                <c:pt idx="18">
                  <c:v>Energía</c:v>
                </c:pt>
              </c:strCache>
            </c:strRef>
          </c:cat>
          <c:val>
            <c:numRef>
              <c:f>Sheet1!$C$2:$C$20</c:f>
              <c:numCache>
                <c:formatCode>0.0</c:formatCode>
                <c:ptCount val="19"/>
                <c:pt idx="0">
                  <c:v>91.642221663234977</c:v>
                </c:pt>
                <c:pt idx="1">
                  <c:v>94.061713307347148</c:v>
                </c:pt>
                <c:pt idx="2">
                  <c:v>91.9</c:v>
                </c:pt>
                <c:pt idx="3">
                  <c:v>86.50777502100992</c:v>
                </c:pt>
                <c:pt idx="4">
                  <c:v>96.087113372706369</c:v>
                </c:pt>
                <c:pt idx="5">
                  <c:v>84.654702253885517</c:v>
                </c:pt>
                <c:pt idx="6">
                  <c:v>69.560830649075683</c:v>
                </c:pt>
                <c:pt idx="7">
                  <c:v>96.704359667354751</c:v>
                </c:pt>
                <c:pt idx="8">
                  <c:v>94.838835421440464</c:v>
                </c:pt>
                <c:pt idx="9">
                  <c:v>80.582477105677626</c:v>
                </c:pt>
                <c:pt idx="10">
                  <c:v>70.721263454973965</c:v>
                </c:pt>
                <c:pt idx="11">
                  <c:v>91.006625153498277</c:v>
                </c:pt>
                <c:pt idx="12">
                  <c:v>91.604462498661562</c:v>
                </c:pt>
                <c:pt idx="13">
                  <c:v>65.388075680872831</c:v>
                </c:pt>
                <c:pt idx="14">
                  <c:v>75.92095669037019</c:v>
                </c:pt>
                <c:pt idx="15">
                  <c:v>88.0641946017316</c:v>
                </c:pt>
                <c:pt idx="16">
                  <c:v>91.175066462961055</c:v>
                </c:pt>
                <c:pt idx="17">
                  <c:v>82.536167074302099</c:v>
                </c:pt>
                <c:pt idx="18">
                  <c:v>78.082486228049888</c:v>
                </c:pt>
              </c:numCache>
            </c:numRef>
          </c:val>
          <c:smooth val="0"/>
          <c:extLst xmlns:c16r2="http://schemas.microsoft.com/office/drawing/2015/06/chart">
            <c:ext xmlns:c16="http://schemas.microsoft.com/office/drawing/2014/chart" uri="{C3380CC4-5D6E-409C-BE32-E72D297353CC}">
              <c16:uniqueId val="{00000018-0361-42DF-B0A7-AEB686945559}"/>
            </c:ext>
          </c:extLst>
        </c:ser>
        <c:ser>
          <c:idx val="2"/>
          <c:order val="2"/>
          <c:tx>
            <c:strRef>
              <c:f>Sheet1!$D$1</c:f>
              <c:strCache>
                <c:ptCount val="1"/>
                <c:pt idx="0">
                  <c:v>% Ejecución total</c:v>
                </c:pt>
              </c:strCache>
            </c:strRef>
          </c:tx>
          <c:spPr>
            <a:ln w="22225" cap="rnd" cmpd="thickThin">
              <a:solidFill>
                <a:srgbClr val="FFC000"/>
              </a:solidFill>
              <a:prstDash val="sysDash"/>
              <a:round/>
            </a:ln>
            <a:effectLst/>
          </c:spPr>
          <c:marker>
            <c:symbol val="none"/>
          </c:marker>
          <c:dLbls>
            <c:dLbl>
              <c:idx val="10"/>
              <c:layout>
                <c:manualLayout>
                  <c:x val="-9.4401041666666671E-2"/>
                  <c:y val="-8.3388193987272319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accent4">
                            <a:lumMod val="50000"/>
                          </a:schemeClr>
                        </a:solidFill>
                        <a:latin typeface="+mn-lt"/>
                        <a:ea typeface="+mn-ea"/>
                        <a:cs typeface="+mn-cs"/>
                      </a:defRPr>
                    </a:pPr>
                    <a:r>
                      <a:rPr lang="en-US" b="1">
                        <a:solidFill>
                          <a:schemeClr val="accent4">
                            <a:lumMod val="50000"/>
                          </a:schemeClr>
                        </a:solidFill>
                        <a:latin typeface="Times New Roman" panose="02020603050405020304" pitchFamily="18" charset="0"/>
                        <a:cs typeface="Times New Roman" panose="02020603050405020304" pitchFamily="18" charset="0"/>
                      </a:rPr>
                      <a:t>% Ejecución</a:t>
                    </a:r>
                    <a:r>
                      <a:rPr lang="en-US" b="1" baseline="0">
                        <a:solidFill>
                          <a:schemeClr val="accent4">
                            <a:lumMod val="50000"/>
                          </a:schemeClr>
                        </a:solidFill>
                        <a:latin typeface="Times New Roman" panose="02020603050405020304" pitchFamily="18" charset="0"/>
                        <a:cs typeface="Times New Roman" panose="02020603050405020304" pitchFamily="18" charset="0"/>
                      </a:rPr>
                      <a:t> total </a:t>
                    </a:r>
                    <a:fld id="{BB36C56E-080D-4B7A-ADE4-D398088F1844}" type="VALUE">
                      <a:rPr lang="en-US" b="1">
                        <a:solidFill>
                          <a:schemeClr val="accent4">
                            <a:lumMod val="50000"/>
                          </a:schemeClr>
                        </a:solidFill>
                        <a:latin typeface="Times New Roman" panose="02020603050405020304" pitchFamily="18" charset="0"/>
                        <a:cs typeface="Times New Roman" panose="02020603050405020304" pitchFamily="18" charset="0"/>
                      </a:rPr>
                      <a:pPr>
                        <a:defRPr sz="900" b="1" i="0" u="none" strike="noStrike" kern="1200" baseline="0">
                          <a:solidFill>
                            <a:schemeClr val="accent4">
                              <a:lumMod val="50000"/>
                            </a:schemeClr>
                          </a:solidFill>
                          <a:latin typeface="+mn-lt"/>
                          <a:ea typeface="+mn-ea"/>
                          <a:cs typeface="+mn-cs"/>
                        </a:defRPr>
                      </a:pPr>
                      <a:t>[VALOR]</a:t>
                    </a:fld>
                    <a:endParaRPr lang="en-US" b="1" baseline="0">
                      <a:solidFill>
                        <a:schemeClr val="accent4">
                          <a:lumMod val="50000"/>
                        </a:schemeClr>
                      </a:solidFill>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3868264025590552"/>
                      <c:h val="0.10397191134518323"/>
                    </c:manualLayout>
                  </c15:layout>
                  <c15:dlblFieldTable/>
                  <c15:showDataLabelsRange val="0"/>
                </c:ext>
                <c:ext xmlns:c16="http://schemas.microsoft.com/office/drawing/2014/chart" uri="{C3380CC4-5D6E-409C-BE32-E72D297353CC}">
                  <c16:uniqueId val="{00000019-0361-42DF-B0A7-AEB6869455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Sheet1!$A$2:$A$20</c:f>
              <c:strCache>
                <c:ptCount val="19"/>
                <c:pt idx="0">
                  <c:v>Obligaciones </c:v>
                </c:pt>
                <c:pt idx="1">
                  <c:v>Educación </c:v>
                </c:pt>
                <c:pt idx="2">
                  <c:v>Deuda Pública</c:v>
                </c:pt>
                <c:pt idx="3">
                  <c:v>Salud Pública </c:v>
                </c:pt>
                <c:pt idx="4">
                  <c:v>Desarrollo</c:v>
                </c:pt>
                <c:pt idx="5">
                  <c:v>Gobernación</c:v>
                </c:pt>
                <c:pt idx="6">
                  <c:v>Comunicaciones</c:v>
                </c:pt>
                <c:pt idx="7">
                  <c:v>Economía</c:v>
                </c:pt>
                <c:pt idx="8">
                  <c:v>Defensa </c:v>
                </c:pt>
                <c:pt idx="9">
                  <c:v>Secretarías</c:v>
                </c:pt>
                <c:pt idx="10">
                  <c:v>Agricultura</c:v>
                </c:pt>
                <c:pt idx="11">
                  <c:v>Trabajo </c:v>
                </c:pt>
                <c:pt idx="12">
                  <c:v>MINREX</c:v>
                </c:pt>
                <c:pt idx="13">
                  <c:v>Cultura</c:v>
                </c:pt>
                <c:pt idx="14">
                  <c:v>Finanzas</c:v>
                </c:pt>
                <c:pt idx="15">
                  <c:v>Presidencia</c:v>
                </c:pt>
                <c:pt idx="16">
                  <c:v>PGN</c:v>
                </c:pt>
                <c:pt idx="17">
                  <c:v>Ambiente </c:v>
                </c:pt>
                <c:pt idx="18">
                  <c:v>Energía</c:v>
                </c:pt>
              </c:strCache>
            </c:strRef>
          </c:cat>
          <c:val>
            <c:numRef>
              <c:f>Sheet1!$D$2:$D$20</c:f>
              <c:numCache>
                <c:formatCode>0.0</c:formatCode>
                <c:ptCount val="19"/>
                <c:pt idx="0">
                  <c:v>89.657576592730408</c:v>
                </c:pt>
                <c:pt idx="1">
                  <c:v>89.657576592730408</c:v>
                </c:pt>
                <c:pt idx="2">
                  <c:v>89.657576592730408</c:v>
                </c:pt>
                <c:pt idx="3">
                  <c:v>89.657576592730408</c:v>
                </c:pt>
                <c:pt idx="4">
                  <c:v>89.657576592730408</c:v>
                </c:pt>
                <c:pt idx="5">
                  <c:v>89.657576592730408</c:v>
                </c:pt>
                <c:pt idx="6">
                  <c:v>89.657576592730408</c:v>
                </c:pt>
                <c:pt idx="7">
                  <c:v>89.657576592730408</c:v>
                </c:pt>
                <c:pt idx="8">
                  <c:v>89.657576592730408</c:v>
                </c:pt>
                <c:pt idx="9">
                  <c:v>89.657576592730408</c:v>
                </c:pt>
                <c:pt idx="10">
                  <c:v>89.657576592730408</c:v>
                </c:pt>
                <c:pt idx="11">
                  <c:v>89.657576592730408</c:v>
                </c:pt>
                <c:pt idx="12">
                  <c:v>89.657576592730408</c:v>
                </c:pt>
                <c:pt idx="13">
                  <c:v>89.657576592730408</c:v>
                </c:pt>
                <c:pt idx="14">
                  <c:v>89.657576592730408</c:v>
                </c:pt>
                <c:pt idx="15">
                  <c:v>89.657576592730408</c:v>
                </c:pt>
                <c:pt idx="16">
                  <c:v>89.657576592730408</c:v>
                </c:pt>
                <c:pt idx="17">
                  <c:v>89.657576592730408</c:v>
                </c:pt>
                <c:pt idx="18">
                  <c:v>89.657576592730408</c:v>
                </c:pt>
              </c:numCache>
            </c:numRef>
          </c:val>
          <c:smooth val="0"/>
          <c:extLst xmlns:c16r2="http://schemas.microsoft.com/office/drawing/2015/06/chart">
            <c:ext xmlns:c16="http://schemas.microsoft.com/office/drawing/2014/chart" uri="{C3380CC4-5D6E-409C-BE32-E72D297353CC}">
              <c16:uniqueId val="{0000001A-0361-42DF-B0A7-AEB686945559}"/>
            </c:ext>
          </c:extLst>
        </c:ser>
        <c:dLbls>
          <c:showLegendKey val="0"/>
          <c:showVal val="0"/>
          <c:showCatName val="0"/>
          <c:showSerName val="0"/>
          <c:showPercent val="0"/>
          <c:showBubbleSize val="0"/>
        </c:dLbls>
        <c:marker val="1"/>
        <c:smooth val="0"/>
        <c:axId val="198548864"/>
        <c:axId val="198546944"/>
      </c:lineChart>
      <c:catAx>
        <c:axId val="1985104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512000"/>
        <c:crosses val="autoZero"/>
        <c:auto val="1"/>
        <c:lblAlgn val="ctr"/>
        <c:lblOffset val="100"/>
        <c:noMultiLvlLbl val="0"/>
      </c:catAx>
      <c:valAx>
        <c:axId val="198512000"/>
        <c:scaling>
          <c:orientation val="minMax"/>
          <c:max val="33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r>
                  <a:rPr lang="es-GT">
                    <a:solidFill>
                      <a:schemeClr val="accent1">
                        <a:lumMod val="50000"/>
                      </a:schemeClr>
                    </a:solidFill>
                    <a:latin typeface="Times New Roman" panose="02020603050405020304" pitchFamily="18" charset="0"/>
                    <a:cs typeface="Times New Roman" panose="02020603050405020304" pitchFamily="18" charset="0"/>
                  </a:rPr>
                  <a:t>Millones de quetzales</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ES"/>
          </a:p>
        </c:txPr>
        <c:crossAx val="198510464"/>
        <c:crosses val="autoZero"/>
        <c:crossBetween val="between"/>
        <c:majorUnit val="4000"/>
      </c:valAx>
      <c:valAx>
        <c:axId val="198546944"/>
        <c:scaling>
          <c:orientation val="minMax"/>
          <c:max val="100"/>
        </c:scaling>
        <c:delete val="0"/>
        <c:axPos val="r"/>
        <c:title>
          <c:tx>
            <c:rich>
              <a:bodyPr rot="5400000" spcFirstLastPara="1" vertOverflow="ellipsis" wrap="square" anchor="ctr" anchorCtr="1"/>
              <a:lstStyle/>
              <a:p>
                <a:pPr>
                  <a:defRPr sz="9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r>
                  <a:rPr lang="es-GT">
                    <a:solidFill>
                      <a:schemeClr val="accent2">
                        <a:lumMod val="75000"/>
                      </a:schemeClr>
                    </a:solidFill>
                    <a:latin typeface="Times New Roman" panose="02020603050405020304" pitchFamily="18" charset="0"/>
                    <a:cs typeface="Times New Roman" panose="02020603050405020304" pitchFamily="18" charset="0"/>
                  </a:rPr>
                  <a:t>Porcentajes de ejecución</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endParaRPr lang="es-ES"/>
          </a:p>
        </c:txPr>
        <c:crossAx val="198548864"/>
        <c:crosses val="max"/>
        <c:crossBetween val="between"/>
      </c:valAx>
      <c:catAx>
        <c:axId val="198548864"/>
        <c:scaling>
          <c:orientation val="minMax"/>
        </c:scaling>
        <c:delete val="1"/>
        <c:axPos val="b"/>
        <c:numFmt formatCode="General" sourceLinked="1"/>
        <c:majorTickMark val="out"/>
        <c:minorTickMark val="none"/>
        <c:tickLblPos val="nextTo"/>
        <c:crossAx val="198546944"/>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layout>
        <c:manualLayout>
          <c:xMode val="edge"/>
          <c:yMode val="edge"/>
          <c:x val="0.17777880304024496"/>
          <c:y val="0.93036930291547637"/>
          <c:w val="0.64444222304243215"/>
          <c:h val="6.9630697084523421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lt1"/>
    </a:solidFill>
    <a:ln w="9525" cap="flat" cmpd="sng" algn="ctr">
      <a:no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79444006705340475"/>
        </c:manualLayout>
      </c:layout>
      <c:barChart>
        <c:barDir val="col"/>
        <c:grouping val="clustered"/>
        <c:varyColors val="0"/>
        <c:ser>
          <c:idx val="0"/>
          <c:order val="0"/>
          <c:tx>
            <c:strRef>
              <c:f>Hoja1!$B$1</c:f>
              <c:strCache>
                <c:ptCount val="1"/>
                <c:pt idx="0">
                  <c:v>Obs-Pres</c:v>
                </c:pt>
              </c:strCache>
            </c:strRef>
          </c:tx>
          <c:spPr>
            <a:solidFill>
              <a:schemeClr val="accent1"/>
            </a:solidFill>
            <a:ln>
              <a:solidFill>
                <a:schemeClr val="tx1"/>
              </a:solidFill>
              <a:prstDash val="sysDot"/>
            </a:ln>
            <a:effectLst/>
          </c:spPr>
          <c:invertIfNegative val="0"/>
          <c:dPt>
            <c:idx val="0"/>
            <c:invertIfNegative val="0"/>
            <c:bubble3D val="0"/>
            <c:spPr>
              <a:solidFill>
                <a:schemeClr val="accent6"/>
              </a:solidFill>
              <a:ln>
                <a:solidFill>
                  <a:schemeClr val="tx1"/>
                </a:solidFill>
                <a:prstDash val="sysDot"/>
              </a:ln>
              <a:effectLst/>
            </c:spPr>
            <c:extLst xmlns:c16r2="http://schemas.microsoft.com/office/drawing/2015/06/chart">
              <c:ext xmlns:c16="http://schemas.microsoft.com/office/drawing/2014/chart" uri="{C3380CC4-5D6E-409C-BE32-E72D297353CC}">
                <c16:uniqueId val="{00000001-DDFD-430A-9682-4532492568EE}"/>
              </c:ext>
            </c:extLst>
          </c:dPt>
          <c:dPt>
            <c:idx val="1"/>
            <c:invertIfNegative val="0"/>
            <c:bubble3D val="0"/>
            <c:spPr>
              <a:solidFill>
                <a:schemeClr val="accent6"/>
              </a:solidFill>
              <a:ln>
                <a:solidFill>
                  <a:schemeClr val="tx1"/>
                </a:solidFill>
                <a:prstDash val="sysDot"/>
              </a:ln>
              <a:effectLst/>
            </c:spPr>
            <c:extLst xmlns:c16r2="http://schemas.microsoft.com/office/drawing/2015/06/chart">
              <c:ext xmlns:c16="http://schemas.microsoft.com/office/drawing/2014/chart" uri="{C3380CC4-5D6E-409C-BE32-E72D297353CC}">
                <c16:uniqueId val="{00000003-DDFD-430A-9682-4532492568EE}"/>
              </c:ext>
            </c:extLst>
          </c:dPt>
          <c:dPt>
            <c:idx val="2"/>
            <c:invertIfNegative val="0"/>
            <c:bubble3D val="0"/>
            <c:spPr>
              <a:solidFill>
                <a:schemeClr val="accent6"/>
              </a:solidFill>
              <a:ln>
                <a:solidFill>
                  <a:schemeClr val="tx1"/>
                </a:solidFill>
                <a:prstDash val="sysDot"/>
              </a:ln>
              <a:effectLst/>
            </c:spPr>
            <c:extLst xmlns:c16r2="http://schemas.microsoft.com/office/drawing/2015/06/chart">
              <c:ext xmlns:c16="http://schemas.microsoft.com/office/drawing/2014/chart" uri="{C3380CC4-5D6E-409C-BE32-E72D297353CC}">
                <c16:uniqueId val="{00000005-DDFD-430A-9682-4532492568EE}"/>
              </c:ext>
            </c:extLst>
          </c:dPt>
          <c:dPt>
            <c:idx val="3"/>
            <c:invertIfNegative val="0"/>
            <c:bubble3D val="0"/>
            <c:spPr>
              <a:solidFill>
                <a:srgbClr val="FF0000"/>
              </a:solidFill>
              <a:ln>
                <a:solidFill>
                  <a:schemeClr val="tx1"/>
                </a:solidFill>
                <a:prstDash val="sysDot"/>
              </a:ln>
              <a:effectLst/>
            </c:spPr>
            <c:extLst xmlns:c16r2="http://schemas.microsoft.com/office/drawing/2015/06/chart">
              <c:ext xmlns:c16="http://schemas.microsoft.com/office/drawing/2014/chart" uri="{C3380CC4-5D6E-409C-BE32-E72D297353CC}">
                <c16:uniqueId val="{00000007-DDFD-430A-9682-4532492568EE}"/>
              </c:ext>
            </c:extLst>
          </c:dPt>
          <c:dPt>
            <c:idx val="4"/>
            <c:invertIfNegative val="0"/>
            <c:bubble3D val="0"/>
            <c:spPr>
              <a:solidFill>
                <a:srgbClr val="FF0000"/>
              </a:solidFill>
              <a:ln>
                <a:solidFill>
                  <a:schemeClr val="tx1"/>
                </a:solidFill>
                <a:prstDash val="sysDot"/>
              </a:ln>
              <a:effectLst/>
            </c:spPr>
            <c:extLst xmlns:c16r2="http://schemas.microsoft.com/office/drawing/2015/06/chart">
              <c:ext xmlns:c16="http://schemas.microsoft.com/office/drawing/2014/chart" uri="{C3380CC4-5D6E-409C-BE32-E72D297353CC}">
                <c16:uniqueId val="{00000009-DDFD-430A-9682-4532492568EE}"/>
              </c:ext>
            </c:extLst>
          </c:dPt>
          <c:dPt>
            <c:idx val="5"/>
            <c:invertIfNegative val="0"/>
            <c:bubble3D val="0"/>
            <c:spPr>
              <a:solidFill>
                <a:srgbClr val="FF0000"/>
              </a:solidFill>
              <a:ln>
                <a:solidFill>
                  <a:schemeClr val="tx1"/>
                </a:solidFill>
                <a:prstDash val="sysDot"/>
              </a:ln>
              <a:effectLst/>
            </c:spPr>
            <c:extLst xmlns:c16r2="http://schemas.microsoft.com/office/drawing/2015/06/chart">
              <c:ext xmlns:c16="http://schemas.microsoft.com/office/drawing/2014/chart" uri="{C3380CC4-5D6E-409C-BE32-E72D297353CC}">
                <c16:uniqueId val="{0000000B-DDFD-430A-9682-4532492568EE}"/>
              </c:ext>
            </c:extLst>
          </c:dPt>
          <c:dPt>
            <c:idx val="6"/>
            <c:invertIfNegative val="0"/>
            <c:bubble3D val="0"/>
            <c:spPr>
              <a:solidFill>
                <a:srgbClr val="FF0000"/>
              </a:solidFill>
              <a:ln>
                <a:solidFill>
                  <a:schemeClr val="tx1"/>
                </a:solidFill>
                <a:prstDash val="sysDot"/>
              </a:ln>
              <a:effectLst/>
            </c:spPr>
            <c:extLst xmlns:c16r2="http://schemas.microsoft.com/office/drawing/2015/06/chart">
              <c:ext xmlns:c16="http://schemas.microsoft.com/office/drawing/2014/chart" uri="{C3380CC4-5D6E-409C-BE32-E72D297353CC}">
                <c16:uniqueId val="{0000000D-DDFD-430A-9682-4532492568EE}"/>
              </c:ext>
            </c:extLst>
          </c:dPt>
          <c:dLbls>
            <c:dLbl>
              <c:idx val="0"/>
              <c:layout>
                <c:manualLayout>
                  <c:x val="-2.0738825280032566E-17"/>
                  <c:y val="0.18397924652237901"/>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DFD-430A-9682-4532492568EE}"/>
                </c:ext>
              </c:extLst>
            </c:dLbl>
            <c:dLbl>
              <c:idx val="1"/>
              <c:layout>
                <c:manualLayout>
                  <c:x val="-4.1477650560065132E-17"/>
                  <c:y val="0.179065816350569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DFD-430A-9682-4532492568EE}"/>
                </c:ext>
              </c:extLst>
            </c:dLbl>
            <c:dLbl>
              <c:idx val="2"/>
              <c:layout>
                <c:manualLayout>
                  <c:x val="0"/>
                  <c:y val="0.179065816350569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DFD-430A-9682-4532492568EE}"/>
                </c:ext>
              </c:extLst>
            </c:dLbl>
            <c:dLbl>
              <c:idx val="3"/>
              <c:layout>
                <c:manualLayout>
                  <c:x val="0"/>
                  <c:y val="3.192486647211060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DFD-430A-9682-4532492568EE}"/>
                </c:ext>
              </c:extLst>
            </c:dLbl>
            <c:dLbl>
              <c:idx val="4"/>
              <c:layout>
                <c:manualLayout>
                  <c:x val="0"/>
                  <c:y val="0.25752393195748491"/>
                </c:manualLayout>
              </c:layout>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DFD-430A-9682-4532492568EE}"/>
                </c:ext>
              </c:extLst>
            </c:dLbl>
            <c:dLbl>
              <c:idx val="5"/>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inBase"/>
              <c:showLegendKey val="0"/>
              <c:showVal val="1"/>
              <c:showCatName val="0"/>
              <c:showSerName val="0"/>
              <c:showPercent val="0"/>
              <c:showBubbleSize val="0"/>
            </c:dLbl>
            <c:dLbl>
              <c:idx val="6"/>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inBase"/>
              <c:showLegendKey val="0"/>
              <c:showVal val="1"/>
              <c:showCatName val="0"/>
              <c:showSerName val="0"/>
              <c:showPercent val="0"/>
              <c:showBubbleSize val="0"/>
            </c:dLbl>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Ene</c:v>
                </c:pt>
                <c:pt idx="1">
                  <c:v>Feb</c:v>
                </c:pt>
                <c:pt idx="2">
                  <c:v>Mar*</c:v>
                </c:pt>
                <c:pt idx="3">
                  <c:v>Abr*</c:v>
                </c:pt>
                <c:pt idx="4">
                  <c:v>May</c:v>
                </c:pt>
                <c:pt idx="5">
                  <c:v>Jun</c:v>
                </c:pt>
                <c:pt idx="6">
                  <c:v>Jul</c:v>
                </c:pt>
              </c:strCache>
            </c:strRef>
          </c:cat>
          <c:val>
            <c:numRef>
              <c:f>Hoja1!$B$2:$B$8</c:f>
              <c:numCache>
                <c:formatCode>#,##0.0</c:formatCode>
                <c:ptCount val="7"/>
                <c:pt idx="0">
                  <c:v>347.1</c:v>
                </c:pt>
                <c:pt idx="1">
                  <c:v>539.70000000000005</c:v>
                </c:pt>
                <c:pt idx="2">
                  <c:v>224.9</c:v>
                </c:pt>
                <c:pt idx="3">
                  <c:v>-754.4</c:v>
                </c:pt>
                <c:pt idx="4">
                  <c:v>-1823</c:v>
                </c:pt>
                <c:pt idx="5">
                  <c:v>-2704.4</c:v>
                </c:pt>
                <c:pt idx="6">
                  <c:v>-3959.8</c:v>
                </c:pt>
              </c:numCache>
            </c:numRef>
          </c:val>
          <c:extLst xmlns:c16r2="http://schemas.microsoft.com/office/drawing/2015/06/chart">
            <c:ext xmlns:c16="http://schemas.microsoft.com/office/drawing/2014/chart" uri="{C3380CC4-5D6E-409C-BE32-E72D297353CC}">
              <c16:uniqueId val="{0000000E-DDFD-430A-9682-4532492568EE}"/>
            </c:ext>
          </c:extLst>
        </c:ser>
        <c:dLbls>
          <c:showLegendKey val="0"/>
          <c:showVal val="0"/>
          <c:showCatName val="0"/>
          <c:showSerName val="0"/>
          <c:showPercent val="0"/>
          <c:showBubbleSize val="0"/>
        </c:dLbls>
        <c:gapWidth val="15"/>
        <c:axId val="50446720"/>
        <c:axId val="50448256"/>
      </c:barChart>
      <c:catAx>
        <c:axId val="5044672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prstDash val="sysDash"/>
            <a:round/>
          </a:ln>
          <a:effectLst/>
        </c:spPr>
        <c:txPr>
          <a:bodyPr rot="-60000000" spcFirstLastPara="1" vertOverflow="ellipsis" vert="horz" wrap="square" anchor="ctr" anchorCtr="1"/>
          <a:lstStyle/>
          <a:p>
            <a:pPr>
              <a:defRPr sz="55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0448256"/>
        <c:crosses val="autoZero"/>
        <c:auto val="1"/>
        <c:lblAlgn val="ctr"/>
        <c:lblOffset val="100"/>
        <c:noMultiLvlLbl val="0"/>
      </c:catAx>
      <c:valAx>
        <c:axId val="5044825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_ ;\-#,##0\ " sourceLinked="0"/>
        <c:majorTickMark val="none"/>
        <c:minorTickMark val="none"/>
        <c:tickLblPos val="nextTo"/>
        <c:spPr>
          <a:noFill/>
          <a:ln>
            <a:noFill/>
          </a:ln>
          <a:effectLst/>
        </c:spPr>
        <c:txPr>
          <a:bodyPr rot="-60000000" spcFirstLastPara="1" vertOverflow="ellipsis" vert="horz" wrap="square" anchor="ctr" anchorCtr="1"/>
          <a:lstStyle/>
          <a:p>
            <a:pPr>
              <a:defRPr sz="55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5044672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ES"/>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88843047973636"/>
          <c:y val="4.6504195421518263E-2"/>
          <c:w val="0.71502754740081675"/>
          <c:h val="0.72424868394282427"/>
        </c:manualLayout>
      </c:layout>
      <c:barChart>
        <c:barDir val="col"/>
        <c:grouping val="clustered"/>
        <c:varyColors val="0"/>
        <c:ser>
          <c:idx val="1"/>
          <c:order val="0"/>
          <c:tx>
            <c:strRef>
              <c:f>Sheet1!$C$1</c:f>
              <c:strCache>
                <c:ptCount val="1"/>
                <c:pt idx="0">
                  <c:v>Ejecución</c:v>
                </c:pt>
              </c:strCache>
            </c:strRef>
          </c:tx>
          <c:spPr>
            <a:solidFill>
              <a:schemeClr val="accent5">
                <a:lumMod val="50000"/>
              </a:schemeClr>
            </a:solidFill>
            <a:ln>
              <a:noFill/>
            </a:ln>
            <a:effectLst/>
            <a:scene3d>
              <a:camera prst="orthographicFront"/>
              <a:lightRig rig="threePt" dir="t"/>
            </a:scene3d>
            <a:sp3d>
              <a:bevelT w="165100" prst="coolSlant"/>
            </a:sp3d>
          </c:spPr>
          <c:invertIfNegative val="0"/>
          <c:dLbls>
            <c:dLbl>
              <c:idx val="0"/>
              <c:layout>
                <c:manualLayout>
                  <c:x val="-1.9524091104950787E-17"/>
                  <c:y val="0.12609635788769646"/>
                </c:manualLayout>
              </c:layout>
              <c:spPr>
                <a:no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059-4B9F-9693-08AD390C0E1F}"/>
                </c:ext>
              </c:extLst>
            </c:dLbl>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Sheet1!$A$2:$A$9</c:f>
              <c:strCache>
                <c:ptCount val="8"/>
                <c:pt idx="0">
                  <c:v>Mayo</c:v>
                </c:pt>
                <c:pt idx="1">
                  <c:v>Junio</c:v>
                </c:pt>
                <c:pt idx="2">
                  <c:v>Julio</c:v>
                </c:pt>
                <c:pt idx="3">
                  <c:v>Agosto</c:v>
                </c:pt>
                <c:pt idx="4">
                  <c:v>Septiembre</c:v>
                </c:pt>
                <c:pt idx="5">
                  <c:v>Octubre</c:v>
                </c:pt>
                <c:pt idx="6">
                  <c:v>Noviembre</c:v>
                </c:pt>
                <c:pt idx="7">
                  <c:v>Diciembre</c:v>
                </c:pt>
              </c:strCache>
            </c:strRef>
          </c:cat>
          <c:val>
            <c:numRef>
              <c:f>Sheet1!$C$2:$C$9</c:f>
              <c:numCache>
                <c:formatCode>#,##0.0</c:formatCode>
                <c:ptCount val="8"/>
                <c:pt idx="0">
                  <c:v>2120.6800000000003</c:v>
                </c:pt>
                <c:pt idx="1">
                  <c:v>4006.5029999999997</c:v>
                </c:pt>
                <c:pt idx="2">
                  <c:v>4935.3299730000008</c:v>
                </c:pt>
                <c:pt idx="3">
                  <c:v>7035.3304124899996</c:v>
                </c:pt>
                <c:pt idx="4">
                  <c:v>9807.7554124899998</c:v>
                </c:pt>
                <c:pt idx="5">
                  <c:v>11151.555412489999</c:v>
                </c:pt>
                <c:pt idx="6">
                  <c:v>11980.32540227</c:v>
                </c:pt>
                <c:pt idx="7">
                  <c:v>13520.195402269999</c:v>
                </c:pt>
              </c:numCache>
            </c:numRef>
          </c:val>
          <c:extLst xmlns:c16r2="http://schemas.microsoft.com/office/drawing/2015/06/chart">
            <c:ext xmlns:c16="http://schemas.microsoft.com/office/drawing/2014/chart" uri="{C3380CC4-5D6E-409C-BE32-E72D297353CC}">
              <c16:uniqueId val="{00000001-6059-4B9F-9693-08AD390C0E1F}"/>
            </c:ext>
          </c:extLst>
        </c:ser>
        <c:dLbls>
          <c:showLegendKey val="0"/>
          <c:showVal val="0"/>
          <c:showCatName val="0"/>
          <c:showSerName val="0"/>
          <c:showPercent val="0"/>
          <c:showBubbleSize val="0"/>
        </c:dLbls>
        <c:gapWidth val="68"/>
        <c:axId val="198601728"/>
        <c:axId val="198619904"/>
      </c:barChart>
      <c:lineChart>
        <c:grouping val="standard"/>
        <c:varyColors val="0"/>
        <c:ser>
          <c:idx val="2"/>
          <c:order val="1"/>
          <c:tx>
            <c:strRef>
              <c:f>Sheet1!$D$1</c:f>
              <c:strCache>
                <c:ptCount val="1"/>
                <c:pt idx="0">
                  <c:v>% de ejecución</c:v>
                </c:pt>
              </c:strCache>
            </c:strRef>
          </c:tx>
          <c:spPr>
            <a:ln w="44450" cap="rnd" cmpd="thinThick">
              <a:solidFill>
                <a:schemeClr val="accent5"/>
              </a:solidFill>
              <a:prstDash val="dash"/>
              <a:round/>
            </a:ln>
            <a:effectLst/>
          </c:spPr>
          <c:marker>
            <c:symbol val="star"/>
            <c:size val="8"/>
            <c:spPr>
              <a:noFill/>
              <a:ln w="15875">
                <a:solidFill>
                  <a:schemeClr val="accent5"/>
                </a:solidFill>
                <a:round/>
              </a:ln>
              <a:effectLst/>
            </c:spPr>
          </c:marker>
          <c:dLbls>
            <c:dLbl>
              <c:idx val="0"/>
              <c:layout>
                <c:manualLayout>
                  <c:x val="-7.6677316293929737E-2"/>
                  <c:y val="-7.23938223938224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059-4B9F-9693-08AD390C0E1F}"/>
                </c:ext>
              </c:extLst>
            </c:dLbl>
            <c:dLbl>
              <c:idx val="1"/>
              <c:layout>
                <c:manualLayout>
                  <c:x val="-8.9456869009584661E-2"/>
                  <c:y val="-5.791505791505791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059-4B9F-9693-08AD390C0E1F}"/>
                </c:ext>
              </c:extLst>
            </c:dLbl>
            <c:dLbl>
              <c:idx val="2"/>
              <c:layout>
                <c:manualLayout>
                  <c:x val="-8.5197018104366432E-2"/>
                  <c:y val="-6.27413127413127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059-4B9F-9693-08AD390C0E1F}"/>
                </c:ext>
              </c:extLst>
            </c:dLbl>
            <c:dLbl>
              <c:idx val="3"/>
              <c:layout>
                <c:manualLayout>
                  <c:x val="-0.11501597444089456"/>
                  <c:y val="-5.30888030888030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059-4B9F-9693-08AD390C0E1F}"/>
                </c:ext>
              </c:extLst>
            </c:dLbl>
            <c:dLbl>
              <c:idx val="4"/>
              <c:layout>
                <c:manualLayout>
                  <c:x val="-0.15335463258785942"/>
                  <c:y val="-1.6891891891891893E-2"/>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1927582534611289"/>
                      <c:h val="6.3706563706563704E-2"/>
                    </c:manualLayout>
                  </c15:layout>
                </c:ext>
                <c:ext xmlns:c16="http://schemas.microsoft.com/office/drawing/2014/chart" uri="{C3380CC4-5D6E-409C-BE32-E72D297353CC}">
                  <c16:uniqueId val="{00000006-6059-4B9F-9693-08AD390C0E1F}"/>
                </c:ext>
              </c:extLst>
            </c:dLbl>
            <c:dLbl>
              <c:idx val="5"/>
              <c:layout>
                <c:manualLayout>
                  <c:x val="-0.14483493077742288"/>
                  <c:y val="-1.930501930501930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059-4B9F-9693-08AD390C0E1F}"/>
                </c:ext>
              </c:extLst>
            </c:dLbl>
            <c:dLbl>
              <c:idx val="6"/>
              <c:layout>
                <c:manualLayout>
                  <c:x val="-0.13631522896698617"/>
                  <c:y val="-3.86100386100386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059-4B9F-9693-08AD390C0E1F}"/>
                </c:ext>
              </c:extLst>
            </c:dLbl>
            <c:dLbl>
              <c:idx val="7"/>
              <c:layout>
                <c:manualLayout>
                  <c:x val="-0.14057507987220447"/>
                  <c:y val="-2.895752895752895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059-4B9F-9693-08AD390C0E1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Sheet1!$A$2:$A$9</c:f>
              <c:strCache>
                <c:ptCount val="8"/>
                <c:pt idx="0">
                  <c:v>Mayo</c:v>
                </c:pt>
                <c:pt idx="1">
                  <c:v>Junio</c:v>
                </c:pt>
                <c:pt idx="2">
                  <c:v>Julio</c:v>
                </c:pt>
                <c:pt idx="3">
                  <c:v>Agosto</c:v>
                </c:pt>
                <c:pt idx="4">
                  <c:v>Septiembre</c:v>
                </c:pt>
                <c:pt idx="5">
                  <c:v>Octubre</c:v>
                </c:pt>
                <c:pt idx="6">
                  <c:v>Noviembre</c:v>
                </c:pt>
                <c:pt idx="7">
                  <c:v>Diciembre</c:v>
                </c:pt>
              </c:strCache>
            </c:strRef>
          </c:cat>
          <c:val>
            <c:numRef>
              <c:f>Sheet1!$D$2:$D$9</c:f>
              <c:numCache>
                <c:formatCode>0.0%</c:formatCode>
                <c:ptCount val="8"/>
                <c:pt idx="0">
                  <c:v>0.14515263518138263</c:v>
                </c:pt>
                <c:pt idx="1">
                  <c:v>0.27423018480492817</c:v>
                </c:pt>
                <c:pt idx="2">
                  <c:v>0.33780492628336761</c:v>
                </c:pt>
                <c:pt idx="3">
                  <c:v>0.4815549410260096</c:v>
                </c:pt>
                <c:pt idx="4">
                  <c:v>0.67133940977344286</c:v>
                </c:pt>
                <c:pt idx="5">
                  <c:v>0.76332962195687892</c:v>
                </c:pt>
                <c:pt idx="6">
                  <c:v>0.82008213552361398</c:v>
                </c:pt>
                <c:pt idx="7">
                  <c:v>0.92609786920221104</c:v>
                </c:pt>
              </c:numCache>
            </c:numRef>
          </c:val>
          <c:smooth val="1"/>
          <c:extLst xmlns:c16r2="http://schemas.microsoft.com/office/drawing/2015/06/chart">
            <c:ext xmlns:c16="http://schemas.microsoft.com/office/drawing/2014/chart" uri="{C3380CC4-5D6E-409C-BE32-E72D297353CC}">
              <c16:uniqueId val="{0000000A-6059-4B9F-9693-08AD390C0E1F}"/>
            </c:ext>
          </c:extLst>
        </c:ser>
        <c:dLbls>
          <c:showLegendKey val="0"/>
          <c:showVal val="0"/>
          <c:showCatName val="0"/>
          <c:showSerName val="0"/>
          <c:showPercent val="0"/>
          <c:showBubbleSize val="0"/>
        </c:dLbls>
        <c:marker val="1"/>
        <c:smooth val="0"/>
        <c:axId val="197853184"/>
        <c:axId val="198621440"/>
      </c:lineChart>
      <c:catAx>
        <c:axId val="19860172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619904"/>
        <c:crosses val="autoZero"/>
        <c:auto val="1"/>
        <c:lblAlgn val="ctr"/>
        <c:lblOffset val="100"/>
        <c:noMultiLvlLbl val="0"/>
      </c:catAx>
      <c:valAx>
        <c:axId val="198619904"/>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601728"/>
        <c:crosses val="autoZero"/>
        <c:crossBetween val="between"/>
      </c:valAx>
      <c:valAx>
        <c:axId val="198621440"/>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7853184"/>
        <c:crosses val="max"/>
        <c:crossBetween val="between"/>
      </c:valAx>
      <c:catAx>
        <c:axId val="197853184"/>
        <c:scaling>
          <c:orientation val="minMax"/>
        </c:scaling>
        <c:delete val="1"/>
        <c:axPos val="b"/>
        <c:numFmt formatCode="General" sourceLinked="1"/>
        <c:majorTickMark val="out"/>
        <c:minorTickMark val="none"/>
        <c:tickLblPos val="nextTo"/>
        <c:crossAx val="198621440"/>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layout>
        <c:manualLayout>
          <c:xMode val="edge"/>
          <c:yMode val="edge"/>
          <c:x val="0.11955221252295542"/>
          <c:y val="5.0331757516796895E-2"/>
          <c:w val="0.36472944076878572"/>
          <c:h val="0.1871199799349405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lt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22119875610478"/>
          <c:y val="5.5795079888409843E-2"/>
          <c:w val="0.74581266507762678"/>
          <c:h val="0.6694209109937207"/>
        </c:manualLayout>
      </c:layout>
      <c:barChart>
        <c:barDir val="col"/>
        <c:grouping val="clustered"/>
        <c:varyColors val="0"/>
        <c:ser>
          <c:idx val="0"/>
          <c:order val="0"/>
          <c:tx>
            <c:strRef>
              <c:f>Sheet1!$B$1</c:f>
              <c:strCache>
                <c:ptCount val="1"/>
                <c:pt idx="0">
                  <c:v>Presupuesto</c:v>
                </c:pt>
              </c:strCache>
            </c:strRef>
          </c:tx>
          <c:spPr>
            <a:solidFill>
              <a:schemeClr val="accent6"/>
            </a:solidFill>
            <a:ln>
              <a:noFill/>
            </a:ln>
            <a:effectLst>
              <a:outerShdw blurRad="50800" dist="38100" algn="l" rotWithShape="0">
                <a:prstClr val="black">
                  <a:alpha val="40000"/>
                </a:prstClr>
              </a:outerShdw>
            </a:effectLst>
          </c:spPr>
          <c:invertIfNegative val="0"/>
          <c:dLbls>
            <c:dLbl>
              <c:idx val="0"/>
              <c:layout>
                <c:manualLayout>
                  <c:x val="-4.0290088638195E-3"/>
                  <c:y val="0.13876421697287838"/>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1A4-4173-9DF3-127812AD9CA5}"/>
                </c:ext>
              </c:extLst>
            </c:dLbl>
            <c:dLbl>
              <c:idx val="2"/>
              <c:layout>
                <c:manualLayout>
                  <c:x val="0"/>
                  <c:y val="1.444124228176513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1A4-4173-9DF3-127812AD9CA5}"/>
                </c:ext>
              </c:extLst>
            </c:dLbl>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Decreto 12-2020 Ley de Emergencia COVID-19</c:v>
                </c:pt>
                <c:pt idx="1">
                  <c:v>Decreto 13-2020 Ley de Rescate Económico para Familias</c:v>
                </c:pt>
                <c:pt idx="2">
                  <c:v>Decreto 20-2020 Ampliación Presupuestaria</c:v>
                </c:pt>
              </c:strCache>
            </c:strRef>
          </c:cat>
          <c:val>
            <c:numRef>
              <c:f>Sheet1!$B$2:$B$4</c:f>
              <c:numCache>
                <c:formatCode>#,##0.0</c:formatCode>
                <c:ptCount val="3"/>
                <c:pt idx="0">
                  <c:v>2239.13</c:v>
                </c:pt>
                <c:pt idx="1">
                  <c:v>11000</c:v>
                </c:pt>
                <c:pt idx="2">
                  <c:v>1360</c:v>
                </c:pt>
              </c:numCache>
            </c:numRef>
          </c:val>
          <c:extLst xmlns:c16r2="http://schemas.microsoft.com/office/drawing/2015/06/chart">
            <c:ext xmlns:c16="http://schemas.microsoft.com/office/drawing/2014/chart" uri="{C3380CC4-5D6E-409C-BE32-E72D297353CC}">
              <c16:uniqueId val="{00000002-41A4-4173-9DF3-127812AD9CA5}"/>
            </c:ext>
          </c:extLst>
        </c:ser>
        <c:ser>
          <c:idx val="1"/>
          <c:order val="1"/>
          <c:tx>
            <c:strRef>
              <c:f>Sheet1!$C$1</c:f>
              <c:strCache>
                <c:ptCount val="1"/>
                <c:pt idx="0">
                  <c:v>Ejecución</c:v>
                </c:pt>
              </c:strCache>
            </c:strRef>
          </c:tx>
          <c:spPr>
            <a:solidFill>
              <a:schemeClr val="accent5"/>
            </a:solidFill>
            <a:ln>
              <a:noFill/>
            </a:ln>
            <a:effectLst>
              <a:outerShdw blurRad="50800" dist="38100" algn="l" rotWithShape="0">
                <a:prstClr val="black">
                  <a:alpha val="40000"/>
                </a:prstClr>
              </a:outerShdw>
            </a:effectLst>
          </c:spPr>
          <c:invertIfNegative val="0"/>
          <c:dLbls>
            <c:dLbl>
              <c:idx val="0"/>
              <c:layout>
                <c:manualLayout>
                  <c:x val="0"/>
                  <c:y val="0.1139636191309419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1A4-4173-9DF3-127812AD9CA5}"/>
                </c:ext>
              </c:extLst>
            </c:dLbl>
            <c:dLbl>
              <c:idx val="2"/>
              <c:layout>
                <c:manualLayout>
                  <c:x val="-1.5536543684363381E-16"/>
                  <c:y val="2.48707726731999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1A4-4173-9DF3-127812AD9CA5}"/>
                </c:ext>
              </c:extLst>
            </c:dLbl>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Decreto 12-2020 Ley de Emergencia COVID-19</c:v>
                </c:pt>
                <c:pt idx="1">
                  <c:v>Decreto 13-2020 Ley de Rescate Económico para Familias</c:v>
                </c:pt>
                <c:pt idx="2">
                  <c:v>Decreto 20-2020 Ampliación Presupuestaria</c:v>
                </c:pt>
              </c:strCache>
            </c:strRef>
          </c:cat>
          <c:val>
            <c:numRef>
              <c:f>Sheet1!$C$2:$C$4</c:f>
              <c:numCache>
                <c:formatCode>#,##0.0</c:formatCode>
                <c:ptCount val="3"/>
                <c:pt idx="0">
                  <c:v>1826.4639999999999</c:v>
                </c:pt>
                <c:pt idx="1">
                  <c:v>10570</c:v>
                </c:pt>
                <c:pt idx="2">
                  <c:v>1123.69</c:v>
                </c:pt>
              </c:numCache>
            </c:numRef>
          </c:val>
          <c:extLst xmlns:c16r2="http://schemas.microsoft.com/office/drawing/2015/06/chart">
            <c:ext xmlns:c16="http://schemas.microsoft.com/office/drawing/2014/chart" uri="{C3380CC4-5D6E-409C-BE32-E72D297353CC}">
              <c16:uniqueId val="{00000005-41A4-4173-9DF3-127812AD9CA5}"/>
            </c:ext>
          </c:extLst>
        </c:ser>
        <c:dLbls>
          <c:showLegendKey val="0"/>
          <c:showVal val="0"/>
          <c:showCatName val="0"/>
          <c:showSerName val="0"/>
          <c:showPercent val="0"/>
          <c:showBubbleSize val="0"/>
        </c:dLbls>
        <c:gapWidth val="150"/>
        <c:axId val="198716800"/>
        <c:axId val="198730880"/>
      </c:barChart>
      <c:lineChart>
        <c:grouping val="standard"/>
        <c:varyColors val="0"/>
        <c:ser>
          <c:idx val="2"/>
          <c:order val="2"/>
          <c:tx>
            <c:strRef>
              <c:f>Sheet1!$D$1</c:f>
              <c:strCache>
                <c:ptCount val="1"/>
                <c:pt idx="0">
                  <c:v>% de ejecución</c:v>
                </c:pt>
              </c:strCache>
            </c:strRef>
          </c:tx>
          <c:spPr>
            <a:ln w="28575" cap="rnd">
              <a:noFill/>
              <a:round/>
            </a:ln>
            <a:effectLst/>
          </c:spPr>
          <c:marker>
            <c:symbol val="diamond"/>
            <c:size val="11"/>
            <c:spPr>
              <a:solidFill>
                <a:schemeClr val="accent4"/>
              </a:solidFill>
              <a:ln w="9525">
                <a:solidFill>
                  <a:schemeClr val="tx1">
                    <a:lumMod val="95000"/>
                    <a:lumOff val="5000"/>
                  </a:schemeClr>
                </a:solidFill>
              </a:ln>
              <a:effectLst/>
            </c:spPr>
          </c:marker>
          <c:dLbls>
            <c:dLbl>
              <c:idx val="0"/>
              <c:layout>
                <c:manualLayout>
                  <c:x val="-0.10169491525423729"/>
                  <c:y val="-5.39568345323740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1A4-4173-9DF3-127812AD9CA5}"/>
                </c:ext>
              </c:extLst>
            </c:dLbl>
            <c:dLbl>
              <c:idx val="1"/>
              <c:layout>
                <c:manualLayout>
                  <c:x val="-8.0580177276390746E-3"/>
                  <c:y val="-2.77777777777777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1A4-4173-9DF3-127812AD9CA5}"/>
                </c:ext>
              </c:extLst>
            </c:dLbl>
            <c:dLbl>
              <c:idx val="2"/>
              <c:layout>
                <c:manualLayout>
                  <c:x val="-0.11016949152542373"/>
                  <c:y val="-5.39568345323740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1A4-4173-9DF3-127812AD9CA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Decreto 12-2020 Ley de Emergencia COVID-19</c:v>
                </c:pt>
                <c:pt idx="1">
                  <c:v>Decreto 13-2020 Ley de Rescate Económico para Familias</c:v>
                </c:pt>
                <c:pt idx="2">
                  <c:v>Decreto 20-2020 Ampliación Presupuestaria</c:v>
                </c:pt>
              </c:strCache>
            </c:strRef>
          </c:cat>
          <c:val>
            <c:numRef>
              <c:f>Sheet1!$D$2:$D$4</c:f>
              <c:numCache>
                <c:formatCode>0.0%</c:formatCode>
                <c:ptCount val="3"/>
                <c:pt idx="0">
                  <c:v>0.815702527320879</c:v>
                </c:pt>
                <c:pt idx="1">
                  <c:v>0.96090909090909093</c:v>
                </c:pt>
                <c:pt idx="2">
                  <c:v>0.82624264705882355</c:v>
                </c:pt>
              </c:numCache>
            </c:numRef>
          </c:val>
          <c:smooth val="0"/>
          <c:extLst xmlns:c16r2="http://schemas.microsoft.com/office/drawing/2015/06/chart">
            <c:ext xmlns:c16="http://schemas.microsoft.com/office/drawing/2014/chart" uri="{C3380CC4-5D6E-409C-BE32-E72D297353CC}">
              <c16:uniqueId val="{00000009-41A4-4173-9DF3-127812AD9CA5}"/>
            </c:ext>
          </c:extLst>
        </c:ser>
        <c:dLbls>
          <c:showLegendKey val="0"/>
          <c:showVal val="0"/>
          <c:showCatName val="0"/>
          <c:showSerName val="0"/>
          <c:showPercent val="0"/>
          <c:showBubbleSize val="0"/>
        </c:dLbls>
        <c:marker val="1"/>
        <c:smooth val="0"/>
        <c:axId val="198746496"/>
        <c:axId val="198732416"/>
      </c:lineChart>
      <c:catAx>
        <c:axId val="19871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730880"/>
        <c:crosses val="autoZero"/>
        <c:auto val="1"/>
        <c:lblAlgn val="ctr"/>
        <c:lblOffset val="100"/>
        <c:noMultiLvlLbl val="0"/>
      </c:catAx>
      <c:valAx>
        <c:axId val="19873088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716800"/>
        <c:crosses val="autoZero"/>
        <c:crossBetween val="between"/>
      </c:valAx>
      <c:valAx>
        <c:axId val="198732416"/>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98746496"/>
        <c:crosses val="max"/>
        <c:crossBetween val="between"/>
      </c:valAx>
      <c:catAx>
        <c:axId val="198746496"/>
        <c:scaling>
          <c:orientation val="minMax"/>
        </c:scaling>
        <c:delete val="1"/>
        <c:axPos val="b"/>
        <c:numFmt formatCode="General" sourceLinked="1"/>
        <c:majorTickMark val="out"/>
        <c:minorTickMark val="none"/>
        <c:tickLblPos val="nextTo"/>
        <c:crossAx val="198732416"/>
        <c:crosses val="autoZero"/>
        <c:auto val="1"/>
        <c:lblAlgn val="ctr"/>
        <c:lblOffset val="100"/>
        <c:noMultiLvlLbl val="0"/>
      </c:catAx>
      <c:spPr>
        <a:noFill/>
        <a:ln>
          <a:noFill/>
        </a:ln>
        <a:effectLst/>
      </c:spPr>
    </c:plotArea>
    <c:legend>
      <c:legendPos val="b"/>
      <c:layout>
        <c:manualLayout>
          <c:xMode val="edge"/>
          <c:yMode val="edge"/>
          <c:x val="0.12300914186574136"/>
          <c:y val="1.8814436639664648E-2"/>
          <c:w val="0.82042873348458556"/>
          <c:h val="7.133702486829433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Personas en albergues oficiales </a:t>
            </a:r>
          </a:p>
        </c:rich>
      </c:tx>
      <c:overlay val="0"/>
      <c:spPr>
        <a:noFill/>
        <a:ln>
          <a:noFill/>
        </a:ln>
        <a:effectLst/>
      </c:spPr>
    </c:title>
    <c:autoTitleDeleted val="0"/>
    <c:plotArea>
      <c:layout>
        <c:manualLayout>
          <c:layoutTarget val="inner"/>
          <c:xMode val="edge"/>
          <c:yMode val="edge"/>
          <c:x val="0.2397438056092045"/>
          <c:y val="0.23312023834858484"/>
          <c:w val="0.71412997903563946"/>
          <c:h val="0.41770589487124921"/>
        </c:manualLayout>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 (2)'!$AH$73:$AH$76</c:f>
              <c:strCache>
                <c:ptCount val="4"/>
                <c:pt idx="0">
                  <c:v>Entre 9 y 17 de Nov</c:v>
                </c:pt>
                <c:pt idx="1">
                  <c:v>A partir del 18 de Nov</c:v>
                </c:pt>
                <c:pt idx="2">
                  <c:v>4 de Dic.</c:v>
                </c:pt>
                <c:pt idx="3">
                  <c:v>12 de Dic.</c:v>
                </c:pt>
              </c:strCache>
            </c:strRef>
          </c:cat>
          <c:val>
            <c:numRef>
              <c:f>'Hoja2 (2)'!$AI$73:$AI$76</c:f>
              <c:numCache>
                <c:formatCode>General</c:formatCode>
                <c:ptCount val="4"/>
                <c:pt idx="0">
                  <c:v>17.7</c:v>
                </c:pt>
                <c:pt idx="1">
                  <c:v>28.3</c:v>
                </c:pt>
                <c:pt idx="2">
                  <c:v>30.6</c:v>
                </c:pt>
                <c:pt idx="3">
                  <c:v>12</c:v>
                </c:pt>
              </c:numCache>
            </c:numRef>
          </c:val>
          <c:extLst xmlns:c16r2="http://schemas.microsoft.com/office/drawing/2015/06/chart">
            <c:ext xmlns:c16="http://schemas.microsoft.com/office/drawing/2014/chart" uri="{C3380CC4-5D6E-409C-BE32-E72D297353CC}">
              <c16:uniqueId val="{00000000-960C-4402-8173-BD57FFF0FC3D}"/>
            </c:ext>
          </c:extLst>
        </c:ser>
        <c:dLbls>
          <c:showLegendKey val="0"/>
          <c:showVal val="0"/>
          <c:showCatName val="0"/>
          <c:showSerName val="0"/>
          <c:showPercent val="0"/>
          <c:showBubbleSize val="0"/>
        </c:dLbls>
        <c:gapWidth val="77"/>
        <c:overlap val="-27"/>
        <c:axId val="198767744"/>
        <c:axId val="198769280"/>
      </c:barChart>
      <c:catAx>
        <c:axId val="198767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769280"/>
        <c:crosses val="autoZero"/>
        <c:auto val="1"/>
        <c:lblAlgn val="ctr"/>
        <c:lblOffset val="100"/>
        <c:noMultiLvlLbl val="0"/>
      </c:catAx>
      <c:valAx>
        <c:axId val="198769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Miles de personas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7677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noFill/>
      <a:round/>
    </a:ln>
    <a:effectLst/>
  </c:spPr>
  <c:txPr>
    <a:bodyPr/>
    <a:lstStyle/>
    <a:p>
      <a:pPr algn="just">
        <a:defRPr sz="7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840"/>
              <a:t>Impacto</a:t>
            </a:r>
            <a:r>
              <a:rPr lang="en-US" sz="840" baseline="0"/>
              <a:t> por sector económico</a:t>
            </a:r>
            <a:endParaRPr lang="en-US" sz="840"/>
          </a:p>
        </c:rich>
      </c:tx>
      <c:layout>
        <c:manualLayout>
          <c:xMode val="edge"/>
          <c:yMode val="edge"/>
          <c:x val="0.20558002936857561"/>
          <c:y val="1.4336917562724014E-2"/>
        </c:manualLayout>
      </c:layout>
      <c:overlay val="0"/>
      <c:spPr>
        <a:noFill/>
        <a:ln>
          <a:noFill/>
        </a:ln>
        <a:effectLst/>
      </c:spPr>
    </c:title>
    <c:autoTitleDeleted val="0"/>
    <c:plotArea>
      <c:layout>
        <c:manualLayout>
          <c:layoutTarget val="inner"/>
          <c:xMode val="edge"/>
          <c:yMode val="edge"/>
          <c:x val="0.2163705593138886"/>
          <c:y val="0.12342223351113368"/>
          <c:w val="0.77850805414029112"/>
          <c:h val="0.42972934834758558"/>
        </c:manualLayout>
      </c:layout>
      <c:barChart>
        <c:barDir val="col"/>
        <c:grouping val="clustered"/>
        <c:varyColors val="0"/>
        <c:ser>
          <c:idx val="0"/>
          <c:order val="0"/>
          <c:tx>
            <c:strRef>
              <c:f>'Hoja2 (2)'!$S$95</c:f>
              <c:strCache>
                <c:ptCount val="1"/>
                <c:pt idx="0">
                  <c:v>Efecto</c:v>
                </c:pt>
              </c:strCache>
            </c:strRef>
          </c:tx>
          <c:spPr>
            <a:solidFill>
              <a:schemeClr val="accent1"/>
            </a:solidFill>
            <a:ln>
              <a:noFill/>
            </a:ln>
            <a:effectLst/>
          </c:spPr>
          <c:invertIfNegative val="0"/>
          <c:dLbls>
            <c:dLbl>
              <c:idx val="0"/>
              <c:layout>
                <c:manualLayout>
                  <c:x val="0"/>
                  <c:y val="2.15053763440860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7B3-45FA-9541-F0181A27256D}"/>
                </c:ext>
              </c:extLst>
            </c:dLbl>
            <c:dLbl>
              <c:idx val="4"/>
              <c:tx>
                <c:rich>
                  <a:bodyPr/>
                  <a:lstStyle/>
                  <a:p>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7B3-45FA-9541-F0181A27256D}"/>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7B3-45FA-9541-F0181A27256D}"/>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7B3-45FA-9541-F0181A27256D}"/>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7B3-45FA-9541-F0181A27256D}"/>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7B3-45FA-9541-F0181A27256D}"/>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7B3-45FA-9541-F0181A27256D}"/>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 (2)'!$R$96:$R$107</c:f>
              <c:strCache>
                <c:ptCount val="12"/>
                <c:pt idx="0">
                  <c:v>    Vivienda</c:v>
                </c:pt>
                <c:pt idx="1">
                  <c:v>   Agropecuario</c:v>
                </c:pt>
                <c:pt idx="2">
                  <c:v>   Transporte</c:v>
                </c:pt>
                <c:pt idx="3">
                  <c:v>   Turismo</c:v>
                </c:pt>
                <c:pt idx="4">
                  <c:v>Medio ambiente</c:v>
                </c:pt>
                <c:pt idx="5">
                  <c:v>    Salud</c:v>
                </c:pt>
                <c:pt idx="6">
                  <c:v>   Comercio </c:v>
                </c:pt>
                <c:pt idx="7">
                  <c:v>    Manufactura</c:v>
                </c:pt>
                <c:pt idx="8">
                  <c:v>    Costo de la Emergencia</c:v>
                </c:pt>
                <c:pt idx="9">
                  <c:v>    Educación</c:v>
                </c:pt>
                <c:pt idx="10">
                  <c:v>   Agua y saneamiento</c:v>
                </c:pt>
                <c:pt idx="11">
                  <c:v>    Energía</c:v>
                </c:pt>
              </c:strCache>
            </c:strRef>
          </c:cat>
          <c:val>
            <c:numRef>
              <c:f>'Hoja2 (2)'!$S$96:$S$107</c:f>
              <c:numCache>
                <c:formatCode>0.0%</c:formatCode>
                <c:ptCount val="12"/>
                <c:pt idx="0">
                  <c:v>0.43827419609938684</c:v>
                </c:pt>
                <c:pt idx="1">
                  <c:v>0.2171086848570315</c:v>
                </c:pt>
                <c:pt idx="2">
                  <c:v>8.1581562732333898E-2</c:v>
                </c:pt>
                <c:pt idx="3">
                  <c:v>7.9269100042331536E-2</c:v>
                </c:pt>
                <c:pt idx="4">
                  <c:v>6.5445369987708307E-2</c:v>
                </c:pt>
                <c:pt idx="5">
                  <c:v>5.7253475865905748E-2</c:v>
                </c:pt>
                <c:pt idx="6">
                  <c:v>2.3614087369354303E-2</c:v>
                </c:pt>
                <c:pt idx="7">
                  <c:v>1.4104954576799739E-2</c:v>
                </c:pt>
                <c:pt idx="8">
                  <c:v>1.095588920013928E-2</c:v>
                </c:pt>
                <c:pt idx="9">
                  <c:v>7.5477043768616154E-3</c:v>
                </c:pt>
                <c:pt idx="10">
                  <c:v>2.7216984385235155E-3</c:v>
                </c:pt>
                <c:pt idx="11">
                  <c:v>2.1232764536237556E-3</c:v>
                </c:pt>
              </c:numCache>
            </c:numRef>
          </c:val>
          <c:extLst xmlns:c16r2="http://schemas.microsoft.com/office/drawing/2015/06/chart">
            <c:ext xmlns:c16="http://schemas.microsoft.com/office/drawing/2014/chart" uri="{C3380CC4-5D6E-409C-BE32-E72D297353CC}">
              <c16:uniqueId val="{00000007-67B3-45FA-9541-F0181A27256D}"/>
            </c:ext>
          </c:extLst>
        </c:ser>
        <c:dLbls>
          <c:showLegendKey val="0"/>
          <c:showVal val="0"/>
          <c:showCatName val="0"/>
          <c:showSerName val="0"/>
          <c:showPercent val="0"/>
          <c:showBubbleSize val="0"/>
        </c:dLbls>
        <c:gapWidth val="70"/>
        <c:overlap val="-27"/>
        <c:axId val="198306816"/>
        <c:axId val="198308608"/>
      </c:barChart>
      <c:catAx>
        <c:axId val="19830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308608"/>
        <c:crosses val="autoZero"/>
        <c:auto val="1"/>
        <c:lblAlgn val="ctr"/>
        <c:lblOffset val="100"/>
        <c:noMultiLvlLbl val="0"/>
      </c:catAx>
      <c:valAx>
        <c:axId val="198308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Porcentaje</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198306816"/>
        <c:crosses val="autoZero"/>
        <c:crossBetween val="between"/>
        <c:majorUnit val="0.1"/>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a:t>Cuantificación de Daños, perdidas y costos adicionales</a:t>
            </a:r>
          </a:p>
        </c:rich>
      </c:tx>
      <c:layout>
        <c:manualLayout>
          <c:xMode val="edge"/>
          <c:yMode val="edge"/>
          <c:x val="0.18311986863711002"/>
          <c:y val="0"/>
        </c:manualLayout>
      </c:layout>
      <c:overlay val="0"/>
      <c:spPr>
        <a:noFill/>
        <a:ln>
          <a:noFill/>
        </a:ln>
        <a:effectLst/>
      </c:spPr>
    </c:title>
    <c:autoTitleDeleted val="0"/>
    <c:plotArea>
      <c:layout>
        <c:manualLayout>
          <c:layoutTarget val="inner"/>
          <c:xMode val="edge"/>
          <c:yMode val="edge"/>
          <c:x val="0.21426409934052359"/>
          <c:y val="0.26446811795584374"/>
          <c:w val="0.78573571668470354"/>
          <c:h val="0.37619021151767795"/>
        </c:manualLayout>
      </c:layout>
      <c:barChart>
        <c:barDir val="col"/>
        <c:grouping val="clustered"/>
        <c:varyColors val="0"/>
        <c:ser>
          <c:idx val="0"/>
          <c:order val="0"/>
          <c:tx>
            <c:strRef>
              <c:f>'Hoja2 (2)'!$S$2</c:f>
              <c:strCache>
                <c:ptCount val="1"/>
                <c:pt idx="0">
                  <c:v>Daños</c:v>
                </c:pt>
              </c:strCache>
            </c:strRef>
          </c:tx>
          <c:spPr>
            <a:solidFill>
              <a:srgbClr val="002060"/>
            </a:solidFill>
            <a:ln>
              <a:noFill/>
            </a:ln>
            <a:effectLst/>
          </c:spPr>
          <c:invertIfNegative val="0"/>
          <c:dLbls>
            <c:dLbl>
              <c:idx val="2"/>
              <c:layout>
                <c:manualLayout>
                  <c:x val="0"/>
                  <c:y val="-7.058823529411764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165-401A-AF97-FE8205708647}"/>
                </c:ext>
              </c:extLst>
            </c:dLbl>
            <c:dLbl>
              <c:idx val="3"/>
              <c:layout>
                <c:manualLayout>
                  <c:x val="0"/>
                  <c:y val="-6.27450980392157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165-401A-AF97-FE8205708647}"/>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('Hoja2 (2)'!$R$3,'Hoja2 (2)'!$R$8,'Hoja2 (2)'!$R$13,'Hoja2 (2)'!$R$17)</c:f>
              <c:strCache>
                <c:ptCount val="4"/>
                <c:pt idx="0">
                  <c:v>Social</c:v>
                </c:pt>
                <c:pt idx="1">
                  <c:v>Productivo</c:v>
                </c:pt>
                <c:pt idx="2">
                  <c:v>Infraestructura</c:v>
                </c:pt>
                <c:pt idx="3">
                  <c:v>Medio ambiente</c:v>
                </c:pt>
              </c:strCache>
            </c:strRef>
          </c:cat>
          <c:val>
            <c:numRef>
              <c:f>('Hoja2 (2)'!$S$3,'Hoja2 (2)'!$S$8,'Hoja2 (2)'!$S$13,'Hoja2 (2)'!$S$17)</c:f>
              <c:numCache>
                <c:formatCode>General</c:formatCode>
                <c:ptCount val="4"/>
                <c:pt idx="0">
                  <c:v>2210906249</c:v>
                </c:pt>
                <c:pt idx="1">
                  <c:v>242573729</c:v>
                </c:pt>
                <c:pt idx="2">
                  <c:v>266291312</c:v>
                </c:pt>
                <c:pt idx="3">
                  <c:v>362452920</c:v>
                </c:pt>
              </c:numCache>
            </c:numRef>
          </c:val>
          <c:extLst xmlns:c16r2="http://schemas.microsoft.com/office/drawing/2015/06/chart">
            <c:ext xmlns:c16="http://schemas.microsoft.com/office/drawing/2014/chart" uri="{C3380CC4-5D6E-409C-BE32-E72D297353CC}">
              <c16:uniqueId val="{00000002-5165-401A-AF97-FE8205708647}"/>
            </c:ext>
          </c:extLst>
        </c:ser>
        <c:ser>
          <c:idx val="1"/>
          <c:order val="1"/>
          <c:tx>
            <c:strRef>
              <c:f>'Hoja2 (2)'!$T$2</c:f>
              <c:strCache>
                <c:ptCount val="1"/>
                <c:pt idx="0">
                  <c:v>Pérdidas</c:v>
                </c:pt>
              </c:strCache>
            </c:strRef>
          </c:tx>
          <c:spPr>
            <a:solidFill>
              <a:schemeClr val="accent2"/>
            </a:solidFill>
            <a:ln>
              <a:noFill/>
            </a:ln>
            <a:effectLst/>
          </c:spPr>
          <c:invertIfNegative val="0"/>
          <c:dLbls>
            <c:dLbl>
              <c:idx val="3"/>
              <c:layout>
                <c:manualLayout>
                  <c:x val="0"/>
                  <c:y val="-3.13725490196078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165-401A-AF97-FE8205708647}"/>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('Hoja2 (2)'!$R$3,'Hoja2 (2)'!$R$8,'Hoja2 (2)'!$R$13,'Hoja2 (2)'!$R$17)</c:f>
              <c:strCache>
                <c:ptCount val="4"/>
                <c:pt idx="0">
                  <c:v>Social</c:v>
                </c:pt>
                <c:pt idx="1">
                  <c:v>Productivo</c:v>
                </c:pt>
                <c:pt idx="2">
                  <c:v>Infraestructura</c:v>
                </c:pt>
                <c:pt idx="3">
                  <c:v>Medio ambiente</c:v>
                </c:pt>
              </c:strCache>
            </c:strRef>
          </c:cat>
          <c:val>
            <c:numRef>
              <c:f>('Hoja2 (2)'!$T$3,'Hoja2 (2)'!$T$8,'Hoja2 (2)'!$T$13,'Hoja2 (2)'!$T$17)</c:f>
              <c:numCache>
                <c:formatCode>General</c:formatCode>
                <c:ptCount val="4"/>
                <c:pt idx="0">
                  <c:v>33673236</c:v>
                </c:pt>
                <c:pt idx="1">
                  <c:v>1627379694</c:v>
                </c:pt>
                <c:pt idx="2">
                  <c:v>211342185</c:v>
                </c:pt>
                <c:pt idx="3">
                  <c:v>1866083</c:v>
                </c:pt>
              </c:numCache>
            </c:numRef>
          </c:val>
          <c:extLst xmlns:c16r2="http://schemas.microsoft.com/office/drawing/2015/06/chart">
            <c:ext xmlns:c16="http://schemas.microsoft.com/office/drawing/2014/chart" uri="{C3380CC4-5D6E-409C-BE32-E72D297353CC}">
              <c16:uniqueId val="{00000004-5165-401A-AF97-FE8205708647}"/>
            </c:ext>
          </c:extLst>
        </c:ser>
        <c:ser>
          <c:idx val="2"/>
          <c:order val="2"/>
          <c:tx>
            <c:strRef>
              <c:f>'Hoja2 (2)'!$U$2</c:f>
              <c:strCache>
                <c:ptCount val="1"/>
                <c:pt idx="0">
                  <c:v>Costos adicionales</c:v>
                </c:pt>
              </c:strCache>
            </c:strRef>
          </c:tx>
          <c:spPr>
            <a:solidFill>
              <a:schemeClr val="accent3"/>
            </a:solidFill>
            <a:ln>
              <a:noFill/>
            </a:ln>
            <a:effectLst/>
          </c:spPr>
          <c:invertIfNegative val="0"/>
          <c:dLbls>
            <c:dLbl>
              <c:idx val="2"/>
              <c:layout>
                <c:manualLayout>
                  <c:x val="0"/>
                  <c:y val="1.56862745098039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165-401A-AF97-FE8205708647}"/>
                </c:ext>
              </c:extLst>
            </c:dLbl>
            <c:dLbl>
              <c:idx val="3"/>
              <c:layout>
                <c:manualLayout>
                  <c:x val="0"/>
                  <c:y val="2.35294117647058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165-401A-AF97-FE8205708647}"/>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 (2)'!$R$3,'Hoja2 (2)'!$R$8,'Hoja2 (2)'!$R$13,'Hoja2 (2)'!$R$17)</c:f>
              <c:strCache>
                <c:ptCount val="4"/>
                <c:pt idx="0">
                  <c:v>Social</c:v>
                </c:pt>
                <c:pt idx="1">
                  <c:v>Productivo</c:v>
                </c:pt>
                <c:pt idx="2">
                  <c:v>Infraestructura</c:v>
                </c:pt>
                <c:pt idx="3">
                  <c:v>Medio ambiente</c:v>
                </c:pt>
              </c:strCache>
            </c:strRef>
          </c:cat>
          <c:val>
            <c:numRef>
              <c:f>('Hoja2 (2)'!$U$3,'Hoja2 (2)'!$U$8,'Hoja2 (2)'!$U$13,'Hoja2 (2)'!$U$17)</c:f>
              <c:numCache>
                <c:formatCode>General</c:formatCode>
                <c:ptCount val="4"/>
                <c:pt idx="0">
                  <c:v>632474253</c:v>
                </c:pt>
                <c:pt idx="1">
                  <c:v>1</c:v>
                </c:pt>
                <c:pt idx="2">
                  <c:v>6099322</c:v>
                </c:pt>
                <c:pt idx="3">
                  <c:v>1981374</c:v>
                </c:pt>
              </c:numCache>
            </c:numRef>
          </c:val>
          <c:extLst xmlns:c16r2="http://schemas.microsoft.com/office/drawing/2015/06/chart">
            <c:ext xmlns:c16="http://schemas.microsoft.com/office/drawing/2014/chart" uri="{C3380CC4-5D6E-409C-BE32-E72D297353CC}">
              <c16:uniqueId val="{00000007-5165-401A-AF97-FE8205708647}"/>
            </c:ext>
          </c:extLst>
        </c:ser>
        <c:dLbls>
          <c:showLegendKey val="0"/>
          <c:showVal val="0"/>
          <c:showCatName val="0"/>
          <c:showSerName val="0"/>
          <c:showPercent val="0"/>
          <c:showBubbleSize val="0"/>
        </c:dLbls>
        <c:gapWidth val="70"/>
        <c:overlap val="-27"/>
        <c:axId val="201382912"/>
        <c:axId val="201536256"/>
      </c:barChart>
      <c:catAx>
        <c:axId val="20138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020000" spcFirstLastPara="1" vertOverflow="ellipsis"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536256"/>
        <c:crosses val="autoZero"/>
        <c:auto val="1"/>
        <c:lblAlgn val="ctr"/>
        <c:lblOffset val="100"/>
        <c:noMultiLvlLbl val="0"/>
      </c:catAx>
      <c:valAx>
        <c:axId val="20153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382912"/>
        <c:crosses val="autoZero"/>
        <c:crossBetween val="between"/>
        <c:dispUnits>
          <c:builtInUnit val="millions"/>
          <c:dispUnitsLbl>
            <c:layout>
              <c:manualLayout>
                <c:xMode val="edge"/>
                <c:yMode val="edge"/>
                <c:x val="1.0638006742048241E-3"/>
                <c:y val="0.19248666497332995"/>
              </c:manualLayout>
            </c:layout>
            <c:tx>
              <c:rich>
                <a:bodyPr rot="-54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Millones de Quetzales</a:t>
                  </a:r>
                </a:p>
              </c:rich>
            </c:tx>
            <c:spPr>
              <a:noFill/>
              <a:ln>
                <a:noFill/>
              </a:ln>
              <a:effectLst/>
            </c:spPr>
          </c:dispUnitsLbl>
        </c:dispUnits>
      </c:valAx>
      <c:spPr>
        <a:noFill/>
        <a:ln>
          <a:noFill/>
        </a:ln>
        <a:effectLst/>
      </c:spPr>
    </c:plotArea>
    <c:legend>
      <c:legendPos val="b"/>
      <c:layout>
        <c:manualLayout>
          <c:xMode val="edge"/>
          <c:yMode val="edge"/>
          <c:x val="2.8318095309176398E-2"/>
          <c:y val="0.79831306427010762"/>
          <c:w val="0.9673391300021148"/>
          <c:h val="0.12283409599978011"/>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a:t>Principales sectores  afectados</a:t>
            </a:r>
          </a:p>
        </c:rich>
      </c:tx>
      <c:layout>
        <c:manualLayout>
          <c:xMode val="edge"/>
          <c:yMode val="edge"/>
          <c:x val="0.32564913600816964"/>
          <c:y val="7.3901661386763869E-4"/>
        </c:manualLayout>
      </c:layout>
      <c:overlay val="0"/>
      <c:spPr>
        <a:noFill/>
        <a:ln>
          <a:noFill/>
        </a:ln>
        <a:effectLst/>
      </c:spPr>
    </c:title>
    <c:autoTitleDeleted val="0"/>
    <c:plotArea>
      <c:layout>
        <c:manualLayout>
          <c:layoutTarget val="inner"/>
          <c:xMode val="edge"/>
          <c:yMode val="edge"/>
          <c:x val="0.18258929087608541"/>
          <c:y val="0.15986209831879125"/>
          <c:w val="0.8164528773110411"/>
          <c:h val="0.27609165070582392"/>
        </c:manualLayout>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1-4539-48FC-B0FA-8B3EBE45CB5C}"/>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3-4539-48FC-B0FA-8B3EBE45CB5C}"/>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4539-48FC-B0FA-8B3EBE45CB5C}"/>
              </c:ext>
            </c:extLst>
          </c:dPt>
          <c:dPt>
            <c:idx val="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4539-48FC-B0FA-8B3EBE45CB5C}"/>
              </c:ext>
            </c:extLst>
          </c:dPt>
          <c:dPt>
            <c:idx val="1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9-4539-48FC-B0FA-8B3EBE45CB5C}"/>
              </c:ext>
            </c:extLst>
          </c:dPt>
          <c:dLbls>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('Hoja2 (2)'!$X$4:$Y$7,'Hoja2 (2)'!$X$9:$Y$12,'Hoja2 (2)'!$X$14:$Y$16)</c:f>
              <c:multiLvlStrCache>
                <c:ptCount val="11"/>
                <c:lvl>
                  <c:pt idx="0">
                    <c:v>    Educación</c:v>
                  </c:pt>
                  <c:pt idx="1">
                    <c:v>    Salud</c:v>
                  </c:pt>
                  <c:pt idx="2">
                    <c:v>    Vivienda</c:v>
                  </c:pt>
                  <c:pt idx="3">
                    <c:v>    Costo de la Emergencia</c:v>
                  </c:pt>
                  <c:pt idx="4">
                    <c:v>   Agropecuario</c:v>
                  </c:pt>
                  <c:pt idx="5">
                    <c:v>   Turismo</c:v>
                  </c:pt>
                  <c:pt idx="6">
                    <c:v>   Comercio </c:v>
                  </c:pt>
                  <c:pt idx="7">
                    <c:v>    Manufactura</c:v>
                  </c:pt>
                  <c:pt idx="8">
                    <c:v>    Energía</c:v>
                  </c:pt>
                  <c:pt idx="9">
                    <c:v>   Agua y saneamiento</c:v>
                  </c:pt>
                  <c:pt idx="10">
                    <c:v>   Transporte</c:v>
                  </c:pt>
                </c:lvl>
                <c:lvl>
                  <c:pt idx="0">
                    <c:v>Social</c:v>
                  </c:pt>
                  <c:pt idx="4">
                    <c:v>Productivo</c:v>
                  </c:pt>
                  <c:pt idx="8">
                    <c:v>Infraestructura</c:v>
                  </c:pt>
                </c:lvl>
              </c:multiLvlStrCache>
            </c:multiLvlStrRef>
          </c:cat>
          <c:val>
            <c:numRef>
              <c:f>('Hoja2 (2)'!$AC$4:$AC$7,'Hoja2 (2)'!$AC$9:$AC$12,'Hoja2 (2)'!$AC$14:$AC$16)</c:f>
              <c:numCache>
                <c:formatCode>0.0%</c:formatCode>
                <c:ptCount val="11"/>
                <c:pt idx="0">
                  <c:v>1.4683356602635693E-2</c:v>
                </c:pt>
                <c:pt idx="1">
                  <c:v>0.11138131025066032</c:v>
                </c:pt>
                <c:pt idx="2">
                  <c:v>0.85262167007879508</c:v>
                </c:pt>
                <c:pt idx="3">
                  <c:v>2.1313663067908953E-2</c:v>
                </c:pt>
                <c:pt idx="4" formatCode="0%">
                  <c:v>0.64983761381641769</c:v>
                </c:pt>
                <c:pt idx="5" formatCode="0%">
                  <c:v>0.23726385176532611</c:v>
                </c:pt>
                <c:pt idx="6" formatCode="0%">
                  <c:v>7.0680370058243763E-2</c:v>
                </c:pt>
                <c:pt idx="7" formatCode="0%">
                  <c:v>4.2218163825239748E-2</c:v>
                </c:pt>
                <c:pt idx="8" formatCode="0%">
                  <c:v>2.4567413111575544E-2</c:v>
                </c:pt>
                <c:pt idx="9" formatCode="0%">
                  <c:v>3.1491466780135917E-2</c:v>
                </c:pt>
                <c:pt idx="10" formatCode="0%">
                  <c:v>0.94394112010828857</c:v>
                </c:pt>
              </c:numCache>
            </c:numRef>
          </c:val>
          <c:extLst xmlns:c16r2="http://schemas.microsoft.com/office/drawing/2015/06/chart">
            <c:ext xmlns:c16="http://schemas.microsoft.com/office/drawing/2014/chart" uri="{C3380CC4-5D6E-409C-BE32-E72D297353CC}">
              <c16:uniqueId val="{0000000A-4539-48FC-B0FA-8B3EBE45CB5C}"/>
            </c:ext>
          </c:extLst>
        </c:ser>
        <c:dLbls>
          <c:showLegendKey val="0"/>
          <c:showVal val="0"/>
          <c:showCatName val="0"/>
          <c:showSerName val="0"/>
          <c:showPercent val="0"/>
          <c:showBubbleSize val="0"/>
        </c:dLbls>
        <c:gapWidth val="60"/>
        <c:overlap val="-27"/>
        <c:axId val="201566464"/>
        <c:axId val="201572352"/>
      </c:barChart>
      <c:catAx>
        <c:axId val="20156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572352"/>
        <c:crosses val="autoZero"/>
        <c:auto val="1"/>
        <c:lblAlgn val="ctr"/>
        <c:lblOffset val="100"/>
        <c:noMultiLvlLbl val="0"/>
      </c:catAx>
      <c:valAx>
        <c:axId val="201572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Porcentaje</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566464"/>
        <c:crosses val="autoZero"/>
        <c:crossBetween val="between"/>
        <c:majorUnit val="0.2"/>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a:t>Efectos totales de Huracanes Eta e Iota</a:t>
            </a:r>
          </a:p>
        </c:rich>
      </c:tx>
      <c:layout>
        <c:manualLayout>
          <c:xMode val="edge"/>
          <c:yMode val="edge"/>
          <c:x val="0.13551750712012062"/>
          <c:y val="0"/>
        </c:manualLayout>
      </c:layout>
      <c:overlay val="0"/>
      <c:spPr>
        <a:noFill/>
        <a:ln>
          <a:noFill/>
        </a:ln>
        <a:effectLst/>
      </c:spPr>
    </c:title>
    <c:autoTitleDeleted val="0"/>
    <c:plotArea>
      <c:layout>
        <c:manualLayout>
          <c:layoutTarget val="inner"/>
          <c:xMode val="edge"/>
          <c:yMode val="edge"/>
          <c:x val="0.24691130589808352"/>
          <c:y val="0.2669803921568627"/>
          <c:w val="0.72465097035284387"/>
          <c:h val="0.41863146518449901"/>
        </c:manualLayout>
      </c:layout>
      <c:barChart>
        <c:barDir val="col"/>
        <c:grouping val="clustered"/>
        <c:varyColors val="0"/>
        <c:ser>
          <c:idx val="0"/>
          <c:order val="0"/>
          <c:tx>
            <c:strRef>
              <c:f>'Hoja2 (2)'!$F$5</c:f>
              <c:strCache>
                <c:ptCount val="1"/>
                <c:pt idx="0">
                  <c:v>Público</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 (2)'!$E$6:$E$8</c:f>
              <c:strCache>
                <c:ptCount val="3"/>
                <c:pt idx="0">
                  <c:v>Daños</c:v>
                </c:pt>
                <c:pt idx="1">
                  <c:v>Pérdidas</c:v>
                </c:pt>
                <c:pt idx="2">
                  <c:v>Costos Adicionales</c:v>
                </c:pt>
              </c:strCache>
            </c:strRef>
          </c:cat>
          <c:val>
            <c:numRef>
              <c:f>'Hoja2 (2)'!$F$6:$F$8</c:f>
              <c:numCache>
                <c:formatCode>_(* #,##0.00_);_(* \(#,##0.00\);_(* "-"??_);_(@_)</c:formatCode>
                <c:ptCount val="3"/>
                <c:pt idx="0">
                  <c:v>958560676</c:v>
                </c:pt>
                <c:pt idx="1">
                  <c:v>13999211</c:v>
                </c:pt>
                <c:pt idx="2">
                  <c:v>95695137</c:v>
                </c:pt>
              </c:numCache>
            </c:numRef>
          </c:val>
          <c:extLst xmlns:c16r2="http://schemas.microsoft.com/office/drawing/2015/06/chart">
            <c:ext xmlns:c16="http://schemas.microsoft.com/office/drawing/2014/chart" uri="{C3380CC4-5D6E-409C-BE32-E72D297353CC}">
              <c16:uniqueId val="{00000000-3856-427D-A769-95C0AA8FD993}"/>
            </c:ext>
          </c:extLst>
        </c:ser>
        <c:ser>
          <c:idx val="1"/>
          <c:order val="1"/>
          <c:tx>
            <c:strRef>
              <c:f>'Hoja2 (2)'!$G$5</c:f>
              <c:strCache>
                <c:ptCount val="1"/>
                <c:pt idx="0">
                  <c:v>Privado</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 (2)'!$E$6:$E$8</c:f>
              <c:strCache>
                <c:ptCount val="3"/>
                <c:pt idx="0">
                  <c:v>Daños</c:v>
                </c:pt>
                <c:pt idx="1">
                  <c:v>Pérdidas</c:v>
                </c:pt>
                <c:pt idx="2">
                  <c:v>Costos Adicionales</c:v>
                </c:pt>
              </c:strCache>
            </c:strRef>
          </c:cat>
          <c:val>
            <c:numRef>
              <c:f>'Hoja2 (2)'!$G$6:$G$8</c:f>
              <c:numCache>
                <c:formatCode>_(* #,##0.00_);_(* \(#,##0.00\);_(* "-"??_);_(@_)</c:formatCode>
                <c:ptCount val="3"/>
                <c:pt idx="0">
                  <c:v>2123663534</c:v>
                </c:pt>
                <c:pt idx="1">
                  <c:v>1860261987</c:v>
                </c:pt>
                <c:pt idx="2">
                  <c:v>544859812</c:v>
                </c:pt>
              </c:numCache>
            </c:numRef>
          </c:val>
          <c:extLst xmlns:c16r2="http://schemas.microsoft.com/office/drawing/2015/06/chart">
            <c:ext xmlns:c16="http://schemas.microsoft.com/office/drawing/2014/chart" uri="{C3380CC4-5D6E-409C-BE32-E72D297353CC}">
              <c16:uniqueId val="{00000001-3856-427D-A769-95C0AA8FD993}"/>
            </c:ext>
          </c:extLst>
        </c:ser>
        <c:dLbls>
          <c:showLegendKey val="0"/>
          <c:showVal val="0"/>
          <c:showCatName val="0"/>
          <c:showSerName val="0"/>
          <c:showPercent val="0"/>
          <c:showBubbleSize val="0"/>
        </c:dLbls>
        <c:gapWidth val="59"/>
        <c:overlap val="-27"/>
        <c:axId val="200952448"/>
        <c:axId val="200974720"/>
      </c:barChart>
      <c:catAx>
        <c:axId val="20095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0974720"/>
        <c:crosses val="autoZero"/>
        <c:auto val="1"/>
        <c:lblAlgn val="ctr"/>
        <c:lblOffset val="100"/>
        <c:noMultiLvlLbl val="0"/>
      </c:catAx>
      <c:valAx>
        <c:axId val="20097472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0952448"/>
        <c:crosses val="autoZero"/>
        <c:crossBetween val="between"/>
        <c:dispUnits>
          <c:builtInUnit val="millions"/>
          <c:dispUnitsLbl>
            <c:layout>
              <c:manualLayout>
                <c:xMode val="edge"/>
                <c:yMode val="edge"/>
                <c:x val="2.1868543027866172E-3"/>
                <c:y val="0.17138984097576038"/>
              </c:manualLayout>
            </c:layout>
            <c:tx>
              <c:rich>
                <a:bodyPr rot="-54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Millones de Quetzales</a:t>
                  </a:r>
                </a:p>
              </c:rich>
            </c:tx>
            <c:spPr>
              <a:noFill/>
              <a:ln>
                <a:noFill/>
              </a:ln>
              <a:effectLst/>
            </c:spPr>
          </c:dispUnitsLbl>
        </c:dispUnits>
      </c:valAx>
      <c:spPr>
        <a:noFill/>
        <a:ln>
          <a:noFill/>
        </a:ln>
        <a:effectLst/>
      </c:spPr>
    </c:plotArea>
    <c:legend>
      <c:legendPos val="b"/>
      <c:layout>
        <c:manualLayout>
          <c:xMode val="edge"/>
          <c:yMode val="edge"/>
          <c:x val="0.10187337693899376"/>
          <c:y val="0.83396777015776258"/>
          <c:w val="0.74058520462719923"/>
          <c:h val="0.11585301837270341"/>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2.3611111111111117E-2"/>
          <c:y val="5.7870370370370371E-2"/>
          <c:w val="0.94166666666666654"/>
          <c:h val="0.8935185185185186"/>
        </c:manualLayout>
      </c:layout>
      <c:ofPieChart>
        <c:ofPieType val="bar"/>
        <c:varyColors val="1"/>
        <c:ser>
          <c:idx val="0"/>
          <c:order val="0"/>
          <c:explosion val="23"/>
          <c:dLbls>
            <c:dLbl>
              <c:idx val="0"/>
              <c:layout>
                <c:manualLayout>
                  <c:x val="3.4188864892523759E-4"/>
                  <c:y val="-0.10416915215143562"/>
                </c:manualLayout>
              </c:layout>
              <c:spPr/>
              <c:txPr>
                <a:bodyPr/>
                <a:lstStyle/>
                <a:p>
                  <a:pPr>
                    <a:defRPr lang="es-GT" sz="700" b="1">
                      <a:solidFill>
                        <a:sysClr val="windowText" lastClr="000000"/>
                      </a:solidFill>
                      <a:latin typeface="Times New Roman" pitchFamily="18" charset="0"/>
                      <a:cs typeface="Times New Roman" pitchFamily="18" charset="0"/>
                    </a:defRPr>
                  </a:pPr>
                  <a:endParaRPr lang="es-ES"/>
                </a:p>
              </c:txPr>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125-4E25-87A7-D65D2607F9BD}"/>
                </c:ext>
              </c:extLst>
            </c:dLbl>
            <c:dLbl>
              <c:idx val="1"/>
              <c:layout>
                <c:manualLayout>
                  <c:x val="-9.2273630980371557E-2"/>
                  <c:y val="-5.5341803865425969E-2"/>
                </c:manualLayout>
              </c:layout>
              <c:spPr/>
              <c:txPr>
                <a:bodyPr/>
                <a:lstStyle/>
                <a:p>
                  <a:pPr>
                    <a:defRPr lang="es-GT" sz="700" b="1">
                      <a:solidFill>
                        <a:schemeClr val="bg1"/>
                      </a:solidFill>
                      <a:latin typeface="Times New Roman" pitchFamily="18" charset="0"/>
                      <a:cs typeface="Times New Roman" pitchFamily="18" charset="0"/>
                    </a:defRPr>
                  </a:pPr>
                  <a:endParaRPr lang="es-ES"/>
                </a:p>
              </c:txPr>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125-4E25-87A7-D65D2607F9BD}"/>
                </c:ext>
              </c:extLst>
            </c:dLbl>
            <c:dLbl>
              <c:idx val="2"/>
              <c:layout>
                <c:manualLayout>
                  <c:x val="-9.562191003125893E-2"/>
                  <c:y val="-2.5391712399586417E-3"/>
                </c:manualLayout>
              </c:layout>
              <c:spPr>
                <a:noFill/>
                <a:ln>
                  <a:noFill/>
                </a:ln>
                <a:effectLst/>
              </c:spPr>
              <c:txPr>
                <a:bodyPr/>
                <a:lstStyle/>
                <a:p>
                  <a:pPr>
                    <a:defRPr lang="es-GT" sz="700" b="1">
                      <a:latin typeface="Times New Roman" pitchFamily="18" charset="0"/>
                      <a:cs typeface="Times New Roman" pitchFamily="18" charset="0"/>
                    </a:defRPr>
                  </a:pPr>
                  <a:endParaRPr lang="es-ES"/>
                </a:p>
              </c:txPr>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125-4E25-87A7-D65D2607F9BD}"/>
                </c:ext>
              </c:extLst>
            </c:dLbl>
            <c:dLbl>
              <c:idx val="3"/>
              <c:layout>
                <c:manualLayout>
                  <c:x val="-0.23522367836167873"/>
                  <c:y val="-1.190398075240595E-2"/>
                </c:manualLayout>
              </c:layout>
              <c:tx>
                <c:rich>
                  <a:bodyPr/>
                  <a:lstStyle/>
                  <a:p>
                    <a:pPr>
                      <a:defRPr lang="es-GT" sz="700" b="1">
                        <a:latin typeface="Times New Roman" pitchFamily="18" charset="0"/>
                        <a:cs typeface="Times New Roman" pitchFamily="18" charset="0"/>
                      </a:defRPr>
                    </a:pPr>
                    <a:r>
                      <a:rPr lang="en-US" sz="700" b="1"/>
                      <a:t>Colocado;</a:t>
                    </a:r>
                    <a:r>
                      <a:rPr lang="en-US" sz="700" b="1" baseline="0"/>
                      <a:t> </a:t>
                    </a:r>
                    <a:fld id="{EA1B1F60-5B38-41DA-BE9A-C92DB5034322}" type="VALUE">
                      <a:rPr lang="en-US" sz="700" b="1" baseline="0"/>
                      <a:pPr>
                        <a:defRPr lang="es-GT" sz="700" b="1">
                          <a:latin typeface="Times New Roman" pitchFamily="18" charset="0"/>
                          <a:cs typeface="Times New Roman" pitchFamily="18" charset="0"/>
                        </a:defRPr>
                      </a:pPr>
                      <a:t>[VALOR]</a:t>
                    </a:fld>
                    <a:r>
                      <a:rPr lang="en-US" sz="700" b="1" baseline="0"/>
                      <a:t>; </a:t>
                    </a:r>
                    <a:fld id="{D54F9560-26B3-4101-8B3D-4FB4D0FB0F2A}" type="PERCENTAGE">
                      <a:rPr lang="en-US" sz="700" b="1" baseline="0"/>
                      <a:pPr>
                        <a:defRPr lang="es-GT" sz="700" b="1">
                          <a:latin typeface="Times New Roman" pitchFamily="18" charset="0"/>
                          <a:cs typeface="Times New Roman" pitchFamily="18" charset="0"/>
                        </a:defRPr>
                      </a:pPr>
                      <a:t>[PORCENTAJE]</a:t>
                    </a:fld>
                    <a:endParaRPr lang="en-US" sz="700" b="1" baseline="0"/>
                  </a:p>
                </c:rich>
              </c:tx>
              <c:spPr>
                <a:noFill/>
                <a:ln>
                  <a:noFill/>
                </a:ln>
                <a:effectLst/>
              </c:spPr>
              <c:showLegendKey val="0"/>
              <c:showVal val="1"/>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4125-4E25-87A7-D65D2607F9BD}"/>
                </c:ext>
              </c:extLst>
            </c:dLbl>
            <c:spPr>
              <a:noFill/>
              <a:ln>
                <a:noFill/>
              </a:ln>
              <a:effectLst/>
            </c:spPr>
            <c:txPr>
              <a:bodyPr/>
              <a:lstStyle/>
              <a:p>
                <a:pPr>
                  <a:defRPr lang="es-GT" sz="700">
                    <a:latin typeface="Times New Roman" pitchFamily="18" charset="0"/>
                    <a:cs typeface="Times New Roman" pitchFamily="18" charset="0"/>
                  </a:defRPr>
                </a:pPr>
                <a:endParaRPr lang="es-ES"/>
              </a:p>
            </c:txPr>
            <c:showLegendKey val="0"/>
            <c:showVal val="1"/>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'Bonos dash'!$Q$79:$Q$81</c:f>
              <c:strCache>
                <c:ptCount val="3"/>
                <c:pt idx="0">
                  <c:v>Por colocar</c:v>
                </c:pt>
                <c:pt idx="1">
                  <c:v>Nuevo endeudamiento</c:v>
                </c:pt>
                <c:pt idx="2">
                  <c:v>Roll over</c:v>
                </c:pt>
              </c:strCache>
            </c:strRef>
          </c:cat>
          <c:val>
            <c:numRef>
              <c:f>'Bonos dash'!$R$79:$R$81</c:f>
              <c:numCache>
                <c:formatCode>#,##0.0</c:formatCode>
                <c:ptCount val="3"/>
                <c:pt idx="0">
                  <c:v>405.39484443000401</c:v>
                </c:pt>
                <c:pt idx="1">
                  <c:v>29642.553155569996</c:v>
                </c:pt>
                <c:pt idx="2">
                  <c:v>5657.0219999999999</c:v>
                </c:pt>
              </c:numCache>
            </c:numRef>
          </c:val>
          <c:extLst xmlns:c16r2="http://schemas.microsoft.com/office/drawing/2015/06/chart">
            <c:ext xmlns:c16="http://schemas.microsoft.com/office/drawing/2014/chart" uri="{C3380CC4-5D6E-409C-BE32-E72D297353CC}">
              <c16:uniqueId val="{00000004-4125-4E25-87A7-D65D2607F9BD}"/>
            </c:ext>
          </c:extLst>
        </c:ser>
        <c:dLbls>
          <c:showLegendKey val="0"/>
          <c:showVal val="0"/>
          <c:showCatName val="0"/>
          <c:showSerName val="0"/>
          <c:showPercent val="0"/>
          <c:showBubbleSize val="0"/>
          <c:showLeaderLines val="1"/>
        </c:dLbls>
        <c:gapWidth val="100"/>
        <c:splitType val="pos"/>
        <c:splitPos val="2"/>
        <c:secondPieSize val="75"/>
        <c:serLines/>
      </c:ofPieChart>
    </c:plotArea>
    <c:plotVisOnly val="1"/>
    <c:dispBlanksAs val="zero"/>
    <c:showDLblsOverMax val="0"/>
  </c:chart>
  <c:spPr>
    <a:solidFill>
      <a:schemeClr val="bg1"/>
    </a:solidFill>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Sheet1!#REF!</c:f>
              <c:strCache>
                <c:ptCount val="1"/>
                <c:pt idx="0">
                  <c:v>#REF!</c:v>
                </c:pt>
              </c:strCache>
            </c:strRef>
          </c:tx>
          <c:spPr>
            <a:solidFill>
              <a:schemeClr val="accent6"/>
            </a:solidFill>
            <a:ln>
              <a:noFill/>
            </a:ln>
            <a:effectLst>
              <a:outerShdw blurRad="50800" dist="38100" algn="l" rotWithShape="0">
                <a:prstClr val="black">
                  <a:alpha val="40000"/>
                </a:prstClr>
              </a:outerShdw>
            </a:effectLst>
            <a:scene3d>
              <a:camera prst="orthographicFront"/>
              <a:lightRig rig="threePt" dir="t"/>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2018</c:v>
                </c:pt>
                <c:pt idx="1">
                  <c:v>2019</c:v>
                </c:pt>
                <c:pt idx="2">
                  <c:v>2020 py/</c:v>
                </c:pt>
              </c:strCache>
            </c:strRef>
          </c:cat>
          <c:val>
            <c:numRef>
              <c:f>Sheet1!$B$2:$B$4</c:f>
              <c:numCache>
                <c:formatCode>General</c:formatCode>
                <c:ptCount val="3"/>
                <c:pt idx="0">
                  <c:v>4.3</c:v>
                </c:pt>
                <c:pt idx="1">
                  <c:v>2.5</c:v>
                </c:pt>
                <c:pt idx="2">
                  <c:v>-1.5</c:v>
                </c:pt>
              </c:numCache>
            </c:numRef>
          </c:val>
          <c:extLst xmlns:c16r2="http://schemas.microsoft.com/office/drawing/2015/06/chart">
            <c:ext xmlns:c16="http://schemas.microsoft.com/office/drawing/2014/chart" uri="{C3380CC4-5D6E-409C-BE32-E72D297353CC}">
              <c16:uniqueId val="{00000000-A410-4431-BAB8-9B0E792C240C}"/>
            </c:ext>
          </c:extLst>
        </c:ser>
        <c:ser>
          <c:idx val="1"/>
          <c:order val="1"/>
          <c:tx>
            <c:strRef>
              <c:f>Sheet1!$B$1</c:f>
              <c:strCache>
                <c:ptCount val="1"/>
                <c:pt idx="0">
                  <c:v>Con estímulo fiscal</c:v>
                </c:pt>
              </c:strCache>
            </c:strRef>
          </c:tx>
          <c:spPr>
            <a:solidFill>
              <a:schemeClr val="accent5"/>
            </a:solidFill>
            <a:ln>
              <a:noFill/>
            </a:ln>
            <a:effectLst>
              <a:outerShdw blurRad="50800" dist="38100" algn="l" rotWithShape="0">
                <a:prstClr val="black">
                  <a:alpha val="40000"/>
                </a:prstClr>
              </a:outerShdw>
            </a:effectLst>
          </c:spPr>
          <c:invertIfNegative val="0"/>
          <c:dPt>
            <c:idx val="2"/>
            <c:invertIfNegative val="0"/>
            <c:bubble3D val="0"/>
            <c:extLst xmlns:c16r2="http://schemas.microsoft.com/office/drawing/2015/06/chart">
              <c:ext xmlns:c16="http://schemas.microsoft.com/office/drawing/2014/chart" uri="{C3380CC4-5D6E-409C-BE32-E72D297353CC}">
                <c16:uniqueId val="{00000002-A410-4431-BAB8-9B0E792C24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2018</c:v>
                </c:pt>
                <c:pt idx="1">
                  <c:v>2019</c:v>
                </c:pt>
                <c:pt idx="2">
                  <c:v>2020 py/</c:v>
                </c:pt>
              </c:strCache>
            </c:strRef>
          </c:cat>
          <c:val>
            <c:numRef>
              <c:f>Sheet1!$C$2:$C$4</c:f>
              <c:numCache>
                <c:formatCode>General</c:formatCode>
                <c:ptCount val="3"/>
                <c:pt idx="2">
                  <c:v>-4.0999999999999996</c:v>
                </c:pt>
              </c:numCache>
            </c:numRef>
          </c:val>
          <c:extLst xmlns:c16r2="http://schemas.microsoft.com/office/drawing/2015/06/chart">
            <c:ext xmlns:c16="http://schemas.microsoft.com/office/drawing/2014/chart" uri="{C3380CC4-5D6E-409C-BE32-E72D297353CC}">
              <c16:uniqueId val="{00000003-A410-4431-BAB8-9B0E792C240C}"/>
            </c:ext>
          </c:extLst>
        </c:ser>
        <c:dLbls>
          <c:showLegendKey val="0"/>
          <c:showVal val="0"/>
          <c:showCatName val="0"/>
          <c:showSerName val="0"/>
          <c:showPercent val="0"/>
          <c:showBubbleSize val="0"/>
        </c:dLbls>
        <c:gapWidth val="219"/>
        <c:overlap val="100"/>
        <c:axId val="201676672"/>
        <c:axId val="201678208"/>
      </c:barChart>
      <c:catAx>
        <c:axId val="2016766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1678208"/>
        <c:crosses val="autoZero"/>
        <c:auto val="1"/>
        <c:lblAlgn val="ctr"/>
        <c:lblOffset val="100"/>
        <c:noMultiLvlLbl val="0"/>
      </c:catAx>
      <c:valAx>
        <c:axId val="20167820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016766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63385826771654"/>
          <c:y val="2.8942896805340519E-2"/>
          <c:w val="0.79788969087197437"/>
          <c:h val="0.77259257056997999"/>
        </c:manualLayout>
      </c:layout>
      <c:barChart>
        <c:barDir val="col"/>
        <c:grouping val="stacked"/>
        <c:varyColors val="0"/>
        <c:ser>
          <c:idx val="1"/>
          <c:order val="1"/>
          <c:tx>
            <c:strRef>
              <c:f>Hoja1!$A$3</c:f>
              <c:strCache>
                <c:ptCount val="1"/>
                <c:pt idx="0">
                  <c:v>Deuda Interna</c:v>
                </c:pt>
              </c:strCache>
            </c:strRef>
          </c:tx>
          <c:spPr>
            <a:solidFill>
              <a:schemeClr val="accent2">
                <a:lumMod val="60000"/>
                <a:lumOff val="40000"/>
              </a:schemeClr>
            </a:solidFill>
            <a:ln>
              <a:noFill/>
            </a:ln>
            <a:effectLst>
              <a:outerShdw blurRad="50800" dist="38100" algn="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Hoja1!$B$1:$G$1</c:f>
              <c:strCache>
                <c:ptCount val="6"/>
                <c:pt idx="0">
                  <c:v>2015</c:v>
                </c:pt>
                <c:pt idx="1">
                  <c:v>2016</c:v>
                </c:pt>
                <c:pt idx="2">
                  <c:v>2017</c:v>
                </c:pt>
                <c:pt idx="3">
                  <c:v>2018</c:v>
                </c:pt>
                <c:pt idx="4">
                  <c:v>2019</c:v>
                </c:pt>
                <c:pt idx="5">
                  <c:v>2020</c:v>
                </c:pt>
              </c:strCache>
            </c:strRef>
          </c:cat>
          <c:val>
            <c:numRef>
              <c:f>Hoja1!$B$3:$G$3</c:f>
              <c:numCache>
                <c:formatCode>#,##0.0</c:formatCode>
                <c:ptCount val="6"/>
                <c:pt idx="0">
                  <c:v>51.8</c:v>
                </c:pt>
                <c:pt idx="1">
                  <c:v>52</c:v>
                </c:pt>
                <c:pt idx="2">
                  <c:v>54.6</c:v>
                </c:pt>
                <c:pt idx="3">
                  <c:v>56.4</c:v>
                </c:pt>
                <c:pt idx="4">
                  <c:v>55.4</c:v>
                </c:pt>
                <c:pt idx="5">
                  <c:v>57</c:v>
                </c:pt>
              </c:numCache>
            </c:numRef>
          </c:val>
          <c:extLst xmlns:c16r2="http://schemas.microsoft.com/office/drawing/2015/06/chart">
            <c:ext xmlns:c16="http://schemas.microsoft.com/office/drawing/2014/chart" uri="{C3380CC4-5D6E-409C-BE32-E72D297353CC}">
              <c16:uniqueId val="{00000000-A72F-4B36-AD38-94D0BB6CE08F}"/>
            </c:ext>
          </c:extLst>
        </c:ser>
        <c:ser>
          <c:idx val="2"/>
          <c:order val="2"/>
          <c:tx>
            <c:strRef>
              <c:f>Hoja1!$A$4</c:f>
              <c:strCache>
                <c:ptCount val="1"/>
                <c:pt idx="0">
                  <c:v>Deuda Externa</c:v>
                </c:pt>
              </c:strCache>
            </c:strRef>
          </c:tx>
          <c:spPr>
            <a:solidFill>
              <a:schemeClr val="accent6">
                <a:lumMod val="40000"/>
                <a:lumOff val="60000"/>
              </a:schemeClr>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accent6">
                        <a:lumMod val="7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Hoja1!$B$1:$G$1</c:f>
              <c:strCache>
                <c:ptCount val="6"/>
                <c:pt idx="0">
                  <c:v>2015</c:v>
                </c:pt>
                <c:pt idx="1">
                  <c:v>2016</c:v>
                </c:pt>
                <c:pt idx="2">
                  <c:v>2017</c:v>
                </c:pt>
                <c:pt idx="3">
                  <c:v>2018</c:v>
                </c:pt>
                <c:pt idx="4">
                  <c:v>2019</c:v>
                </c:pt>
                <c:pt idx="5">
                  <c:v>2020</c:v>
                </c:pt>
              </c:strCache>
            </c:strRef>
          </c:cat>
          <c:val>
            <c:numRef>
              <c:f>Hoja1!$B$4:$G$4</c:f>
              <c:numCache>
                <c:formatCode>#,##0.0</c:formatCode>
                <c:ptCount val="6"/>
                <c:pt idx="0">
                  <c:v>48.2</c:v>
                </c:pt>
                <c:pt idx="1">
                  <c:v>48</c:v>
                </c:pt>
                <c:pt idx="2">
                  <c:v>45.4</c:v>
                </c:pt>
                <c:pt idx="3">
                  <c:v>43.6</c:v>
                </c:pt>
                <c:pt idx="4">
                  <c:v>44.6</c:v>
                </c:pt>
                <c:pt idx="5">
                  <c:v>43</c:v>
                </c:pt>
              </c:numCache>
            </c:numRef>
          </c:val>
          <c:extLst xmlns:c16r2="http://schemas.microsoft.com/office/drawing/2015/06/chart">
            <c:ext xmlns:c16="http://schemas.microsoft.com/office/drawing/2014/chart" uri="{C3380CC4-5D6E-409C-BE32-E72D297353CC}">
              <c16:uniqueId val="{00000001-A72F-4B36-AD38-94D0BB6CE08F}"/>
            </c:ext>
          </c:extLst>
        </c:ser>
        <c:dLbls>
          <c:showLegendKey val="0"/>
          <c:showVal val="0"/>
          <c:showCatName val="0"/>
          <c:showSerName val="0"/>
          <c:showPercent val="0"/>
          <c:showBubbleSize val="0"/>
        </c:dLbls>
        <c:gapWidth val="89"/>
        <c:overlap val="100"/>
        <c:axId val="201814016"/>
        <c:axId val="201815552"/>
      </c:barChart>
      <c:lineChart>
        <c:grouping val="standard"/>
        <c:varyColors val="0"/>
        <c:ser>
          <c:idx val="0"/>
          <c:order val="0"/>
          <c:tx>
            <c:strRef>
              <c:f>Hoja1!$A$2</c:f>
              <c:strCache>
                <c:ptCount val="1"/>
                <c:pt idx="0">
                  <c:v>Deuda % del PIB</c:v>
                </c:pt>
              </c:strCache>
            </c:strRef>
          </c:tx>
          <c:spPr>
            <a:ln w="38100" cap="rnd" cmpd="thickThin">
              <a:solidFill>
                <a:schemeClr val="accent1"/>
              </a:solidFill>
              <a:round/>
            </a:ln>
            <a:effectLst/>
          </c:spPr>
          <c:marker>
            <c:symbol val="circle"/>
            <c:size val="6"/>
          </c:marker>
          <c:dPt>
            <c:idx val="5"/>
            <c:marker>
              <c:spPr>
                <a:solidFill>
                  <a:srgbClr val="FF0000"/>
                </a:solidFill>
                <a:ln>
                  <a:solidFill>
                    <a:srgbClr val="FF0000"/>
                  </a:solidFill>
                </a:ln>
              </c:spPr>
            </c:marker>
            <c:bubble3D val="0"/>
            <c:spPr>
              <a:ln w="38100" cap="rnd" cmpd="thickThin">
                <a:solidFill>
                  <a:srgbClr val="FF0000"/>
                </a:solidFill>
                <a:prstDash val="sysDash"/>
                <a:round/>
              </a:ln>
              <a:effectLst/>
            </c:spPr>
            <c:extLst xmlns:c16r2="http://schemas.microsoft.com/office/drawing/2015/06/chart">
              <c:ext xmlns:c16="http://schemas.microsoft.com/office/drawing/2014/chart" uri="{C3380CC4-5D6E-409C-BE32-E72D297353CC}">
                <c16:uniqueId val="{00000003-A72F-4B36-AD38-94D0BB6CE08F}"/>
              </c:ext>
            </c:extLst>
          </c:dPt>
          <c:dLbls>
            <c:dLbl>
              <c:idx val="0"/>
              <c:layout>
                <c:manualLayout>
                  <c:x val="-3.7908496732026141E-2"/>
                  <c:y val="-4.41475457449898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72F-4B36-AD38-94D0BB6CE08F}"/>
                </c:ext>
              </c:extLst>
            </c:dLbl>
            <c:dLbl>
              <c:idx val="1"/>
              <c:layout>
                <c:manualLayout>
                  <c:x val="-4.0522875816993514E-2"/>
                  <c:y val="-4.414754574498988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72F-4B36-AD38-94D0BB6CE08F}"/>
                </c:ext>
              </c:extLst>
            </c:dLbl>
            <c:dLbl>
              <c:idx val="2"/>
              <c:layout>
                <c:manualLayout>
                  <c:x val="-4.0522875816993466E-2"/>
                  <c:y val="-4.41475457449898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72F-4B36-AD38-94D0BB6CE08F}"/>
                </c:ext>
              </c:extLst>
            </c:dLbl>
            <c:dLbl>
              <c:idx val="3"/>
              <c:layout>
                <c:manualLayout>
                  <c:x val="-4.3137254901960784E-2"/>
                  <c:y val="-4.995643334301481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72F-4B36-AD38-94D0BB6CE08F}"/>
                </c:ext>
              </c:extLst>
            </c:dLbl>
            <c:dLbl>
              <c:idx val="4"/>
              <c:layout>
                <c:manualLayout>
                  <c:x val="-4.5751633986928199E-2"/>
                  <c:y val="-5.576532094103978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72F-4B36-AD38-94D0BB6CE08F}"/>
                </c:ext>
              </c:extLst>
            </c:dLbl>
            <c:dLbl>
              <c:idx val="5"/>
              <c:layout>
                <c:manualLayout>
                  <c:x val="-9.1503267973856214E-3"/>
                  <c:y val="-1.5103107754864944E-2"/>
                </c:manualLayout>
              </c:layout>
              <c:spPr>
                <a:noFill/>
                <a:ln>
                  <a:noFill/>
                </a:ln>
                <a:effectLst/>
              </c:spPr>
              <c:txPr>
                <a:bodyPr rot="0" spcFirstLastPara="1" vertOverflow="ellipsis" vert="horz" wrap="square" anchor="ctr" anchorCtr="1"/>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E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72F-4B36-AD38-94D0BB6CE08F}"/>
                </c:ext>
              </c:extLst>
            </c:dLbl>
            <c:spPr>
              <a:noFill/>
              <a:ln>
                <a:noFill/>
              </a:ln>
              <a:effectLst/>
            </c:spPr>
            <c:txPr>
              <a:bodyPr rot="0" spcFirstLastPara="1" vertOverflow="ellipsis" vert="horz" wrap="square" anchor="ctr" anchorCtr="1"/>
              <a:lstStyle/>
              <a:p>
                <a:pPr>
                  <a:defRPr sz="800" b="1" i="0" u="none" strike="noStrike" kern="1200" baseline="0">
                    <a:solidFill>
                      <a:schemeClr val="accent5"/>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Hoja1!$B$1:$G$1</c:f>
              <c:strCache>
                <c:ptCount val="6"/>
                <c:pt idx="0">
                  <c:v>2015</c:v>
                </c:pt>
                <c:pt idx="1">
                  <c:v>2016</c:v>
                </c:pt>
                <c:pt idx="2">
                  <c:v>2017</c:v>
                </c:pt>
                <c:pt idx="3">
                  <c:v>2018</c:v>
                </c:pt>
                <c:pt idx="4">
                  <c:v>2019</c:v>
                </c:pt>
                <c:pt idx="5">
                  <c:v>2020</c:v>
                </c:pt>
              </c:strCache>
            </c:strRef>
          </c:cat>
          <c:val>
            <c:numRef>
              <c:f>Hoja1!$B$2:$G$2</c:f>
              <c:numCache>
                <c:formatCode>#,##0.0</c:formatCode>
                <c:ptCount val="6"/>
                <c:pt idx="0">
                  <c:v>24.9</c:v>
                </c:pt>
                <c:pt idx="1">
                  <c:v>25</c:v>
                </c:pt>
                <c:pt idx="2">
                  <c:v>25.2</c:v>
                </c:pt>
                <c:pt idx="3">
                  <c:v>26.6</c:v>
                </c:pt>
                <c:pt idx="4">
                  <c:v>26.6</c:v>
                </c:pt>
                <c:pt idx="5">
                  <c:v>31.6</c:v>
                </c:pt>
              </c:numCache>
            </c:numRef>
          </c:val>
          <c:smooth val="0"/>
          <c:extLst xmlns:c16r2="http://schemas.microsoft.com/office/drawing/2015/06/chart">
            <c:ext xmlns:c16="http://schemas.microsoft.com/office/drawing/2014/chart" uri="{C3380CC4-5D6E-409C-BE32-E72D297353CC}">
              <c16:uniqueId val="{00000009-A72F-4B36-AD38-94D0BB6CE08F}"/>
            </c:ext>
          </c:extLst>
        </c:ser>
        <c:dLbls>
          <c:showLegendKey val="0"/>
          <c:showVal val="0"/>
          <c:showCatName val="0"/>
          <c:showSerName val="0"/>
          <c:showPercent val="0"/>
          <c:showBubbleSize val="0"/>
        </c:dLbls>
        <c:marker val="1"/>
        <c:smooth val="0"/>
        <c:axId val="201831936"/>
        <c:axId val="201817472"/>
      </c:lineChart>
      <c:catAx>
        <c:axId val="20181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1815552"/>
        <c:crosses val="autoZero"/>
        <c:auto val="1"/>
        <c:lblAlgn val="ctr"/>
        <c:lblOffset val="100"/>
        <c:noMultiLvlLbl val="0"/>
      </c:catAx>
      <c:valAx>
        <c:axId val="201815552"/>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Estructura %</a:t>
                </a:r>
              </a:p>
            </c:rich>
          </c:tx>
          <c:layout>
            <c:manualLayout>
              <c:xMode val="edge"/>
              <c:yMode val="edge"/>
              <c:x val="4.6296296296296294E-3"/>
              <c:y val="0.30195189535734263"/>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1814016"/>
        <c:crosses val="autoZero"/>
        <c:crossBetween val="between"/>
      </c:valAx>
      <c:valAx>
        <c:axId val="201817472"/>
        <c:scaling>
          <c:orientation val="minMax"/>
          <c:max val="50"/>
          <c:min val="0"/>
        </c:scaling>
        <c:delete val="0"/>
        <c:axPos val="r"/>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Porcentaje del PIB</a:t>
                </a:r>
              </a:p>
            </c:rich>
          </c:tx>
          <c:layout>
            <c:manualLayout>
              <c:xMode val="edge"/>
              <c:yMode val="edge"/>
              <c:x val="0.96412037037037035"/>
              <c:y val="0.24280435437373607"/>
            </c:manualLayout>
          </c:layout>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1831936"/>
        <c:crosses val="max"/>
        <c:crossBetween val="between"/>
      </c:valAx>
      <c:catAx>
        <c:axId val="201831936"/>
        <c:scaling>
          <c:orientation val="minMax"/>
        </c:scaling>
        <c:delete val="1"/>
        <c:axPos val="b"/>
        <c:numFmt formatCode="General" sourceLinked="1"/>
        <c:majorTickMark val="out"/>
        <c:minorTickMark val="none"/>
        <c:tickLblPos val="nextTo"/>
        <c:crossAx val="201817472"/>
        <c:crosses val="autoZero"/>
        <c:auto val="1"/>
        <c:lblAlgn val="ctr"/>
        <c:lblOffset val="100"/>
        <c:noMultiLvlLbl val="0"/>
      </c:catAx>
      <c:spPr>
        <a:noFill/>
        <a:ln>
          <a:noFill/>
        </a:ln>
        <a:effectLst/>
      </c:spPr>
    </c:plotArea>
    <c:legend>
      <c:legendPos val="b"/>
      <c:layout>
        <c:manualLayout>
          <c:xMode val="edge"/>
          <c:yMode val="edge"/>
          <c:x val="0.12403026092326694"/>
          <c:y val="0.90783993999007462"/>
          <c:w val="0.75193947815346607"/>
          <c:h val="9.21600600099254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1"/>
              <c:layout>
                <c:manualLayout>
                  <c:x val="-6.3433227562972636E-2"/>
                  <c:y val="-6.688583635074812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110-40DE-AB67-633EBB80CB5E}"/>
                </c:ext>
              </c:extLst>
            </c:dLbl>
            <c:dLbl>
              <c:idx val="2"/>
              <c:layout>
                <c:manualLayout>
                  <c:x val="-3.4878293987715657E-2"/>
                  <c:y val="-7.661819644807177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110-40DE-AB67-633EBB80CB5E}"/>
                </c:ext>
              </c:extLst>
            </c:dLbl>
            <c:dLbl>
              <c:idx val="3"/>
              <c:layout>
                <c:manualLayout>
                  <c:x val="-0.25995064049829592"/>
                  <c:y val="5.96348449144586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110-40DE-AB67-633EBB80CB5E}"/>
                </c:ext>
              </c:extLst>
            </c:dLbl>
            <c:dLbl>
              <c:idx val="4"/>
              <c:layout>
                <c:manualLayout>
                  <c:x val="-0.14614481437723359"/>
                  <c:y val="7.469624691074190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110-40DE-AB67-633EBB80CB5E}"/>
                </c:ext>
              </c:extLst>
            </c:dLbl>
            <c:dLbl>
              <c:idx val="5"/>
              <c:layout>
                <c:manualLayout>
                  <c:x val="-0.20632709820871645"/>
                  <c:y val="-0.15447707722666054"/>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110-40DE-AB67-633EBB80CB5E}"/>
                </c:ext>
              </c:extLst>
            </c:dLbl>
            <c:dLbl>
              <c:idx val="6"/>
              <c:layout>
                <c:manualLayout>
                  <c:x val="-0.13688312260128715"/>
                  <c:y val="-0.11837002126558997"/>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110-40DE-AB67-633EBB80CB5E}"/>
                </c:ext>
              </c:extLst>
            </c:dLbl>
            <c:dLbl>
              <c:idx val="7"/>
              <c:layout>
                <c:manualLayout>
                  <c:x val="-8.3459430106185645E-2"/>
                  <c:y val="0.12493898116750005"/>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110-40DE-AB67-633EBB80CB5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0.21296181644945245</c:v>
                </c:pt>
                <c:pt idx="1">
                  <c:v>0.19154534763011588</c:v>
                </c:pt>
                <c:pt idx="2">
                  <c:v>8.3495065682076319E-2</c:v>
                </c:pt>
                <c:pt idx="3">
                  <c:v>3.1731868043680667E-3</c:v>
                </c:pt>
                <c:pt idx="4">
                  <c:v>-3.1635247073218631E-2</c:v>
                </c:pt>
                <c:pt idx="5">
                  <c:v>-9.4745009249881385E-3</c:v>
                </c:pt>
                <c:pt idx="6">
                  <c:v>1.4334698909941324E-2</c:v>
                </c:pt>
                <c:pt idx="7">
                  <c:v>2.2435615726940528E-2</c:v>
                </c:pt>
                <c:pt idx="8">
                  <c:v>4.0369135170479131E-2</c:v>
                </c:pt>
              </c:numCache>
            </c:numRef>
          </c:val>
          <c:smooth val="1"/>
          <c:extLst xmlns:c16r2="http://schemas.microsoft.com/office/drawing/2015/06/chart">
            <c:ext xmlns:c16="http://schemas.microsoft.com/office/drawing/2014/chart" uri="{C3380CC4-5D6E-409C-BE32-E72D297353CC}">
              <c16:uniqueId val="{00000007-B110-40DE-AB67-633EBB80CB5E}"/>
            </c:ext>
          </c:extLst>
        </c:ser>
        <c:dLbls>
          <c:showLegendKey val="0"/>
          <c:showVal val="0"/>
          <c:showCatName val="0"/>
          <c:showSerName val="0"/>
          <c:showPercent val="0"/>
          <c:showBubbleSize val="0"/>
        </c:dLbls>
        <c:marker val="1"/>
        <c:smooth val="0"/>
        <c:axId val="93455872"/>
        <c:axId val="93457408"/>
      </c:lineChart>
      <c:catAx>
        <c:axId val="9345587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93457408"/>
        <c:crosses val="autoZero"/>
        <c:auto val="1"/>
        <c:lblAlgn val="ctr"/>
        <c:lblOffset val="100"/>
        <c:noMultiLvlLbl val="0"/>
      </c:catAx>
      <c:valAx>
        <c:axId val="93457408"/>
        <c:scaling>
          <c:orientation val="minMax"/>
          <c:min val="-0.1"/>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9345587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es-E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539051004223281E-2"/>
          <c:y val="5.552044956859379E-2"/>
          <c:w val="0.90292189799155342"/>
          <c:h val="0.7410060448535285"/>
        </c:manualLayout>
      </c:layout>
      <c:barChart>
        <c:barDir val="col"/>
        <c:grouping val="clustered"/>
        <c:varyColors val="0"/>
        <c:ser>
          <c:idx val="0"/>
          <c:order val="0"/>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Hoja1!$B$6:$B$12</c:f>
              <c:strCache>
                <c:ptCount val="7"/>
                <c:pt idx="0">
                  <c:v>Mundo</c:v>
                </c:pt>
                <c:pt idx="1">
                  <c:v>EA</c:v>
                </c:pt>
                <c:pt idx="2">
                  <c:v>EE.UU.</c:v>
                </c:pt>
                <c:pt idx="3">
                  <c:v>Zona del Euro</c:v>
                </c:pt>
                <c:pt idx="4">
                  <c:v>EMDE</c:v>
                </c:pt>
                <c:pt idx="5">
                  <c:v>LA</c:v>
                </c:pt>
                <c:pt idx="6">
                  <c:v>CA</c:v>
                </c:pt>
              </c:strCache>
            </c:strRef>
          </c:cat>
          <c:val>
            <c:numRef>
              <c:f>Hoja1!$C$6:$C$12</c:f>
              <c:numCache>
                <c:formatCode>_-* #,##0.0_-;\-* #,##0.0_-;_-* "-"??_-;_-@_-</c:formatCode>
                <c:ptCount val="7"/>
                <c:pt idx="0">
                  <c:v>5.4851773577561334</c:v>
                </c:pt>
                <c:pt idx="1">
                  <c:v>4.3445698753773954</c:v>
                </c:pt>
                <c:pt idx="2">
                  <c:v>5.1152888566249572</c:v>
                </c:pt>
                <c:pt idx="3">
                  <c:v>4.1659659146932118</c:v>
                </c:pt>
                <c:pt idx="4">
                  <c:v>6.3147258006245544</c:v>
                </c:pt>
                <c:pt idx="5">
                  <c:v>4.1061353713742328</c:v>
                </c:pt>
                <c:pt idx="6" formatCode="General">
                  <c:v>3.1</c:v>
                </c:pt>
              </c:numCache>
            </c:numRef>
          </c:val>
          <c:extLst xmlns:c16r2="http://schemas.microsoft.com/office/drawing/2015/06/chart">
            <c:ext xmlns:c16="http://schemas.microsoft.com/office/drawing/2014/chart" uri="{C3380CC4-5D6E-409C-BE32-E72D297353CC}">
              <c16:uniqueId val="{00000000-9900-4A13-AC1D-4379EC6F2B02}"/>
            </c:ext>
          </c:extLst>
        </c:ser>
        <c:dLbls>
          <c:showLegendKey val="0"/>
          <c:showVal val="0"/>
          <c:showCatName val="0"/>
          <c:showSerName val="0"/>
          <c:showPercent val="0"/>
          <c:showBubbleSize val="0"/>
        </c:dLbls>
        <c:gapWidth val="100"/>
        <c:overlap val="-27"/>
        <c:axId val="201853184"/>
        <c:axId val="201859072"/>
      </c:barChart>
      <c:catAx>
        <c:axId val="20185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1859072"/>
        <c:crosses val="autoZero"/>
        <c:auto val="1"/>
        <c:lblAlgn val="ctr"/>
        <c:lblOffset val="100"/>
        <c:noMultiLvlLbl val="0"/>
      </c:catAx>
      <c:valAx>
        <c:axId val="201859072"/>
        <c:scaling>
          <c:orientation val="minMax"/>
          <c:min val="2"/>
        </c:scaling>
        <c:delete val="0"/>
        <c:axPos val="l"/>
        <c:majorGridlines>
          <c:spPr>
            <a:ln w="9525" cap="flat" cmpd="sng" algn="ctr">
              <a:solidFill>
                <a:schemeClr val="bg1">
                  <a:lumMod val="85000"/>
                  <a:alpha val="30000"/>
                </a:schemeClr>
              </a:solidFill>
              <a:round/>
            </a:ln>
            <a:effectLst/>
          </c:spPr>
        </c:majorGridlines>
        <c:numFmt formatCode="_-* #,##0.0_-;\-* #,##0.0_-;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1853184"/>
        <c:crosses val="autoZero"/>
        <c:crossBetween val="between"/>
        <c:majorUnit val="1"/>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solidFill>
                  <a:sysClr val="windowText" lastClr="000000"/>
                </a:solidFill>
              </a:rPr>
              <a:t>Crecimiento Economico</a:t>
            </a:r>
          </a:p>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solidFill>
                  <a:sysClr val="windowText" lastClr="000000"/>
                </a:solidFill>
              </a:rPr>
              <a:t>(2017-2021)                   </a:t>
            </a:r>
          </a:p>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800"/>
              <a:t>(Porcentaje)</a:t>
            </a:r>
            <a:endParaRPr lang="en-US"/>
          </a:p>
        </c:rich>
      </c:tx>
      <c:layout>
        <c:manualLayout>
          <c:xMode val="edge"/>
          <c:yMode val="edge"/>
          <c:x val="0.31418476394154432"/>
          <c:y val="0"/>
        </c:manualLayout>
      </c:layout>
      <c:overlay val="0"/>
      <c:spPr>
        <a:noFill/>
        <a:ln>
          <a:noFill/>
        </a:ln>
        <a:effectLst/>
      </c:spPr>
    </c:title>
    <c:autoTitleDeleted val="0"/>
    <c:plotArea>
      <c:layout>
        <c:manualLayout>
          <c:layoutTarget val="inner"/>
          <c:xMode val="edge"/>
          <c:yMode val="edge"/>
          <c:x val="0.10524200808837189"/>
          <c:y val="0.20087616822429907"/>
          <c:w val="0.8775144405038876"/>
          <c:h val="0.581845986232853"/>
        </c:manualLayout>
      </c:layout>
      <c:lineChart>
        <c:grouping val="standard"/>
        <c:varyColors val="0"/>
        <c:ser>
          <c:idx val="0"/>
          <c:order val="0"/>
          <c:tx>
            <c:strRef>
              <c:f>'plataforma de analisis'!$M$17</c:f>
              <c:strCache>
                <c:ptCount val="1"/>
                <c:pt idx="0">
                  <c:v>Crecimiento</c:v>
                </c:pt>
              </c:strCache>
            </c:strRef>
          </c:tx>
          <c:spPr>
            <a:ln w="38100" cap="rnd">
              <a:solidFill>
                <a:srgbClr val="002060"/>
              </a:solidFill>
              <a:round/>
            </a:ln>
            <a:effectLst>
              <a:outerShdw blurRad="50800" dist="38100" dir="2700000" algn="tl" rotWithShape="0">
                <a:prstClr val="black">
                  <a:alpha val="40000"/>
                </a:prstClr>
              </a:outerShdw>
            </a:effectLst>
          </c:spPr>
          <c:marker>
            <c:symbol val="circle"/>
            <c:size val="8"/>
            <c:spPr>
              <a:solidFill>
                <a:sysClr val="window" lastClr="FFFFFF"/>
              </a:solidFill>
              <a:ln w="9525">
                <a:solidFill>
                  <a:schemeClr val="accent1"/>
                </a:solidFill>
              </a:ln>
              <a:effectLst>
                <a:outerShdw blurRad="50800" dist="38100" dir="2700000" algn="tl" rotWithShape="0">
                  <a:prstClr val="black">
                    <a:alpha val="40000"/>
                  </a:prstClr>
                </a:outerShdw>
              </a:effectLst>
            </c:spPr>
          </c:marker>
          <c:dLbls>
            <c:dLbl>
              <c:idx val="2"/>
              <c:layout>
                <c:manualLayout>
                  <c:x val="-5.2691984758373986E-2"/>
                  <c:y val="-3.8491480507091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19B-4515-874D-F10E3BF19146}"/>
                </c:ext>
              </c:extLst>
            </c:dLbl>
            <c:dLbl>
              <c:idx val="3"/>
              <c:layout>
                <c:manualLayout>
                  <c:x val="-7.1177648846525679E-2"/>
                  <c:y val="-5.969434141302250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19B-4515-874D-F10E3BF19146}"/>
                </c:ext>
              </c:extLst>
            </c:dLbl>
            <c:dLbl>
              <c:idx val="4"/>
              <c:layout>
                <c:manualLayout>
                  <c:x val="-4.8779723848361857E-2"/>
                  <c:y val="-5.222766099960973E-2"/>
                </c:manualLayout>
              </c:layout>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Times New Roman" panose="02020603050405020304" pitchFamily="18" charset="0"/>
                      <a:ea typeface="+mn-ea"/>
                      <a:cs typeface="Times New Roman" panose="02020603050405020304" pitchFamily="18" charset="0"/>
                    </a:defRPr>
                  </a:pPr>
                  <a:endParaRPr lang="es-ES"/>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19B-4515-874D-F10E3BF1914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'plataforma de analisis'!$L$18:$L$22</c:f>
              <c:strCache>
                <c:ptCount val="5"/>
                <c:pt idx="0">
                  <c:v>2017</c:v>
                </c:pt>
                <c:pt idx="1">
                  <c:v>2018</c:v>
                </c:pt>
                <c:pt idx="2">
                  <c:v>2019</c:v>
                </c:pt>
                <c:pt idx="3">
                  <c:v>2020</c:v>
                </c:pt>
                <c:pt idx="4">
                  <c:v>Proyección 2021</c:v>
                </c:pt>
              </c:strCache>
            </c:strRef>
          </c:cat>
          <c:val>
            <c:numRef>
              <c:f>'plataforma de analisis'!$M$18:$M$22</c:f>
              <c:numCache>
                <c:formatCode>0.0</c:formatCode>
                <c:ptCount val="5"/>
                <c:pt idx="0">
                  <c:v>3</c:v>
                </c:pt>
                <c:pt idx="1">
                  <c:v>3.2</c:v>
                </c:pt>
                <c:pt idx="2">
                  <c:v>3.8</c:v>
                </c:pt>
                <c:pt idx="3">
                  <c:v>-1.5</c:v>
                </c:pt>
                <c:pt idx="4">
                  <c:v>3.5</c:v>
                </c:pt>
              </c:numCache>
            </c:numRef>
          </c:val>
          <c:smooth val="1"/>
          <c:extLst xmlns:c16r2="http://schemas.microsoft.com/office/drawing/2015/06/chart">
            <c:ext xmlns:c16="http://schemas.microsoft.com/office/drawing/2014/chart" uri="{C3380CC4-5D6E-409C-BE32-E72D297353CC}">
              <c16:uniqueId val="{00000003-319B-4515-874D-F10E3BF19146}"/>
            </c:ext>
          </c:extLst>
        </c:ser>
        <c:dLbls>
          <c:showLegendKey val="0"/>
          <c:showVal val="0"/>
          <c:showCatName val="0"/>
          <c:showSerName val="0"/>
          <c:showPercent val="0"/>
          <c:showBubbleSize val="0"/>
        </c:dLbls>
        <c:marker val="1"/>
        <c:smooth val="0"/>
        <c:axId val="201902336"/>
        <c:axId val="201457664"/>
      </c:lineChart>
      <c:catAx>
        <c:axId val="2019023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457664"/>
        <c:crosses val="autoZero"/>
        <c:auto val="1"/>
        <c:lblAlgn val="ctr"/>
        <c:lblOffset val="100"/>
        <c:noMultiLvlLbl val="0"/>
      </c:catAx>
      <c:valAx>
        <c:axId val="2014576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9023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t>Producto Interno Bruto por el lado del Gasto</a:t>
            </a:r>
          </a:p>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t>  </a:t>
            </a:r>
            <a:r>
              <a:rPr lang="en-US" sz="800" b="0"/>
              <a:t>(Porcentaje)</a:t>
            </a:r>
            <a:endParaRPr lang="en-US" sz="700" b="0"/>
          </a:p>
        </c:rich>
      </c:tx>
      <c:layout>
        <c:manualLayout>
          <c:xMode val="edge"/>
          <c:yMode val="edge"/>
          <c:x val="0.2385072738772929"/>
          <c:y val="0"/>
        </c:manualLayout>
      </c:layout>
      <c:overlay val="0"/>
      <c:spPr>
        <a:noFill/>
        <a:ln>
          <a:noFill/>
        </a:ln>
        <a:effectLst/>
      </c:spPr>
    </c:title>
    <c:autoTitleDeleted val="0"/>
    <c:plotArea>
      <c:layout>
        <c:manualLayout>
          <c:layoutTarget val="inner"/>
          <c:xMode val="edge"/>
          <c:yMode val="edge"/>
          <c:x val="9.7147066887014535E-2"/>
          <c:y val="0.16378023853113166"/>
          <c:w val="0.90285293311298542"/>
          <c:h val="0.54265832459430152"/>
        </c:manualLayout>
      </c:layout>
      <c:barChart>
        <c:barDir val="col"/>
        <c:grouping val="clustered"/>
        <c:varyColors val="0"/>
        <c:ser>
          <c:idx val="0"/>
          <c:order val="0"/>
          <c:tx>
            <c:strRef>
              <c:f>'PIB por AE '!$G$8</c:f>
              <c:strCache>
                <c:ptCount val="1"/>
                <c:pt idx="0">
                  <c:v>2020 e/</c:v>
                </c:pt>
              </c:strCache>
            </c:strRef>
          </c:tx>
          <c:spPr>
            <a:solidFill>
              <a:schemeClr val="accent1"/>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('PIB por AE '!$C$9,'PIB por AE '!$C$10,'PIB por AE '!$C$13,'PIB por AE '!$C$16,'PIB por AE '!$C$17)</c:f>
              <c:strCache>
                <c:ptCount val="5"/>
                <c:pt idx="0">
                  <c:v>Demanda interna</c:v>
                </c:pt>
                <c:pt idx="1">
                  <c:v>Gasto de consumo final</c:v>
                </c:pt>
                <c:pt idx="2">
                  <c:v>Formación bruta de capital fijo</c:v>
                </c:pt>
                <c:pt idx="3">
                  <c:v>Exportaciones de bienes y servicios</c:v>
                </c:pt>
                <c:pt idx="4">
                  <c:v>Importaciones de bienes y servicios</c:v>
                </c:pt>
              </c:strCache>
            </c:strRef>
          </c:cat>
          <c:val>
            <c:numRef>
              <c:f>('PIB por AE '!$G$9,'PIB por AE '!$G$10,'PIB por AE '!$G$13,'PIB por AE '!$G$16,'PIB por AE '!$G$17)</c:f>
              <c:numCache>
                <c:formatCode>#,##0.0</c:formatCode>
                <c:ptCount val="5"/>
                <c:pt idx="0">
                  <c:v>-2.183405660262224</c:v>
                </c:pt>
                <c:pt idx="1">
                  <c:v>-0.22082862479257415</c:v>
                </c:pt>
                <c:pt idx="2">
                  <c:v>-8.3610801861768067</c:v>
                </c:pt>
                <c:pt idx="3">
                  <c:v>-2.9672313801528958</c:v>
                </c:pt>
                <c:pt idx="4">
                  <c:v>-4.9448181526825437</c:v>
                </c:pt>
              </c:numCache>
            </c:numRef>
          </c:val>
          <c:extLst xmlns:c16r2="http://schemas.microsoft.com/office/drawing/2015/06/chart">
            <c:ext xmlns:c16="http://schemas.microsoft.com/office/drawing/2014/chart" uri="{C3380CC4-5D6E-409C-BE32-E72D297353CC}">
              <c16:uniqueId val="{00000000-ACE8-464D-BDE0-3648FC12113F}"/>
            </c:ext>
          </c:extLst>
        </c:ser>
        <c:ser>
          <c:idx val="1"/>
          <c:order val="1"/>
          <c:tx>
            <c:strRef>
              <c:f>'PIB por AE '!$H$8</c:f>
              <c:strCache>
                <c:ptCount val="1"/>
                <c:pt idx="0">
                  <c:v>2021 py/</c:v>
                </c:pt>
              </c:strCache>
            </c:strRef>
          </c:tx>
          <c:spPr>
            <a:solidFill>
              <a:schemeClr val="accent2"/>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accent2">
                        <a:lumMod val="50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('PIB por AE '!$C$9,'PIB por AE '!$C$10,'PIB por AE '!$C$13,'PIB por AE '!$C$16,'PIB por AE '!$C$17)</c:f>
              <c:strCache>
                <c:ptCount val="5"/>
                <c:pt idx="0">
                  <c:v>Demanda interna</c:v>
                </c:pt>
                <c:pt idx="1">
                  <c:v>Gasto de consumo final</c:v>
                </c:pt>
                <c:pt idx="2">
                  <c:v>Formación bruta de capital fijo</c:v>
                </c:pt>
                <c:pt idx="3">
                  <c:v>Exportaciones de bienes y servicios</c:v>
                </c:pt>
                <c:pt idx="4">
                  <c:v>Importaciones de bienes y servicios</c:v>
                </c:pt>
              </c:strCache>
            </c:strRef>
          </c:cat>
          <c:val>
            <c:numRef>
              <c:f>('PIB por AE '!$H$9,'PIB por AE '!$H$10,'PIB por AE '!$H$13,'PIB por AE '!$H$16,'PIB por AE '!$H$17)</c:f>
              <c:numCache>
                <c:formatCode>#,##0.0</c:formatCode>
                <c:ptCount val="5"/>
                <c:pt idx="0">
                  <c:v>4.0488077003881102</c:v>
                </c:pt>
                <c:pt idx="1">
                  <c:v>3.1824827693328359</c:v>
                </c:pt>
                <c:pt idx="2">
                  <c:v>6.3724487176709772</c:v>
                </c:pt>
                <c:pt idx="3">
                  <c:v>5.4161492397919062</c:v>
                </c:pt>
                <c:pt idx="4">
                  <c:v>6.9062416649202163</c:v>
                </c:pt>
              </c:numCache>
            </c:numRef>
          </c:val>
          <c:extLst xmlns:c16r2="http://schemas.microsoft.com/office/drawing/2015/06/chart">
            <c:ext xmlns:c16="http://schemas.microsoft.com/office/drawing/2014/chart" uri="{C3380CC4-5D6E-409C-BE32-E72D297353CC}">
              <c16:uniqueId val="{00000001-ACE8-464D-BDE0-3648FC12113F}"/>
            </c:ext>
          </c:extLst>
        </c:ser>
        <c:dLbls>
          <c:showLegendKey val="0"/>
          <c:showVal val="0"/>
          <c:showCatName val="0"/>
          <c:showSerName val="0"/>
          <c:showPercent val="0"/>
          <c:showBubbleSize val="0"/>
        </c:dLbls>
        <c:gapWidth val="219"/>
        <c:overlap val="-27"/>
        <c:axId val="201927296"/>
        <c:axId val="201949568"/>
      </c:barChart>
      <c:catAx>
        <c:axId val="20192729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949568"/>
        <c:crosses val="autoZero"/>
        <c:auto val="1"/>
        <c:lblAlgn val="ctr"/>
        <c:lblOffset val="100"/>
        <c:noMultiLvlLbl val="0"/>
      </c:catAx>
      <c:valAx>
        <c:axId val="2019495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927296"/>
        <c:crosses val="autoZero"/>
        <c:crossBetween val="between"/>
      </c:valAx>
      <c:spPr>
        <a:noFill/>
        <a:ln>
          <a:noFill/>
        </a:ln>
        <a:effectLst/>
      </c:spPr>
    </c:plotArea>
    <c:legend>
      <c:legendPos val="b"/>
      <c:layout>
        <c:manualLayout>
          <c:xMode val="edge"/>
          <c:yMode val="edge"/>
          <c:x val="0.28343886805420671"/>
          <c:y val="0.85297559588347172"/>
          <c:w val="0.46873313511332904"/>
          <c:h val="7.03393325834270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a:t>Producto Interno Bruto por Ramas de Actividad Economica</a:t>
            </a:r>
          </a:p>
          <a:p>
            <a:pPr>
              <a:defRPr sz="108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b="0"/>
              <a:t>Tasas de variación interanual (porcentaje)</a:t>
            </a:r>
          </a:p>
          <a:p>
            <a:pPr>
              <a:defRPr sz="108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b="1"/>
          </a:p>
        </c:rich>
      </c:tx>
      <c:layout>
        <c:manualLayout>
          <c:xMode val="edge"/>
          <c:yMode val="edge"/>
          <c:x val="0.14209012464046022"/>
          <c:y val="2.8484790769708842E-3"/>
        </c:manualLayout>
      </c:layout>
      <c:overlay val="0"/>
      <c:spPr>
        <a:noFill/>
        <a:ln>
          <a:noFill/>
        </a:ln>
        <a:effectLst/>
      </c:spPr>
    </c:title>
    <c:autoTitleDeleted val="0"/>
    <c:plotArea>
      <c:layout>
        <c:manualLayout>
          <c:layoutTarget val="inner"/>
          <c:xMode val="edge"/>
          <c:yMode val="edge"/>
          <c:x val="0.4720853864160951"/>
          <c:y val="0.11881794533799125"/>
          <c:w val="0.4860014951353534"/>
          <c:h val="0.77695695103675377"/>
        </c:manualLayout>
      </c:layout>
      <c:barChart>
        <c:barDir val="bar"/>
        <c:grouping val="clustered"/>
        <c:varyColors val="0"/>
        <c:ser>
          <c:idx val="0"/>
          <c:order val="0"/>
          <c:tx>
            <c:strRef>
              <c:f>'PIB por AE '!$G$8</c:f>
              <c:strCache>
                <c:ptCount val="1"/>
                <c:pt idx="0">
                  <c:v>2020 e/</c:v>
                </c:pt>
              </c:strCache>
            </c:strRef>
          </c:tx>
          <c:spPr>
            <a:solidFill>
              <a:srgbClr val="002060"/>
            </a:solidFill>
            <a:ln>
              <a:noFill/>
            </a:ln>
            <a:effectLst>
              <a:outerShdw blurRad="50800" dist="38100" dir="2700000" algn="tl" rotWithShape="0">
                <a:prstClr val="black">
                  <a:alpha val="40000"/>
                </a:prstClr>
              </a:outerShdw>
            </a:effectLst>
          </c:spPr>
          <c:invertIfNegative val="0"/>
          <c:dLbls>
            <c:dLbl>
              <c:idx val="7"/>
              <c:layout>
                <c:manualLayout>
                  <c:x val="-8.3160083160083165E-2"/>
                  <c:y val="0"/>
                </c:manualLayout>
              </c:layout>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8B5-40FB-A283-7100B61CC4E1}"/>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'PIB por AE '!$C$9:$C$25</c:f>
              <c:strCache>
                <c:ptCount val="17"/>
                <c:pt idx="0">
                  <c:v>Agricultura, ganadería, silvicultura y pesca (9.9)</c:v>
                </c:pt>
                <c:pt idx="1">
                  <c:v>Explotación de minas y canteras (0.5)</c:v>
                </c:pt>
                <c:pt idx="2">
                  <c:v>Industrias manufactureras (14.1)</c:v>
                </c:pt>
                <c:pt idx="3">
                  <c:v>Suministro de electricidad, agua y servicios de saneamiento (2.5)</c:v>
                </c:pt>
                <c:pt idx="4">
                  <c:v>Construcción (5.4)</c:v>
                </c:pt>
                <c:pt idx="5">
                  <c:v>Comercio al por mayor y al por menor; mantenimiento y reparación de vehículos automotores y motocicletas (19.2)</c:v>
                </c:pt>
                <c:pt idx="6">
                  <c:v>Transporte y almacenamiento (2.9)</c:v>
                </c:pt>
                <c:pt idx="7">
                  <c:v>Actividades de alojamiento y de servicio de comidas (2.6)</c:v>
                </c:pt>
                <c:pt idx="8">
                  <c:v>Información y comunicaciones (3.7)</c:v>
                </c:pt>
                <c:pt idx="9">
                  <c:v>Actividades financieras y de seguros (4.0)</c:v>
                </c:pt>
                <c:pt idx="10">
                  <c:v>Actividades inmobiliarias (8.5)</c:v>
                </c:pt>
                <c:pt idx="11">
                  <c:v>Actividades profesionales, científicas y técnicas (2.4)</c:v>
                </c:pt>
                <c:pt idx="12">
                  <c:v>Actividades de servicios administrativos y de apoyo (3.1)</c:v>
                </c:pt>
                <c:pt idx="13">
                  <c:v>Administración pública y defensa; planes de seguridad social de afiliación obligatoria (4.4)</c:v>
                </c:pt>
                <c:pt idx="14">
                  <c:v>Enseñanza (4.7)</c:v>
                </c:pt>
                <c:pt idx="15">
                  <c:v>Actividades de atención de la salud humana y de asistencia social (2.7)</c:v>
                </c:pt>
                <c:pt idx="16">
                  <c:v>Otras actividades de servicios (3.9)</c:v>
                </c:pt>
              </c:strCache>
            </c:strRef>
          </c:cat>
          <c:val>
            <c:numRef>
              <c:f>'PIB por AE '!$G$9:$G$25</c:f>
              <c:numCache>
                <c:formatCode>0.0</c:formatCode>
                <c:ptCount val="17"/>
                <c:pt idx="0">
                  <c:v>2.7615406234629916</c:v>
                </c:pt>
                <c:pt idx="1">
                  <c:v>-3.0587066928084852</c:v>
                </c:pt>
                <c:pt idx="2">
                  <c:v>-8.4936215269081572E-2</c:v>
                </c:pt>
                <c:pt idx="3">
                  <c:v>1.6871794860279437</c:v>
                </c:pt>
                <c:pt idx="4">
                  <c:v>-7.4112415800292553</c:v>
                </c:pt>
                <c:pt idx="5">
                  <c:v>-2.070165811682088</c:v>
                </c:pt>
                <c:pt idx="6">
                  <c:v>-10.084951227082456</c:v>
                </c:pt>
                <c:pt idx="7">
                  <c:v>-18.812405302387745</c:v>
                </c:pt>
                <c:pt idx="8">
                  <c:v>2.139380035736238</c:v>
                </c:pt>
                <c:pt idx="9">
                  <c:v>4.1427770415798619</c:v>
                </c:pt>
                <c:pt idx="10">
                  <c:v>3.3356831282200119</c:v>
                </c:pt>
                <c:pt idx="11">
                  <c:v>-0.22892733880649985</c:v>
                </c:pt>
                <c:pt idx="12">
                  <c:v>-1.9597258274984029</c:v>
                </c:pt>
                <c:pt idx="13">
                  <c:v>1.9371467224793548</c:v>
                </c:pt>
                <c:pt idx="14">
                  <c:v>-3.0263082739841849</c:v>
                </c:pt>
                <c:pt idx="15">
                  <c:v>-0.79719656477853107</c:v>
                </c:pt>
                <c:pt idx="16">
                  <c:v>-6.9474536937008935</c:v>
                </c:pt>
              </c:numCache>
            </c:numRef>
          </c:val>
          <c:extLst xmlns:c16r2="http://schemas.microsoft.com/office/drawing/2015/06/chart">
            <c:ext xmlns:c16="http://schemas.microsoft.com/office/drawing/2014/chart" uri="{C3380CC4-5D6E-409C-BE32-E72D297353CC}">
              <c16:uniqueId val="{00000001-88B5-40FB-A283-7100B61CC4E1}"/>
            </c:ext>
          </c:extLst>
        </c:ser>
        <c:ser>
          <c:idx val="1"/>
          <c:order val="1"/>
          <c:tx>
            <c:strRef>
              <c:f>'PIB por AE '!$H$8</c:f>
              <c:strCache>
                <c:ptCount val="1"/>
                <c:pt idx="0">
                  <c:v>2021 py/</c:v>
                </c:pt>
              </c:strCache>
            </c:strRef>
          </c:tx>
          <c:spPr>
            <a:solidFill>
              <a:schemeClr val="accent2"/>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'PIB por AE '!$C$9:$C$25</c:f>
              <c:strCache>
                <c:ptCount val="17"/>
                <c:pt idx="0">
                  <c:v>Agricultura, ganadería, silvicultura y pesca (9.9)</c:v>
                </c:pt>
                <c:pt idx="1">
                  <c:v>Explotación de minas y canteras (0.5)</c:v>
                </c:pt>
                <c:pt idx="2">
                  <c:v>Industrias manufactureras (14.1)</c:v>
                </c:pt>
                <c:pt idx="3">
                  <c:v>Suministro de electricidad, agua y servicios de saneamiento (2.5)</c:v>
                </c:pt>
                <c:pt idx="4">
                  <c:v>Construcción (5.4)</c:v>
                </c:pt>
                <c:pt idx="5">
                  <c:v>Comercio al por mayor y al por menor; mantenimiento y reparación de vehículos automotores y motocicletas (19.2)</c:v>
                </c:pt>
                <c:pt idx="6">
                  <c:v>Transporte y almacenamiento (2.9)</c:v>
                </c:pt>
                <c:pt idx="7">
                  <c:v>Actividades de alojamiento y de servicio de comidas (2.6)</c:v>
                </c:pt>
                <c:pt idx="8">
                  <c:v>Información y comunicaciones (3.7)</c:v>
                </c:pt>
                <c:pt idx="9">
                  <c:v>Actividades financieras y de seguros (4.0)</c:v>
                </c:pt>
                <c:pt idx="10">
                  <c:v>Actividades inmobiliarias (8.5)</c:v>
                </c:pt>
                <c:pt idx="11">
                  <c:v>Actividades profesionales, científicas y técnicas (2.4)</c:v>
                </c:pt>
                <c:pt idx="12">
                  <c:v>Actividades de servicios administrativos y de apoyo (3.1)</c:v>
                </c:pt>
                <c:pt idx="13">
                  <c:v>Administración pública y defensa; planes de seguridad social de afiliación obligatoria (4.4)</c:v>
                </c:pt>
                <c:pt idx="14">
                  <c:v>Enseñanza (4.7)</c:v>
                </c:pt>
                <c:pt idx="15">
                  <c:v>Actividades de atención de la salud humana y de asistencia social (2.7)</c:v>
                </c:pt>
                <c:pt idx="16">
                  <c:v>Otras actividades de servicios (3.9)</c:v>
                </c:pt>
              </c:strCache>
            </c:strRef>
          </c:cat>
          <c:val>
            <c:numRef>
              <c:f>'PIB por AE '!$H$9:$H$25</c:f>
              <c:numCache>
                <c:formatCode>0.0</c:formatCode>
                <c:ptCount val="17"/>
                <c:pt idx="0">
                  <c:v>2.5050567258887213</c:v>
                </c:pt>
                <c:pt idx="1">
                  <c:v>3.952909475713426</c:v>
                </c:pt>
                <c:pt idx="2">
                  <c:v>3.3659581566535053</c:v>
                </c:pt>
                <c:pt idx="3">
                  <c:v>3.7122925703812797</c:v>
                </c:pt>
                <c:pt idx="4">
                  <c:v>7.4753693904885807</c:v>
                </c:pt>
                <c:pt idx="5">
                  <c:v>3.1519240993911808</c:v>
                </c:pt>
                <c:pt idx="6">
                  <c:v>4.5979009236700961</c:v>
                </c:pt>
                <c:pt idx="7">
                  <c:v>5.7361837946218799</c:v>
                </c:pt>
                <c:pt idx="8">
                  <c:v>2.9150334304710412</c:v>
                </c:pt>
                <c:pt idx="9">
                  <c:v>5.7489053660109874</c:v>
                </c:pt>
                <c:pt idx="10">
                  <c:v>3.8804913350065249</c:v>
                </c:pt>
                <c:pt idx="11">
                  <c:v>3.2600153896019464</c:v>
                </c:pt>
                <c:pt idx="12">
                  <c:v>2.3425767761708727</c:v>
                </c:pt>
                <c:pt idx="13">
                  <c:v>2.3807853573429014</c:v>
                </c:pt>
                <c:pt idx="14">
                  <c:v>2.4590812764519114</c:v>
                </c:pt>
                <c:pt idx="15">
                  <c:v>4.0605663413807633</c:v>
                </c:pt>
                <c:pt idx="16">
                  <c:v>3.8993281952489411</c:v>
                </c:pt>
              </c:numCache>
            </c:numRef>
          </c:val>
          <c:extLst xmlns:c16r2="http://schemas.microsoft.com/office/drawing/2015/06/chart">
            <c:ext xmlns:c16="http://schemas.microsoft.com/office/drawing/2014/chart" uri="{C3380CC4-5D6E-409C-BE32-E72D297353CC}">
              <c16:uniqueId val="{00000002-88B5-40FB-A283-7100B61CC4E1}"/>
            </c:ext>
          </c:extLst>
        </c:ser>
        <c:dLbls>
          <c:showLegendKey val="0"/>
          <c:showVal val="0"/>
          <c:showCatName val="0"/>
          <c:showSerName val="0"/>
          <c:showPercent val="0"/>
          <c:showBubbleSize val="0"/>
        </c:dLbls>
        <c:gapWidth val="62"/>
        <c:axId val="201986432"/>
        <c:axId val="201987968"/>
      </c:barChart>
      <c:catAx>
        <c:axId val="201986432"/>
        <c:scaling>
          <c:orientation val="maxMin"/>
        </c:scaling>
        <c:delete val="0"/>
        <c:axPos val="l"/>
        <c:numFmt formatCode="General" sourceLinked="1"/>
        <c:majorTickMark val="none"/>
        <c:minorTickMark val="out"/>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987968"/>
        <c:crosses val="autoZero"/>
        <c:auto val="0"/>
        <c:lblAlgn val="ctr"/>
        <c:lblOffset val="100"/>
        <c:tickLblSkip val="1"/>
        <c:tickMarkSkip val="1"/>
        <c:noMultiLvlLbl val="0"/>
      </c:catAx>
      <c:valAx>
        <c:axId val="201987968"/>
        <c:scaling>
          <c:orientation val="minMax"/>
          <c:max val="8"/>
          <c:min val="-19"/>
        </c:scaling>
        <c:delete val="0"/>
        <c:axPos val="t"/>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01986432"/>
        <c:crosses val="autoZero"/>
        <c:crossBetween val="between"/>
      </c:valAx>
      <c:spPr>
        <a:noFill/>
        <a:ln>
          <a:noFill/>
        </a:ln>
        <a:effectLst/>
      </c:spPr>
    </c:plotArea>
    <c:legend>
      <c:legendPos val="b"/>
      <c:layout>
        <c:manualLayout>
          <c:xMode val="edge"/>
          <c:yMode val="edge"/>
          <c:x val="0.33398488180348501"/>
          <c:y val="0.92075375251352398"/>
          <c:w val="0.38681703617345053"/>
          <c:h val="3.410437302387932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395600954193582E-2"/>
          <c:y val="6.5459070977875108E-2"/>
          <c:w val="0.90320879809161281"/>
          <c:h val="0.65365204349456318"/>
        </c:manualLayout>
      </c:layout>
      <c:barChart>
        <c:barDir val="col"/>
        <c:grouping val="clustered"/>
        <c:varyColors val="0"/>
        <c:ser>
          <c:idx val="2"/>
          <c:order val="0"/>
          <c:spPr>
            <a:solidFill>
              <a:schemeClr val="accent5">
                <a:lumMod val="60000"/>
                <a:lumOff val="40000"/>
              </a:schemeClr>
            </a:solidFill>
            <a:ln>
              <a:noFill/>
            </a:ln>
            <a:effectLst/>
          </c:spPr>
          <c:invertIfNegative val="0"/>
          <c:dLbls>
            <c:dLbl>
              <c:idx val="2"/>
              <c:layout>
                <c:manualLayout>
                  <c:x val="-4.409722222222222E-3"/>
                  <c:y val="0.1058333333333333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00D-495B-B791-FC1EED69316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'expo imop'!$G$20:$G$22</c:f>
              <c:strCache>
                <c:ptCount val="3"/>
                <c:pt idx="0">
                  <c:v>2019</c:v>
                </c:pt>
                <c:pt idx="1">
                  <c:v>2020 e/</c:v>
                </c:pt>
                <c:pt idx="2">
                  <c:v>2021 py/</c:v>
                </c:pt>
              </c:strCache>
            </c:strRef>
          </c:cat>
          <c:val>
            <c:numRef>
              <c:f>'expo imop'!$J$20:$J$22</c:f>
              <c:numCache>
                <c:formatCode>General</c:formatCode>
                <c:ptCount val="3"/>
                <c:pt idx="2">
                  <c:v>10.5</c:v>
                </c:pt>
              </c:numCache>
            </c:numRef>
          </c:val>
          <c:extLst xmlns:c16r2="http://schemas.microsoft.com/office/drawing/2015/06/chart">
            <c:ext xmlns:c16="http://schemas.microsoft.com/office/drawing/2014/chart" uri="{C3380CC4-5D6E-409C-BE32-E72D297353CC}">
              <c16:uniqueId val="{00000001-E00D-495B-B791-FC1EED693160}"/>
            </c:ext>
          </c:extLst>
        </c:ser>
        <c:ser>
          <c:idx val="0"/>
          <c:order val="1"/>
          <c:spPr>
            <a:solidFill>
              <a:schemeClr val="accent5"/>
            </a:solidFill>
            <a:ln>
              <a:noFill/>
            </a:ln>
            <a:effectLst/>
          </c:spPr>
          <c:invertIfNegative val="0"/>
          <c:dLbls>
            <c:dLbl>
              <c:idx val="1"/>
              <c:layout>
                <c:manualLayout>
                  <c:x val="-8.0843973490926958E-17"/>
                  <c:y val="1.739344801139476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00D-495B-B791-FC1EED693160}"/>
                </c:ext>
              </c:extLst>
            </c:dLbl>
            <c:dLbl>
              <c:idx val="2"/>
              <c:layout>
                <c:manualLayout>
                  <c:x val="-1.6168794698185392E-16"/>
                  <c:y val="0.1058333333333333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00D-495B-B791-FC1EED69316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'expo imop'!$G$20:$G$22</c:f>
              <c:strCache>
                <c:ptCount val="3"/>
                <c:pt idx="0">
                  <c:v>2019</c:v>
                </c:pt>
                <c:pt idx="1">
                  <c:v>2020 e/</c:v>
                </c:pt>
                <c:pt idx="2">
                  <c:v>2021 py/</c:v>
                </c:pt>
              </c:strCache>
            </c:strRef>
          </c:cat>
          <c:val>
            <c:numRef>
              <c:f>'expo imop'!$H$20:$H$22</c:f>
              <c:numCache>
                <c:formatCode>0.0</c:formatCode>
                <c:ptCount val="3"/>
                <c:pt idx="0">
                  <c:v>3.5</c:v>
                </c:pt>
                <c:pt idx="1">
                  <c:v>-1</c:v>
                </c:pt>
                <c:pt idx="2">
                  <c:v>9</c:v>
                </c:pt>
              </c:numCache>
            </c:numRef>
          </c:val>
          <c:extLst xmlns:c16r2="http://schemas.microsoft.com/office/drawing/2015/06/chart">
            <c:ext xmlns:c16="http://schemas.microsoft.com/office/drawing/2014/chart" uri="{C3380CC4-5D6E-409C-BE32-E72D297353CC}">
              <c16:uniqueId val="{00000004-E00D-495B-B791-FC1EED693160}"/>
            </c:ext>
          </c:extLst>
        </c:ser>
        <c:ser>
          <c:idx val="1"/>
          <c:order val="2"/>
          <c:spPr>
            <a:solidFill>
              <a:schemeClr val="accent5">
                <a:lumMod val="60000"/>
                <a:lumOff val="40000"/>
              </a:schemeClr>
            </a:solidFill>
            <a:ln>
              <a:noFill/>
            </a:ln>
            <a:effectLst/>
          </c:spPr>
          <c:invertIfNegative val="0"/>
          <c:dLbls>
            <c:dLbl>
              <c:idx val="2"/>
              <c:layout>
                <c:manualLayout>
                  <c:x val="4.409722222222222E-3"/>
                  <c:y val="0.1822685185185185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00D-495B-B791-FC1EED69316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'expo imop'!$G$20:$G$22</c:f>
              <c:strCache>
                <c:ptCount val="3"/>
                <c:pt idx="0">
                  <c:v>2019</c:v>
                </c:pt>
                <c:pt idx="1">
                  <c:v>2020 e/</c:v>
                </c:pt>
                <c:pt idx="2">
                  <c:v>2021 py/</c:v>
                </c:pt>
              </c:strCache>
            </c:strRef>
          </c:cat>
          <c:val>
            <c:numRef>
              <c:f>'expo imop'!$I$20:$I$22</c:f>
              <c:numCache>
                <c:formatCode>General</c:formatCode>
                <c:ptCount val="3"/>
                <c:pt idx="2">
                  <c:v>7.5</c:v>
                </c:pt>
              </c:numCache>
            </c:numRef>
          </c:val>
          <c:extLst xmlns:c16r2="http://schemas.microsoft.com/office/drawing/2015/06/chart">
            <c:ext xmlns:c16="http://schemas.microsoft.com/office/drawing/2014/chart" uri="{C3380CC4-5D6E-409C-BE32-E72D297353CC}">
              <c16:uniqueId val="{00000006-E00D-495B-B791-FC1EED693160}"/>
            </c:ext>
          </c:extLst>
        </c:ser>
        <c:dLbls>
          <c:showLegendKey val="0"/>
          <c:showVal val="0"/>
          <c:showCatName val="0"/>
          <c:showSerName val="0"/>
          <c:showPercent val="0"/>
          <c:showBubbleSize val="0"/>
        </c:dLbls>
        <c:gapWidth val="80"/>
        <c:overlap val="100"/>
        <c:axId val="202122368"/>
        <c:axId val="202123904"/>
      </c:barChart>
      <c:catAx>
        <c:axId val="2021223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2123904"/>
        <c:crosses val="autoZero"/>
        <c:auto val="1"/>
        <c:lblAlgn val="ctr"/>
        <c:lblOffset val="100"/>
        <c:noMultiLvlLbl val="0"/>
      </c:catAx>
      <c:valAx>
        <c:axId val="202123904"/>
        <c:scaling>
          <c:orientation val="minMax"/>
        </c:scaling>
        <c:delete val="1"/>
        <c:axPos val="l"/>
        <c:majorGridlines>
          <c:spPr>
            <a:ln w="9525" cap="flat" cmpd="sng" algn="ctr">
              <a:solidFill>
                <a:schemeClr val="bg1">
                  <a:lumMod val="85000"/>
                  <a:alpha val="30000"/>
                </a:schemeClr>
              </a:solidFill>
              <a:round/>
            </a:ln>
            <a:effectLst/>
          </c:spPr>
        </c:majorGridlines>
        <c:numFmt formatCode="General" sourceLinked="1"/>
        <c:majorTickMark val="none"/>
        <c:minorTickMark val="none"/>
        <c:tickLblPos val="nextTo"/>
        <c:crossAx val="2021223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329033191010042E-2"/>
          <c:y val="6.5459070977875108E-2"/>
          <c:w val="0.90334193361797988"/>
          <c:h val="0.64175524934383199"/>
        </c:manualLayout>
      </c:layout>
      <c:barChart>
        <c:barDir val="col"/>
        <c:grouping val="clustered"/>
        <c:varyColors val="0"/>
        <c:ser>
          <c:idx val="2"/>
          <c:order val="0"/>
          <c:spPr>
            <a:solidFill>
              <a:schemeClr val="accent6">
                <a:lumMod val="60000"/>
                <a:lumOff val="40000"/>
              </a:schemeClr>
            </a:solidFill>
            <a:ln>
              <a:noFill/>
            </a:ln>
            <a:effectLst/>
          </c:spPr>
          <c:invertIfNegative val="0"/>
          <c:dLbls>
            <c:dLbl>
              <c:idx val="2"/>
              <c:layout>
                <c:manualLayout>
                  <c:x val="-6.5876061471379975E-6"/>
                  <c:y val="2.96391229223123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DE2-47BF-99F9-3340C391146B}"/>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'expo imop'!$G$20:$G$22</c:f>
              <c:strCache>
                <c:ptCount val="3"/>
                <c:pt idx="0">
                  <c:v>2019</c:v>
                </c:pt>
                <c:pt idx="1">
                  <c:v>2020 e/</c:v>
                </c:pt>
                <c:pt idx="2">
                  <c:v>2021 py/</c:v>
                </c:pt>
              </c:strCache>
            </c:strRef>
          </c:cat>
          <c:val>
            <c:numRef>
              <c:f>'expo imop'!$O$20:$O$22</c:f>
              <c:numCache>
                <c:formatCode>General</c:formatCode>
                <c:ptCount val="3"/>
                <c:pt idx="2" formatCode="0.0">
                  <c:v>11</c:v>
                </c:pt>
              </c:numCache>
            </c:numRef>
          </c:val>
          <c:extLst xmlns:c16r2="http://schemas.microsoft.com/office/drawing/2015/06/chart">
            <c:ext xmlns:c16="http://schemas.microsoft.com/office/drawing/2014/chart" uri="{C3380CC4-5D6E-409C-BE32-E72D297353CC}">
              <c16:uniqueId val="{00000001-DDE2-47BF-99F9-3340C391146B}"/>
            </c:ext>
          </c:extLst>
        </c:ser>
        <c:ser>
          <c:idx val="0"/>
          <c:order val="1"/>
          <c:spPr>
            <a:solidFill>
              <a:schemeClr val="accent6"/>
            </a:solidFill>
            <a:ln>
              <a:noFill/>
            </a:ln>
            <a:effectLst/>
          </c:spPr>
          <c:invertIfNegative val="0"/>
          <c:dLbls>
            <c:dLbl>
              <c:idx val="1"/>
              <c:layout>
                <c:manualLayout>
                  <c:x val="-8.0547458160573349E-17"/>
                  <c:y val="2.33445696148082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DE2-47BF-99F9-3340C391146B}"/>
                </c:ext>
              </c:extLst>
            </c:dLbl>
            <c:dLbl>
              <c:idx val="2"/>
              <c:layout>
                <c:manualLayout>
                  <c:x val="-1.6145227151329769E-16"/>
                  <c:y val="8.82500350742466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DE2-47BF-99F9-3340C391146B}"/>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'expo imop'!$G$20:$G$22</c:f>
              <c:strCache>
                <c:ptCount val="3"/>
                <c:pt idx="0">
                  <c:v>2019</c:v>
                </c:pt>
                <c:pt idx="1">
                  <c:v>2020 e/</c:v>
                </c:pt>
                <c:pt idx="2">
                  <c:v>2021 py/</c:v>
                </c:pt>
              </c:strCache>
            </c:strRef>
          </c:cat>
          <c:val>
            <c:numRef>
              <c:f>'expo imop'!$M$20:$M$22</c:f>
              <c:numCache>
                <c:formatCode>0.0</c:formatCode>
                <c:ptCount val="3"/>
                <c:pt idx="0">
                  <c:v>1.8</c:v>
                </c:pt>
                <c:pt idx="1">
                  <c:v>-9</c:v>
                </c:pt>
                <c:pt idx="2">
                  <c:v>9.5</c:v>
                </c:pt>
              </c:numCache>
            </c:numRef>
          </c:val>
          <c:extLst xmlns:c16r2="http://schemas.microsoft.com/office/drawing/2015/06/chart">
            <c:ext xmlns:c16="http://schemas.microsoft.com/office/drawing/2014/chart" uri="{C3380CC4-5D6E-409C-BE32-E72D297353CC}">
              <c16:uniqueId val="{00000004-DDE2-47BF-99F9-3340C391146B}"/>
            </c:ext>
          </c:extLst>
        </c:ser>
        <c:ser>
          <c:idx val="1"/>
          <c:order val="2"/>
          <c:spPr>
            <a:solidFill>
              <a:schemeClr val="accent5">
                <a:lumMod val="60000"/>
                <a:lumOff val="40000"/>
              </a:schemeClr>
            </a:solidFill>
            <a:ln>
              <a:noFill/>
            </a:ln>
            <a:effectLst/>
          </c:spPr>
          <c:invertIfNegative val="0"/>
          <c:dPt>
            <c:idx val="2"/>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6-DDE2-47BF-99F9-3340C391146B}"/>
              </c:ext>
            </c:extLst>
          </c:dPt>
          <c:dLbls>
            <c:dLbl>
              <c:idx val="2"/>
              <c:layout>
                <c:manualLayout>
                  <c:x val="4.409722222222222E-3"/>
                  <c:y val="0.1822685185185185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DE2-47BF-99F9-3340C391146B}"/>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'expo imop'!$G$20:$G$22</c:f>
              <c:strCache>
                <c:ptCount val="3"/>
                <c:pt idx="0">
                  <c:v>2019</c:v>
                </c:pt>
                <c:pt idx="1">
                  <c:v>2020 e/</c:v>
                </c:pt>
                <c:pt idx="2">
                  <c:v>2021 py/</c:v>
                </c:pt>
              </c:strCache>
            </c:strRef>
          </c:cat>
          <c:val>
            <c:numRef>
              <c:f>'expo imop'!$N$20:$N$22</c:f>
              <c:numCache>
                <c:formatCode>General</c:formatCode>
                <c:ptCount val="3"/>
                <c:pt idx="2" formatCode="0.0">
                  <c:v>8</c:v>
                </c:pt>
              </c:numCache>
            </c:numRef>
          </c:val>
          <c:extLst xmlns:c16r2="http://schemas.microsoft.com/office/drawing/2015/06/chart">
            <c:ext xmlns:c16="http://schemas.microsoft.com/office/drawing/2014/chart" uri="{C3380CC4-5D6E-409C-BE32-E72D297353CC}">
              <c16:uniqueId val="{00000007-DDE2-47BF-99F9-3340C391146B}"/>
            </c:ext>
          </c:extLst>
        </c:ser>
        <c:dLbls>
          <c:showLegendKey val="0"/>
          <c:showVal val="0"/>
          <c:showCatName val="0"/>
          <c:showSerName val="0"/>
          <c:showPercent val="0"/>
          <c:showBubbleSize val="0"/>
        </c:dLbls>
        <c:gapWidth val="80"/>
        <c:overlap val="100"/>
        <c:axId val="202175232"/>
        <c:axId val="202176768"/>
      </c:barChart>
      <c:catAx>
        <c:axId val="2021752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02176768"/>
        <c:crosses val="autoZero"/>
        <c:auto val="1"/>
        <c:lblAlgn val="ctr"/>
        <c:lblOffset val="100"/>
        <c:noMultiLvlLbl val="0"/>
      </c:catAx>
      <c:valAx>
        <c:axId val="202176768"/>
        <c:scaling>
          <c:orientation val="minMax"/>
          <c:max val="12"/>
          <c:min val="-10"/>
        </c:scaling>
        <c:delete val="1"/>
        <c:axPos val="l"/>
        <c:majorGridlines>
          <c:spPr>
            <a:ln w="9525" cap="flat" cmpd="sng" algn="ctr">
              <a:solidFill>
                <a:schemeClr val="bg1">
                  <a:lumMod val="85000"/>
                  <a:alpha val="30000"/>
                </a:schemeClr>
              </a:solidFill>
              <a:round/>
            </a:ln>
            <a:effectLst/>
          </c:spPr>
        </c:majorGridlines>
        <c:numFmt formatCode="General" sourceLinked="1"/>
        <c:majorTickMark val="out"/>
        <c:minorTickMark val="none"/>
        <c:tickLblPos val="nextTo"/>
        <c:crossAx val="202175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16203703703703"/>
          <c:y val="5.4563492063492064E-2"/>
          <c:w val="0.48958333333333331"/>
          <c:h val="0.8392857142857143"/>
        </c:manualLayout>
      </c:layout>
      <c:pieChart>
        <c:varyColors val="1"/>
        <c:ser>
          <c:idx val="0"/>
          <c:order val="0"/>
          <c:tx>
            <c:strRef>
              <c:f>Hoja1!$A$2</c:f>
              <c:strCache>
                <c:ptCount val="1"/>
                <c:pt idx="0">
                  <c:v>Categoría 1</c:v>
                </c:pt>
              </c:strCache>
            </c:strRef>
          </c:tx>
          <c:spPr>
            <a:scene3d>
              <a:camera prst="orthographicFront"/>
              <a:lightRig rig="threePt" dir="t"/>
            </a:scene3d>
            <a:sp3d>
              <a:bevelT/>
            </a:sp3d>
          </c:spPr>
          <c:dPt>
            <c:idx val="0"/>
            <c:bubble3D val="0"/>
            <c:explosion val="3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AD68-4601-9B50-EFFB7AFA3664}"/>
              </c:ext>
            </c:extLst>
          </c:dPt>
          <c:dPt>
            <c:idx val="1"/>
            <c:bubble3D val="0"/>
            <c:explosion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AD68-4601-9B50-EFFB7AFA3664}"/>
              </c:ext>
            </c:extLst>
          </c:dPt>
          <c:dPt>
            <c:idx val="2"/>
            <c:bubble3D val="0"/>
            <c:explosion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AD68-4601-9B50-EFFB7AFA3664}"/>
              </c:ext>
            </c:extLst>
          </c:dPt>
          <c:dPt>
            <c:idx val="3"/>
            <c:bubble3D val="0"/>
            <c:explosion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AD68-4601-9B50-EFFB7AFA3664}"/>
              </c:ext>
            </c:extLst>
          </c:dPt>
          <c:dLbls>
            <c:dLbl>
              <c:idx val="0"/>
              <c:layout>
                <c:manualLayout>
                  <c:x val="0.17080957737425673"/>
                  <c:y val="-0.14701778944298638"/>
                </c:manualLayout>
              </c:layout>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D68-4601-9B50-EFFB7AFA3664}"/>
                </c:ext>
              </c:extLst>
            </c:dLbl>
            <c:dLbl>
              <c:idx val="1"/>
              <c:layout>
                <c:manualLayout>
                  <c:x val="6.1207991858160588E-2"/>
                  <c:y val="-2.9825964062184535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D68-4601-9B50-EFFB7AFA3664}"/>
                </c:ext>
              </c:extLst>
            </c:dLbl>
            <c:dLbl>
              <c:idx val="2"/>
              <c:layout>
                <c:manualLayout>
                  <c:x val="5.5829021372328459E-2"/>
                  <c:y val="-1.9130627902281445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D68-4601-9B50-EFFB7AFA3664}"/>
                </c:ext>
              </c:extLst>
            </c:dLbl>
            <c:dLbl>
              <c:idx val="3"/>
              <c:layout>
                <c:manualLayout>
                  <c:x val="2.1879693609727257E-2"/>
                  <c:y val="7.0125580456289027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D68-4601-9B50-EFFB7AFA3664}"/>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1"/>
            <c:showSerName val="0"/>
            <c:showPercent val="0"/>
            <c:showBubbleSize val="0"/>
            <c:showLeaderLines val="1"/>
            <c:leaderLines>
              <c:spPr>
                <a:ln w="9525">
                  <a:solidFill>
                    <a:schemeClr val="tx1">
                      <a:lumMod val="75000"/>
                      <a:lumOff val="25000"/>
                      <a:alpha val="54000"/>
                    </a:schemeClr>
                  </a:solidFill>
                </a:ln>
                <a:effectLst/>
              </c:spPr>
            </c:leaderLines>
            <c:extLst xmlns:c16r2="http://schemas.microsoft.com/office/drawing/2015/06/chart">
              <c:ext xmlns:c15="http://schemas.microsoft.com/office/drawing/2012/chart" uri="{CE6537A1-D6FC-4f65-9D91-7224C49458BB}"/>
            </c:extLst>
          </c:dLbls>
          <c:cat>
            <c:strRef>
              <c:f>Hoja1!$B$1:$E$1</c:f>
              <c:strCache>
                <c:ptCount val="4"/>
                <c:pt idx="0">
                  <c:v>Inicial</c:v>
                </c:pt>
                <c:pt idx="1">
                  <c:v>Decreto 13-2020</c:v>
                </c:pt>
                <c:pt idx="2">
                  <c:v>Decreto 20-20202</c:v>
                </c:pt>
                <c:pt idx="3">
                  <c:v>Decreto 12-2020</c:v>
                </c:pt>
              </c:strCache>
            </c:strRef>
          </c:cat>
          <c:val>
            <c:numRef>
              <c:f>Hoja1!$B$2:$E$2</c:f>
              <c:numCache>
                <c:formatCode>#,##0.0</c:formatCode>
                <c:ptCount val="4"/>
                <c:pt idx="0">
                  <c:v>87715.1</c:v>
                </c:pt>
                <c:pt idx="1">
                  <c:v>11000</c:v>
                </c:pt>
                <c:pt idx="2">
                  <c:v>5138.8999999999996</c:v>
                </c:pt>
                <c:pt idx="3">
                  <c:v>3667</c:v>
                </c:pt>
              </c:numCache>
            </c:numRef>
          </c:val>
          <c:extLst xmlns:c16r2="http://schemas.microsoft.com/office/drawing/2015/06/chart">
            <c:ext xmlns:c16="http://schemas.microsoft.com/office/drawing/2014/chart" uri="{C3380CC4-5D6E-409C-BE32-E72D297353CC}">
              <c16:uniqueId val="{00000008-AD68-4601-9B50-EFFB7AFA3664}"/>
            </c:ext>
          </c:extLst>
        </c:ser>
        <c:dLbls>
          <c:showLegendKey val="0"/>
          <c:showVal val="0"/>
          <c:showCatName val="0"/>
          <c:showSerName val="0"/>
          <c:showPercent val="0"/>
          <c:showBubbleSize val="0"/>
          <c:showLeaderLines val="1"/>
        </c:dLbls>
        <c:firstSliceAng val="10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85668658887517"/>
          <c:y val="0.13614968583472517"/>
          <c:w val="0.63416152800177084"/>
          <c:h val="0.79750616400222696"/>
        </c:manualLayout>
      </c:layout>
      <c:pieChart>
        <c:varyColors val="1"/>
        <c:ser>
          <c:idx val="0"/>
          <c:order val="0"/>
          <c:tx>
            <c:strRef>
              <c:f>Hoja1!$A$2</c:f>
              <c:strCache>
                <c:ptCount val="1"/>
                <c:pt idx="0">
                  <c:v>Categoría 1</c:v>
                </c:pt>
              </c:strCache>
            </c:strRef>
          </c:tx>
          <c:spPr>
            <a:scene3d>
              <a:camera prst="orthographicFront"/>
              <a:lightRig rig="threePt" dir="t"/>
            </a:scene3d>
            <a:sp3d>
              <a:bevelT/>
            </a:sp3d>
          </c:spPr>
          <c:dPt>
            <c:idx val="0"/>
            <c:bubble3D val="0"/>
            <c:spPr>
              <a:solidFill>
                <a:schemeClr val="accent6"/>
              </a:soli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D798-4050-84BD-23A2FAA53FD4}"/>
              </c:ext>
            </c:extLst>
          </c:dPt>
          <c:dPt>
            <c:idx val="1"/>
            <c:bubble3D val="0"/>
            <c:spPr>
              <a:solidFill>
                <a:schemeClr val="accent5"/>
              </a:soli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D798-4050-84BD-23A2FAA53FD4}"/>
              </c:ext>
            </c:extLst>
          </c:dPt>
          <c:dPt>
            <c:idx val="2"/>
            <c:bubble3D val="0"/>
            <c:spPr>
              <a:solidFill>
                <a:schemeClr val="accent4"/>
              </a:soli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D798-4050-84BD-23A2FAA53FD4}"/>
              </c:ext>
            </c:extLst>
          </c:dPt>
          <c:dPt>
            <c:idx val="3"/>
            <c:bubble3D val="0"/>
            <c:spPr>
              <a:solidFill>
                <a:schemeClr val="accent6">
                  <a:lumMod val="60000"/>
                </a:schemeClr>
              </a:solidFill>
              <a:ln>
                <a:noFill/>
              </a:ln>
              <a:effectLst>
                <a:outerShdw blurRad="57150" dist="19050" dir="5400000" algn="ctr" rotWithShape="0">
                  <a:srgbClr val="000000">
                    <a:alpha val="63000"/>
                  </a:srgbClr>
                </a:out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D798-4050-84BD-23A2FAA53FD4}"/>
              </c:ext>
            </c:extLst>
          </c:dPt>
          <c:dLbls>
            <c:dLbl>
              <c:idx val="0"/>
              <c:layout>
                <c:manualLayout>
                  <c:x val="0.12173797552414382"/>
                  <c:y val="-8.8715501471406985E-2"/>
                </c:manualLayout>
              </c:layout>
              <c:showLegendKey val="0"/>
              <c:showVal val="1"/>
              <c:showCatName val="1"/>
              <c:showSerName val="0"/>
              <c:showPercent val="1"/>
              <c:showBubbleSize val="0"/>
              <c:extLst xmlns:c16r2="http://schemas.microsoft.com/office/drawing/2015/06/chart">
                <c:ext xmlns:c15="http://schemas.microsoft.com/office/drawing/2012/chart" uri="{CE6537A1-D6FC-4f65-9D91-7224C49458BB}">
                  <c15:layout>
                    <c:manualLayout>
                      <c:w val="0.39426366884862285"/>
                      <c:h val="0.25010777061958167"/>
                    </c:manualLayout>
                  </c15:layout>
                </c:ext>
                <c:ext xmlns:c16="http://schemas.microsoft.com/office/drawing/2014/chart" uri="{C3380CC4-5D6E-409C-BE32-E72D297353CC}">
                  <c16:uniqueId val="{00000001-D798-4050-84BD-23A2FAA53FD4}"/>
                </c:ext>
              </c:extLst>
            </c:dLbl>
            <c:dLbl>
              <c:idx val="1"/>
              <c:layout>
                <c:manualLayout>
                  <c:x val="-9.0499003889575515E-3"/>
                  <c:y val="-7.8624830987035765E-3"/>
                </c:manualLayout>
              </c:layout>
              <c:showLegendKey val="0"/>
              <c:showVal val="1"/>
              <c:showCatName val="1"/>
              <c:showSerName val="0"/>
              <c:showPercent val="1"/>
              <c:showBubbleSize val="0"/>
              <c:extLst xmlns:c16r2="http://schemas.microsoft.com/office/drawing/2015/06/chart">
                <c:ext xmlns:c15="http://schemas.microsoft.com/office/drawing/2012/chart" uri="{CE6537A1-D6FC-4f65-9D91-7224C49458BB}">
                  <c15:layout>
                    <c:manualLayout>
                      <c:w val="0.31914099459563483"/>
                      <c:h val="0.28688147210927806"/>
                    </c:manualLayout>
                  </c15:layout>
                </c:ext>
                <c:ext xmlns:c16="http://schemas.microsoft.com/office/drawing/2014/chart" uri="{C3380CC4-5D6E-409C-BE32-E72D297353CC}">
                  <c16:uniqueId val="{00000003-D798-4050-84BD-23A2FAA53FD4}"/>
                </c:ext>
              </c:extLst>
            </c:dLbl>
            <c:dLbl>
              <c:idx val="2"/>
              <c:layout>
                <c:manualLayout>
                  <c:x val="-7.1728113924659619E-3"/>
                  <c:y val="1.1299765376441791E-2"/>
                </c:manualLayout>
              </c:layout>
              <c:showLegendKey val="0"/>
              <c:showVal val="1"/>
              <c:showCatName val="1"/>
              <c:showSerName val="0"/>
              <c:showPercent val="1"/>
              <c:showBubbleSize val="0"/>
              <c:extLst xmlns:c16r2="http://schemas.microsoft.com/office/drawing/2015/06/chart">
                <c:ext xmlns:c15="http://schemas.microsoft.com/office/drawing/2012/chart" uri="{CE6537A1-D6FC-4f65-9D91-7224C49458BB}">
                  <c15:layout>
                    <c:manualLayout>
                      <c:w val="0.26318296261847107"/>
                      <c:h val="0.33559423636787994"/>
                    </c:manualLayout>
                  </c15:layout>
                </c:ext>
                <c:ext xmlns:c16="http://schemas.microsoft.com/office/drawing/2014/chart" uri="{C3380CC4-5D6E-409C-BE32-E72D297353CC}">
                  <c16:uniqueId val="{00000005-D798-4050-84BD-23A2FAA53FD4}"/>
                </c:ext>
              </c:extLst>
            </c:dLbl>
            <c:dLbl>
              <c:idx val="3"/>
              <c:layout>
                <c:manualLayout>
                  <c:x val="2.1879693609727257E-2"/>
                  <c:y val="7.0125580456289027E-2"/>
                </c:manualLayout>
              </c:layou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798-4050-84BD-23A2FAA53FD4}"/>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1"/>
            <c:showSerName val="0"/>
            <c:showPercent val="1"/>
            <c:showBubbleSize val="0"/>
            <c:showLeaderLines val="1"/>
            <c:leaderLines>
              <c:spPr>
                <a:ln w="9525" cap="flat" cmpd="sng" algn="ctr">
                  <a:solidFill>
                    <a:schemeClr val="tx1">
                      <a:lumMod val="75000"/>
                      <a:lumOff val="25000"/>
                      <a:alpha val="54000"/>
                    </a:schemeClr>
                  </a:solidFill>
                  <a:prstDash val="solid"/>
                  <a:round/>
                </a:ln>
                <a:effectLst/>
              </c:spPr>
            </c:leaderLines>
            <c:extLst xmlns:c16r2="http://schemas.microsoft.com/office/drawing/2015/06/chart">
              <c:ext xmlns:c15="http://schemas.microsoft.com/office/drawing/2012/chart" uri="{CE6537A1-D6FC-4f65-9D91-7224C49458BB}"/>
            </c:extLst>
          </c:dLbls>
          <c:cat>
            <c:strRef>
              <c:f>Hoja1!$B$1:$D$1</c:f>
              <c:strCache>
                <c:ptCount val="3"/>
                <c:pt idx="0">
                  <c:v>Funcionamiento</c:v>
                </c:pt>
                <c:pt idx="1">
                  <c:v>Inversión</c:v>
                </c:pt>
                <c:pt idx="2">
                  <c:v>Deuda Pública</c:v>
                </c:pt>
              </c:strCache>
            </c:strRef>
          </c:cat>
          <c:val>
            <c:numRef>
              <c:f>Hoja1!$B$2:$D$2</c:f>
              <c:numCache>
                <c:formatCode>"Q"#,##0.0</c:formatCode>
                <c:ptCount val="3"/>
                <c:pt idx="0">
                  <c:v>61879.1</c:v>
                </c:pt>
                <c:pt idx="1">
                  <c:v>17863.900000000001</c:v>
                </c:pt>
                <c:pt idx="2">
                  <c:v>14611</c:v>
                </c:pt>
              </c:numCache>
            </c:numRef>
          </c:val>
          <c:extLst xmlns:c16r2="http://schemas.microsoft.com/office/drawing/2015/06/chart">
            <c:ext xmlns:c16="http://schemas.microsoft.com/office/drawing/2014/chart" uri="{C3380CC4-5D6E-409C-BE32-E72D297353CC}">
              <c16:uniqueId val="{00000008-D798-4050-84BD-23A2FAA53FD4}"/>
            </c:ext>
          </c:extLst>
        </c:ser>
        <c:dLbls>
          <c:showLegendKey val="0"/>
          <c:showVal val="0"/>
          <c:showCatName val="0"/>
          <c:showSerName val="0"/>
          <c:showPercent val="0"/>
          <c:showBubbleSize val="0"/>
          <c:showLeaderLines val="1"/>
        </c:dLbls>
        <c:firstSliceAng val="144"/>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6350" cap="flat" cmpd="sng" algn="ctr">
      <a:noFill/>
      <a:prstDash val="solid"/>
      <a:round/>
    </a:ln>
    <a:effectLst>
      <a:outerShdw blurRad="50800" dist="50800" dir="5400000" algn="ctr" rotWithShape="0">
        <a:schemeClr val="bg1"/>
      </a:outerShdw>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1"/>
              <c:layout>
                <c:manualLayout>
                  <c:x val="-6.3433227562972636E-2"/>
                  <c:y val="-6.688583635074812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A02-4C45-81C8-2D33840206E1}"/>
                </c:ext>
              </c:extLst>
            </c:dLbl>
            <c:dLbl>
              <c:idx val="2"/>
              <c:layout>
                <c:manualLayout>
                  <c:x val="-9.0796411642574529E-2"/>
                  <c:y val="-8.63505565453953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A02-4C45-81C8-2D33840206E1}"/>
                </c:ext>
              </c:extLst>
            </c:dLbl>
            <c:dLbl>
              <c:idx val="3"/>
              <c:layout>
                <c:manualLayout>
                  <c:x val="-0.25995064049829592"/>
                  <c:y val="5.96348449144586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A02-4C45-81C8-2D33840206E1}"/>
                </c:ext>
              </c:extLst>
            </c:dLbl>
            <c:dLbl>
              <c:idx val="4"/>
              <c:layout>
                <c:manualLayout>
                  <c:x val="-0.23251696465005223"/>
                  <c:y val="8.442860700806550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A02-4C45-81C8-2D33840206E1}"/>
                </c:ext>
              </c:extLst>
            </c:dLbl>
            <c:dLbl>
              <c:idx val="5"/>
              <c:layout>
                <c:manualLayout>
                  <c:x val="-0.18010198064449001"/>
                  <c:y val="7.90995651091058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A02-4C45-81C8-2D33840206E1}"/>
                </c:ext>
              </c:extLst>
            </c:dLbl>
            <c:dLbl>
              <c:idx val="6"/>
              <c:layout>
                <c:manualLayout>
                  <c:x val="-0.14446147975996393"/>
                  <c:y val="-9.8905301070942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A02-4C45-81C8-2D33840206E1}"/>
                </c:ext>
              </c:extLst>
            </c:dLbl>
            <c:dLbl>
              <c:idx val="7"/>
              <c:layout>
                <c:manualLayout>
                  <c:x val="-9.2496102296697108E-2"/>
                  <c:y val="8.60095407782055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A02-4C45-81C8-2D33840206E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0.17994858611825193</c:v>
                </c:pt>
                <c:pt idx="1">
                  <c:v>0.16661905033998067</c:v>
                </c:pt>
                <c:pt idx="2">
                  <c:v>8.2039438621424945E-2</c:v>
                </c:pt>
                <c:pt idx="3">
                  <c:v>3.7397197889040827E-2</c:v>
                </c:pt>
                <c:pt idx="4">
                  <c:v>1.5722800196535047E-2</c:v>
                </c:pt>
                <c:pt idx="5">
                  <c:v>-1.6331167678488898E-2</c:v>
                </c:pt>
                <c:pt idx="6">
                  <c:v>-2.8848355338470812E-3</c:v>
                </c:pt>
                <c:pt idx="7">
                  <c:v>-7.3505912432086972E-3</c:v>
                </c:pt>
                <c:pt idx="8">
                  <c:v>-4.4714720085852373E-3</c:v>
                </c:pt>
              </c:numCache>
            </c:numRef>
          </c:val>
          <c:smooth val="1"/>
          <c:extLst xmlns:c16r2="http://schemas.microsoft.com/office/drawing/2015/06/chart">
            <c:ext xmlns:c16="http://schemas.microsoft.com/office/drawing/2014/chart" uri="{C3380CC4-5D6E-409C-BE32-E72D297353CC}">
              <c16:uniqueId val="{00000007-8A02-4C45-81C8-2D33840206E1}"/>
            </c:ext>
          </c:extLst>
        </c:ser>
        <c:dLbls>
          <c:showLegendKey val="0"/>
          <c:showVal val="0"/>
          <c:showCatName val="0"/>
          <c:showSerName val="0"/>
          <c:showPercent val="0"/>
          <c:showBubbleSize val="0"/>
        </c:dLbls>
        <c:marker val="1"/>
        <c:smooth val="0"/>
        <c:axId val="159033600"/>
        <c:axId val="159039488"/>
      </c:lineChart>
      <c:catAx>
        <c:axId val="15903360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59039488"/>
        <c:crosses val="autoZero"/>
        <c:auto val="1"/>
        <c:lblAlgn val="ctr"/>
        <c:lblOffset val="100"/>
        <c:noMultiLvlLbl val="0"/>
      </c:catAx>
      <c:valAx>
        <c:axId val="159039488"/>
        <c:scaling>
          <c:orientation val="minMax"/>
          <c:max val="0.25"/>
          <c:min val="-0.1"/>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5903360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1"/>
              <c:layout>
                <c:manualLayout>
                  <c:x val="-6.3433227562972636E-2"/>
                  <c:y val="-6.688583635074812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84A-4B29-BAB0-0AEF33C9CC2B}"/>
                </c:ext>
              </c:extLst>
            </c:dLbl>
            <c:dLbl>
              <c:idx val="2"/>
              <c:layout>
                <c:manualLayout>
                  <c:x val="-9.0796411642574529E-2"/>
                  <c:y val="-8.63505565453953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84A-4B29-BAB0-0AEF33C9CC2B}"/>
                </c:ext>
              </c:extLst>
            </c:dLbl>
            <c:dLbl>
              <c:idx val="3"/>
              <c:layout>
                <c:manualLayout>
                  <c:x val="-0.25995064049829592"/>
                  <c:y val="5.96348449144586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84A-4B29-BAB0-0AEF33C9CC2B}"/>
                </c:ext>
              </c:extLst>
            </c:dLbl>
            <c:dLbl>
              <c:idx val="4"/>
              <c:layout>
                <c:manualLayout>
                  <c:x val="-0.27878342540200013"/>
                  <c:y val="2.60344464241239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84A-4B29-BAB0-0AEF33C9CC2B}"/>
                </c:ext>
              </c:extLst>
            </c:dLbl>
            <c:dLbl>
              <c:idx val="5"/>
              <c:layout>
                <c:manualLayout>
                  <c:x val="-0.14994572859823124"/>
                  <c:y val="5.96348449144586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84A-4B29-BAB0-0AEF33C9CC2B}"/>
                </c:ext>
              </c:extLst>
            </c:dLbl>
            <c:dLbl>
              <c:idx val="6"/>
              <c:layout>
                <c:manualLayout>
                  <c:x val="-0.19003220375936894"/>
                  <c:y val="-0.14649654194685527"/>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84A-4B29-BAB0-0AEF33C9CC2B}"/>
                </c:ext>
              </c:extLst>
            </c:dLbl>
            <c:dLbl>
              <c:idx val="8"/>
              <c:layout>
                <c:manualLayout>
                  <c:x val="0"/>
                  <c:y val="-0.21462306262812048"/>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84A-4B29-BAB0-0AEF33C9CC2B}"/>
                </c:ext>
              </c:extLst>
            </c:dLbl>
            <c:numFmt formatCode="0.0%" sourceLinked="0"/>
            <c:spPr>
              <a:noFill/>
              <a:ln>
                <a:noFill/>
              </a:ln>
              <a:effectLst/>
            </c:spPr>
            <c:txPr>
              <a:bodyPr rot="0" spcFirstLastPara="1" vertOverflow="ellipsis" vert="horz" wrap="square" anchor="ctr" anchorCtr="1"/>
              <a:lstStyle/>
              <a:p>
                <a:pPr>
                  <a:defRPr sz="500" b="1" i="0" u="none" strike="noStrike" kern="1200" baseline="0">
                    <a:solidFill>
                      <a:schemeClr val="dk1">
                        <a:lumMod val="75000"/>
                        <a:lumOff val="25000"/>
                      </a:schemeClr>
                    </a:solidFill>
                    <a:latin typeface="+mn-lt"/>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5.1238013453556587E-2</c:v>
                </c:pt>
                <c:pt idx="1">
                  <c:v>5.6573399770026782E-2</c:v>
                </c:pt>
                <c:pt idx="2">
                  <c:v>8.5573341387302549E-4</c:v>
                </c:pt>
                <c:pt idx="3">
                  <c:v>-4.0081891775135714E-2</c:v>
                </c:pt>
                <c:pt idx="4">
                  <c:v>-8.6873325679295871E-2</c:v>
                </c:pt>
                <c:pt idx="5">
                  <c:v>-9.5297627152211253E-2</c:v>
                </c:pt>
                <c:pt idx="6">
                  <c:v>-0.10264810264810251</c:v>
                </c:pt>
                <c:pt idx="7">
                  <c:v>-0.11134398265005757</c:v>
                </c:pt>
                <c:pt idx="8">
                  <c:v>-0.10286335746518177</c:v>
                </c:pt>
              </c:numCache>
            </c:numRef>
          </c:val>
          <c:smooth val="1"/>
          <c:extLst xmlns:c16r2="http://schemas.microsoft.com/office/drawing/2015/06/chart">
            <c:ext xmlns:c16="http://schemas.microsoft.com/office/drawing/2014/chart" uri="{C3380CC4-5D6E-409C-BE32-E72D297353CC}">
              <c16:uniqueId val="{00000007-A84A-4B29-BAB0-0AEF33C9CC2B}"/>
            </c:ext>
          </c:extLst>
        </c:ser>
        <c:dLbls>
          <c:showLegendKey val="0"/>
          <c:showVal val="0"/>
          <c:showCatName val="0"/>
          <c:showSerName val="0"/>
          <c:showPercent val="0"/>
          <c:showBubbleSize val="0"/>
        </c:dLbls>
        <c:marker val="1"/>
        <c:smooth val="0"/>
        <c:axId val="93858816"/>
        <c:axId val="93876992"/>
      </c:lineChart>
      <c:catAx>
        <c:axId val="9385881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93876992"/>
        <c:crosses val="autoZero"/>
        <c:auto val="1"/>
        <c:lblAlgn val="ctr"/>
        <c:lblOffset val="100"/>
        <c:noMultiLvlLbl val="0"/>
      </c:catAx>
      <c:valAx>
        <c:axId val="93876992"/>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9385881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1"/>
              <c:layout>
                <c:manualLayout>
                  <c:x val="-6.3433227562972636E-2"/>
                  <c:y val="-6.688583635074812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287-4AEB-A83A-929E0F21216A}"/>
                </c:ext>
              </c:extLst>
            </c:dLbl>
            <c:dLbl>
              <c:idx val="2"/>
              <c:layout>
                <c:manualLayout>
                  <c:x val="-9.0796411642574529E-2"/>
                  <c:y val="-8.63505565453953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287-4AEB-A83A-929E0F21216A}"/>
                </c:ext>
              </c:extLst>
            </c:dLbl>
            <c:dLbl>
              <c:idx val="3"/>
              <c:layout>
                <c:manualLayout>
                  <c:x val="-0.25995064049829592"/>
                  <c:y val="5.96348449144586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287-4AEB-A83A-929E0F21216A}"/>
                </c:ext>
              </c:extLst>
            </c:dLbl>
            <c:dLbl>
              <c:idx val="4"/>
              <c:layout>
                <c:manualLayout>
                  <c:x val="-0.13667068262606444"/>
                  <c:y val="7.469624691074208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287-4AEB-A83A-929E0F21216A}"/>
                </c:ext>
              </c:extLst>
            </c:dLbl>
            <c:dLbl>
              <c:idx val="5"/>
              <c:layout>
                <c:manualLayout>
                  <c:x val="-4.5729717229211812E-2"/>
                  <c:y val="6.936720501178228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287-4AEB-A83A-929E0F21216A}"/>
                </c:ext>
              </c:extLst>
            </c:dLbl>
            <c:dLbl>
              <c:idx val="6"/>
              <c:layout>
                <c:manualLayout>
                  <c:x val="-0.19365826547853948"/>
                  <c:y val="-6.863766116826637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287-4AEB-A83A-929E0F21216A}"/>
                </c:ext>
              </c:extLst>
            </c:dLbl>
            <c:numFmt formatCode="0.0%" sourceLinked="0"/>
            <c:spPr>
              <a:noFill/>
              <a:ln>
                <a:noFill/>
              </a:ln>
              <a:effectLst/>
            </c:spPr>
            <c:txPr>
              <a:bodyPr rot="0" spcFirstLastPara="1" vertOverflow="ellipsis" vert="horz" wrap="square" anchor="ctr" anchorCtr="1"/>
              <a:lstStyle/>
              <a:p>
                <a:pPr>
                  <a:defRPr sz="500" b="1" i="0" u="none" strike="noStrike" kern="1200" baseline="0">
                    <a:solidFill>
                      <a:schemeClr val="dk1">
                        <a:lumMod val="75000"/>
                        <a:lumOff val="25000"/>
                      </a:schemeClr>
                    </a:solidFill>
                    <a:latin typeface="+mn-lt"/>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2.1042984810812015E-2</c:v>
                </c:pt>
                <c:pt idx="1">
                  <c:v>-5.4301434530351859E-3</c:v>
                </c:pt>
                <c:pt idx="2">
                  <c:v>-3.936324717110537E-2</c:v>
                </c:pt>
                <c:pt idx="3">
                  <c:v>-6.7752911127620483E-2</c:v>
                </c:pt>
                <c:pt idx="4">
                  <c:v>-7.8517640742722106E-2</c:v>
                </c:pt>
                <c:pt idx="5">
                  <c:v>-6.8383988538767676E-2</c:v>
                </c:pt>
                <c:pt idx="6">
                  <c:v>-4.5061902770095801E-2</c:v>
                </c:pt>
                <c:pt idx="7">
                  <c:v>-1.9918873765843444E-2</c:v>
                </c:pt>
                <c:pt idx="8">
                  <c:v>-2.9174915563103811E-4</c:v>
                </c:pt>
              </c:numCache>
            </c:numRef>
          </c:val>
          <c:smooth val="1"/>
          <c:extLst xmlns:c16r2="http://schemas.microsoft.com/office/drawing/2015/06/chart">
            <c:ext xmlns:c16="http://schemas.microsoft.com/office/drawing/2014/chart" uri="{C3380CC4-5D6E-409C-BE32-E72D297353CC}">
              <c16:uniqueId val="{00000006-C287-4AEB-A83A-929E0F21216A}"/>
            </c:ext>
          </c:extLst>
        </c:ser>
        <c:dLbls>
          <c:showLegendKey val="0"/>
          <c:showVal val="0"/>
          <c:showCatName val="0"/>
          <c:showSerName val="0"/>
          <c:showPercent val="0"/>
          <c:showBubbleSize val="0"/>
        </c:dLbls>
        <c:marker val="1"/>
        <c:smooth val="0"/>
        <c:axId val="173514112"/>
        <c:axId val="173520000"/>
      </c:lineChart>
      <c:catAx>
        <c:axId val="17351411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73520000"/>
        <c:crosses val="autoZero"/>
        <c:auto val="1"/>
        <c:lblAlgn val="ctr"/>
        <c:lblOffset val="100"/>
        <c:noMultiLvlLbl val="0"/>
      </c:catAx>
      <c:valAx>
        <c:axId val="17352000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7351411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Hoja1!$B$1</c:f>
              <c:strCache>
                <c:ptCount val="1"/>
                <c:pt idx="0">
                  <c:v>Recaudación</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2019</c:v>
                </c:pt>
                <c:pt idx="1">
                  <c:v>Presupuesto 
vigente 2020</c:v>
                </c:pt>
                <c:pt idx="2">
                  <c:v>Cierre 
preliminar 2020</c:v>
                </c:pt>
              </c:strCache>
            </c:strRef>
          </c:cat>
          <c:val>
            <c:numRef>
              <c:f>Hoja1!$B$2:$B$4</c:f>
              <c:numCache>
                <c:formatCode>#,##0.00</c:formatCode>
                <c:ptCount val="3"/>
                <c:pt idx="0">
                  <c:v>62593.56</c:v>
                </c:pt>
                <c:pt idx="1">
                  <c:v>64027.7</c:v>
                </c:pt>
                <c:pt idx="2" formatCode="General">
                  <c:v>60279.396097580007</c:v>
                </c:pt>
              </c:numCache>
            </c:numRef>
          </c:val>
          <c:extLst xmlns:c16r2="http://schemas.microsoft.com/office/drawing/2015/06/chart">
            <c:ext xmlns:c16="http://schemas.microsoft.com/office/drawing/2014/chart" uri="{C3380CC4-5D6E-409C-BE32-E72D297353CC}">
              <c16:uniqueId val="{00000000-12BB-4C25-A16F-0E69345C6464}"/>
            </c:ext>
          </c:extLst>
        </c:ser>
        <c:ser>
          <c:idx val="1"/>
          <c:order val="1"/>
          <c:tx>
            <c:strRef>
              <c:f>Hoja1!$C$1</c:f>
              <c:strCache>
                <c:ptCount val="1"/>
                <c:pt idx="0">
                  <c:v>Covid-19</c:v>
                </c:pt>
              </c:strCache>
            </c:strRef>
          </c:tx>
          <c:spPr>
            <a:solidFill>
              <a:schemeClr val="accent2"/>
            </a:solidFill>
            <a:ln>
              <a:noFill/>
            </a:ln>
            <a:effectLst/>
          </c:spPr>
          <c:invertIfNegative val="0"/>
          <c:dPt>
            <c:idx val="2"/>
            <c:invertIfNegative val="0"/>
            <c:bubble3D val="0"/>
            <c:spPr>
              <a:pattFill prst="dkDnDiag">
                <a:fgClr>
                  <a:schemeClr val="accent6">
                    <a:lumMod val="40000"/>
                    <a:lumOff val="60000"/>
                  </a:schemeClr>
                </a:fgClr>
                <a:bgClr>
                  <a:schemeClr val="bg1"/>
                </a:bgClr>
              </a:pattFill>
              <a:ln>
                <a:noFill/>
              </a:ln>
              <a:effectLst/>
            </c:spPr>
            <c:extLst xmlns:c16r2="http://schemas.microsoft.com/office/drawing/2015/06/chart">
              <c:ext xmlns:c16="http://schemas.microsoft.com/office/drawing/2014/chart" uri="{C3380CC4-5D6E-409C-BE32-E72D297353CC}">
                <c16:uniqueId val="{00000002-12BB-4C25-A16F-0E69345C6464}"/>
              </c:ext>
            </c:extLst>
          </c:dPt>
          <c:dLbls>
            <c:dLbl>
              <c:idx val="2"/>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2BB-4C25-A16F-0E69345C646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2019</c:v>
                </c:pt>
                <c:pt idx="1">
                  <c:v>Presupuesto 
vigente 2020</c:v>
                </c:pt>
                <c:pt idx="2">
                  <c:v>Cierre 
preliminar 2020</c:v>
                </c:pt>
              </c:strCache>
            </c:strRef>
          </c:cat>
          <c:val>
            <c:numRef>
              <c:f>Hoja1!$C$2:$C$4</c:f>
              <c:numCache>
                <c:formatCode>General</c:formatCode>
                <c:ptCount val="3"/>
                <c:pt idx="2">
                  <c:v>3748.3039024199898</c:v>
                </c:pt>
              </c:numCache>
            </c:numRef>
          </c:val>
          <c:extLst xmlns:c16r2="http://schemas.microsoft.com/office/drawing/2015/06/chart">
            <c:ext xmlns:c16="http://schemas.microsoft.com/office/drawing/2014/chart" uri="{C3380CC4-5D6E-409C-BE32-E72D297353CC}">
              <c16:uniqueId val="{00000003-12BB-4C25-A16F-0E69345C6464}"/>
            </c:ext>
          </c:extLst>
        </c:ser>
        <c:dLbls>
          <c:showLegendKey val="0"/>
          <c:showVal val="0"/>
          <c:showCatName val="0"/>
          <c:showSerName val="0"/>
          <c:showPercent val="0"/>
          <c:showBubbleSize val="0"/>
        </c:dLbls>
        <c:gapWidth val="20"/>
        <c:overlap val="100"/>
        <c:axId val="186123392"/>
        <c:axId val="186124928"/>
      </c:barChart>
      <c:catAx>
        <c:axId val="1861233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86124928"/>
        <c:crosses val="autoZero"/>
        <c:auto val="1"/>
        <c:lblAlgn val="ctr"/>
        <c:lblOffset val="100"/>
        <c:noMultiLvlLbl val="0"/>
      </c:catAx>
      <c:valAx>
        <c:axId val="186124928"/>
        <c:scaling>
          <c:orientation val="minMax"/>
          <c:min val="400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186123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02579014806894"/>
          <c:y val="3.6022059742532177E-2"/>
          <c:w val="0.81288627289924786"/>
          <c:h val="0.87264085739282582"/>
        </c:manualLayout>
      </c:layout>
      <c:lineChart>
        <c:grouping val="standard"/>
        <c:varyColors val="0"/>
        <c:ser>
          <c:idx val="0"/>
          <c:order val="0"/>
          <c:tx>
            <c:strRef>
              <c:f>Hoja1!$B$1</c:f>
              <c:strCache>
                <c:ptCount val="1"/>
                <c:pt idx="0">
                  <c:v>Var</c:v>
                </c:pt>
              </c:strCache>
            </c:strRef>
          </c:tx>
          <c:marker>
            <c:symbol val="circle"/>
            <c:size val="6"/>
          </c:marker>
          <c:dLbls>
            <c:dLbl>
              <c:idx val="0"/>
              <c:layout>
                <c:manualLayout>
                  <c:x val="-7.0384214897208933E-2"/>
                  <c:y val="6.527777777777778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A1F-4DED-8C5A-D9771701B9EB}"/>
                </c:ext>
              </c:extLst>
            </c:dLbl>
            <c:dLbl>
              <c:idx val="1"/>
              <c:layout>
                <c:manualLayout>
                  <c:x val="-1.4998955580379442E-2"/>
                  <c:y val="2.083333333333333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A1F-4DED-8C5A-D9771701B9EB}"/>
                </c:ext>
              </c:extLst>
            </c:dLbl>
            <c:dLbl>
              <c:idx val="2"/>
              <c:layout>
                <c:manualLayout>
                  <c:x val="-0.13960730075230046"/>
                  <c:y val="-5.138888888888888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A1F-4DED-8C5A-D9771701B9EB}"/>
                </c:ext>
              </c:extLst>
            </c:dLbl>
            <c:dLbl>
              <c:idx val="3"/>
              <c:layout>
                <c:manualLayout>
                  <c:x val="-3.807790462178387E-2"/>
                  <c:y val="3.194444444444444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A1F-4DED-8C5A-D9771701B9EB}"/>
                </c:ext>
              </c:extLst>
            </c:dLbl>
            <c:dLbl>
              <c:idx val="4"/>
              <c:layout>
                <c:manualLayout>
                  <c:x val="-8.4217259595377805E-2"/>
                  <c:y val="-4.583333333333330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A1F-4DED-8C5A-D9771701B9EB}"/>
                </c:ext>
              </c:extLst>
            </c:dLbl>
            <c:dLbl>
              <c:idx val="5"/>
              <c:layout>
                <c:manualLayout>
                  <c:x val="6.8058899745770868E-2"/>
                  <c:y val="-1.751224846894148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A1F-4DED-8C5A-D9771701B9EB}"/>
                </c:ext>
              </c:extLst>
            </c:dLbl>
            <c:dLbl>
              <c:idx val="6"/>
              <c:layout>
                <c:manualLayout>
                  <c:x val="-0.16730929635411082"/>
                  <c:y val="0.12638888888888869"/>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A1F-4DED-8C5A-D9771701B9EB}"/>
                </c:ext>
              </c:extLst>
            </c:dLbl>
            <c:dLbl>
              <c:idx val="8"/>
              <c:layout>
                <c:manualLayout>
                  <c:x val="-1.8619239638663907E-3"/>
                  <c:y val="6.055555555555534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A1F-4DED-8C5A-D9771701B9EB}"/>
                </c:ext>
              </c:extLst>
            </c:dLbl>
            <c:spPr>
              <a:noFill/>
              <a:ln>
                <a:noFill/>
              </a:ln>
              <a:effectLst/>
            </c:spPr>
            <c:txPr>
              <a:bodyPr/>
              <a:lstStyle/>
              <a:p>
                <a:pPr>
                  <a:defRPr sz="800" b="1">
                    <a:solidFill>
                      <a:srgbClr val="0070C0"/>
                    </a:solidFill>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Hoja1!$A$2:$A$10</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Hoja1!$B$2:$B$10</c:f>
              <c:numCache>
                <c:formatCode>0.0%</c:formatCode>
                <c:ptCount val="9"/>
                <c:pt idx="0">
                  <c:v>6.014053336952041E-2</c:v>
                </c:pt>
                <c:pt idx="1">
                  <c:v>0.26435809344494077</c:v>
                </c:pt>
                <c:pt idx="2">
                  <c:v>7.7537590913840049E-2</c:v>
                </c:pt>
                <c:pt idx="3">
                  <c:v>-5.0066227563628884E-2</c:v>
                </c:pt>
                <c:pt idx="4">
                  <c:v>0.22168401302531482</c:v>
                </c:pt>
                <c:pt idx="5">
                  <c:v>-4.009850169883411E-2</c:v>
                </c:pt>
                <c:pt idx="6">
                  <c:v>-1.49031057779756E-2</c:v>
                </c:pt>
                <c:pt idx="7">
                  <c:v>4.7739791894880312E-2</c:v>
                </c:pt>
                <c:pt idx="8">
                  <c:v>-2.4521718582215413E-2</c:v>
                </c:pt>
              </c:numCache>
            </c:numRef>
          </c:val>
          <c:smooth val="1"/>
          <c:extLst xmlns:c16r2="http://schemas.microsoft.com/office/drawing/2015/06/chart">
            <c:ext xmlns:c16="http://schemas.microsoft.com/office/drawing/2014/chart" uri="{C3380CC4-5D6E-409C-BE32-E72D297353CC}">
              <c16:uniqueId val="{00000008-FA1F-4DED-8C5A-D9771701B9EB}"/>
            </c:ext>
          </c:extLst>
        </c:ser>
        <c:dLbls>
          <c:showLegendKey val="0"/>
          <c:showVal val="0"/>
          <c:showCatName val="0"/>
          <c:showSerName val="0"/>
          <c:showPercent val="0"/>
          <c:showBubbleSize val="0"/>
        </c:dLbls>
        <c:marker val="1"/>
        <c:smooth val="0"/>
        <c:axId val="186148736"/>
        <c:axId val="186150272"/>
      </c:lineChart>
      <c:catAx>
        <c:axId val="186148736"/>
        <c:scaling>
          <c:orientation val="minMax"/>
        </c:scaling>
        <c:delete val="0"/>
        <c:axPos val="b"/>
        <c:numFmt formatCode="General" sourceLinked="1"/>
        <c:majorTickMark val="out"/>
        <c:minorTickMark val="none"/>
        <c:tickLblPos val="low"/>
        <c:txPr>
          <a:bodyPr/>
          <a:lstStyle/>
          <a:p>
            <a:pPr>
              <a:defRPr sz="800" b="1"/>
            </a:pPr>
            <a:endParaRPr lang="es-ES"/>
          </a:p>
        </c:txPr>
        <c:crossAx val="186150272"/>
        <c:crosses val="autoZero"/>
        <c:auto val="1"/>
        <c:lblAlgn val="ctr"/>
        <c:lblOffset val="100"/>
        <c:noMultiLvlLbl val="0"/>
      </c:catAx>
      <c:valAx>
        <c:axId val="186150272"/>
        <c:scaling>
          <c:orientation val="minMax"/>
        </c:scaling>
        <c:delete val="0"/>
        <c:axPos val="l"/>
        <c:numFmt formatCode="0%" sourceLinked="0"/>
        <c:majorTickMark val="out"/>
        <c:minorTickMark val="none"/>
        <c:tickLblPos val="nextTo"/>
        <c:txPr>
          <a:bodyPr/>
          <a:lstStyle/>
          <a:p>
            <a:pPr>
              <a:defRPr sz="800" b="1"/>
            </a:pPr>
            <a:endParaRPr lang="es-ES"/>
          </a:p>
        </c:txPr>
        <c:crossAx val="186148736"/>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57513918026683"/>
          <c:y val="6.168066491688539E-2"/>
          <c:w val="0.85127977742685235"/>
          <c:h val="0.82004374453193363"/>
        </c:manualLayout>
      </c:layout>
      <c:lineChart>
        <c:grouping val="standard"/>
        <c:varyColors val="0"/>
        <c:ser>
          <c:idx val="0"/>
          <c:order val="0"/>
          <c:tx>
            <c:strRef>
              <c:f>Hoja1!$B$1</c:f>
              <c:strCache>
                <c:ptCount val="1"/>
                <c:pt idx="0">
                  <c:v>ISR total</c:v>
                </c:pt>
              </c:strCache>
            </c:strRef>
          </c:tx>
          <c:marker>
            <c:symbol val="circle"/>
            <c:size val="5"/>
          </c:marker>
          <c:dLbls>
            <c:dLbl>
              <c:idx val="0"/>
              <c:layout>
                <c:manualLayout>
                  <c:x val="-7.1534207013050702E-2"/>
                  <c:y val="6.888888888888888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E94-42B3-BC0D-009005175A4E}"/>
                </c:ext>
              </c:extLst>
            </c:dLbl>
            <c:dLbl>
              <c:idx val="1"/>
              <c:layout>
                <c:manualLayout>
                  <c:x val="-7.154650902885927E-2"/>
                  <c:y val="-5.888888888888888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E94-42B3-BC0D-009005175A4E}"/>
                </c:ext>
              </c:extLst>
            </c:dLbl>
            <c:dLbl>
              <c:idx val="2"/>
              <c:layout>
                <c:manualLayout>
                  <c:x val="-0.1638587583660282"/>
                  <c:y val="1.88888888888888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E94-42B3-BC0D-009005175A4E}"/>
                </c:ext>
              </c:extLst>
            </c:dLbl>
            <c:dLbl>
              <c:idx val="3"/>
              <c:layout>
                <c:manualLayout>
                  <c:x val="-0.11461753872042255"/>
                  <c:y val="4.666666666666666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E94-42B3-BC0D-009005175A4E}"/>
                </c:ext>
              </c:extLst>
            </c:dLbl>
            <c:dLbl>
              <c:idx val="5"/>
              <c:layout>
                <c:manualLayout>
                  <c:x val="-0.15923538636830331"/>
                  <c:y val="2.2222222222222222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E94-42B3-BC0D-009005175A4E}"/>
                </c:ext>
              </c:extLst>
            </c:dLbl>
            <c:dLbl>
              <c:idx val="6"/>
              <c:layout>
                <c:manualLayout>
                  <c:x val="-5.919558924278237E-2"/>
                  <c:y val="6.333333333333333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E94-42B3-BC0D-009005175A4E}"/>
                </c:ext>
              </c:extLst>
            </c:dLbl>
            <c:dLbl>
              <c:idx val="8"/>
              <c:layout>
                <c:manualLayout>
                  <c:x val="-1.2829575624533202E-3"/>
                  <c:y val="5.222222222222212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E94-42B3-BC0D-009005175A4E}"/>
                </c:ext>
              </c:extLst>
            </c:dLbl>
            <c:spPr>
              <a:noFill/>
              <a:ln>
                <a:noFill/>
              </a:ln>
              <a:effectLst/>
            </c:spPr>
            <c:txPr>
              <a:bodyPr/>
              <a:lstStyle/>
              <a:p>
                <a:pPr>
                  <a:defRPr sz="800" b="1">
                    <a:solidFill>
                      <a:srgbClr val="0070C0"/>
                    </a:solidFill>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Hoja1!$A$2:$A$10</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Hoja1!$B$2:$B$10</c:f>
              <c:numCache>
                <c:formatCode>0.0%</c:formatCode>
                <c:ptCount val="9"/>
                <c:pt idx="0">
                  <c:v>5.2869064841115199E-2</c:v>
                </c:pt>
                <c:pt idx="1">
                  <c:v>0.20575345497836528</c:v>
                </c:pt>
                <c:pt idx="2">
                  <c:v>0.11205763550288772</c:v>
                </c:pt>
                <c:pt idx="3">
                  <c:v>-4.0801274157492462E-2</c:v>
                </c:pt>
                <c:pt idx="4">
                  <c:v>0.21074383415848796</c:v>
                </c:pt>
                <c:pt idx="5">
                  <c:v>-1.1649383645444544E-2</c:v>
                </c:pt>
                <c:pt idx="6">
                  <c:v>-4.3312050183095252E-3</c:v>
                </c:pt>
                <c:pt idx="7">
                  <c:v>5.3107474471494331E-2</c:v>
                </c:pt>
                <c:pt idx="8">
                  <c:v>-0.02</c:v>
                </c:pt>
              </c:numCache>
            </c:numRef>
          </c:val>
          <c:smooth val="1"/>
          <c:extLst xmlns:c16r2="http://schemas.microsoft.com/office/drawing/2015/06/chart">
            <c:ext xmlns:c16="http://schemas.microsoft.com/office/drawing/2014/chart" uri="{C3380CC4-5D6E-409C-BE32-E72D297353CC}">
              <c16:uniqueId val="{00000007-4E94-42B3-BC0D-009005175A4E}"/>
            </c:ext>
          </c:extLst>
        </c:ser>
        <c:dLbls>
          <c:showLegendKey val="0"/>
          <c:showVal val="0"/>
          <c:showCatName val="0"/>
          <c:showSerName val="0"/>
          <c:showPercent val="0"/>
          <c:showBubbleSize val="0"/>
        </c:dLbls>
        <c:marker val="1"/>
        <c:smooth val="0"/>
        <c:axId val="198023424"/>
        <c:axId val="198037504"/>
      </c:lineChart>
      <c:catAx>
        <c:axId val="198023424"/>
        <c:scaling>
          <c:orientation val="minMax"/>
        </c:scaling>
        <c:delete val="0"/>
        <c:axPos val="b"/>
        <c:numFmt formatCode="General" sourceLinked="1"/>
        <c:majorTickMark val="out"/>
        <c:minorTickMark val="none"/>
        <c:tickLblPos val="low"/>
        <c:txPr>
          <a:bodyPr/>
          <a:lstStyle/>
          <a:p>
            <a:pPr>
              <a:defRPr sz="800" b="1"/>
            </a:pPr>
            <a:endParaRPr lang="es-ES"/>
          </a:p>
        </c:txPr>
        <c:crossAx val="198037504"/>
        <c:crosses val="autoZero"/>
        <c:auto val="1"/>
        <c:lblAlgn val="ctr"/>
        <c:lblOffset val="100"/>
        <c:noMultiLvlLbl val="0"/>
      </c:catAx>
      <c:valAx>
        <c:axId val="198037504"/>
        <c:scaling>
          <c:orientation val="minMax"/>
        </c:scaling>
        <c:delete val="0"/>
        <c:axPos val="l"/>
        <c:numFmt formatCode="0%" sourceLinked="0"/>
        <c:majorTickMark val="out"/>
        <c:minorTickMark val="none"/>
        <c:tickLblPos val="nextTo"/>
        <c:txPr>
          <a:bodyPr/>
          <a:lstStyle/>
          <a:p>
            <a:pPr>
              <a:defRPr sz="800" b="1"/>
            </a:pPr>
            <a:endParaRPr lang="es-ES"/>
          </a:p>
        </c:txPr>
        <c:crossAx val="198023424"/>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0.89745</cdr:y>
    </cdr:from>
    <cdr:to>
      <cdr:x>1</cdr:x>
      <cdr:y>1</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0" y="1619031"/>
          <a:ext cx="2806700" cy="18500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none" lIns="91440" tIns="45720" rIns="91440" bIns="45720" anchor="t" anchorCtr="0">
          <a:noAutofit/>
        </a:bodyPr>
        <a:lstStyle xmlns:a="http://schemas.openxmlformats.org/drawingml/2006/main"/>
        <a:p xmlns:a="http://schemas.openxmlformats.org/drawingml/2006/main">
          <a:pPr marL="0" marR="0">
            <a:lnSpc>
              <a:spcPct val="100000"/>
            </a:lnSpc>
            <a:spcBef>
              <a:spcPts val="0"/>
            </a:spcBef>
            <a:spcAft>
              <a:spcPts val="300"/>
            </a:spcAft>
          </a:pPr>
          <a:r>
            <a:rPr lang="es-US" sz="600">
              <a:effectLst/>
              <a:latin typeface="Times New Roman" panose="02020603050405020304" pitchFamily="18" charset="0"/>
              <a:ea typeface="Calibri" panose="020F0502020204030204" pitchFamily="34" charset="0"/>
              <a:cs typeface="Times New Roman" panose="02020603050405020304" pitchFamily="18" charset="0"/>
            </a:rPr>
            <a:t>*/Recaudación ajustada en marzo y abril</a:t>
          </a:r>
          <a:endParaRPr lang="es-GT" sz="600">
            <a:effectLst/>
            <a:latin typeface="Times New Roman" panose="02020603050405020304" pitchFamily="18" charset="0"/>
            <a:ea typeface="+mn-ea"/>
            <a:cs typeface="Times New Roman" panose="02020603050405020304" pitchFamily="18" charset="0"/>
          </a:endParaRPr>
        </a:p>
        <a:p xmlns:a="http://schemas.openxmlformats.org/drawingml/2006/main">
          <a:pPr marL="0" marR="0">
            <a:lnSpc>
              <a:spcPct val="107000"/>
            </a:lnSpc>
            <a:spcBef>
              <a:spcPts val="0"/>
            </a:spcBef>
            <a:spcAft>
              <a:spcPts val="800"/>
            </a:spcAft>
          </a:pPr>
          <a:endParaRPr lang="es-US" sz="5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0.02372</cdr:x>
      <cdr:y>0.87745</cdr:y>
    </cdr:from>
    <cdr:to>
      <cdr:x>1</cdr:x>
      <cdr:y>1</cdr:y>
    </cdr:to>
    <cdr:sp macro="" textlink="">
      <cdr:nvSpPr>
        <cdr:cNvPr id="2" name="CuadroTexto 8"/>
        <cdr:cNvSpPr txBox="1"/>
      </cdr:nvSpPr>
      <cdr:spPr>
        <a:xfrm xmlns:a="http://schemas.openxmlformats.org/drawingml/2006/main">
          <a:off x="68457" y="1872132"/>
          <a:ext cx="2817618" cy="261468"/>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ES_tradnl" sz="800">
              <a:solidFill>
                <a:schemeClr val="dk1"/>
              </a:solidFill>
              <a:effectLst/>
              <a:latin typeface="Times New Roman" panose="02020603050405020304" pitchFamily="18" charset="0"/>
              <a:ea typeface="+mn-ea"/>
              <a:cs typeface="Times New Roman" panose="02020603050405020304" pitchFamily="18" charset="0"/>
            </a:rPr>
            <a:t>Fuente</a:t>
          </a:r>
          <a:r>
            <a:rPr lang="es-ES_tradnl" sz="800" b="1">
              <a:solidFill>
                <a:schemeClr val="dk1"/>
              </a:solidFill>
              <a:effectLst/>
              <a:latin typeface="Times New Roman" panose="02020603050405020304" pitchFamily="18" charset="0"/>
              <a:ea typeface="+mn-ea"/>
              <a:cs typeface="Times New Roman" panose="02020603050405020304" pitchFamily="18" charset="0"/>
            </a:rPr>
            <a:t>:</a:t>
          </a:r>
          <a:r>
            <a:rPr lang="es-ES_tradnl" sz="800">
              <a:solidFill>
                <a:schemeClr val="dk1"/>
              </a:solidFill>
              <a:effectLst/>
              <a:latin typeface="Times New Roman" panose="02020603050405020304" pitchFamily="18" charset="0"/>
              <a:ea typeface="+mn-ea"/>
              <a:cs typeface="Times New Roman" panose="02020603050405020304" pitchFamily="18" charset="0"/>
            </a:rPr>
            <a:t> Dirección de Análisis y Política Fiscal con información del Banco de Guatemala.</a:t>
          </a:r>
          <a:endParaRPr lang="es-GT" sz="800">
            <a:solidFill>
              <a:schemeClr val="dk1"/>
            </a:solidFill>
            <a:effectLst/>
            <a:latin typeface="Times New Roman" panose="02020603050405020304" pitchFamily="18" charset="0"/>
            <a:ea typeface="+mn-ea"/>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0.02966</cdr:x>
      <cdr:y>0.84056</cdr:y>
    </cdr:from>
    <cdr:to>
      <cdr:x>0.94199</cdr:x>
      <cdr:y>0.97768</cdr:y>
    </cdr:to>
    <cdr:sp macro="" textlink="">
      <cdr:nvSpPr>
        <cdr:cNvPr id="2" name="CuadroTexto 8">
          <a:extLst xmlns:a="http://schemas.openxmlformats.org/drawingml/2006/main">
            <a:ext uri="{FF2B5EF4-FFF2-40B4-BE49-F238E27FC236}">
              <a16:creationId xmlns="" xmlns:a16="http://schemas.microsoft.com/office/drawing/2014/main" id="{ECF67B4A-158F-41A7-8275-23B83E0B879C}"/>
            </a:ext>
          </a:extLst>
        </cdr:cNvPr>
        <cdr:cNvSpPr txBox="1"/>
      </cdr:nvSpPr>
      <cdr:spPr>
        <a:xfrm xmlns:a="http://schemas.openxmlformats.org/drawingml/2006/main">
          <a:off x="85725" y="1793413"/>
          <a:ext cx="2637108" cy="292562"/>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es-GT" sz="800">
            <a:latin typeface="Times New Roman" panose="02020603050405020304" pitchFamily="18"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0.02653</cdr:x>
      <cdr:y>0.01923</cdr:y>
    </cdr:from>
    <cdr:to>
      <cdr:x>0.31633</cdr:x>
      <cdr:y>0.24478</cdr:y>
    </cdr:to>
    <cdr:sp macro="" textlink="">
      <cdr:nvSpPr>
        <cdr:cNvPr id="2" name="Cuadro de texto 1"/>
        <cdr:cNvSpPr txBox="1"/>
      </cdr:nvSpPr>
      <cdr:spPr>
        <a:xfrm xmlns:a="http://schemas.openxmlformats.org/drawingml/2006/main">
          <a:off x="106891" y="45975"/>
          <a:ext cx="1167626" cy="5392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1200" b="1">
              <a:solidFill>
                <a:schemeClr val="tx1"/>
              </a:solidFill>
              <a:latin typeface="Times New Roman" panose="02020603050405020304" pitchFamily="18" charset="0"/>
              <a:cs typeface="Times New Roman" panose="02020603050405020304" pitchFamily="18" charset="0"/>
            </a:rPr>
            <a:t>Tota</a:t>
          </a:r>
          <a:r>
            <a:rPr lang="es-GT" sz="1200" b="1" baseline="0">
              <a:solidFill>
                <a:schemeClr val="tx1"/>
              </a:solidFill>
              <a:latin typeface="Times New Roman" panose="02020603050405020304" pitchFamily="18" charset="0"/>
              <a:cs typeface="Times New Roman" panose="02020603050405020304" pitchFamily="18" charset="0"/>
            </a:rPr>
            <a:t>l: Q107,521.5</a:t>
          </a:r>
          <a:endParaRPr lang="es-GT" sz="1200" b="1">
            <a:solidFill>
              <a:schemeClr val="tx1"/>
            </a:solidFill>
            <a:latin typeface="Times New Roman" panose="02020603050405020304" pitchFamily="18"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0.02653</cdr:x>
      <cdr:y>0.01923</cdr:y>
    </cdr:from>
    <cdr:to>
      <cdr:x>0.57757</cdr:x>
      <cdr:y>0.12097</cdr:y>
    </cdr:to>
    <cdr:sp macro="" textlink="">
      <cdr:nvSpPr>
        <cdr:cNvPr id="2" name="Cuadro de texto 1"/>
        <cdr:cNvSpPr txBox="1"/>
      </cdr:nvSpPr>
      <cdr:spPr>
        <a:xfrm xmlns:a="http://schemas.openxmlformats.org/drawingml/2006/main">
          <a:off x="77073" y="45425"/>
          <a:ext cx="1600840" cy="2403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1100" b="1">
              <a:solidFill>
                <a:schemeClr val="tx1"/>
              </a:solidFill>
              <a:latin typeface="Times New Roman" panose="02020603050405020304" pitchFamily="18" charset="0"/>
              <a:cs typeface="Times New Roman" panose="02020603050405020304" pitchFamily="18" charset="0"/>
            </a:rPr>
            <a:t>Tota</a:t>
          </a:r>
          <a:r>
            <a:rPr lang="es-GT" sz="1100" b="1" baseline="0">
              <a:solidFill>
                <a:schemeClr val="tx1"/>
              </a:solidFill>
              <a:latin typeface="Times New Roman" panose="02020603050405020304" pitchFamily="18" charset="0"/>
              <a:cs typeface="Times New Roman" panose="02020603050405020304" pitchFamily="18" charset="0"/>
            </a:rPr>
            <a:t>l: Q94,354.0</a:t>
          </a:r>
          <a:endParaRPr lang="es-GT" sz="1100" b="1">
            <a:solidFill>
              <a:schemeClr val="tx1"/>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0.13901</cdr:x>
      <cdr:y>0</cdr:y>
    </cdr:from>
    <cdr:to>
      <cdr:x>0.90622</cdr:x>
      <cdr:y>0.20325</cdr:y>
    </cdr:to>
    <cdr:sp macro="" textlink="">
      <cdr:nvSpPr>
        <cdr:cNvPr id="2" name="Cuadro de texto 1"/>
        <cdr:cNvSpPr txBox="1"/>
      </cdr:nvSpPr>
      <cdr:spPr>
        <a:xfrm xmlns:a="http://schemas.openxmlformats.org/drawingml/2006/main">
          <a:off x="487710" y="0"/>
          <a:ext cx="2691667" cy="4055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GT" sz="1050" b="1">
              <a:latin typeface="Times New Roman" panose="02020603050405020304" pitchFamily="18" charset="0"/>
              <a:cs typeface="Times New Roman" panose="02020603050405020304" pitchFamily="18" charset="0"/>
            </a:rPr>
            <a:t>Carga Tributaria</a:t>
          </a:r>
        </a:p>
        <a:p xmlns:a="http://schemas.openxmlformats.org/drawingml/2006/main">
          <a:pPr algn="ctr"/>
          <a:r>
            <a:rPr lang="es-GT" sz="1000">
              <a:latin typeface="Times New Roman" panose="02020603050405020304" pitchFamily="18" charset="0"/>
              <a:cs typeface="Times New Roman" panose="02020603050405020304" pitchFamily="18" charset="0"/>
            </a:rPr>
            <a:t>Porcentajes</a:t>
          </a:r>
        </a:p>
      </cdr:txBody>
    </cdr:sp>
  </cdr:relSizeAnchor>
  <cdr:relSizeAnchor xmlns:cdr="http://schemas.openxmlformats.org/drawingml/2006/chartDrawing">
    <cdr:from>
      <cdr:x>0.0204</cdr:x>
      <cdr:y>0.90864</cdr:y>
    </cdr:from>
    <cdr:to>
      <cdr:x>0.85216</cdr:x>
      <cdr:y>1</cdr:y>
    </cdr:to>
    <cdr:sp macro="" textlink="">
      <cdr:nvSpPr>
        <cdr:cNvPr id="3" name="Cuadro de texto 2"/>
        <cdr:cNvSpPr txBox="1"/>
      </cdr:nvSpPr>
      <cdr:spPr>
        <a:xfrm xmlns:a="http://schemas.openxmlformats.org/drawingml/2006/main">
          <a:off x="71561" y="1812897"/>
          <a:ext cx="2918129" cy="1822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800">
              <a:latin typeface="Times New Roman" panose="02020603050405020304" pitchFamily="18" charset="0"/>
              <a:cs typeface="Times New Roman" panose="02020603050405020304" pitchFamily="18" charset="0"/>
            </a:rPr>
            <a:t>Fuente: Dirección de Análisis y Política Fiscal.</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0.89659</cdr:y>
    </cdr:from>
    <cdr:to>
      <cdr:x>0.64904</cdr:x>
      <cdr:y>1</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0" y="1924350"/>
          <a:ext cx="2096146" cy="22195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algn="just">
            <a:lnSpc>
              <a:spcPct val="107000"/>
            </a:lnSpc>
            <a:spcBef>
              <a:spcPts val="0"/>
            </a:spcBef>
            <a:spcAft>
              <a:spcPts val="0"/>
            </a:spcAft>
          </a:pPr>
          <a:r>
            <a:rPr lang="es-GT" sz="800">
              <a:effectLst/>
              <a:latin typeface="Times New Roman" panose="02020603050405020304" pitchFamily="18" charset="0"/>
              <a:ea typeface="Calibri" panose="020F0502020204030204" pitchFamily="34" charset="0"/>
              <a:cs typeface="Times New Roman" panose="02020603050405020304" pitchFamily="18" charset="0"/>
            </a:rPr>
            <a:t>Fuente: Dirección de Análisis y Política Fiscal.</a:t>
          </a:r>
          <a:endParaRPr lang="es-US" sz="800">
            <a:effectLst/>
            <a:latin typeface="Calibri" panose="020F0502020204030204" pitchFamily="34" charset="0"/>
            <a:ea typeface="Calibri" panose="020F0502020204030204" pitchFamily="34" charset="0"/>
            <a:cs typeface="Times New Roman" panose="02020603050405020304" pitchFamily="18" charset="0"/>
          </a:endParaRPr>
        </a:p>
        <a:p xmlns:a="http://schemas.openxmlformats.org/drawingml/2006/main">
          <a:pPr marL="0" marR="0">
            <a:lnSpc>
              <a:spcPct val="107000"/>
            </a:lnSpc>
            <a:spcBef>
              <a:spcPts val="0"/>
            </a:spcBef>
            <a:spcAft>
              <a:spcPts val="800"/>
            </a:spcAft>
          </a:pPr>
          <a:r>
            <a:rPr lang="es-GT" sz="1000">
              <a:effectLst/>
              <a:latin typeface="Calibri" panose="020F0502020204030204" pitchFamily="34" charset="0"/>
              <a:ea typeface="Calibri" panose="020F0502020204030204" pitchFamily="34" charset="0"/>
              <a:cs typeface="Times New Roman" panose="02020603050405020304" pitchFamily="18" charset="0"/>
            </a:rPr>
            <a:t> </a:t>
          </a:r>
          <a:endParaRPr lang="es-US" sz="10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0.03201</cdr:x>
      <cdr:y>0</cdr:y>
    </cdr:from>
    <cdr:to>
      <cdr:x>0.97249</cdr:x>
      <cdr:y>0.0941</cdr:y>
    </cdr:to>
    <cdr:sp macro="" textlink="">
      <cdr:nvSpPr>
        <cdr:cNvPr id="3" name="Cuadro de texto 2"/>
        <cdr:cNvSpPr txBox="1"/>
      </cdr:nvSpPr>
      <cdr:spPr>
        <a:xfrm xmlns:a="http://schemas.openxmlformats.org/drawingml/2006/main">
          <a:off x="103367" y="0"/>
          <a:ext cx="3037399" cy="2146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GT" sz="1100" b="1">
              <a:latin typeface="Times New Roman" panose="02020603050405020304" pitchFamily="18" charset="0"/>
              <a:cs typeface="Times New Roman" panose="02020603050405020304" pitchFamily="18" charset="0"/>
            </a:rPr>
            <a:t>Estructura de Ingresos No tributarios</a:t>
          </a:r>
        </a:p>
      </cdr:txBody>
    </cdr:sp>
  </cdr:relSizeAnchor>
</c:userShapes>
</file>

<file path=word/drawings/drawing4.xml><?xml version="1.0" encoding="utf-8"?>
<c:userShapes xmlns:c="http://schemas.openxmlformats.org/drawingml/2006/chart">
  <cdr:relSizeAnchor xmlns:cdr="http://schemas.openxmlformats.org/drawingml/2006/chartDrawing">
    <cdr:from>
      <cdr:x>0.77358</cdr:x>
      <cdr:y>0.03099</cdr:y>
    </cdr:from>
    <cdr:to>
      <cdr:x>0.77358</cdr:x>
      <cdr:y>0.12914</cdr:y>
    </cdr:to>
    <cdr:cxnSp macro="">
      <cdr:nvCxnSpPr>
        <cdr:cNvPr id="3" name="Straight Arrow Connector 2"/>
        <cdr:cNvCxnSpPr/>
      </cdr:nvCxnSpPr>
      <cdr:spPr>
        <a:xfrm xmlns:a="http://schemas.openxmlformats.org/drawingml/2006/main">
          <a:off x="4341413" y="95417"/>
          <a:ext cx="0" cy="302149"/>
        </a:xfrm>
        <a:prstGeom xmlns:a="http://schemas.openxmlformats.org/drawingml/2006/main" prst="straightConnector1">
          <a:avLst/>
        </a:prstGeom>
        <a:ln xmlns:a="http://schemas.openxmlformats.org/drawingml/2006/main" w="38100">
          <a:solidFill>
            <a:srgbClr val="C00000"/>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6.60295E-7</cdr:x>
      <cdr:y>0.89189</cdr:y>
    </cdr:from>
    <cdr:to>
      <cdr:x>1</cdr:x>
      <cdr:y>1</cdr:y>
    </cdr:to>
    <cdr:sp macro="" textlink="">
      <cdr:nvSpPr>
        <cdr:cNvPr id="2" name="CuadroTexto 1">
          <a:extLst xmlns:a="http://schemas.openxmlformats.org/drawingml/2006/main">
            <a:ext uri="{FF2B5EF4-FFF2-40B4-BE49-F238E27FC236}">
              <a16:creationId xmlns="" xmlns:a16="http://schemas.microsoft.com/office/drawing/2014/main" id="{00527383-91CD-4176-BEEE-F1918984848B}"/>
            </a:ext>
          </a:extLst>
        </cdr:cNvPr>
        <cdr:cNvSpPr txBox="1"/>
      </cdr:nvSpPr>
      <cdr:spPr>
        <a:xfrm xmlns:a="http://schemas.openxmlformats.org/drawingml/2006/main">
          <a:off x="1" y="1571625"/>
          <a:ext cx="1514474"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700">
            <a:latin typeface="Times New Roman" panose="020206030504050203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0.02052</cdr:x>
      <cdr:y>0.89792</cdr:y>
    </cdr:from>
    <cdr:to>
      <cdr:x>0.99338</cdr:x>
      <cdr:y>0.98498</cdr:y>
    </cdr:to>
    <cdr:sp macro="" textlink="">
      <cdr:nvSpPr>
        <cdr:cNvPr id="2" name="CuadroTexto 1">
          <a:extLst xmlns:a="http://schemas.openxmlformats.org/drawingml/2006/main">
            <a:ext uri="{FF2B5EF4-FFF2-40B4-BE49-F238E27FC236}">
              <a16:creationId xmlns="" xmlns:a16="http://schemas.microsoft.com/office/drawing/2014/main" id="{B98FBF7B-DE54-4209-87B1-7D0067BFE2CF}"/>
            </a:ext>
          </a:extLst>
        </cdr:cNvPr>
        <cdr:cNvSpPr txBox="1"/>
      </cdr:nvSpPr>
      <cdr:spPr>
        <a:xfrm xmlns:a="http://schemas.openxmlformats.org/drawingml/2006/main">
          <a:off x="59054" y="2259330"/>
          <a:ext cx="2799991"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800">
              <a:latin typeface="Times New Roman" panose="02020603050405020304" pitchFamily="18" charset="0"/>
              <a:cs typeface="Times New Roman" panose="02020603050405020304" pitchFamily="18" charset="0"/>
            </a:rPr>
            <a:t>Fuente:</a:t>
          </a:r>
          <a:r>
            <a:rPr lang="es-GT" sz="800" baseline="0">
              <a:latin typeface="Times New Roman" panose="02020603050405020304" pitchFamily="18" charset="0"/>
              <a:cs typeface="Times New Roman" panose="02020603050405020304" pitchFamily="18" charset="0"/>
            </a:rPr>
            <a:t> Dirección de Análisis y Política Fiscal con base información del Fondo Monetario Internacional.</a:t>
          </a:r>
          <a:endParaRPr lang="es-GT" sz="800">
            <a:latin typeface="Times New Roman" panose="02020603050405020304" pitchFamily="18"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0.87713</cdr:y>
    </cdr:from>
    <cdr:to>
      <cdr:x>1</cdr:x>
      <cdr:y>1</cdr:y>
    </cdr:to>
    <cdr:sp macro="" textlink="">
      <cdr:nvSpPr>
        <cdr:cNvPr id="2" name="Cuadro de texto 1"/>
        <cdr:cNvSpPr txBox="1"/>
      </cdr:nvSpPr>
      <cdr:spPr>
        <a:xfrm xmlns:a="http://schemas.openxmlformats.org/drawingml/2006/main">
          <a:off x="0" y="2338753"/>
          <a:ext cx="2426335" cy="3276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_tradnl" sz="800">
              <a:effectLst/>
              <a:latin typeface="Times New Roman" panose="02020603050405020304" pitchFamily="18" charset="0"/>
              <a:ea typeface="+mn-ea"/>
              <a:cs typeface="Times New Roman" panose="02020603050405020304" pitchFamily="18" charset="0"/>
            </a:rPr>
            <a:t>Fuente</a:t>
          </a:r>
          <a:r>
            <a:rPr lang="es-ES_tradnl" sz="800" b="1">
              <a:effectLst/>
              <a:latin typeface="Times New Roman" panose="02020603050405020304" pitchFamily="18" charset="0"/>
              <a:ea typeface="+mn-ea"/>
              <a:cs typeface="Times New Roman" panose="02020603050405020304" pitchFamily="18" charset="0"/>
            </a:rPr>
            <a:t>:</a:t>
          </a:r>
          <a:r>
            <a:rPr lang="es-ES_tradnl" sz="800">
              <a:effectLst/>
              <a:latin typeface="Times New Roman" panose="02020603050405020304" pitchFamily="18" charset="0"/>
              <a:ea typeface="+mn-ea"/>
              <a:cs typeface="Times New Roman" panose="02020603050405020304" pitchFamily="18" charset="0"/>
            </a:rPr>
            <a:t> Dirección de Análisis y Política Fiscal con información del Banco de Guatemala.</a:t>
          </a:r>
          <a:endParaRPr lang="es-GT" sz="800">
            <a:effectLst/>
            <a:latin typeface="Times New Roman" panose="02020603050405020304" pitchFamily="18" charset="0"/>
            <a:ea typeface="+mn-ea"/>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0.01355</cdr:x>
      <cdr:y>0.93115</cdr:y>
    </cdr:from>
    <cdr:to>
      <cdr:x>0.99083</cdr:x>
      <cdr:y>0.99976</cdr:y>
    </cdr:to>
    <cdr:sp macro="" textlink="">
      <cdr:nvSpPr>
        <cdr:cNvPr id="2" name="Cuadro de texto 1"/>
        <cdr:cNvSpPr txBox="1"/>
      </cdr:nvSpPr>
      <cdr:spPr>
        <a:xfrm xmlns:a="http://schemas.openxmlformats.org/drawingml/2006/main">
          <a:off x="68017" y="2619375"/>
          <a:ext cx="4905628" cy="193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_tradnl" sz="800">
              <a:effectLst/>
              <a:latin typeface="Times New Roman" panose="02020603050405020304" pitchFamily="18" charset="0"/>
              <a:ea typeface="+mn-ea"/>
              <a:cs typeface="Times New Roman" panose="02020603050405020304" pitchFamily="18" charset="0"/>
            </a:rPr>
            <a:t>Fuente</a:t>
          </a:r>
          <a:r>
            <a:rPr lang="es-ES_tradnl" sz="800" b="1">
              <a:effectLst/>
              <a:latin typeface="Times New Roman" panose="02020603050405020304" pitchFamily="18" charset="0"/>
              <a:ea typeface="+mn-ea"/>
              <a:cs typeface="Times New Roman" panose="02020603050405020304" pitchFamily="18" charset="0"/>
            </a:rPr>
            <a:t>:</a:t>
          </a:r>
          <a:r>
            <a:rPr lang="es-ES_tradnl" sz="800">
              <a:effectLst/>
              <a:latin typeface="Times New Roman" panose="02020603050405020304" pitchFamily="18" charset="0"/>
              <a:ea typeface="+mn-ea"/>
              <a:cs typeface="Times New Roman" panose="02020603050405020304" pitchFamily="18" charset="0"/>
            </a:rPr>
            <a:t> Dirección de Análisis y Política Fiscal con información del Banco de Guatemala.</a:t>
          </a:r>
          <a:endParaRPr lang="es-GT" sz="800">
            <a:effectLst/>
            <a:latin typeface="Times New Roman" panose="02020603050405020304" pitchFamily="18" charset="0"/>
            <a:ea typeface="+mn-ea"/>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0.21284</cdr:y>
    </cdr:from>
    <cdr:to>
      <cdr:x>0.98996</cdr:x>
      <cdr:y>0.25928</cdr:y>
    </cdr:to>
    <cdr:sp macro="" textlink="">
      <cdr:nvSpPr>
        <cdr:cNvPr id="2" name="Rectángulo 1"/>
        <cdr:cNvSpPr/>
      </cdr:nvSpPr>
      <cdr:spPr>
        <a:xfrm xmlns:a="http://schemas.openxmlformats.org/drawingml/2006/main">
          <a:off x="0" y="1061613"/>
          <a:ext cx="4589584" cy="231639"/>
        </a:xfrm>
        <a:prstGeom xmlns:a="http://schemas.openxmlformats.org/drawingml/2006/main" prst="rect">
          <a:avLst/>
        </a:prstGeom>
        <a:solidFill xmlns:a="http://schemas.openxmlformats.org/drawingml/2006/main">
          <a:schemeClr val="accent1">
            <a:alpha val="7000"/>
          </a:schemeClr>
        </a:solidFill>
        <a:ln xmlns:a="http://schemas.openxmlformats.org/drawingml/2006/main" w="3175"/>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0.01276</cdr:x>
      <cdr:y>0.94927</cdr:y>
    </cdr:from>
    <cdr:to>
      <cdr:x>0.95194</cdr:x>
      <cdr:y>0.98667</cdr:y>
    </cdr:to>
    <cdr:sp macro="" textlink="">
      <cdr:nvSpPr>
        <cdr:cNvPr id="3" name="Cuadro de texto 2"/>
        <cdr:cNvSpPr txBox="1"/>
      </cdr:nvSpPr>
      <cdr:spPr>
        <a:xfrm xmlns:a="http://schemas.openxmlformats.org/drawingml/2006/main">
          <a:off x="76200" y="5608320"/>
          <a:ext cx="5608320" cy="2209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_tradnl" sz="800">
              <a:effectLst/>
              <a:latin typeface="Times New Roman" panose="02020603050405020304" pitchFamily="18" charset="0"/>
              <a:ea typeface="+mn-ea"/>
              <a:cs typeface="Times New Roman" panose="02020603050405020304" pitchFamily="18" charset="0"/>
            </a:rPr>
            <a:t>Fuente</a:t>
          </a:r>
          <a:r>
            <a:rPr lang="es-ES_tradnl" sz="800" b="1">
              <a:effectLst/>
              <a:latin typeface="Times New Roman" panose="02020603050405020304" pitchFamily="18" charset="0"/>
              <a:ea typeface="+mn-ea"/>
              <a:cs typeface="Times New Roman" panose="02020603050405020304" pitchFamily="18" charset="0"/>
            </a:rPr>
            <a:t>:</a:t>
          </a:r>
          <a:r>
            <a:rPr lang="es-ES_tradnl" sz="800">
              <a:effectLst/>
              <a:latin typeface="Times New Roman" panose="02020603050405020304" pitchFamily="18" charset="0"/>
              <a:ea typeface="+mn-ea"/>
              <a:cs typeface="Times New Roman" panose="02020603050405020304" pitchFamily="18" charset="0"/>
            </a:rPr>
            <a:t> Dirección de Análisis y Política Fiscal con información del Banco de Guatemala.</a:t>
          </a:r>
          <a:endParaRPr lang="es-GT" sz="800">
            <a:effectLst/>
            <a:latin typeface="Times New Roman" panose="02020603050405020304" pitchFamily="18" charset="0"/>
            <a:ea typeface="+mn-ea"/>
            <a:cs typeface="Times New Roman" panose="02020603050405020304" pitchFamily="18" charset="0"/>
          </a:endParaRPr>
        </a:p>
      </cdr:txBody>
    </cdr:sp>
  </cdr:relSizeAnchor>
  <cdr:relSizeAnchor xmlns:cdr="http://schemas.openxmlformats.org/drawingml/2006/chartDrawing">
    <cdr:from>
      <cdr:x>0</cdr:x>
      <cdr:y>0.3503</cdr:y>
    </cdr:from>
    <cdr:to>
      <cdr:x>0.98743</cdr:x>
      <cdr:y>0.39673</cdr:y>
    </cdr:to>
    <cdr:sp macro="" textlink="">
      <cdr:nvSpPr>
        <cdr:cNvPr id="4" name="Rectángulo 3"/>
        <cdr:cNvSpPr/>
      </cdr:nvSpPr>
      <cdr:spPr>
        <a:xfrm xmlns:a="http://schemas.openxmlformats.org/drawingml/2006/main">
          <a:off x="0" y="1747279"/>
          <a:ext cx="4577861" cy="231590"/>
        </a:xfrm>
        <a:prstGeom xmlns:a="http://schemas.openxmlformats.org/drawingml/2006/main" prst="rect">
          <a:avLst/>
        </a:prstGeom>
        <a:solidFill xmlns:a="http://schemas.openxmlformats.org/drawingml/2006/main">
          <a:schemeClr val="accent1">
            <a:alpha val="7000"/>
          </a:schemeClr>
        </a:solidFill>
        <a:ln xmlns:a="http://schemas.openxmlformats.org/drawingml/2006/main" w="3175"/>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cdr:x>
      <cdr:y>0.12072</cdr:y>
    </cdr:from>
    <cdr:to>
      <cdr:x>0.99122</cdr:x>
      <cdr:y>0.16715</cdr:y>
    </cdr:to>
    <cdr:sp macro="" textlink="">
      <cdr:nvSpPr>
        <cdr:cNvPr id="5" name="Rectángulo 4"/>
        <cdr:cNvSpPr/>
      </cdr:nvSpPr>
      <cdr:spPr>
        <a:xfrm xmlns:a="http://schemas.openxmlformats.org/drawingml/2006/main">
          <a:off x="0" y="602151"/>
          <a:ext cx="4595446" cy="231589"/>
        </a:xfrm>
        <a:prstGeom xmlns:a="http://schemas.openxmlformats.org/drawingml/2006/main" prst="rect">
          <a:avLst/>
        </a:prstGeom>
        <a:solidFill xmlns:a="http://schemas.openxmlformats.org/drawingml/2006/main">
          <a:schemeClr val="accent1">
            <a:alpha val="7000"/>
          </a:schemeClr>
        </a:solidFill>
        <a:ln xmlns:a="http://schemas.openxmlformats.org/drawingml/2006/main" w="3175"/>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19B198-AA9C-48D5-8E4B-0D0A69D85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18496</Words>
  <Characters>101729</Characters>
  <Application>Microsoft Office Word</Application>
  <DocSecurity>0</DocSecurity>
  <Lines>847</Lines>
  <Paragraphs>239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119986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DAPF</dc:creator>
  <cp:lastModifiedBy>René Augusto Castro González</cp:lastModifiedBy>
  <cp:revision>2</cp:revision>
  <cp:lastPrinted>2021-02-19T15:46:00Z</cp:lastPrinted>
  <dcterms:created xsi:type="dcterms:W3CDTF">2021-02-19T16:12:00Z</dcterms:created>
  <dcterms:modified xsi:type="dcterms:W3CDTF">2021-02-19T16:12:00Z</dcterms:modified>
</cp:coreProperties>
</file>